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5"/>
          <w:szCs w:val="25"/>
        </w:rPr>
      </w:pPr>
    </w:p>
    <w:p>
      <w:pPr>
        <w:spacing w:line="539" w:lineRule="exact" w:before="0"/>
        <w:ind w:left="771" w:right="1756" w:firstLine="0"/>
        <w:jc w:val="center"/>
        <w:rPr>
          <w:rFonts w:ascii="黑体" w:hAnsi="黑体" w:cs="黑体" w:eastAsia="黑体" w:hint="default"/>
          <w:sz w:val="44"/>
          <w:szCs w:val="44"/>
        </w:rPr>
      </w:pPr>
      <w:r>
        <w:rPr/>
        <w:pict>
          <v:group style="position:absolute;margin-left:55.200001pt;margin-top:-53.668125pt;width:484.9pt;height:.1pt;mso-position-horizontal-relative:page;mso-position-vertical-relative:paragraph;z-index:0" coordorigin="1104,-1073" coordsize="9698,2">
            <v:shape style="position:absolute;left:1104;top:-1073;width:9698;height:2" coordorigin="1104,-1073" coordsize="9698,0" path="m1104,-1073l10802,-1073e" filled="false" stroked="true" strokeweight=".72pt" strokecolor="#000000">
              <v:path arrowok="t"/>
            </v:shape>
            <w10:wrap type="none"/>
          </v:group>
        </w:pict>
      </w:r>
      <w:r>
        <w:rPr>
          <w:rFonts w:ascii="黑体" w:hAnsi="黑体" w:cs="黑体" w:eastAsia="黑体" w:hint="default"/>
          <w:sz w:val="44"/>
          <w:szCs w:val="44"/>
        </w:rPr>
        <w:t>深圳达实智能股份有限公司</w:t>
      </w:r>
    </w:p>
    <w:p>
      <w:pPr>
        <w:spacing w:before="36"/>
        <w:ind w:left="779" w:right="1756" w:firstLine="0"/>
        <w:jc w:val="center"/>
        <w:rPr>
          <w:rFonts w:ascii="黑体" w:hAnsi="黑体" w:cs="黑体" w:eastAsia="黑体" w:hint="default"/>
          <w:sz w:val="44"/>
          <w:szCs w:val="44"/>
        </w:rPr>
      </w:pPr>
      <w:r>
        <w:rPr>
          <w:rFonts w:ascii="黑体" w:hAnsi="黑体" w:cs="黑体" w:eastAsia="黑体" w:hint="default"/>
          <w:sz w:val="44"/>
          <w:szCs w:val="44"/>
        </w:rPr>
        <w:t>（</w:t>
      </w:r>
      <w:r>
        <w:rPr>
          <w:rFonts w:ascii="黑体" w:hAnsi="黑体" w:cs="黑体" w:eastAsia="黑体" w:hint="default"/>
          <w:sz w:val="44"/>
          <w:szCs w:val="44"/>
        </w:rPr>
        <w:t>SHENZHEN DAS INTELLITECH CO.,</w:t>
      </w:r>
      <w:r>
        <w:rPr>
          <w:rFonts w:ascii="黑体" w:hAnsi="黑体" w:cs="黑体" w:eastAsia="黑体" w:hint="default"/>
          <w:spacing w:val="-9"/>
          <w:sz w:val="44"/>
          <w:szCs w:val="44"/>
        </w:rPr>
        <w:t> </w:t>
      </w:r>
      <w:r>
        <w:rPr>
          <w:rFonts w:ascii="黑体" w:hAnsi="黑体" w:cs="黑体" w:eastAsia="黑体" w:hint="default"/>
          <w:sz w:val="44"/>
          <w:szCs w:val="44"/>
        </w:rPr>
        <w:t>LTD.</w:t>
      </w:r>
      <w:r>
        <w:rPr>
          <w:rFonts w:ascii="黑体" w:hAnsi="黑体" w:cs="黑体" w:eastAsia="黑体" w:hint="default"/>
          <w:sz w:val="44"/>
          <w:szCs w:val="44"/>
        </w:rPr>
        <w:t>）</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14"/>
          <w:szCs w:val="14"/>
        </w:rPr>
      </w:pPr>
    </w:p>
    <w:p>
      <w:pPr>
        <w:spacing w:line="1231" w:lineRule="exact"/>
        <w:ind w:left="2908" w:right="0" w:firstLine="0"/>
        <w:rPr>
          <w:rFonts w:ascii="黑体" w:hAnsi="黑体" w:cs="黑体" w:eastAsia="黑体" w:hint="default"/>
          <w:sz w:val="20"/>
          <w:szCs w:val="20"/>
        </w:rPr>
      </w:pPr>
      <w:r>
        <w:rPr>
          <w:rFonts w:ascii="黑体" w:hAnsi="黑体" w:cs="黑体" w:eastAsia="黑体" w:hint="default"/>
          <w:position w:val="-24"/>
          <w:sz w:val="20"/>
          <w:szCs w:val="20"/>
        </w:rPr>
        <w:drawing>
          <wp:inline distT="0" distB="0" distL="0" distR="0">
            <wp:extent cx="2617453" cy="781812"/>
            <wp:effectExtent l="0" t="0" r="0" b="0"/>
            <wp:docPr id="1" name="image2.png" descr=""/>
            <wp:cNvGraphicFramePr>
              <a:graphicFrameLocks noChangeAspect="1"/>
            </wp:cNvGraphicFramePr>
            <a:graphic>
              <a:graphicData uri="http://schemas.openxmlformats.org/drawingml/2006/picture">
                <pic:pic>
                  <pic:nvPicPr>
                    <pic:cNvPr id="2" name="image2.png"/>
                    <pic:cNvPicPr/>
                  </pic:nvPicPr>
                  <pic:blipFill>
                    <a:blip r:embed="rId7" cstate="print"/>
                    <a:stretch>
                      <a:fillRect/>
                    </a:stretch>
                  </pic:blipFill>
                  <pic:spPr>
                    <a:xfrm>
                      <a:off x="0" y="0"/>
                      <a:ext cx="2617453" cy="781812"/>
                    </a:xfrm>
                    <a:prstGeom prst="rect">
                      <a:avLst/>
                    </a:prstGeom>
                  </pic:spPr>
                </pic:pic>
              </a:graphicData>
            </a:graphic>
          </wp:inline>
        </w:drawing>
      </w:r>
      <w:r>
        <w:rPr>
          <w:rFonts w:ascii="黑体" w:hAnsi="黑体" w:cs="黑体" w:eastAsia="黑体" w:hint="default"/>
          <w:position w:val="-24"/>
          <w:sz w:val="20"/>
          <w:szCs w:val="20"/>
        </w:rPr>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2"/>
          <w:szCs w:val="22"/>
        </w:rPr>
      </w:pPr>
    </w:p>
    <w:p>
      <w:pPr>
        <w:spacing w:line="660" w:lineRule="exact" w:before="0"/>
        <w:ind w:left="777" w:right="1756" w:firstLine="0"/>
        <w:jc w:val="center"/>
        <w:rPr>
          <w:rFonts w:ascii="宋体" w:hAnsi="宋体" w:cs="宋体" w:eastAsia="宋体" w:hint="default"/>
          <w:sz w:val="52"/>
          <w:szCs w:val="52"/>
        </w:rPr>
      </w:pPr>
      <w:r>
        <w:rPr>
          <w:rFonts w:ascii="Times New Roman" w:hAnsi="Times New Roman" w:cs="Times New Roman" w:eastAsia="Times New Roman" w:hint="default"/>
          <w:b/>
          <w:bCs/>
          <w:sz w:val="52"/>
          <w:szCs w:val="52"/>
        </w:rPr>
        <w:t>2019 </w:t>
      </w:r>
      <w:r>
        <w:rPr>
          <w:rFonts w:ascii="宋体" w:hAnsi="宋体" w:cs="宋体" w:eastAsia="宋体" w:hint="default"/>
          <w:b/>
          <w:bCs/>
          <w:sz w:val="52"/>
          <w:szCs w:val="52"/>
        </w:rPr>
        <w:t>年年度报告</w:t>
      </w:r>
      <w:r>
        <w:rPr>
          <w:rFonts w:ascii="宋体" w:hAnsi="宋体" w:cs="宋体" w:eastAsia="宋体" w:hint="default"/>
          <w:sz w:val="52"/>
          <w:szCs w:val="52"/>
        </w:rPr>
      </w:r>
    </w:p>
    <w:p>
      <w:pPr>
        <w:spacing w:line="240" w:lineRule="auto" w:before="0"/>
        <w:rPr>
          <w:rFonts w:ascii="宋体" w:hAnsi="宋体" w:cs="宋体" w:eastAsia="宋体" w:hint="default"/>
          <w:b/>
          <w:bCs/>
          <w:sz w:val="54"/>
          <w:szCs w:val="54"/>
        </w:rPr>
      </w:pPr>
    </w:p>
    <w:p>
      <w:pPr>
        <w:spacing w:line="240" w:lineRule="auto" w:before="0"/>
        <w:rPr>
          <w:rFonts w:ascii="宋体" w:hAnsi="宋体" w:cs="宋体" w:eastAsia="宋体" w:hint="default"/>
          <w:b/>
          <w:bCs/>
          <w:sz w:val="54"/>
          <w:szCs w:val="54"/>
        </w:rPr>
      </w:pPr>
    </w:p>
    <w:p>
      <w:pPr>
        <w:spacing w:line="240" w:lineRule="auto" w:before="0"/>
        <w:rPr>
          <w:rFonts w:ascii="宋体" w:hAnsi="宋体" w:cs="宋体" w:eastAsia="宋体" w:hint="default"/>
          <w:b/>
          <w:bCs/>
          <w:sz w:val="54"/>
          <w:szCs w:val="54"/>
        </w:rPr>
      </w:pPr>
    </w:p>
    <w:p>
      <w:pPr>
        <w:spacing w:line="240" w:lineRule="auto" w:before="6"/>
        <w:rPr>
          <w:rFonts w:ascii="宋体" w:hAnsi="宋体" w:cs="宋体" w:eastAsia="宋体" w:hint="default"/>
          <w:b/>
          <w:bCs/>
          <w:sz w:val="54"/>
          <w:szCs w:val="54"/>
        </w:rPr>
      </w:pPr>
    </w:p>
    <w:p>
      <w:pPr>
        <w:spacing w:before="0"/>
        <w:ind w:left="778" w:right="1756"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2020</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年</w:t>
      </w:r>
      <w:r>
        <w:rPr>
          <w:rFonts w:ascii="宋体" w:hAnsi="宋体" w:cs="宋体" w:eastAsia="宋体" w:hint="default"/>
          <w:b/>
          <w:bCs/>
          <w:spacing w:val="-81"/>
          <w:sz w:val="32"/>
          <w:szCs w:val="32"/>
        </w:rPr>
        <w:t> </w:t>
      </w:r>
      <w:r>
        <w:rPr>
          <w:rFonts w:ascii="Times New Roman" w:hAnsi="Times New Roman" w:cs="Times New Roman" w:eastAsia="Times New Roman" w:hint="default"/>
          <w:b/>
          <w:bCs/>
          <w:sz w:val="32"/>
          <w:szCs w:val="32"/>
        </w:rPr>
        <w:t>04</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月</w:t>
      </w:r>
      <w:r>
        <w:rPr>
          <w:rFonts w:ascii="宋体" w:hAnsi="宋体" w:cs="宋体" w:eastAsia="宋体" w:hint="default"/>
          <w:sz w:val="32"/>
          <w:szCs w:val="32"/>
        </w:rPr>
      </w:r>
    </w:p>
    <w:p>
      <w:pPr>
        <w:spacing w:after="0"/>
        <w:jc w:val="center"/>
        <w:rPr>
          <w:rFonts w:ascii="宋体" w:hAnsi="宋体" w:cs="宋体" w:eastAsia="宋体" w:hint="default"/>
          <w:sz w:val="32"/>
          <w:szCs w:val="32"/>
        </w:rPr>
        <w:sectPr>
          <w:headerReference w:type="default" r:id="rId5"/>
          <w:footerReference w:type="default" r:id="rId6"/>
          <w:type w:val="continuous"/>
          <w:pgSz w:w="11910" w:h="16840"/>
          <w:pgMar w:header="745" w:footer="980" w:top="1060" w:bottom="1160" w:left="980" w:right="0"/>
        </w:sectPr>
      </w:pPr>
    </w:p>
    <w:p>
      <w:pPr>
        <w:spacing w:line="240" w:lineRule="auto" w:before="11"/>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8;height:2" coordorigin="7,7" coordsize="9698,2">
              <v:shape style="position:absolute;left:7;top:7;width:9698;height:2" coordorigin="7,7" coordsize="9698,0" path="m7,7l970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pStyle w:val="Heading1"/>
        <w:spacing w:line="240" w:lineRule="auto"/>
        <w:ind w:left="2885" w:right="1133"/>
        <w:jc w:val="left"/>
        <w:rPr>
          <w:b w:val="0"/>
          <w:bCs w:val="0"/>
        </w:rPr>
      </w:pPr>
      <w:bookmarkStart w:name="_TOC_250012" w:id="1"/>
      <w:bookmarkStart w:name="第一节重要提示、目录和释义" w:id="2"/>
      <w:r>
        <w:rPr>
          <w:b w:val="0"/>
          <w:bCs w:val="0"/>
        </w:rPr>
      </w:r>
      <w:r>
        <w:rPr/>
        <w:t>第一节重要提示、目录和释义</w:t>
      </w:r>
      <w:bookmarkEnd w:id="1"/>
      <w:r>
        <w:rPr>
          <w:b w:val="0"/>
          <w:bCs w:val="0"/>
        </w:rPr>
      </w:r>
    </w:p>
    <w:p>
      <w:pPr>
        <w:spacing w:line="240" w:lineRule="auto" w:before="0"/>
        <w:rPr>
          <w:rFonts w:ascii="宋体" w:hAnsi="宋体" w:cs="宋体" w:eastAsia="宋体" w:hint="default"/>
          <w:b/>
          <w:bCs/>
          <w:sz w:val="32"/>
          <w:szCs w:val="32"/>
        </w:rPr>
      </w:pPr>
    </w:p>
    <w:p>
      <w:pPr>
        <w:spacing w:line="408" w:lineRule="auto" w:before="215"/>
        <w:ind w:left="152" w:right="1135" w:firstLine="562"/>
        <w:jc w:val="both"/>
        <w:rPr>
          <w:rFonts w:ascii="宋体" w:hAnsi="宋体" w:cs="宋体" w:eastAsia="宋体" w:hint="default"/>
          <w:sz w:val="28"/>
          <w:szCs w:val="28"/>
        </w:rPr>
      </w:pPr>
      <w:r>
        <w:rPr>
          <w:rFonts w:ascii="宋体" w:hAnsi="宋体" w:cs="宋体" w:eastAsia="宋体" w:hint="default"/>
          <w:b/>
          <w:bCs/>
          <w:spacing w:val="2"/>
          <w:sz w:val="28"/>
          <w:szCs w:val="28"/>
        </w:rPr>
        <w:t>公司董事会、监事会及董事、监事、高级管理人员保证年度报告内容的真</w:t>
      </w:r>
      <w:r>
        <w:rPr>
          <w:rFonts w:ascii="宋体" w:hAnsi="宋体" w:cs="宋体" w:eastAsia="宋体" w:hint="default"/>
          <w:b/>
          <w:bCs/>
          <w:w w:val="99"/>
          <w:sz w:val="28"/>
          <w:szCs w:val="28"/>
        </w:rPr>
        <w:t> </w:t>
      </w:r>
      <w:r>
        <w:rPr>
          <w:rFonts w:ascii="宋体" w:hAnsi="宋体" w:cs="宋体" w:eastAsia="宋体" w:hint="default"/>
          <w:b/>
          <w:bCs/>
          <w:spacing w:val="2"/>
          <w:sz w:val="28"/>
          <w:szCs w:val="28"/>
        </w:rPr>
        <w:t>实、准确、完整，不存在虚假记载、误导性陈述或重大遗漏，并承担个别和连</w:t>
      </w:r>
      <w:r>
        <w:rPr>
          <w:rFonts w:ascii="宋体" w:hAnsi="宋体" w:cs="宋体" w:eastAsia="宋体" w:hint="default"/>
          <w:b/>
          <w:bCs/>
          <w:w w:val="99"/>
          <w:sz w:val="28"/>
          <w:szCs w:val="28"/>
        </w:rPr>
        <w:t> </w:t>
      </w:r>
      <w:r>
        <w:rPr>
          <w:rFonts w:ascii="宋体" w:hAnsi="宋体" w:cs="宋体" w:eastAsia="宋体" w:hint="default"/>
          <w:b/>
          <w:bCs/>
          <w:sz w:val="28"/>
          <w:szCs w:val="28"/>
        </w:rPr>
        <w:t>带的法律责任。</w:t>
      </w:r>
      <w:r>
        <w:rPr>
          <w:rFonts w:ascii="宋体" w:hAnsi="宋体" w:cs="宋体" w:eastAsia="宋体" w:hint="default"/>
          <w:sz w:val="28"/>
          <w:szCs w:val="28"/>
        </w:rPr>
      </w:r>
    </w:p>
    <w:p>
      <w:pPr>
        <w:spacing w:line="386" w:lineRule="auto" w:before="162"/>
        <w:ind w:left="152" w:right="1131" w:firstLine="562"/>
        <w:jc w:val="both"/>
        <w:rPr>
          <w:rFonts w:ascii="宋体" w:hAnsi="宋体" w:cs="宋体" w:eastAsia="宋体" w:hint="default"/>
          <w:sz w:val="28"/>
          <w:szCs w:val="28"/>
        </w:rPr>
      </w:pPr>
      <w:r>
        <w:rPr>
          <w:rFonts w:ascii="宋体" w:hAnsi="宋体" w:cs="宋体" w:eastAsia="宋体" w:hint="default"/>
          <w:b/>
          <w:bCs/>
          <w:w w:val="95"/>
          <w:sz w:val="28"/>
          <w:szCs w:val="28"/>
        </w:rPr>
        <w:t>公司负责人刘磅、主管会计工作负责人黄天朗及会计机构负责人</w:t>
      </w:r>
      <w:r>
        <w:rPr>
          <w:rFonts w:ascii="Times New Roman" w:hAnsi="Times New Roman" w:cs="Times New Roman" w:eastAsia="Times New Roman" w:hint="default"/>
          <w:b/>
          <w:bCs/>
          <w:w w:val="95"/>
          <w:sz w:val="28"/>
          <w:szCs w:val="28"/>
        </w:rPr>
        <w:t>(</w:t>
      </w:r>
      <w:r>
        <w:rPr>
          <w:rFonts w:ascii="宋体" w:hAnsi="宋体" w:cs="宋体" w:eastAsia="宋体" w:hint="default"/>
          <w:b/>
          <w:bCs/>
          <w:w w:val="95"/>
          <w:sz w:val="28"/>
          <w:szCs w:val="28"/>
        </w:rPr>
        <w:t>会计主管</w:t>
      </w:r>
      <w:r>
        <w:rPr>
          <w:rFonts w:ascii="宋体" w:hAnsi="宋体" w:cs="宋体" w:eastAsia="宋体" w:hint="default"/>
          <w:b/>
          <w:bCs/>
          <w:w w:val="99"/>
          <w:sz w:val="28"/>
          <w:szCs w:val="28"/>
        </w:rPr>
        <w:t> </w:t>
      </w:r>
      <w:r>
        <w:rPr>
          <w:rFonts w:ascii="宋体" w:hAnsi="宋体" w:cs="宋体" w:eastAsia="宋体" w:hint="default"/>
          <w:b/>
          <w:bCs/>
          <w:sz w:val="28"/>
          <w:szCs w:val="28"/>
        </w:rPr>
        <w:t>人员</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黄庆明声明：保证年度报告中财务报告的真实、准确、完整。</w:t>
      </w:r>
      <w:r>
        <w:rPr>
          <w:rFonts w:ascii="宋体" w:hAnsi="宋体" w:cs="宋体" w:eastAsia="宋体" w:hint="default"/>
          <w:sz w:val="28"/>
          <w:szCs w:val="28"/>
        </w:rPr>
      </w:r>
    </w:p>
    <w:p>
      <w:pPr>
        <w:spacing w:line="472" w:lineRule="auto" w:before="148"/>
        <w:ind w:left="714" w:right="1133" w:firstLine="0"/>
        <w:jc w:val="left"/>
        <w:rPr>
          <w:rFonts w:ascii="宋体" w:hAnsi="宋体" w:cs="宋体" w:eastAsia="宋体" w:hint="default"/>
          <w:sz w:val="28"/>
          <w:szCs w:val="28"/>
        </w:rPr>
      </w:pPr>
      <w:r>
        <w:rPr>
          <w:rFonts w:ascii="宋体" w:hAnsi="宋体" w:cs="宋体" w:eastAsia="宋体" w:hint="default"/>
          <w:b/>
          <w:bCs/>
          <w:sz w:val="28"/>
          <w:szCs w:val="28"/>
        </w:rPr>
        <w:t>所有董事均已出席了审议本报告的董事会会议。</w:t>
      </w:r>
      <w:r>
        <w:rPr>
          <w:rFonts w:ascii="宋体" w:hAnsi="宋体" w:cs="宋体" w:eastAsia="宋体" w:hint="default"/>
          <w:b/>
          <w:bCs/>
          <w:w w:val="99"/>
          <w:sz w:val="28"/>
          <w:szCs w:val="28"/>
        </w:rPr>
        <w:t> </w:t>
      </w:r>
      <w:r>
        <w:rPr>
          <w:rFonts w:ascii="宋体" w:hAnsi="宋体" w:cs="宋体" w:eastAsia="宋体" w:hint="default"/>
          <w:b/>
          <w:bCs/>
          <w:spacing w:val="2"/>
          <w:sz w:val="28"/>
          <w:szCs w:val="28"/>
        </w:rPr>
        <w:t>本年度报告中涉及的公司未来计划等前瞻性陈述，不构成对投资者的实质</w:t>
      </w:r>
      <w:r>
        <w:rPr>
          <w:rFonts w:ascii="宋体" w:hAnsi="宋体" w:cs="宋体" w:eastAsia="宋体" w:hint="default"/>
          <w:spacing w:val="2"/>
          <w:sz w:val="28"/>
          <w:szCs w:val="28"/>
        </w:rPr>
      </w:r>
    </w:p>
    <w:p>
      <w:pPr>
        <w:spacing w:line="408" w:lineRule="auto" w:before="0"/>
        <w:ind w:left="152" w:right="1129" w:firstLine="0"/>
        <w:jc w:val="left"/>
        <w:rPr>
          <w:rFonts w:ascii="宋体" w:hAnsi="宋体" w:cs="宋体" w:eastAsia="宋体" w:hint="default"/>
          <w:sz w:val="28"/>
          <w:szCs w:val="28"/>
        </w:rPr>
      </w:pPr>
      <w:r>
        <w:rPr>
          <w:rFonts w:ascii="宋体" w:hAnsi="宋体" w:cs="宋体" w:eastAsia="宋体" w:hint="default"/>
          <w:b/>
          <w:bCs/>
          <w:spacing w:val="2"/>
          <w:sz w:val="28"/>
          <w:szCs w:val="28"/>
        </w:rPr>
        <w:t>承诺，请投资者及相关人士对此保持足够的风险认识，理解计划、预测与承诺</w:t>
      </w:r>
      <w:r>
        <w:rPr>
          <w:rFonts w:ascii="宋体" w:hAnsi="宋体" w:cs="宋体" w:eastAsia="宋体" w:hint="default"/>
          <w:b/>
          <w:bCs/>
          <w:w w:val="99"/>
          <w:sz w:val="28"/>
          <w:szCs w:val="28"/>
        </w:rPr>
        <w:t> </w:t>
      </w:r>
      <w:r>
        <w:rPr>
          <w:rFonts w:ascii="宋体" w:hAnsi="宋体" w:cs="宋体" w:eastAsia="宋体" w:hint="default"/>
          <w:b/>
          <w:bCs/>
          <w:sz w:val="28"/>
          <w:szCs w:val="28"/>
        </w:rPr>
        <w:t>之间的差异。</w:t>
      </w:r>
      <w:r>
        <w:rPr>
          <w:rFonts w:ascii="宋体" w:hAnsi="宋体" w:cs="宋体" w:eastAsia="宋体" w:hint="default"/>
          <w:sz w:val="28"/>
          <w:szCs w:val="28"/>
        </w:rPr>
      </w:r>
    </w:p>
    <w:p>
      <w:pPr>
        <w:spacing w:line="398" w:lineRule="auto" w:before="162"/>
        <w:ind w:left="152" w:right="1130" w:firstLine="562"/>
        <w:jc w:val="both"/>
        <w:rPr>
          <w:rFonts w:ascii="宋体" w:hAnsi="宋体" w:cs="宋体" w:eastAsia="宋体" w:hint="default"/>
          <w:sz w:val="28"/>
          <w:szCs w:val="28"/>
        </w:rPr>
      </w:pPr>
      <w:r>
        <w:rPr>
          <w:rFonts w:ascii="宋体" w:hAnsi="宋体" w:cs="宋体" w:eastAsia="宋体" w:hint="default"/>
          <w:b/>
          <w:bCs/>
          <w:spacing w:val="2"/>
          <w:sz w:val="28"/>
          <w:szCs w:val="28"/>
        </w:rPr>
        <w:t>公司在本报告</w:t>
      </w:r>
      <w:r>
        <w:rPr>
          <w:rFonts w:ascii="Times New Roman" w:hAnsi="Times New Roman" w:cs="Times New Roman" w:eastAsia="Times New Roman" w:hint="default"/>
          <w:b/>
          <w:bCs/>
          <w:spacing w:val="2"/>
          <w:sz w:val="28"/>
          <w:szCs w:val="28"/>
        </w:rPr>
        <w:t>“</w:t>
      </w:r>
      <w:r>
        <w:rPr>
          <w:rFonts w:ascii="宋体" w:hAnsi="宋体" w:cs="宋体" w:eastAsia="宋体" w:hint="default"/>
          <w:b/>
          <w:bCs/>
          <w:spacing w:val="2"/>
          <w:sz w:val="28"/>
          <w:szCs w:val="28"/>
        </w:rPr>
        <w:t>第四节经营情况讨论与分析</w:t>
      </w:r>
      <w:r>
        <w:rPr>
          <w:rFonts w:ascii="Times New Roman" w:hAnsi="Times New Roman" w:cs="Times New Roman" w:eastAsia="Times New Roman" w:hint="default"/>
          <w:b/>
          <w:bCs/>
          <w:spacing w:val="2"/>
          <w:sz w:val="28"/>
          <w:szCs w:val="28"/>
        </w:rPr>
        <w:t>”</w:t>
      </w:r>
      <w:r>
        <w:rPr>
          <w:rFonts w:ascii="宋体" w:hAnsi="宋体" w:cs="宋体" w:eastAsia="宋体" w:hint="default"/>
          <w:b/>
          <w:bCs/>
          <w:spacing w:val="2"/>
          <w:sz w:val="28"/>
          <w:szCs w:val="28"/>
        </w:rPr>
        <w:t>之</w:t>
      </w:r>
      <w:r>
        <w:rPr>
          <w:rFonts w:ascii="Times New Roman" w:hAnsi="Times New Roman" w:cs="Times New Roman" w:eastAsia="Times New Roman" w:hint="default"/>
          <w:b/>
          <w:bCs/>
          <w:spacing w:val="2"/>
          <w:sz w:val="28"/>
          <w:szCs w:val="28"/>
        </w:rPr>
        <w:t>“</w:t>
      </w:r>
      <w:r>
        <w:rPr>
          <w:rFonts w:ascii="宋体" w:hAnsi="宋体" w:cs="宋体" w:eastAsia="宋体" w:hint="default"/>
          <w:b/>
          <w:bCs/>
          <w:spacing w:val="2"/>
          <w:sz w:val="28"/>
          <w:szCs w:val="28"/>
        </w:rPr>
        <w:t>九、公司未来发展的展望</w:t>
      </w:r>
      <w:r>
        <w:rPr>
          <w:rFonts w:ascii="Times New Roman" w:hAnsi="Times New Roman" w:cs="Times New Roman" w:eastAsia="Times New Roman" w:hint="default"/>
          <w:b/>
          <w:bCs/>
          <w:spacing w:val="2"/>
          <w:sz w:val="28"/>
          <w:szCs w:val="28"/>
        </w:rPr>
        <w:t>”</w:t>
      </w:r>
      <w:r>
        <w:rPr>
          <w:rFonts w:ascii="Times New Roman" w:hAnsi="Times New Roman" w:cs="Times New Roman" w:eastAsia="Times New Roman" w:hint="default"/>
          <w:b/>
          <w:bCs/>
          <w:w w:val="100"/>
          <w:sz w:val="28"/>
          <w:szCs w:val="28"/>
        </w:rPr>
        <w:t> </w:t>
      </w:r>
      <w:r>
        <w:rPr>
          <w:rFonts w:ascii="宋体" w:hAnsi="宋体" w:cs="宋体" w:eastAsia="宋体" w:hint="default"/>
          <w:b/>
          <w:bCs/>
          <w:spacing w:val="2"/>
          <w:sz w:val="28"/>
          <w:szCs w:val="28"/>
        </w:rPr>
        <w:t>部分详细描述了公司未来经营中可能存在的风险及应对措施，敬请投资者关注</w:t>
      </w:r>
      <w:r>
        <w:rPr>
          <w:rFonts w:ascii="宋体" w:hAnsi="宋体" w:cs="宋体" w:eastAsia="宋体" w:hint="default"/>
          <w:b/>
          <w:bCs/>
          <w:w w:val="99"/>
          <w:sz w:val="28"/>
          <w:szCs w:val="28"/>
        </w:rPr>
        <w:t> </w:t>
      </w:r>
      <w:r>
        <w:rPr>
          <w:rFonts w:ascii="宋体" w:hAnsi="宋体" w:cs="宋体" w:eastAsia="宋体" w:hint="default"/>
          <w:b/>
          <w:bCs/>
          <w:sz w:val="28"/>
          <w:szCs w:val="28"/>
        </w:rPr>
        <w:t>相关内容。</w:t>
      </w:r>
      <w:r>
        <w:rPr>
          <w:rFonts w:ascii="宋体" w:hAnsi="宋体" w:cs="宋体" w:eastAsia="宋体" w:hint="default"/>
          <w:sz w:val="28"/>
          <w:szCs w:val="28"/>
        </w:rPr>
      </w:r>
    </w:p>
    <w:p>
      <w:pPr>
        <w:spacing w:line="398" w:lineRule="auto" w:before="173"/>
        <w:ind w:left="152" w:right="1132" w:firstLine="562"/>
        <w:jc w:val="both"/>
        <w:rPr>
          <w:rFonts w:ascii="宋体" w:hAnsi="宋体" w:cs="宋体" w:eastAsia="宋体" w:hint="default"/>
          <w:sz w:val="28"/>
          <w:szCs w:val="28"/>
        </w:rPr>
      </w:pPr>
      <w:r>
        <w:rPr>
          <w:rFonts w:ascii="宋体" w:hAnsi="宋体" w:cs="宋体" w:eastAsia="宋体" w:hint="default"/>
          <w:b/>
          <w:bCs/>
          <w:spacing w:val="2"/>
          <w:sz w:val="28"/>
          <w:szCs w:val="28"/>
        </w:rPr>
        <w:t>公司经本次董事会审议通过的利润分配预案为：以实施分配方案时股权登</w:t>
      </w:r>
      <w:r>
        <w:rPr>
          <w:rFonts w:ascii="宋体" w:hAnsi="宋体" w:cs="宋体" w:eastAsia="宋体" w:hint="default"/>
          <w:b/>
          <w:bCs/>
          <w:w w:val="99"/>
          <w:sz w:val="28"/>
          <w:szCs w:val="28"/>
        </w:rPr>
        <w:t> </w:t>
      </w:r>
      <w:r>
        <w:rPr>
          <w:rFonts w:ascii="宋体" w:hAnsi="宋体" w:cs="宋体" w:eastAsia="宋体" w:hint="default"/>
          <w:b/>
          <w:bCs/>
          <w:spacing w:val="-3"/>
          <w:w w:val="99"/>
          <w:sz w:val="28"/>
          <w:szCs w:val="28"/>
        </w:rPr>
        <w:t>记日的总股本为基数，向全体股东每</w:t>
      </w:r>
      <w:r>
        <w:rPr>
          <w:rFonts w:ascii="宋体" w:hAnsi="宋体" w:cs="宋体" w:eastAsia="宋体" w:hint="default"/>
          <w:b/>
          <w:bCs/>
          <w:spacing w:val="-65"/>
          <w:w w:val="99"/>
          <w:sz w:val="28"/>
          <w:szCs w:val="28"/>
        </w:rPr>
        <w:t> </w:t>
      </w:r>
      <w:r>
        <w:rPr>
          <w:rFonts w:ascii="Times New Roman" w:hAnsi="Times New Roman" w:cs="Times New Roman" w:eastAsia="Times New Roman" w:hint="default"/>
          <w:b/>
          <w:bCs/>
          <w:spacing w:val="-1"/>
          <w:w w:val="100"/>
          <w:sz w:val="28"/>
          <w:szCs w:val="28"/>
        </w:rPr>
        <w:t>10</w:t>
      </w:r>
      <w:r>
        <w:rPr>
          <w:rFonts w:ascii="Times New Roman" w:hAnsi="Times New Roman" w:cs="Times New Roman" w:eastAsia="Times New Roman" w:hint="default"/>
          <w:b/>
          <w:bCs/>
          <w:spacing w:val="4"/>
          <w:w w:val="100"/>
          <w:sz w:val="28"/>
          <w:szCs w:val="28"/>
        </w:rPr>
        <w:t> </w:t>
      </w:r>
      <w:r>
        <w:rPr>
          <w:rFonts w:ascii="宋体" w:hAnsi="宋体" w:cs="宋体" w:eastAsia="宋体" w:hint="default"/>
          <w:b/>
          <w:bCs/>
          <w:w w:val="99"/>
          <w:sz w:val="28"/>
          <w:szCs w:val="28"/>
        </w:rPr>
        <w:t>股派发现金红利</w:t>
      </w:r>
      <w:r>
        <w:rPr>
          <w:rFonts w:ascii="宋体" w:hAnsi="宋体" w:cs="宋体" w:eastAsia="宋体" w:hint="default"/>
          <w:b/>
          <w:bCs/>
          <w:spacing w:val="-66"/>
          <w:w w:val="99"/>
          <w:sz w:val="28"/>
          <w:szCs w:val="28"/>
        </w:rPr>
        <w:t> </w:t>
      </w:r>
      <w:r>
        <w:rPr>
          <w:rFonts w:ascii="Times New Roman" w:hAnsi="Times New Roman" w:cs="Times New Roman" w:eastAsia="Times New Roman" w:hint="default"/>
          <w:b/>
          <w:bCs/>
          <w:spacing w:val="-1"/>
          <w:w w:val="100"/>
          <w:sz w:val="28"/>
          <w:szCs w:val="28"/>
        </w:rPr>
        <w:t>0.3</w:t>
      </w:r>
      <w:r>
        <w:rPr>
          <w:rFonts w:ascii="Times New Roman" w:hAnsi="Times New Roman" w:cs="Times New Roman" w:eastAsia="Times New Roman" w:hint="default"/>
          <w:b/>
          <w:bCs/>
          <w:spacing w:val="4"/>
          <w:w w:val="100"/>
          <w:sz w:val="28"/>
          <w:szCs w:val="28"/>
        </w:rPr>
        <w:t> </w:t>
      </w:r>
      <w:r>
        <w:rPr>
          <w:rFonts w:ascii="宋体" w:hAnsi="宋体" w:cs="宋体" w:eastAsia="宋体" w:hint="default"/>
          <w:b/>
          <w:bCs/>
          <w:spacing w:val="-26"/>
          <w:w w:val="99"/>
          <w:sz w:val="28"/>
          <w:szCs w:val="28"/>
        </w:rPr>
        <w:t>元（含税），送红股</w:t>
      </w:r>
      <w:r>
        <w:rPr>
          <w:rFonts w:ascii="宋体" w:hAnsi="宋体" w:cs="宋体" w:eastAsia="宋体" w:hint="default"/>
          <w:b/>
          <w:bCs/>
          <w:w w:val="99"/>
          <w:sz w:val="28"/>
          <w:szCs w:val="28"/>
        </w:rPr>
        <w:t> </w:t>
      </w:r>
      <w:r>
        <w:rPr>
          <w:rFonts w:ascii="Times New Roman" w:hAnsi="Times New Roman" w:cs="Times New Roman" w:eastAsia="Times New Roman" w:hint="default"/>
          <w:b/>
          <w:bCs/>
          <w:w w:val="100"/>
          <w:sz w:val="28"/>
          <w:szCs w:val="28"/>
        </w:rPr>
        <w:t>0</w:t>
      </w:r>
      <w:r>
        <w:rPr>
          <w:rFonts w:ascii="Times New Roman" w:hAnsi="Times New Roman" w:cs="Times New Roman" w:eastAsia="Times New Roman" w:hint="default"/>
          <w:b/>
          <w:bCs/>
          <w:spacing w:val="6"/>
          <w:w w:val="100"/>
          <w:sz w:val="28"/>
          <w:szCs w:val="28"/>
        </w:rPr>
        <w:t> </w:t>
      </w:r>
      <w:r>
        <w:rPr>
          <w:rFonts w:ascii="宋体" w:hAnsi="宋体" w:cs="宋体" w:eastAsia="宋体" w:hint="default"/>
          <w:b/>
          <w:bCs/>
          <w:spacing w:val="-9"/>
          <w:w w:val="99"/>
          <w:sz w:val="28"/>
          <w:szCs w:val="28"/>
        </w:rPr>
        <w:t>股（含税），不以公积金转增股本。</w:t>
      </w:r>
      <w:r>
        <w:rPr>
          <w:rFonts w:ascii="宋体" w:hAnsi="宋体" w:cs="宋体" w:eastAsia="宋体" w:hint="default"/>
          <w:spacing w:val="-9"/>
          <w:sz w:val="28"/>
          <w:szCs w:val="28"/>
        </w:rPr>
      </w:r>
    </w:p>
    <w:p>
      <w:pPr>
        <w:spacing w:after="0" w:line="398" w:lineRule="auto"/>
        <w:jc w:val="both"/>
        <w:rPr>
          <w:rFonts w:ascii="宋体" w:hAnsi="宋体" w:cs="宋体" w:eastAsia="宋体" w:hint="default"/>
          <w:sz w:val="28"/>
          <w:szCs w:val="28"/>
        </w:rPr>
        <w:sectPr>
          <w:footerReference w:type="default" r:id="rId8"/>
          <w:pgSz w:w="11910" w:h="16840"/>
          <w:pgMar w:footer="980" w:header="745" w:top="1060" w:bottom="1160" w:left="980" w:right="0"/>
          <w:pgNumType w:start="2"/>
        </w:sectPr>
      </w:pPr>
    </w:p>
    <w:p>
      <w:pPr>
        <w:spacing w:line="240" w:lineRule="auto" w:before="11"/>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8;height:2" coordorigin="7,7" coordsize="9698,2">
              <v:shape style="position:absolute;left:7;top:7;width:9698;height:2" coordorigin="7,7" coordsize="9698,0" path="m7,7l970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6"/>
          <w:szCs w:val="26"/>
        </w:rPr>
      </w:pPr>
    </w:p>
    <w:p>
      <w:pPr>
        <w:spacing w:line="460" w:lineRule="exact" w:before="0"/>
        <w:ind w:left="778" w:right="1756" w:firstLine="0"/>
        <w:jc w:val="center"/>
        <w:rPr>
          <w:rFonts w:ascii="宋体" w:hAnsi="宋体" w:cs="宋体" w:eastAsia="宋体" w:hint="default"/>
          <w:sz w:val="36"/>
          <w:szCs w:val="36"/>
        </w:rPr>
      </w:pPr>
      <w:r>
        <w:rPr>
          <w:rFonts w:ascii="宋体" w:hAnsi="宋体" w:cs="宋体" w:eastAsia="宋体" w:hint="default"/>
          <w:b/>
          <w:bCs/>
          <w:sz w:val="36"/>
          <w:szCs w:val="36"/>
        </w:rPr>
        <w:t>目录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13"/>
        <w:rPr>
          <w:rFonts w:ascii="宋体" w:hAnsi="宋体" w:cs="宋体" w:eastAsia="宋体" w:hint="default"/>
          <w:b/>
          <w:bCs/>
          <w:sz w:val="47"/>
          <w:szCs w:val="47"/>
        </w:rPr>
      </w:pPr>
    </w:p>
    <w:sdt>
      <w:sdtPr>
        <w:docPartObj>
          <w:docPartGallery w:val="Table of Contents"/>
          <w:docPartUnique/>
        </w:docPartObj>
      </w:sdtPr>
      <w:sdtEndPr/>
      <w:sdtContent>
        <w:p>
          <w:pPr>
            <w:pStyle w:val="TOC1"/>
            <w:tabs>
              <w:tab w:pos="9783" w:val="right" w:leader="dot"/>
            </w:tabs>
            <w:spacing w:line="240" w:lineRule="auto" w:before="0"/>
            <w:ind w:right="0"/>
            <w:jc w:val="left"/>
            <w:rPr>
              <w:rFonts w:ascii="Times New Roman" w:hAnsi="Times New Roman" w:cs="Times New Roman" w:eastAsia="Times New Roman" w:hint="default"/>
              <w:b w:val="0"/>
              <w:bCs w:val="0"/>
            </w:rPr>
          </w:pPr>
          <w:r>
            <w:fldChar w:fldCharType="begin"/>
          </w:r>
          <w:r>
            <w:instrText>TOC \o "1-1" \h \z \u </w:instrText>
          </w:r>
          <w:r>
            <w:fldChar w:fldCharType="separate"/>
          </w:r>
          <w:hyperlink w:history="true" w:anchor="_TOC_250012">
            <w:r>
              <w:rPr/>
              <w:t>第一节</w:t>
            </w:r>
            <w:r>
              <w:rPr>
                <w:spacing w:val="-18"/>
              </w:rPr>
              <w:t> </w:t>
            </w:r>
            <w:r>
              <w:rPr/>
              <w:t>重要提示、目录和释义</w:t>
            </w:r>
            <w:r>
              <w:rPr>
                <w:rFonts w:ascii="Times New Roman" w:hAnsi="Times New Roman" w:cs="Times New Roman" w:eastAsia="Times New Roman" w:hint="default"/>
              </w:rPr>
              <w:tab/>
              <w:t>2</w:t>
            </w:r>
            <w:r>
              <w:rPr>
                <w:rFonts w:ascii="Times New Roman" w:hAnsi="Times New Roman" w:cs="Times New Roman" w:eastAsia="Times New Roman" w:hint="default"/>
                <w:b w:val="0"/>
                <w:bCs w:val="0"/>
              </w:rPr>
            </w:r>
          </w:hyperlink>
        </w:p>
        <w:p>
          <w:pPr>
            <w:pStyle w:val="TOC1"/>
            <w:tabs>
              <w:tab w:pos="9783" w:val="right" w:leader="dot"/>
            </w:tabs>
            <w:spacing w:line="240" w:lineRule="auto" w:before="316"/>
            <w:ind w:right="0"/>
            <w:jc w:val="left"/>
            <w:rPr>
              <w:rFonts w:ascii="Times New Roman" w:hAnsi="Times New Roman" w:cs="Times New Roman" w:eastAsia="Times New Roman" w:hint="default"/>
              <w:b w:val="0"/>
              <w:bCs w:val="0"/>
            </w:rPr>
          </w:pPr>
          <w:hyperlink w:history="true" w:anchor="_TOC_250011">
            <w:r>
              <w:rPr/>
              <w:t>第二节</w:t>
            </w:r>
            <w:r>
              <w:rPr>
                <w:spacing w:val="-18"/>
              </w:rPr>
              <w:t> </w:t>
            </w:r>
            <w:r>
              <w:rPr/>
              <w:t>公司简介和主要财务指标</w:t>
            </w:r>
            <w:r>
              <w:rPr>
                <w:rFonts w:ascii="Times New Roman" w:hAnsi="Times New Roman" w:cs="Times New Roman" w:eastAsia="Times New Roman" w:hint="default"/>
              </w:rPr>
              <w:tab/>
              <w:t>5</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TOC_250010">
            <w:r>
              <w:rPr/>
              <w:t>第三节</w:t>
            </w:r>
            <w:r>
              <w:rPr>
                <w:spacing w:val="-18"/>
              </w:rPr>
              <w:t> </w:t>
            </w:r>
            <w:r>
              <w:rPr/>
              <w:t>公司业务概要</w:t>
            </w:r>
            <w:r>
              <w:rPr>
                <w:rFonts w:ascii="Times New Roman" w:hAnsi="Times New Roman" w:cs="Times New Roman" w:eastAsia="Times New Roman" w:hint="default"/>
              </w:rPr>
              <w:tab/>
              <w:t>9</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TOC_250009">
            <w:r>
              <w:rPr/>
              <w:t>第四节</w:t>
            </w:r>
            <w:r>
              <w:rPr>
                <w:spacing w:val="-18"/>
              </w:rPr>
              <w:t> </w:t>
            </w:r>
            <w:r>
              <w:rPr/>
              <w:t>经营情况讨论与分析</w:t>
            </w:r>
            <w:r>
              <w:rPr>
                <w:rFonts w:ascii="Times New Roman" w:hAnsi="Times New Roman" w:cs="Times New Roman" w:eastAsia="Times New Roman" w:hint="default"/>
              </w:rPr>
              <w:tab/>
              <w:t>17</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TOC_250008">
            <w:r>
              <w:rPr/>
              <w:t>第五节</w:t>
            </w:r>
            <w:r>
              <w:rPr>
                <w:spacing w:val="-18"/>
              </w:rPr>
              <w:t> </w:t>
            </w:r>
            <w:r>
              <w:rPr/>
              <w:t>重要事项</w:t>
            </w:r>
            <w:r>
              <w:rPr>
                <w:rFonts w:ascii="Times New Roman" w:hAnsi="Times New Roman" w:cs="Times New Roman" w:eastAsia="Times New Roman" w:hint="default"/>
              </w:rPr>
              <w:tab/>
              <w:t>36</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TOC_250007">
            <w:r>
              <w:rPr/>
              <w:t>第六节</w:t>
            </w:r>
            <w:r>
              <w:rPr>
                <w:spacing w:val="-18"/>
              </w:rPr>
              <w:t> </w:t>
            </w:r>
            <w:r>
              <w:rPr/>
              <w:t>股份变动及股东情况</w:t>
            </w:r>
            <w:r>
              <w:rPr>
                <w:rFonts w:ascii="Times New Roman" w:hAnsi="Times New Roman" w:cs="Times New Roman" w:eastAsia="Times New Roman" w:hint="default"/>
              </w:rPr>
              <w:tab/>
              <w:t>49</w:t>
            </w:r>
            <w:r>
              <w:rPr>
                <w:rFonts w:ascii="Times New Roman" w:hAnsi="Times New Roman" w:cs="Times New Roman" w:eastAsia="Times New Roman" w:hint="default"/>
                <w:b w:val="0"/>
                <w:bCs w:val="0"/>
              </w:rPr>
            </w:r>
          </w:hyperlink>
        </w:p>
        <w:p>
          <w:pPr>
            <w:pStyle w:val="TOC1"/>
            <w:tabs>
              <w:tab w:pos="9783" w:val="right" w:leader="dot"/>
            </w:tabs>
            <w:spacing w:line="240" w:lineRule="auto" w:before="316"/>
            <w:ind w:right="0"/>
            <w:jc w:val="left"/>
            <w:rPr>
              <w:rFonts w:ascii="Times New Roman" w:hAnsi="Times New Roman" w:cs="Times New Roman" w:eastAsia="Times New Roman" w:hint="default"/>
              <w:b w:val="0"/>
              <w:bCs w:val="0"/>
            </w:rPr>
          </w:pPr>
          <w:hyperlink w:history="true" w:anchor="_TOC_250006">
            <w:r>
              <w:rPr/>
              <w:t>第七节</w:t>
            </w:r>
            <w:r>
              <w:rPr>
                <w:spacing w:val="-18"/>
              </w:rPr>
              <w:t> </w:t>
            </w:r>
            <w:r>
              <w:rPr/>
              <w:t>优先股相关情况</w:t>
            </w:r>
            <w:r>
              <w:rPr>
                <w:rFonts w:ascii="Times New Roman" w:hAnsi="Times New Roman" w:cs="Times New Roman" w:eastAsia="Times New Roman" w:hint="default"/>
              </w:rPr>
              <w:tab/>
              <w:t>56</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TOC_250005">
            <w:r>
              <w:rPr/>
              <w:t>第八节</w:t>
            </w:r>
            <w:r>
              <w:rPr>
                <w:spacing w:val="-18"/>
              </w:rPr>
              <w:t> </w:t>
            </w:r>
            <w:r>
              <w:rPr/>
              <w:t>可转换公司债券相关情况</w:t>
            </w:r>
            <w:r>
              <w:rPr>
                <w:rFonts w:ascii="Times New Roman" w:hAnsi="Times New Roman" w:cs="Times New Roman" w:eastAsia="Times New Roman" w:hint="default"/>
              </w:rPr>
              <w:tab/>
              <w:t>57</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TOC_250004">
            <w:r>
              <w:rPr/>
              <w:t>第九节</w:t>
            </w:r>
            <w:r>
              <w:rPr>
                <w:spacing w:val="-18"/>
              </w:rPr>
              <w:t> </w:t>
            </w:r>
            <w:r>
              <w:rPr/>
              <w:t>董事、监事、高级管理人员和员工情况</w:t>
            </w:r>
            <w:r>
              <w:rPr>
                <w:rFonts w:ascii="Times New Roman" w:hAnsi="Times New Roman" w:cs="Times New Roman" w:eastAsia="Times New Roman" w:hint="default"/>
              </w:rPr>
              <w:tab/>
              <w:t>58</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TOC_250003">
            <w:r>
              <w:rPr/>
              <w:t>第十节</w:t>
            </w:r>
            <w:r>
              <w:rPr>
                <w:spacing w:val="-18"/>
              </w:rPr>
              <w:t> </w:t>
            </w:r>
            <w:r>
              <w:rPr/>
              <w:t>公司治理</w:t>
            </w:r>
            <w:r>
              <w:rPr>
                <w:rFonts w:ascii="Times New Roman" w:hAnsi="Times New Roman" w:cs="Times New Roman" w:eastAsia="Times New Roman" w:hint="default"/>
              </w:rPr>
              <w:tab/>
              <w:t>69</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TOC_250002">
            <w:r>
              <w:rPr/>
              <w:t>第十一节</w:t>
            </w:r>
            <w:r>
              <w:rPr>
                <w:spacing w:val="-18"/>
              </w:rPr>
              <w:t> </w:t>
            </w:r>
            <w:r>
              <w:rPr/>
              <w:t>公司债券相关情况</w:t>
            </w:r>
            <w:r>
              <w:rPr>
                <w:rFonts w:ascii="Times New Roman" w:hAnsi="Times New Roman" w:cs="Times New Roman" w:eastAsia="Times New Roman" w:hint="default"/>
              </w:rPr>
              <w:tab/>
              <w:t>77</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TOC_250001">
            <w:r>
              <w:rPr/>
              <w:t>第十二节</w:t>
            </w:r>
            <w:r>
              <w:rPr>
                <w:spacing w:val="-17"/>
              </w:rPr>
              <w:t> </w:t>
            </w:r>
            <w:r>
              <w:rPr/>
              <w:t>财务报告</w:t>
            </w:r>
            <w:r>
              <w:rPr>
                <w:rFonts w:ascii="Times New Roman" w:hAnsi="Times New Roman" w:cs="Times New Roman" w:eastAsia="Times New Roman" w:hint="default"/>
              </w:rPr>
              <w:tab/>
              <w:t>78</w:t>
            </w:r>
            <w:r>
              <w:rPr>
                <w:rFonts w:ascii="Times New Roman" w:hAnsi="Times New Roman" w:cs="Times New Roman" w:eastAsia="Times New Roman" w:hint="default"/>
                <w:b w:val="0"/>
                <w:bCs w:val="0"/>
              </w:rPr>
            </w:r>
          </w:hyperlink>
        </w:p>
        <w:p>
          <w:pPr>
            <w:pStyle w:val="TOC1"/>
            <w:tabs>
              <w:tab w:pos="9783" w:val="right" w:leader="dot"/>
            </w:tabs>
            <w:spacing w:line="240" w:lineRule="auto" w:before="316"/>
            <w:ind w:right="0"/>
            <w:jc w:val="left"/>
            <w:rPr>
              <w:rFonts w:ascii="Times New Roman" w:hAnsi="Times New Roman" w:cs="Times New Roman" w:eastAsia="Times New Roman" w:hint="default"/>
              <w:b w:val="0"/>
              <w:bCs w:val="0"/>
            </w:rPr>
          </w:pPr>
          <w:hyperlink w:history="true" w:anchor="_TOC_250000">
            <w:r>
              <w:rPr/>
              <w:t>第十三节</w:t>
            </w:r>
            <w:r>
              <w:rPr>
                <w:spacing w:val="-18"/>
              </w:rPr>
              <w:t> </w:t>
            </w:r>
            <w:r>
              <w:rPr/>
              <w:t>备查文件目录</w:t>
            </w:r>
            <w:r>
              <w:rPr>
                <w:rFonts w:ascii="Times New Roman" w:hAnsi="Times New Roman" w:cs="Times New Roman" w:eastAsia="Times New Roman" w:hint="default"/>
              </w:rPr>
              <w:tab/>
              <w:t>198</w:t>
            </w:r>
            <w:r>
              <w:rPr>
                <w:rFonts w:ascii="Times New Roman" w:hAnsi="Times New Roman" w:cs="Times New Roman" w:eastAsia="Times New Roman" w:hint="default"/>
                <w:b w:val="0"/>
                <w:bCs w:val="0"/>
              </w:rPr>
            </w:r>
          </w:hyperlink>
        </w:p>
        <w:p>
          <w:pPr/>
          <w:r>
            <w:fldChar w:fldCharType="end"/>
          </w:r>
        </w:p>
      </w:sdtContent>
    </w:sdt>
    <w:p>
      <w:pPr>
        <w:spacing w:after="0"/>
        <w:sectPr>
          <w:pgSz w:w="11910" w:h="16840"/>
          <w:pgMar w:header="745" w:footer="980" w:top="1060" w:bottom="1160" w:left="980" w:right="0"/>
        </w:sectPr>
      </w:pPr>
    </w:p>
    <w:p>
      <w:pPr>
        <w:spacing w:before="945"/>
        <w:ind w:left="778" w:right="1756"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3536"/>
        <w:gridCol w:w="599"/>
        <w:gridCol w:w="5436"/>
      </w:tblGrid>
      <w:tr>
        <w:trPr>
          <w:trHeight w:val="403" w:hRule="exact"/>
        </w:trPr>
        <w:tc>
          <w:tcPr>
            <w:tcW w:w="35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7"/>
              <w:jc w:val="center"/>
              <w:rPr>
                <w:rFonts w:ascii="宋体" w:hAnsi="宋体" w:cs="宋体" w:eastAsia="宋体" w:hint="default"/>
                <w:sz w:val="18"/>
                <w:szCs w:val="18"/>
              </w:rPr>
            </w:pPr>
            <w:r>
              <w:rPr>
                <w:rFonts w:ascii="宋体" w:hAnsi="宋体" w:cs="宋体" w:eastAsia="宋体" w:hint="default"/>
                <w:sz w:val="18"/>
                <w:szCs w:val="18"/>
              </w:rPr>
              <w:t>释义项</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公司、本公司</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深圳达实智能股份有限公司</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达实物联网</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深圳达实物联网技术有限公司</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达实信息</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深圳达实信息技术有限公司</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达实联欣</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上海达实联欣科技发展有限公司</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久信医疗</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江苏达实久信医疗科技有限公司</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达实租赁</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深圳达实融资租赁有限公司</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融智节能</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融智节能环保（深圳）有限公司</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雄安达实</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雄安达实智慧科技有限公司</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达实投资</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拉萨市达实投资发展有限公司</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桃江达实</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湖南桃江达实智慧医养有限公司</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淮南达实</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淮南达实智慧城市投资发展有限公司</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洪泽湖达实</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江苏洪泽湖达实智慧医养有限公司</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淮南达实医疗</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淮南达实智慧医疗有限公司</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元、万元</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人民币元、人民币万元</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报告期</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日至</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0"/>
        <w:rPr>
          <w:rFonts w:ascii="宋体" w:hAnsi="宋体" w:cs="宋体" w:eastAsia="宋体" w:hint="default"/>
          <w:b/>
          <w:bCs/>
          <w:sz w:val="20"/>
          <w:szCs w:val="20"/>
        </w:rPr>
      </w:pPr>
      <w:r>
        <w:rPr/>
        <w:pict>
          <v:group style="position:absolute;margin-left:172.339996pt;margin-top:272.809998pt;width:361.55pt;height:19.6pt;mso-position-horizontal-relative:page;mso-position-vertical-relative:page;z-index:-1095088" coordorigin="3447,5456" coordsize="7231,392">
            <v:shape style="position:absolute;left:3447;top:5456;width:7231;height:392" coordorigin="3447,5456" coordsize="7231,392" path="m3447,5847l10677,5847,10677,5456,3447,5456,3447,5847xe" filled="true" fillcolor="#ffffff" stroked="false">
              <v:path arrowok="t"/>
              <v:fill type="solid"/>
            </v:shape>
            <w10:wrap type="none"/>
          </v:group>
        </w:pict>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pStyle w:val="Heading1"/>
        <w:spacing w:line="240" w:lineRule="auto"/>
        <w:ind w:left="2723" w:right="1133"/>
        <w:jc w:val="left"/>
        <w:rPr>
          <w:b w:val="0"/>
          <w:bCs w:val="0"/>
        </w:rPr>
      </w:pPr>
      <w:bookmarkStart w:name="_TOC_250011" w:id="3"/>
      <w:bookmarkStart w:name="第二节公司简介和主要财务指标" w:id="4"/>
      <w:r>
        <w:rPr>
          <w:b w:val="0"/>
          <w:bCs w:val="0"/>
        </w:rPr>
      </w:r>
      <w:r>
        <w:rPr/>
        <w:t>第二节公司简介和主要财务指标</w:t>
      </w:r>
      <w:bookmarkEnd w:id="3"/>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before="26"/>
        <w:ind w:right="1133"/>
        <w:jc w:val="left"/>
        <w:rPr>
          <w:b w:val="0"/>
          <w:bCs w:val="0"/>
        </w:rPr>
      </w:pPr>
      <w:bookmarkStart w:name="一、公司信息" w:id="5"/>
      <w:bookmarkEnd w:id="5"/>
      <w:r>
        <w:rPr>
          <w:b w:val="0"/>
          <w:bCs w:val="0"/>
        </w:rPr>
      </w:r>
      <w:r>
        <w:rPr/>
        <w:t>一、公司信息</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272"/>
        <w:gridCol w:w="2966"/>
        <w:gridCol w:w="2154"/>
        <w:gridCol w:w="2177"/>
      </w:tblGrid>
      <w:tr>
        <w:trPr>
          <w:trHeight w:val="403"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达实智能</w:t>
            </w:r>
          </w:p>
        </w:tc>
        <w:tc>
          <w:tcPr>
            <w:tcW w:w="21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002421</w:t>
            </w:r>
          </w:p>
        </w:tc>
      </w:tr>
      <w:tr>
        <w:trPr>
          <w:trHeight w:val="401"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股票上市证券交易所</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403"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深圳达实智能股份有限公司</w:t>
            </w:r>
          </w:p>
        </w:tc>
      </w:tr>
      <w:tr>
        <w:trPr>
          <w:trHeight w:val="401"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达实智能</w:t>
            </w:r>
          </w:p>
        </w:tc>
      </w:tr>
      <w:tr>
        <w:trPr>
          <w:trHeight w:val="404"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SHENZHEN DAS INTELLITECH CO.,</w:t>
            </w:r>
            <w:r>
              <w:rPr>
                <w:rFonts w:ascii="Times New Roman"/>
                <w:spacing w:val="-4"/>
                <w:sz w:val="18"/>
              </w:rPr>
              <w:t> </w:t>
            </w:r>
            <w:r>
              <w:rPr>
                <w:rFonts w:ascii="Times New Roman"/>
                <w:spacing w:val="-6"/>
                <w:sz w:val="18"/>
              </w:rPr>
              <w:t>LTD.</w:t>
            </w:r>
          </w:p>
        </w:tc>
      </w:tr>
      <w:tr>
        <w:trPr>
          <w:trHeight w:val="401" w:hRule="exact"/>
        </w:trPr>
        <w:tc>
          <w:tcPr>
            <w:tcW w:w="2272"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49"/>
              <w:ind w:left="22" w:right="-58"/>
              <w:jc w:val="left"/>
              <w:rPr>
                <w:rFonts w:ascii="宋体" w:hAnsi="宋体" w:cs="宋体" w:eastAsia="宋体" w:hint="default"/>
                <w:sz w:val="18"/>
                <w:szCs w:val="18"/>
              </w:rPr>
            </w:pPr>
            <w:r>
              <w:rPr>
                <w:rFonts w:ascii="宋体" w:hAnsi="宋体" w:cs="宋体" w:eastAsia="宋体" w:hint="default"/>
                <w:spacing w:val="-5"/>
                <w:sz w:val="18"/>
                <w:szCs w:val="18"/>
              </w:rPr>
              <w:t>公司的外文名称缩写（如有）</w:t>
            </w:r>
            <w:r>
              <w:rPr>
                <w:rFonts w:ascii="宋体" w:hAnsi="宋体" w:cs="宋体" w:eastAsia="宋体" w:hint="default"/>
                <w:sz w:val="18"/>
                <w:szCs w:val="18"/>
              </w:rPr>
            </w:r>
          </w:p>
        </w:tc>
        <w:tc>
          <w:tcPr>
            <w:tcW w:w="7298" w:type="dxa"/>
            <w:gridSpan w:val="3"/>
            <w:tcBorders>
              <w:top w:val="single" w:sz="4" w:space="0" w:color="000000"/>
              <w:left w:val="single" w:sz="23" w:space="0" w:color="FFFFFF"/>
              <w:bottom w:val="single" w:sz="4" w:space="0" w:color="000000"/>
              <w:right w:val="single" w:sz="4" w:space="0" w:color="000000"/>
            </w:tcBorders>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DAS</w:t>
            </w:r>
          </w:p>
        </w:tc>
      </w:tr>
      <w:tr>
        <w:trPr>
          <w:trHeight w:val="403"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刘磅</w:t>
            </w:r>
          </w:p>
        </w:tc>
      </w:tr>
      <w:tr>
        <w:trPr>
          <w:trHeight w:val="401"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深圳市南山区高新技术村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W1 </w:t>
            </w:r>
            <w:r>
              <w:rPr>
                <w:rFonts w:ascii="宋体" w:hAnsi="宋体" w:cs="宋体" w:eastAsia="宋体" w:hint="default"/>
                <w:sz w:val="18"/>
                <w:szCs w:val="18"/>
              </w:rPr>
              <w:t>栋</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座五楼</w:t>
            </w:r>
          </w:p>
        </w:tc>
      </w:tr>
      <w:tr>
        <w:trPr>
          <w:trHeight w:val="403"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518057</w:t>
            </w:r>
          </w:p>
        </w:tc>
      </w:tr>
      <w:tr>
        <w:trPr>
          <w:trHeight w:val="401"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深圳市南山区高新技术产业园达实智能大厦</w:t>
            </w:r>
          </w:p>
        </w:tc>
      </w:tr>
      <w:tr>
        <w:trPr>
          <w:trHeight w:val="403"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518057</w:t>
            </w:r>
          </w:p>
        </w:tc>
      </w:tr>
      <w:tr>
        <w:trPr>
          <w:trHeight w:val="401"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公司网址</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hyperlink r:id="rId9">
              <w:r>
                <w:rPr>
                  <w:rFonts w:ascii="Times New Roman"/>
                  <w:sz w:val="18"/>
                </w:rPr>
                <w:t>http://www.chn-das.com/</w:t>
              </w:r>
            </w:hyperlink>
          </w:p>
        </w:tc>
      </w:tr>
      <w:tr>
        <w:trPr>
          <w:trHeight w:val="403"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hyperlink r:id="rId10">
              <w:r>
                <w:rPr>
                  <w:rFonts w:ascii="Times New Roman"/>
                  <w:sz w:val="18"/>
                </w:rPr>
                <w:t>das@chn-das.com</w:t>
              </w:r>
            </w:hyperlink>
          </w:p>
        </w:tc>
      </w:tr>
    </w:tbl>
    <w:p>
      <w:pPr>
        <w:spacing w:line="240" w:lineRule="auto" w:before="1"/>
        <w:rPr>
          <w:rFonts w:ascii="宋体" w:hAnsi="宋体" w:cs="宋体" w:eastAsia="宋体" w:hint="default"/>
          <w:b/>
          <w:bCs/>
          <w:sz w:val="18"/>
          <w:szCs w:val="18"/>
        </w:rPr>
      </w:pPr>
    </w:p>
    <w:p>
      <w:pPr>
        <w:pStyle w:val="Heading2"/>
        <w:spacing w:line="240" w:lineRule="auto" w:before="26"/>
        <w:ind w:right="1133"/>
        <w:jc w:val="left"/>
        <w:rPr>
          <w:b w:val="0"/>
          <w:bCs w:val="0"/>
        </w:rPr>
      </w:pPr>
      <w:bookmarkStart w:name="二、联系人和联系方式" w:id="6"/>
      <w:bookmarkEnd w:id="6"/>
      <w:r>
        <w:rPr>
          <w:b w:val="0"/>
          <w:bCs w:val="0"/>
        </w:rPr>
      </w:r>
      <w:r>
        <w:rPr/>
        <w:t>二、联系人和联系方式</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蓝地</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李硕</w:t>
            </w:r>
          </w:p>
        </w:tc>
      </w:tr>
      <w:tr>
        <w:trPr>
          <w:trHeight w:val="161" w:hRule="exact"/>
        </w:trPr>
        <w:tc>
          <w:tcPr>
            <w:tcW w:w="3168" w:type="dxa"/>
            <w:tcBorders>
              <w:top w:val="single" w:sz="4" w:space="0" w:color="000000"/>
              <w:left w:val="single" w:sz="4" w:space="0" w:color="000000"/>
              <w:bottom w:val="nil" w:sz="6" w:space="0" w:color="auto"/>
              <w:right w:val="single" w:sz="4" w:space="0" w:color="000000"/>
            </w:tcBorders>
            <w:shd w:val="clear" w:color="auto" w:fill="D2D2D2"/>
          </w:tcPr>
          <w:p>
            <w:pPr/>
          </w:p>
        </w:tc>
        <w:tc>
          <w:tcPr>
            <w:tcW w:w="3201" w:type="dxa"/>
            <w:vMerge w:val="restart"/>
            <w:tcBorders>
              <w:top w:val="single" w:sz="4" w:space="0" w:color="000000"/>
              <w:left w:val="single" w:sz="9" w:space="0" w:color="D2D2D2"/>
              <w:right w:val="single" w:sz="4" w:space="0" w:color="000000"/>
            </w:tcBorders>
          </w:tcPr>
          <w:p>
            <w:pPr>
              <w:pStyle w:val="TableParagraph"/>
              <w:spacing w:line="316" w:lineRule="auto" w:before="49"/>
              <w:ind w:left="28" w:right="94"/>
              <w:jc w:val="left"/>
              <w:rPr>
                <w:rFonts w:ascii="宋体" w:hAnsi="宋体" w:cs="宋体" w:eastAsia="宋体" w:hint="default"/>
                <w:sz w:val="18"/>
                <w:szCs w:val="18"/>
              </w:rPr>
            </w:pPr>
            <w:r>
              <w:rPr>
                <w:rFonts w:ascii="宋体" w:hAnsi="宋体" w:cs="宋体" w:eastAsia="宋体" w:hint="default"/>
                <w:sz w:val="18"/>
                <w:szCs w:val="18"/>
              </w:rPr>
              <w:t>深圳市南山区高新技术产业园达实智能 大厦</w:t>
            </w:r>
          </w:p>
        </w:tc>
        <w:tc>
          <w:tcPr>
            <w:tcW w:w="3190" w:type="dxa"/>
            <w:vMerge w:val="restart"/>
            <w:tcBorders>
              <w:top w:val="single" w:sz="4" w:space="0" w:color="000000"/>
              <w:left w:val="single" w:sz="4" w:space="0" w:color="000000"/>
              <w:right w:val="single" w:sz="4" w:space="0" w:color="000000"/>
            </w:tcBorders>
          </w:tcPr>
          <w:p>
            <w:pPr>
              <w:pStyle w:val="TableParagraph"/>
              <w:spacing w:line="316" w:lineRule="auto" w:before="49"/>
              <w:ind w:left="23" w:right="94"/>
              <w:jc w:val="left"/>
              <w:rPr>
                <w:rFonts w:ascii="宋体" w:hAnsi="宋体" w:cs="宋体" w:eastAsia="宋体" w:hint="default"/>
                <w:sz w:val="18"/>
                <w:szCs w:val="18"/>
              </w:rPr>
            </w:pPr>
            <w:r>
              <w:rPr>
                <w:rFonts w:ascii="宋体" w:hAnsi="宋体" w:cs="宋体" w:eastAsia="宋体" w:hint="default"/>
                <w:sz w:val="18"/>
                <w:szCs w:val="18"/>
              </w:rPr>
              <w:t>深圳市南山区高新技术产业园达实智能 大厦</w:t>
            </w:r>
          </w:p>
        </w:tc>
      </w:tr>
      <w:tr>
        <w:trPr>
          <w:trHeight w:val="394" w:hRule="exact"/>
        </w:trPr>
        <w:tc>
          <w:tcPr>
            <w:tcW w:w="31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201" w:type="dxa"/>
            <w:vMerge/>
            <w:tcBorders>
              <w:left w:val="single" w:sz="9" w:space="0" w:color="D2D2D2"/>
              <w:right w:val="single" w:sz="4" w:space="0" w:color="000000"/>
            </w:tcBorders>
          </w:tcPr>
          <w:p>
            <w:pPr/>
          </w:p>
        </w:tc>
        <w:tc>
          <w:tcPr>
            <w:tcW w:w="3190" w:type="dxa"/>
            <w:vMerge/>
            <w:tcBorders>
              <w:left w:val="single" w:sz="4" w:space="0" w:color="000000"/>
              <w:right w:val="single" w:sz="4" w:space="0" w:color="000000"/>
            </w:tcBorders>
          </w:tcPr>
          <w:p>
            <w:pPr/>
          </w:p>
        </w:tc>
      </w:tr>
      <w:tr>
        <w:trPr>
          <w:trHeight w:val="161" w:hRule="exact"/>
        </w:trPr>
        <w:tc>
          <w:tcPr>
            <w:tcW w:w="3168" w:type="dxa"/>
            <w:tcBorders>
              <w:top w:val="nil" w:sz="6" w:space="0" w:color="auto"/>
              <w:left w:val="single" w:sz="4" w:space="0" w:color="000000"/>
              <w:bottom w:val="single" w:sz="4" w:space="0" w:color="000000"/>
              <w:right w:val="single" w:sz="4" w:space="0" w:color="000000"/>
            </w:tcBorders>
            <w:shd w:val="clear" w:color="auto" w:fill="D2D2D2"/>
          </w:tcPr>
          <w:p>
            <w:pPr/>
          </w:p>
        </w:tc>
        <w:tc>
          <w:tcPr>
            <w:tcW w:w="3201" w:type="dxa"/>
            <w:vMerge/>
            <w:tcBorders>
              <w:left w:val="single" w:sz="9" w:space="0" w:color="D2D2D2"/>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0755-26525166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0755-26525166</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0755-26639599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0755-26639599</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hyperlink r:id="rId10">
              <w:r>
                <w:rPr>
                  <w:rFonts w:ascii="Times New Roman"/>
                  <w:sz w:val="18"/>
                </w:rPr>
                <w:t>das@chn-das.com</w:t>
              </w:r>
            </w:hyperlink>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hyperlink r:id="rId10">
              <w:r>
                <w:rPr>
                  <w:rFonts w:ascii="Times New Roman"/>
                  <w:sz w:val="18"/>
                </w:rPr>
                <w:t>das@chn-das.com</w:t>
              </w:r>
            </w:hyperlink>
          </w:p>
        </w:tc>
      </w:tr>
    </w:tbl>
    <w:p>
      <w:pPr>
        <w:spacing w:line="240" w:lineRule="auto" w:before="1"/>
        <w:rPr>
          <w:rFonts w:ascii="宋体" w:hAnsi="宋体" w:cs="宋体" w:eastAsia="宋体" w:hint="default"/>
          <w:b/>
          <w:bCs/>
          <w:sz w:val="18"/>
          <w:szCs w:val="18"/>
        </w:rPr>
      </w:pPr>
    </w:p>
    <w:p>
      <w:pPr>
        <w:pStyle w:val="Heading2"/>
        <w:spacing w:line="240" w:lineRule="auto" w:before="26"/>
        <w:ind w:right="1133"/>
        <w:jc w:val="left"/>
        <w:rPr>
          <w:b w:val="0"/>
          <w:bCs w:val="0"/>
        </w:rPr>
      </w:pPr>
      <w:bookmarkStart w:name="三、信息披露及备置地点" w:id="7"/>
      <w:bookmarkEnd w:id="7"/>
      <w:r>
        <w:rPr>
          <w:b w:val="0"/>
          <w:bCs w:val="0"/>
        </w:rPr>
      </w:r>
      <w:r>
        <w:rPr/>
        <w:t>三、信息披露及备置地点</w:t>
      </w:r>
      <w:r>
        <w:rPr>
          <w:b w:val="0"/>
          <w:bCs w:val="0"/>
        </w:rPr>
      </w:r>
    </w:p>
    <w:p>
      <w:pPr>
        <w:spacing w:line="240" w:lineRule="auto" w:before="11"/>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991"/>
        <w:gridCol w:w="5579"/>
      </w:tblGrid>
      <w:tr>
        <w:trPr>
          <w:trHeight w:val="403" w:hRule="exact"/>
        </w:trPr>
        <w:tc>
          <w:tcPr>
            <w:tcW w:w="3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2"/>
                <w:sz w:val="18"/>
                <w:szCs w:val="18"/>
              </w:rPr>
              <w:t>》、</w:t>
            </w:r>
            <w:r>
              <w:rPr>
                <w:rFonts w:ascii="宋体" w:hAnsi="宋体" w:cs="宋体" w:eastAsia="宋体" w:hint="default"/>
                <w:sz w:val="18"/>
                <w:szCs w:val="18"/>
              </w:rPr>
              <w:t>《中国证券报》</w:t>
            </w:r>
          </w:p>
        </w:tc>
      </w:tr>
      <w:tr>
        <w:trPr>
          <w:trHeight w:val="401" w:hRule="exact"/>
        </w:trPr>
        <w:tc>
          <w:tcPr>
            <w:tcW w:w="3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hyperlink r:id="rId11">
              <w:r>
                <w:rPr>
                  <w:rFonts w:ascii="Times New Roman"/>
                  <w:sz w:val="18"/>
                </w:rPr>
                <w:t>http://www.cninfo.com.cn</w:t>
              </w:r>
            </w:hyperlink>
          </w:p>
        </w:tc>
      </w:tr>
      <w:tr>
        <w:trPr>
          <w:trHeight w:val="403" w:hRule="exact"/>
        </w:trPr>
        <w:tc>
          <w:tcPr>
            <w:tcW w:w="3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公司证券部</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8"/>
        <w:rPr>
          <w:rFonts w:ascii="宋体" w:hAnsi="宋体" w:cs="宋体" w:eastAsia="宋体" w:hint="default"/>
          <w:b/>
          <w:bCs/>
          <w:sz w:val="23"/>
          <w:szCs w:val="23"/>
        </w:rPr>
      </w:pPr>
    </w:p>
    <w:p>
      <w:pPr>
        <w:pStyle w:val="Heading2"/>
        <w:spacing w:line="240" w:lineRule="auto" w:before="26"/>
        <w:ind w:right="1133"/>
        <w:jc w:val="left"/>
        <w:rPr>
          <w:b w:val="0"/>
          <w:bCs w:val="0"/>
        </w:rPr>
      </w:pPr>
      <w:bookmarkStart w:name="四、注册变更情况" w:id="8"/>
      <w:bookmarkEnd w:id="8"/>
      <w:r>
        <w:rPr>
          <w:b w:val="0"/>
          <w:bCs w:val="0"/>
        </w:rPr>
      </w:r>
      <w:r>
        <w:rPr/>
        <w:t>四、注册变更情况</w:t>
      </w:r>
      <w:r>
        <w:rPr>
          <w:b w:val="0"/>
          <w:bCs w:val="0"/>
        </w:rPr>
      </w:r>
    </w:p>
    <w:p>
      <w:pPr>
        <w:spacing w:line="240" w:lineRule="auto" w:before="12"/>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189"/>
        <w:gridCol w:w="638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6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914403006188861815</w:t>
            </w:r>
          </w:p>
        </w:tc>
      </w:tr>
      <w:tr>
        <w:trPr>
          <w:trHeight w:val="715"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96"/>
              <w:jc w:val="left"/>
              <w:rPr>
                <w:rFonts w:ascii="宋体" w:hAnsi="宋体" w:cs="宋体" w:eastAsia="宋体" w:hint="default"/>
                <w:sz w:val="18"/>
                <w:szCs w:val="18"/>
              </w:rPr>
            </w:pPr>
            <w:r>
              <w:rPr>
                <w:rFonts w:ascii="宋体" w:hAnsi="宋体" w:cs="宋体" w:eastAsia="宋体" w:hint="default"/>
                <w:sz w:val="18"/>
                <w:szCs w:val="18"/>
              </w:rPr>
              <w:t>公司上市以来主营业务的变化情况（如 有）</w:t>
            </w:r>
          </w:p>
        </w:tc>
        <w:tc>
          <w:tcPr>
            <w:tcW w:w="6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无变更</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历次控股股东的变更情况（如有）</w:t>
            </w:r>
          </w:p>
        </w:tc>
        <w:tc>
          <w:tcPr>
            <w:tcW w:w="6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无变更</w:t>
            </w:r>
          </w:p>
        </w:tc>
      </w:tr>
    </w:tbl>
    <w:p>
      <w:pPr>
        <w:spacing w:line="240" w:lineRule="auto" w:before="1"/>
        <w:rPr>
          <w:rFonts w:ascii="宋体" w:hAnsi="宋体" w:cs="宋体" w:eastAsia="宋体" w:hint="default"/>
          <w:b/>
          <w:bCs/>
          <w:sz w:val="18"/>
          <w:szCs w:val="18"/>
        </w:rPr>
      </w:pPr>
    </w:p>
    <w:p>
      <w:pPr>
        <w:pStyle w:val="Heading2"/>
        <w:spacing w:line="240" w:lineRule="auto" w:before="26"/>
        <w:ind w:right="1133"/>
        <w:jc w:val="left"/>
        <w:rPr>
          <w:b w:val="0"/>
          <w:bCs w:val="0"/>
        </w:rPr>
      </w:pPr>
      <w:bookmarkStart w:name="五、其他有关资料" w:id="9"/>
      <w:bookmarkEnd w:id="9"/>
      <w:r>
        <w:rPr>
          <w:b w:val="0"/>
          <w:bCs w:val="0"/>
        </w:rPr>
      </w:r>
      <w:r>
        <w:rPr/>
        <w:t>五、其他有关资料</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1133"/>
        <w:jc w:val="left"/>
      </w:pPr>
      <w:r>
        <w:rPr/>
        <w:t>公司聘请的会计师事务所</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61"/>
        <w:gridCol w:w="6908"/>
      </w:tblGrid>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中勤万信会计师事务所（特殊普通合伙）</w:t>
            </w:r>
          </w:p>
        </w:tc>
      </w:tr>
      <w:tr>
        <w:trPr>
          <w:trHeight w:val="401"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北京西直门外大街</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110</w:t>
            </w:r>
            <w:r>
              <w:rPr>
                <w:rFonts w:ascii="Times New Roman" w:hAnsi="Times New Roman" w:cs="Times New Roman" w:eastAsia="Times New Roman" w:hint="default"/>
                <w:sz w:val="18"/>
                <w:szCs w:val="18"/>
              </w:rPr>
              <w:t> </w:t>
            </w:r>
            <w:r>
              <w:rPr>
                <w:rFonts w:ascii="宋体" w:hAnsi="宋体" w:cs="宋体" w:eastAsia="宋体" w:hint="default"/>
                <w:sz w:val="18"/>
                <w:szCs w:val="18"/>
              </w:rPr>
              <w:t>号中糖大厦</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层</w:t>
            </w:r>
          </w:p>
        </w:tc>
      </w:tr>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潘忠民、黄建军</w:t>
            </w:r>
          </w:p>
        </w:tc>
      </w:tr>
    </w:tbl>
    <w:p>
      <w:pPr>
        <w:pStyle w:val="BodyText"/>
        <w:spacing w:line="240" w:lineRule="auto" w:before="49"/>
        <w:ind w:right="1133"/>
        <w:jc w:val="left"/>
      </w:pPr>
      <w:r>
        <w:rPr/>
        <w:t>公司聘请的报告期内履行持续督导职责的保荐机构</w:t>
      </w:r>
    </w:p>
    <w:p>
      <w:pPr>
        <w:pStyle w:val="BodyText"/>
        <w:spacing w:line="340" w:lineRule="auto" w:before="115"/>
        <w:ind w:right="67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公司聘请的报告期内履行持续督导职责的财务顾问</w:t>
      </w:r>
    </w:p>
    <w:p>
      <w:pPr>
        <w:pStyle w:val="BodyText"/>
        <w:spacing w:line="240" w:lineRule="auto" w:before="41"/>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24"/>
          <w:szCs w:val="24"/>
        </w:rPr>
      </w:pPr>
    </w:p>
    <w:p>
      <w:pPr>
        <w:pStyle w:val="Heading2"/>
        <w:spacing w:line="240" w:lineRule="auto"/>
        <w:ind w:right="1133"/>
        <w:jc w:val="left"/>
        <w:rPr>
          <w:b w:val="0"/>
          <w:bCs w:val="0"/>
        </w:rPr>
      </w:pPr>
      <w:bookmarkStart w:name="六、主要会计数据和财务指标" w:id="10"/>
      <w:bookmarkEnd w:id="10"/>
      <w:r>
        <w:rPr>
          <w:b w:val="0"/>
          <w:bCs w:val="0"/>
        </w:rPr>
      </w:r>
      <w:r>
        <w:rPr/>
        <w:t>六、主要会计数据和财务指标</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1133"/>
        <w:jc w:val="left"/>
      </w:pPr>
      <w:r>
        <w:rPr/>
        <w:t>公司是否需追溯调整或重述以前年度会计数据</w:t>
      </w:r>
    </w:p>
    <w:p>
      <w:pPr>
        <w:pStyle w:val="BodyText"/>
        <w:spacing w:line="240" w:lineRule="auto" w:before="117"/>
        <w:ind w:right="1133"/>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4"/>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598"/>
        <w:gridCol w:w="1749"/>
        <w:gridCol w:w="1738"/>
        <w:gridCol w:w="1738"/>
        <w:gridCol w:w="1735"/>
      </w:tblGrid>
      <w:tr>
        <w:trPr>
          <w:trHeight w:val="401"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r>
        <w:trPr>
          <w:trHeight w:val="40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2,205,852,549.27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2,527,415,275.10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-12.72%</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2,572,487,726.02</w:t>
            </w:r>
          </w:p>
        </w:tc>
      </w:tr>
      <w:tr>
        <w:trPr>
          <w:trHeight w:val="71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p>
            <w:pPr>
              <w:pStyle w:val="TableParagraph"/>
              <w:spacing w:line="240" w:lineRule="auto" w:before="74"/>
              <w:ind w:left="1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-342,885,845.54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216,769,784.07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-258.18%</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311,825,825.86</w:t>
            </w:r>
          </w:p>
        </w:tc>
      </w:tr>
      <w:tr>
        <w:trPr>
          <w:trHeight w:val="715"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54"/>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-369,329,500.00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220,049,335.02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-267.84%</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301,781,901.48</w:t>
            </w:r>
          </w:p>
        </w:tc>
      </w:tr>
      <w:tr>
        <w:trPr>
          <w:trHeight w:val="71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p>
            <w:pPr>
              <w:pStyle w:val="TableParagraph"/>
              <w:spacing w:line="240" w:lineRule="auto" w:before="74"/>
              <w:ind w:left="1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473,968,308.00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-190,975,018.52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348.18%</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210,127,345.54</w:t>
            </w:r>
          </w:p>
        </w:tc>
      </w:tr>
      <w:tr>
        <w:trPr>
          <w:trHeight w:val="40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-0.1803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0.1137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-258.58%</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0.1635</w:t>
            </w:r>
          </w:p>
        </w:tc>
      </w:tr>
      <w:tr>
        <w:trPr>
          <w:trHeight w:val="401"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-0.1792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0.1133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-258.16%</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0.1620</w:t>
            </w:r>
          </w:p>
        </w:tc>
      </w:tr>
      <w:tr>
        <w:trPr>
          <w:trHeight w:val="40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-11.24%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6.74%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-17.98%</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10.58%</w:t>
            </w:r>
          </w:p>
        </w:tc>
      </w:tr>
      <w:tr>
        <w:trPr>
          <w:trHeight w:val="401"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3"/>
              <w:jc w:val="right"/>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r>
      <w:tr>
        <w:trPr>
          <w:trHeight w:val="40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总资产（元）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6,442,435,778.76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6,765,000,908.12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-4.77%</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5,457,255,340.93</w:t>
            </w:r>
          </w:p>
        </w:tc>
      </w:tr>
      <w:tr>
        <w:trPr>
          <w:trHeight w:val="71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w:t>
            </w:r>
          </w:p>
          <w:p>
            <w:pPr>
              <w:pStyle w:val="TableParagraph"/>
              <w:spacing w:line="240" w:lineRule="auto" w:before="74"/>
              <w:ind w:left="1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2,822,844,340.98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3,206,812,490.08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-11.97%</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3,097,333,238.78</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1133"/>
        <w:jc w:val="left"/>
        <w:rPr>
          <w:b w:val="0"/>
          <w:bCs w:val="0"/>
        </w:rPr>
      </w:pPr>
      <w:bookmarkStart w:name="七、境内外会计准则下会计数据差异" w:id="11"/>
      <w:bookmarkEnd w:id="11"/>
      <w:r>
        <w:rPr>
          <w:b w:val="0"/>
          <w:bCs w:val="0"/>
        </w:rPr>
      </w:r>
      <w:r>
        <w:rPr/>
        <w:t>七、境内外会计准则下会计数据差异</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1133"/>
        <w:jc w:val="left"/>
        <w:rPr>
          <w:b w:val="0"/>
          <w:bCs w:val="0"/>
        </w:rPr>
      </w:pPr>
      <w:bookmarkStart w:name="1、同时按照国际会计准则与按照中国会计准则披露的财务报告中净利润和净资产差异情况" w:id="12"/>
      <w:bookmarkEnd w:id="12"/>
      <w:r>
        <w:rPr>
          <w:b w:val="0"/>
          <w:bCs w:val="0"/>
        </w:rPr>
      </w:r>
      <w:r>
        <w:rPr>
          <w:rFonts w:ascii="Times New Roman" w:hAnsi="Times New Roman" w:cs="Times New Roman" w:eastAsia="Times New Roman" w:hint="default"/>
        </w:rPr>
        <w:t>1</w:t>
      </w:r>
      <w:r>
        <w:rPr/>
        <w:t>、同时按照国际会计准则与按照中国会计准则披露的财务报告中净利润和净资产差异情况</w:t>
      </w:r>
      <w:r>
        <w:rPr>
          <w:b w:val="0"/>
          <w:bCs w:val="0"/>
        </w:rPr>
      </w:r>
    </w:p>
    <w:p>
      <w:pPr>
        <w:spacing w:line="240" w:lineRule="auto" w:before="2"/>
        <w:rPr>
          <w:rFonts w:ascii="宋体" w:hAnsi="宋体" w:cs="宋体" w:eastAsia="宋体" w:hint="default"/>
          <w:b/>
          <w:bCs/>
          <w:sz w:val="26"/>
          <w:szCs w:val="26"/>
        </w:rPr>
      </w:pPr>
    </w:p>
    <w:p>
      <w:pPr>
        <w:pStyle w:val="BodyText"/>
        <w:spacing w:line="340" w:lineRule="auto"/>
        <w:ind w:right="16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公司报告期不存在按照国际会计准则与按照中国会计准则披露的财务报告中净利润和净资产差异情况。</w:t>
      </w:r>
    </w:p>
    <w:p>
      <w:pPr>
        <w:spacing w:line="240" w:lineRule="auto" w:before="3"/>
        <w:rPr>
          <w:rFonts w:ascii="宋体" w:hAnsi="宋体" w:cs="宋体" w:eastAsia="宋体" w:hint="default"/>
          <w:sz w:val="21"/>
          <w:szCs w:val="21"/>
        </w:rPr>
      </w:pPr>
    </w:p>
    <w:p>
      <w:pPr>
        <w:pStyle w:val="Heading4"/>
        <w:spacing w:line="240" w:lineRule="auto"/>
        <w:ind w:right="1133"/>
        <w:jc w:val="left"/>
        <w:rPr>
          <w:b w:val="0"/>
          <w:bCs w:val="0"/>
        </w:rPr>
      </w:pPr>
      <w:bookmarkStart w:name="2、同时按照境外会计准则与按照中国会计准则披露的财务报告中净利润和净资产差异情况" w:id="13"/>
      <w:bookmarkEnd w:id="13"/>
      <w:r>
        <w:rPr>
          <w:b w:val="0"/>
          <w:bCs w:val="0"/>
        </w:rPr>
      </w: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4"/>
        <w:rPr>
          <w:rFonts w:ascii="宋体" w:hAnsi="宋体" w:cs="宋体" w:eastAsia="宋体" w:hint="default"/>
          <w:b/>
          <w:bCs/>
          <w:sz w:val="26"/>
          <w:szCs w:val="26"/>
        </w:rPr>
      </w:pPr>
    </w:p>
    <w:p>
      <w:pPr>
        <w:pStyle w:val="BodyText"/>
        <w:spacing w:line="340" w:lineRule="auto"/>
        <w:ind w:right="265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公司报告期不存在按照境外会计准则与按照中国会计准则披露的财务报告中净利润和净资产差异情况。</w:t>
      </w:r>
    </w:p>
    <w:p>
      <w:pPr>
        <w:spacing w:line="240" w:lineRule="auto" w:before="7"/>
        <w:rPr>
          <w:rFonts w:ascii="宋体" w:hAnsi="宋体" w:cs="宋体" w:eastAsia="宋体" w:hint="default"/>
          <w:sz w:val="19"/>
          <w:szCs w:val="19"/>
        </w:rPr>
      </w:pPr>
    </w:p>
    <w:p>
      <w:pPr>
        <w:pStyle w:val="Heading2"/>
        <w:spacing w:line="240" w:lineRule="auto"/>
        <w:ind w:right="1133"/>
        <w:jc w:val="left"/>
        <w:rPr>
          <w:b w:val="0"/>
          <w:bCs w:val="0"/>
        </w:rPr>
      </w:pPr>
      <w:bookmarkStart w:name="八、分季度主要财务指标" w:id="14"/>
      <w:bookmarkEnd w:id="14"/>
      <w:r>
        <w:rPr>
          <w:b w:val="0"/>
          <w:bCs w:val="0"/>
        </w:rPr>
      </w:r>
      <w:r>
        <w:rPr/>
        <w:t>八、分季度主要财务指标</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598"/>
        <w:gridCol w:w="1751"/>
        <w:gridCol w:w="1740"/>
        <w:gridCol w:w="1738"/>
        <w:gridCol w:w="1730"/>
      </w:tblGrid>
      <w:tr>
        <w:trPr>
          <w:trHeight w:val="40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17"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3"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3"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1"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5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414,096,328.91</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510,228,351.82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642,992,530.30</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638,535,338.24</w:t>
            </w:r>
          </w:p>
        </w:tc>
      </w:tr>
      <w:tr>
        <w:trPr>
          <w:trHeight w:val="40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5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19,647,297.17</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73,545,420.77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35,609,148.11</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-471,687,711.59</w:t>
            </w:r>
          </w:p>
        </w:tc>
      </w:tr>
      <w:tr>
        <w:trPr>
          <w:trHeight w:val="71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54"/>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w:t>
            </w:r>
          </w:p>
        </w:tc>
        <w:tc>
          <w:tcPr>
            <w:tcW w:w="175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12,054,132.49</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64,052,892.40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33,049,215.25</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-478,485,740.14</w:t>
            </w:r>
          </w:p>
        </w:tc>
      </w:tr>
      <w:tr>
        <w:trPr>
          <w:trHeight w:val="40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5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-70,949,209.75</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91,549,381.95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169,282,424.16</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284,085,711.64</w:t>
            </w:r>
          </w:p>
        </w:tc>
      </w:tr>
    </w:tbl>
    <w:p>
      <w:pPr>
        <w:pStyle w:val="BodyText"/>
        <w:spacing w:line="240" w:lineRule="auto" w:before="49"/>
        <w:ind w:right="1133"/>
        <w:jc w:val="left"/>
      </w:pPr>
      <w:r>
        <w:rPr/>
        <w:t>上述财务指标或其加总数是否与公司已披露季度报告、半年度报告相关财务指标存在重大差异</w:t>
      </w:r>
    </w:p>
    <w:p>
      <w:pPr>
        <w:pStyle w:val="BodyText"/>
        <w:spacing w:line="240" w:lineRule="auto" w:before="115"/>
        <w:ind w:right="1133"/>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3"/>
        <w:rPr>
          <w:rFonts w:ascii="宋体" w:hAnsi="宋体" w:cs="宋体" w:eastAsia="宋体" w:hint="default"/>
          <w:sz w:val="24"/>
          <w:szCs w:val="24"/>
        </w:rPr>
      </w:pPr>
    </w:p>
    <w:p>
      <w:pPr>
        <w:pStyle w:val="Heading2"/>
        <w:spacing w:line="240" w:lineRule="auto"/>
        <w:ind w:right="1133"/>
        <w:jc w:val="left"/>
        <w:rPr>
          <w:b w:val="0"/>
          <w:bCs w:val="0"/>
        </w:rPr>
      </w:pPr>
      <w:bookmarkStart w:name="九、非经常性损益项目及金额" w:id="15"/>
      <w:bookmarkEnd w:id="15"/>
      <w:r>
        <w:rPr>
          <w:b w:val="0"/>
          <w:bCs w:val="0"/>
        </w:rPr>
      </w:r>
      <w:r>
        <w:rPr/>
        <w:t>九、非经常性损益项目及金额</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1"/>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273"/>
        <w:gridCol w:w="1532"/>
        <w:gridCol w:w="1520"/>
        <w:gridCol w:w="1522"/>
        <w:gridCol w:w="1711"/>
      </w:tblGrid>
      <w:tr>
        <w:trPr>
          <w:trHeight w:val="403"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1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713"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9"/>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非流动资产处置损益（包括已计提资产减 值准备的冲销部分）</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-137,547.61</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-13,292,080.35</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-276,706.98</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3" w:right="55"/>
              <w:jc w:val="left"/>
              <w:rPr>
                <w:rFonts w:ascii="宋体" w:hAnsi="宋体" w:cs="宋体" w:eastAsia="宋体" w:hint="default"/>
                <w:sz w:val="18"/>
                <w:szCs w:val="18"/>
              </w:rPr>
            </w:pPr>
            <w:r>
              <w:rPr>
                <w:rFonts w:ascii="宋体" w:hAnsi="宋体" w:cs="宋体" w:eastAsia="宋体" w:hint="default"/>
                <w:sz w:val="18"/>
                <w:szCs w:val="18"/>
              </w:rPr>
              <w:t>固定资产及长期股权 投资处置损益</w:t>
            </w:r>
          </w:p>
        </w:tc>
      </w:tr>
      <w:tr>
        <w:trPr>
          <w:trHeight w:val="1028"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9"/>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22,432,731.99</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16,369,783.92</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10,692,100.36</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00" w:lineRule="auto"/>
              <w:ind w:left="23" w:right="108"/>
              <w:jc w:val="left"/>
              <w:rPr>
                <w:rFonts w:ascii="Times New Roman" w:hAnsi="Times New Roman" w:cs="Times New Roman" w:eastAsia="Times New Roman" w:hint="default"/>
                <w:sz w:val="18"/>
                <w:szCs w:val="18"/>
              </w:rPr>
            </w:pPr>
            <w:r>
              <w:rPr>
                <w:rFonts w:ascii="宋体" w:hAnsi="宋体" w:cs="宋体" w:eastAsia="宋体" w:hint="default"/>
                <w:sz w:val="18"/>
                <w:szCs w:val="18"/>
              </w:rPr>
              <w:t>参见</w:t>
            </w:r>
            <w:r>
              <w:rPr>
                <w:rFonts w:ascii="Times New Roman" w:hAnsi="Times New Roman" w:cs="Times New Roman" w:eastAsia="Times New Roman" w:hint="default"/>
                <w:sz w:val="18"/>
                <w:szCs w:val="18"/>
              </w:rPr>
              <w:t>“</w:t>
            </w:r>
            <w:r>
              <w:rPr>
                <w:rFonts w:ascii="宋体" w:hAnsi="宋体" w:cs="宋体" w:eastAsia="宋体" w:hint="default"/>
                <w:sz w:val="18"/>
                <w:szCs w:val="18"/>
              </w:rPr>
              <w:t>附注七、</w:t>
            </w:r>
            <w:r>
              <w:rPr>
                <w:rFonts w:ascii="Times New Roman" w:hAnsi="Times New Roman" w:cs="Times New Roman" w:eastAsia="Times New Roman" w:hint="default"/>
                <w:sz w:val="18"/>
                <w:szCs w:val="18"/>
              </w:rPr>
              <w:t>45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其 他收益</w:t>
            </w:r>
            <w:r>
              <w:rPr>
                <w:rFonts w:ascii="Times New Roman" w:hAnsi="Times New Roman" w:cs="Times New Roman" w:eastAsia="Times New Roman" w:hint="default"/>
                <w:sz w:val="18"/>
                <w:szCs w:val="18"/>
              </w:rPr>
              <w:t>”</w:t>
            </w:r>
          </w:p>
        </w:tc>
      </w:tr>
      <w:tr>
        <w:trPr>
          <w:trHeight w:val="401"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1532" w:type="dxa"/>
            <w:tcBorders>
              <w:top w:val="single" w:sz="4" w:space="0" w:color="000000"/>
              <w:left w:val="single" w:sz="10" w:space="0" w:color="D2D2D2"/>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-1,327,659.56</w:t>
            </w:r>
          </w:p>
        </w:tc>
        <w:tc>
          <w:tcPr>
            <w:tcW w:w="1522" w:type="dxa"/>
            <w:tcBorders>
              <w:top w:val="single" w:sz="4" w:space="0" w:color="000000"/>
              <w:left w:val="single" w:sz="4" w:space="0" w:color="000000"/>
              <w:bottom w:val="single" w:sz="4" w:space="0" w:color="000000"/>
              <w:right w:val="single" w:sz="4" w:space="0" w:color="000000"/>
            </w:tcBorders>
          </w:tcPr>
          <w:p>
            <w:pPr/>
          </w:p>
        </w:tc>
        <w:tc>
          <w:tcPr>
            <w:tcW w:w="1711"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
              <w:jc w:val="left"/>
              <w:rPr>
                <w:rFonts w:ascii="宋体" w:hAnsi="宋体" w:cs="宋体" w:eastAsia="宋体" w:hint="default"/>
                <w:sz w:val="18"/>
                <w:szCs w:val="18"/>
              </w:rPr>
            </w:pPr>
            <w:r>
              <w:rPr>
                <w:rFonts w:ascii="宋体" w:hAnsi="宋体" w:cs="宋体" w:eastAsia="宋体" w:hint="default"/>
                <w:sz w:val="18"/>
                <w:szCs w:val="18"/>
              </w:rPr>
              <w:t>单独进行减值测试的应收款项、合同资产 减值准备转回</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2,904,618.30</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889,016.27</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3" w:right="84"/>
              <w:jc w:val="left"/>
              <w:rPr>
                <w:rFonts w:ascii="宋体" w:hAnsi="宋体" w:cs="宋体" w:eastAsia="宋体" w:hint="default"/>
                <w:sz w:val="18"/>
                <w:szCs w:val="18"/>
              </w:rPr>
            </w:pPr>
            <w:r>
              <w:rPr>
                <w:rFonts w:ascii="宋体" w:hAnsi="宋体" w:cs="宋体" w:eastAsia="宋体" w:hint="default"/>
                <w:sz w:val="18"/>
                <w:szCs w:val="18"/>
              </w:rPr>
              <w:t>参见</w:t>
            </w:r>
            <w:r>
              <w:rPr>
                <w:rFonts w:ascii="Times New Roman" w:hAnsi="Times New Roman" w:cs="Times New Roman" w:eastAsia="Times New Roman" w:hint="default"/>
                <w:sz w:val="18"/>
                <w:szCs w:val="18"/>
              </w:rPr>
              <w:t>-</w:t>
            </w:r>
            <w:r>
              <w:rPr>
                <w:rFonts w:ascii="宋体" w:hAnsi="宋体" w:cs="宋体" w:eastAsia="宋体" w:hint="default"/>
                <w:sz w:val="18"/>
                <w:szCs w:val="18"/>
              </w:rPr>
              <w:t>注释七、</w:t>
            </w:r>
            <w:r>
              <w:rPr>
                <w:rFonts w:ascii="Times New Roman" w:hAnsi="Times New Roman" w:cs="Times New Roman" w:eastAsia="Times New Roman" w:hint="default"/>
                <w:sz w:val="18"/>
                <w:szCs w:val="18"/>
              </w:rPr>
              <w:t>4</w:t>
            </w:r>
            <w:r>
              <w:rPr>
                <w:rFonts w:ascii="宋体" w:hAnsi="宋体" w:cs="宋体" w:eastAsia="宋体" w:hint="default"/>
                <w:sz w:val="18"/>
                <w:szCs w:val="18"/>
              </w:rPr>
              <w:t>、应 收账款</w:t>
            </w:r>
          </w:p>
        </w:tc>
      </w:tr>
      <w:tr>
        <w:trPr>
          <w:trHeight w:val="317" w:hRule="exact"/>
        </w:trPr>
        <w:tc>
          <w:tcPr>
            <w:tcW w:w="3273" w:type="dxa"/>
            <w:tcBorders>
              <w:top w:val="single" w:sz="4" w:space="0" w:color="000000"/>
              <w:left w:val="single" w:sz="4" w:space="0" w:color="000000"/>
              <w:bottom w:val="nil" w:sz="6" w:space="0" w:color="auto"/>
              <w:right w:val="single" w:sz="4" w:space="0" w:color="000000"/>
            </w:tcBorders>
            <w:shd w:val="clear" w:color="auto" w:fill="D2D2D2"/>
          </w:tcPr>
          <w:p>
            <w:pPr/>
          </w:p>
        </w:tc>
        <w:tc>
          <w:tcPr>
            <w:tcW w:w="1532"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46" w:right="0"/>
              <w:jc w:val="left"/>
              <w:rPr>
                <w:rFonts w:ascii="Times New Roman" w:hAnsi="Times New Roman" w:cs="Times New Roman" w:eastAsia="Times New Roman" w:hint="default"/>
                <w:sz w:val="18"/>
                <w:szCs w:val="18"/>
              </w:rPr>
            </w:pPr>
            <w:r>
              <w:rPr>
                <w:rFonts w:ascii="Times New Roman"/>
                <w:sz w:val="18"/>
              </w:rPr>
              <w:t>5,635,899.58</w:t>
            </w:r>
          </w:p>
        </w:tc>
        <w:tc>
          <w:tcPr>
            <w:tcW w:w="152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82" w:right="0"/>
              <w:jc w:val="left"/>
              <w:rPr>
                <w:rFonts w:ascii="Times New Roman" w:hAnsi="Times New Roman" w:cs="Times New Roman" w:eastAsia="Times New Roman" w:hint="default"/>
                <w:sz w:val="18"/>
                <w:szCs w:val="18"/>
              </w:rPr>
            </w:pPr>
            <w:r>
              <w:rPr>
                <w:rFonts w:ascii="Times New Roman"/>
                <w:sz w:val="18"/>
              </w:rPr>
              <w:t>-2,771,209.31</w:t>
            </w:r>
          </w:p>
        </w:tc>
        <w:tc>
          <w:tcPr>
            <w:tcW w:w="152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86" w:right="0"/>
              <w:jc w:val="left"/>
              <w:rPr>
                <w:rFonts w:ascii="Times New Roman" w:hAnsi="Times New Roman" w:cs="Times New Roman" w:eastAsia="Times New Roman" w:hint="default"/>
                <w:sz w:val="18"/>
                <w:szCs w:val="18"/>
              </w:rPr>
            </w:pPr>
            <w:r>
              <w:rPr>
                <w:rFonts w:ascii="Times New Roman"/>
                <w:sz w:val="18"/>
              </w:rPr>
              <w:t>478,711.53</w:t>
            </w:r>
          </w:p>
        </w:tc>
        <w:tc>
          <w:tcPr>
            <w:tcW w:w="1711" w:type="dxa"/>
            <w:vMerge w:val="restart"/>
            <w:tcBorders>
              <w:top w:val="single" w:sz="4" w:space="0" w:color="000000"/>
              <w:left w:val="single" w:sz="4" w:space="0" w:color="000000"/>
              <w:right w:val="single" w:sz="4" w:space="0" w:color="000000"/>
            </w:tcBorders>
          </w:tcPr>
          <w:p>
            <w:pPr>
              <w:pStyle w:val="TableParagraph"/>
              <w:spacing w:line="307" w:lineRule="auto" w:before="49"/>
              <w:ind w:left="23" w:right="23"/>
              <w:jc w:val="both"/>
              <w:rPr>
                <w:rFonts w:ascii="宋体" w:hAnsi="宋体" w:cs="宋体" w:eastAsia="宋体" w:hint="default"/>
                <w:sz w:val="18"/>
                <w:szCs w:val="18"/>
              </w:rPr>
            </w:pPr>
            <w:r>
              <w:rPr>
                <w:rFonts w:ascii="宋体" w:hAnsi="宋体" w:cs="宋体" w:eastAsia="宋体" w:hint="default"/>
                <w:spacing w:val="-3"/>
                <w:sz w:val="18"/>
                <w:szCs w:val="18"/>
              </w:rPr>
              <w:t>参见</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注释七、</w:t>
            </w:r>
            <w:r>
              <w:rPr>
                <w:rFonts w:ascii="Times New Roman" w:hAnsi="Times New Roman" w:cs="Times New Roman" w:eastAsia="Times New Roman" w:hint="default"/>
                <w:spacing w:val="-3"/>
                <w:sz w:val="18"/>
                <w:szCs w:val="18"/>
              </w:rPr>
              <w:t>50</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51</w:t>
            </w:r>
            <w:r>
              <w:rPr>
                <w:rFonts w:ascii="Times New Roman" w:hAnsi="Times New Roman" w:cs="Times New Roman" w:eastAsia="Times New Roman" w:hint="default"/>
                <w:spacing w:val="-38"/>
                <w:sz w:val="18"/>
                <w:szCs w:val="18"/>
              </w:rPr>
              <w:t> </w:t>
            </w:r>
            <w:r>
              <w:rPr>
                <w:rFonts w:ascii="宋体" w:hAnsi="宋体" w:cs="宋体" w:eastAsia="宋体" w:hint="default"/>
                <w:sz w:val="18"/>
                <w:szCs w:val="18"/>
              </w:rPr>
              <w:t>营业外收入及营业外 支出</w:t>
            </w:r>
          </w:p>
        </w:tc>
      </w:tr>
      <w:tr>
        <w:trPr>
          <w:trHeight w:val="391" w:hRule="exact"/>
        </w:trPr>
        <w:tc>
          <w:tcPr>
            <w:tcW w:w="327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532" w:type="dxa"/>
            <w:vMerge/>
            <w:tcBorders>
              <w:left w:val="single" w:sz="10" w:space="0" w:color="D2D2D2"/>
              <w:right w:val="single" w:sz="4" w:space="0" w:color="000000"/>
            </w:tcBorders>
          </w:tcPr>
          <w:p>
            <w:pPr/>
          </w:p>
        </w:tc>
        <w:tc>
          <w:tcPr>
            <w:tcW w:w="1520"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711" w:type="dxa"/>
            <w:vMerge/>
            <w:tcBorders>
              <w:left w:val="single" w:sz="4" w:space="0" w:color="000000"/>
              <w:right w:val="single" w:sz="4" w:space="0" w:color="000000"/>
            </w:tcBorders>
          </w:tcPr>
          <w:p>
            <w:pPr/>
          </w:p>
        </w:tc>
      </w:tr>
      <w:tr>
        <w:trPr>
          <w:trHeight w:val="317" w:hRule="exact"/>
        </w:trPr>
        <w:tc>
          <w:tcPr>
            <w:tcW w:w="3273" w:type="dxa"/>
            <w:tcBorders>
              <w:top w:val="nil" w:sz="6" w:space="0" w:color="auto"/>
              <w:left w:val="single" w:sz="4" w:space="0" w:color="000000"/>
              <w:bottom w:val="single" w:sz="4" w:space="0" w:color="000000"/>
              <w:right w:val="single" w:sz="4" w:space="0" w:color="000000"/>
            </w:tcBorders>
            <w:shd w:val="clear" w:color="auto" w:fill="D2D2D2"/>
          </w:tcPr>
          <w:p>
            <w:pPr/>
          </w:p>
        </w:tc>
        <w:tc>
          <w:tcPr>
            <w:tcW w:w="1532" w:type="dxa"/>
            <w:vMerge/>
            <w:tcBorders>
              <w:left w:val="single" w:sz="10" w:space="0" w:color="D2D2D2"/>
              <w:bottom w:val="single" w:sz="4" w:space="0" w:color="000000"/>
              <w:right w:val="single" w:sz="4" w:space="0" w:color="000000"/>
            </w:tcBorders>
          </w:tcPr>
          <w:p>
            <w:pPr/>
          </w:p>
        </w:tc>
        <w:tc>
          <w:tcPr>
            <w:tcW w:w="1520" w:type="dxa"/>
            <w:vMerge/>
            <w:tcBorders>
              <w:left w:val="single" w:sz="4" w:space="0" w:color="000000"/>
              <w:bottom w:val="single" w:sz="4" w:space="0" w:color="000000"/>
              <w:right w:val="single" w:sz="4" w:space="0" w:color="000000"/>
            </w:tcBorders>
          </w:tcPr>
          <w:p>
            <w:pPr/>
          </w:p>
        </w:tc>
        <w:tc>
          <w:tcPr>
            <w:tcW w:w="1522" w:type="dxa"/>
            <w:vMerge/>
            <w:tcBorders>
              <w:left w:val="single" w:sz="4" w:space="0" w:color="000000"/>
              <w:bottom w:val="single" w:sz="4" w:space="0" w:color="000000"/>
              <w:right w:val="single" w:sz="4" w:space="0" w:color="000000"/>
            </w:tcBorders>
          </w:tcPr>
          <w:p>
            <w:pPr/>
          </w:p>
        </w:tc>
        <w:tc>
          <w:tcPr>
            <w:tcW w:w="1711"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295"/>
        <w:gridCol w:w="1522"/>
        <w:gridCol w:w="1520"/>
        <w:gridCol w:w="1522"/>
        <w:gridCol w:w="1711"/>
      </w:tblGrid>
      <w:tr>
        <w:trPr>
          <w:trHeight w:val="401" w:hRule="exact"/>
        </w:trPr>
        <w:tc>
          <w:tcPr>
            <w:tcW w:w="3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4,393,950.21</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1,911,633.81</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482,837.91</w:t>
            </w:r>
          </w:p>
        </w:tc>
        <w:tc>
          <w:tcPr>
            <w:tcW w:w="171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3"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-1,902.41</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346,751.84</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1,256,358.89</w:t>
            </w:r>
          </w:p>
        </w:tc>
        <w:tc>
          <w:tcPr>
            <w:tcW w:w="171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26,443,654.46</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-3,279,550.95</w:t>
            </w:r>
          </w:p>
        </w:tc>
        <w:tc>
          <w:tcPr>
            <w:tcW w:w="152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pacing w:val="-1"/>
                <w:sz w:val="18"/>
              </w:rPr>
              <w:t>10,043,924.38</w:t>
            </w:r>
          </w:p>
        </w:tc>
        <w:tc>
          <w:tcPr>
            <w:tcW w:w="1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0"/>
        <w:jc w:val="left"/>
      </w:pPr>
      <w:r>
        <w:rPr>
          <w:spacing w:val="-3"/>
        </w:rPr>
        <w:t>对公司根据《公开发行证券的公司信息披露解释性公告第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5"/>
        </w:rPr>
        <w:t> </w:t>
      </w:r>
      <w:r>
        <w:rPr>
          <w:spacing w:val="-7"/>
        </w:rPr>
        <w:t>号</w:t>
      </w:r>
      <w:r>
        <w:rPr>
          <w:rFonts w:ascii="Times New Roman" w:hAnsi="Times New Roman" w:cs="Times New Roman" w:eastAsia="Times New Roman" w:hint="default"/>
          <w:spacing w:val="-7"/>
        </w:rPr>
        <w:t>——</w:t>
      </w:r>
      <w:r>
        <w:rPr>
          <w:spacing w:val="-7"/>
        </w:rPr>
        <w:t>非经常性损益》定义界定的非经常性损益项目，以及把《公</w:t>
      </w:r>
    </w:p>
    <w:p>
      <w:pPr>
        <w:pStyle w:val="BodyText"/>
        <w:spacing w:line="300" w:lineRule="auto" w:before="60"/>
        <w:ind w:right="1119"/>
        <w:jc w:val="left"/>
      </w:pPr>
      <w:r>
        <w:rPr/>
        <w:t>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5"/>
        </w:rPr>
        <w:t> </w:t>
      </w:r>
      <w:r>
        <w:rPr>
          <w:spacing w:val="-3"/>
        </w:rPr>
        <w:t>号</w:t>
      </w:r>
      <w:r>
        <w:rPr>
          <w:rFonts w:ascii="Times New Roman" w:hAnsi="Times New Roman" w:cs="Times New Roman" w:eastAsia="Times New Roman" w:hint="default"/>
          <w:spacing w:val="-3"/>
        </w:rPr>
        <w:t>——</w:t>
      </w:r>
      <w:r>
        <w:rPr>
          <w:spacing w:val="-3"/>
        </w:rPr>
        <w:t>非经常性损益》中列举的非经常性损益项目界定为经常性损益的项目，应</w:t>
      </w:r>
      <w:r>
        <w:rPr/>
        <w:t> 说明原因</w:t>
      </w:r>
    </w:p>
    <w:p>
      <w:pPr>
        <w:pStyle w:val="BodyText"/>
        <w:spacing w:line="240" w:lineRule="auto" w:before="72"/>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pStyle w:val="BodyText"/>
        <w:spacing w:line="300" w:lineRule="auto" w:before="103"/>
        <w:ind w:right="1117"/>
        <w:jc w:val="left"/>
      </w:pPr>
      <w:r>
        <w:rPr/>
        <w:t>公司报告期不存在将根据《公开发行证券的公司信息披露解释性公告第</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9"/>
        </w:rPr>
        <w:t> </w:t>
      </w:r>
      <w:r>
        <w:rPr>
          <w:spacing w:val="-3"/>
        </w:rPr>
        <w:t>号</w:t>
      </w:r>
      <w:r>
        <w:rPr>
          <w:rFonts w:ascii="Times New Roman" w:hAnsi="Times New Roman" w:cs="Times New Roman" w:eastAsia="Times New Roman" w:hint="default"/>
          <w:spacing w:val="-3"/>
        </w:rPr>
        <w:t>——</w:t>
      </w:r>
      <w:r>
        <w:rPr>
          <w:spacing w:val="-3"/>
        </w:rPr>
        <w:t>非经常性损益》定义、列举的非经常性损益</w:t>
      </w:r>
      <w:r>
        <w:rPr/>
        <w:t> 项目界定为经常性损益的项目的情形。</w:t>
      </w:r>
    </w:p>
    <w:p>
      <w:pPr>
        <w:spacing w:after="0" w:line="300"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525" w:right="1133"/>
        <w:jc w:val="left"/>
        <w:rPr>
          <w:b w:val="0"/>
          <w:bCs w:val="0"/>
        </w:rPr>
      </w:pPr>
      <w:bookmarkStart w:name="_TOC_250010" w:id="16"/>
      <w:bookmarkStart w:name="第三节公司业务概要" w:id="17"/>
      <w:r>
        <w:rPr>
          <w:b w:val="0"/>
          <w:bCs w:val="0"/>
        </w:rPr>
      </w:r>
      <w:r>
        <w:rPr/>
        <w:t>第三节公司业务概要</w:t>
      </w:r>
      <w:bookmarkEnd w:id="16"/>
      <w:r>
        <w:rPr>
          <w:b w:val="0"/>
          <w:bCs w:val="0"/>
        </w:rPr>
      </w:r>
    </w:p>
    <w:p>
      <w:pPr>
        <w:spacing w:line="240" w:lineRule="auto" w:before="2"/>
        <w:rPr>
          <w:rFonts w:ascii="宋体" w:hAnsi="宋体" w:cs="宋体" w:eastAsia="宋体" w:hint="default"/>
          <w:b/>
          <w:bCs/>
          <w:sz w:val="39"/>
          <w:szCs w:val="39"/>
        </w:rPr>
      </w:pPr>
    </w:p>
    <w:p>
      <w:pPr>
        <w:pStyle w:val="Heading2"/>
        <w:spacing w:line="240" w:lineRule="auto"/>
        <w:ind w:right="1133"/>
        <w:jc w:val="left"/>
        <w:rPr>
          <w:b w:val="0"/>
          <w:bCs w:val="0"/>
        </w:rPr>
      </w:pPr>
      <w:bookmarkStart w:name="一、报告期内公司从事的主要业务" w:id="18"/>
      <w:bookmarkEnd w:id="18"/>
      <w:r>
        <w:rPr>
          <w:b w:val="0"/>
          <w:bCs w:val="0"/>
        </w:rPr>
      </w:r>
      <w:r>
        <w:rPr/>
        <w:t>一、报告期内公司从事的主要业务</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8"/>
          <w:szCs w:val="18"/>
        </w:rPr>
      </w:pPr>
    </w:p>
    <w:p>
      <w:pPr>
        <w:pStyle w:val="Heading6"/>
        <w:spacing w:line="240" w:lineRule="auto"/>
        <w:ind w:right="1133"/>
        <w:jc w:val="left"/>
        <w:rPr>
          <w:b w:val="0"/>
          <w:bCs w:val="0"/>
        </w:rPr>
      </w:pPr>
      <w:r>
        <w:rPr/>
        <w:t>（一）公司主要业务</w:t>
      </w:r>
      <w:r>
        <w:rPr>
          <w:b w:val="0"/>
          <w:bCs w:val="0"/>
        </w:rPr>
      </w:r>
    </w:p>
    <w:p>
      <w:pPr>
        <w:spacing w:line="240" w:lineRule="auto" w:before="0"/>
        <w:rPr>
          <w:rFonts w:ascii="宋体" w:hAnsi="宋体" w:cs="宋体" w:eastAsia="宋体" w:hint="default"/>
          <w:b/>
          <w:bCs/>
          <w:sz w:val="18"/>
          <w:szCs w:val="18"/>
        </w:rPr>
      </w:pPr>
    </w:p>
    <w:p>
      <w:pPr>
        <w:spacing w:line="240" w:lineRule="auto" w:before="12"/>
        <w:rPr>
          <w:rFonts w:ascii="宋体" w:hAnsi="宋体" w:cs="宋体" w:eastAsia="宋体" w:hint="default"/>
          <w:b/>
          <w:bCs/>
          <w:sz w:val="24"/>
          <w:szCs w:val="24"/>
        </w:rPr>
      </w:pPr>
    </w:p>
    <w:p>
      <w:pPr>
        <w:pStyle w:val="BodyText"/>
        <w:spacing w:line="477" w:lineRule="auto"/>
        <w:ind w:right="1131" w:firstLine="420"/>
        <w:jc w:val="both"/>
      </w:pPr>
      <w:r>
        <w:rPr/>
        <w:t>达实智能以“万物智联，心心相通”为使命，始终秉承“达则兼善天下，实则恒心如一”的价值观，努力发展成为</w:t>
      </w:r>
      <w:r>
        <w:rPr>
          <w:rFonts w:ascii="宋体" w:hAnsi="宋体" w:cs="宋体" w:eastAsia="宋体" w:hint="default"/>
        </w:rPr>
        <w:t>5G</w:t>
      </w:r>
      <w:r>
        <w:rPr>
          <w:rFonts w:ascii="宋体" w:hAnsi="宋体" w:cs="宋体" w:eastAsia="宋体" w:hint="default"/>
          <w:spacing w:val="1"/>
        </w:rPr>
        <w:t> </w:t>
      </w:r>
      <w:r>
        <w:rPr>
          <w:spacing w:val="-2"/>
        </w:rPr>
        <w:t>智能物联网时代值得信赖的智能物联网解决方案的建设和服务商。公司主业聚焦智能物联网，基于自主研发的</w:t>
      </w:r>
      <w:r>
        <w:rPr>
          <w:rFonts w:ascii="宋体" w:hAnsi="宋体" w:cs="宋体" w:eastAsia="宋体" w:hint="default"/>
          <w:spacing w:val="-2"/>
        </w:rPr>
        <w:t>AIoT</w:t>
      </w:r>
      <w:r>
        <w:rPr>
          <w:spacing w:val="-2"/>
        </w:rPr>
        <w:t>智能物联</w:t>
      </w:r>
      <w:r>
        <w:rPr>
          <w:spacing w:val="-60"/>
        </w:rPr>
        <w:t> </w:t>
      </w:r>
      <w:r>
        <w:rPr>
          <w:spacing w:val="-60"/>
        </w:rPr>
      </w:r>
      <w:r>
        <w:rPr>
          <w:spacing w:val="-2"/>
        </w:rPr>
        <w:t>网管控平台和智能终端产品，为旗下智慧医疗、智慧交通、数据中心、智慧社区、智慧建筑、智慧节能等细分业务市场提供</w:t>
      </w:r>
      <w:r>
        <w:rPr>
          <w:spacing w:val="-68"/>
        </w:rPr>
        <w:t> </w:t>
      </w:r>
      <w:r>
        <w:rPr>
          <w:spacing w:val="-68"/>
        </w:rPr>
      </w:r>
      <w:r>
        <w:rPr/>
        <w:t>定制化智能物联网综合解决方案。</w:t>
      </w:r>
    </w:p>
    <w:p>
      <w:pPr>
        <w:spacing w:line="240" w:lineRule="auto" w:before="13"/>
        <w:rPr>
          <w:rFonts w:ascii="宋体" w:hAnsi="宋体" w:cs="宋体" w:eastAsia="宋体" w:hint="default"/>
          <w:sz w:val="3"/>
          <w:szCs w:val="3"/>
        </w:rPr>
      </w:pPr>
    </w:p>
    <w:p>
      <w:pPr>
        <w:spacing w:line="4195" w:lineRule="exact"/>
        <w:ind w:left="880" w:right="0" w:firstLine="0"/>
        <w:rPr>
          <w:rFonts w:ascii="宋体" w:hAnsi="宋体" w:cs="宋体" w:eastAsia="宋体" w:hint="default"/>
          <w:sz w:val="20"/>
          <w:szCs w:val="20"/>
        </w:rPr>
      </w:pPr>
      <w:r>
        <w:rPr>
          <w:rFonts w:ascii="宋体" w:hAnsi="宋体" w:cs="宋体" w:eastAsia="宋体" w:hint="default"/>
          <w:position w:val="-83"/>
          <w:sz w:val="20"/>
          <w:szCs w:val="20"/>
        </w:rPr>
        <w:drawing>
          <wp:inline distT="0" distB="0" distL="0" distR="0">
            <wp:extent cx="5196592" cy="2664333"/>
            <wp:effectExtent l="0" t="0" r="0" b="0"/>
            <wp:docPr id="3" name="image3.jpeg" descr=""/>
            <wp:cNvGraphicFramePr>
              <a:graphicFrameLocks noChangeAspect="1"/>
            </wp:cNvGraphicFramePr>
            <a:graphic>
              <a:graphicData uri="http://schemas.openxmlformats.org/drawingml/2006/picture">
                <pic:pic>
                  <pic:nvPicPr>
                    <pic:cNvPr id="4" name="image3.jpeg"/>
                    <pic:cNvPicPr/>
                  </pic:nvPicPr>
                  <pic:blipFill>
                    <a:blip r:embed="rId12" cstate="print"/>
                    <a:stretch>
                      <a:fillRect/>
                    </a:stretch>
                  </pic:blipFill>
                  <pic:spPr>
                    <a:xfrm>
                      <a:off x="0" y="0"/>
                      <a:ext cx="5196592" cy="2664333"/>
                    </a:xfrm>
                    <a:prstGeom prst="rect">
                      <a:avLst/>
                    </a:prstGeom>
                  </pic:spPr>
                </pic:pic>
              </a:graphicData>
            </a:graphic>
          </wp:inline>
        </w:drawing>
      </w:r>
      <w:r>
        <w:rPr>
          <w:rFonts w:ascii="宋体" w:hAnsi="宋体" w:cs="宋体" w:eastAsia="宋体" w:hint="default"/>
          <w:position w:val="-83"/>
          <w:sz w:val="20"/>
          <w:szCs w:val="20"/>
        </w:rPr>
      </w:r>
    </w:p>
    <w:p>
      <w:pPr>
        <w:spacing w:line="240" w:lineRule="auto" w:before="6"/>
        <w:rPr>
          <w:rFonts w:ascii="宋体" w:hAnsi="宋体" w:cs="宋体" w:eastAsia="宋体" w:hint="default"/>
          <w:sz w:val="13"/>
          <w:szCs w:val="13"/>
        </w:rPr>
      </w:pPr>
    </w:p>
    <w:p>
      <w:pPr>
        <w:pStyle w:val="Heading6"/>
        <w:spacing w:line="240" w:lineRule="auto"/>
        <w:ind w:right="1133"/>
        <w:jc w:val="left"/>
        <w:rPr>
          <w:b w:val="0"/>
          <w:bCs w:val="0"/>
        </w:rPr>
      </w:pPr>
      <w:r>
        <w:rPr/>
        <w:t>一、</w:t>
      </w:r>
      <w:r>
        <w:rPr>
          <w:spacing w:val="-15"/>
        </w:rPr>
        <w:t> </w:t>
      </w:r>
      <w:r>
        <w:rPr/>
        <w:t>核心技术及产品</w:t>
      </w:r>
      <w:r>
        <w:rPr>
          <w:b w:val="0"/>
          <w:bCs w:val="0"/>
        </w:rPr>
      </w:r>
    </w:p>
    <w:p>
      <w:pPr>
        <w:spacing w:line="240" w:lineRule="auto" w:before="10"/>
        <w:rPr>
          <w:rFonts w:ascii="宋体" w:hAnsi="宋体" w:cs="宋体" w:eastAsia="宋体" w:hint="default"/>
          <w:b/>
          <w:bCs/>
          <w:sz w:val="17"/>
          <w:szCs w:val="17"/>
        </w:rPr>
      </w:pPr>
    </w:p>
    <w:p>
      <w:pPr>
        <w:spacing w:line="451" w:lineRule="auto" w:before="0"/>
        <w:ind w:left="573" w:right="1189" w:hanging="42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AIoT</w:t>
      </w:r>
      <w:r>
        <w:rPr>
          <w:rFonts w:ascii="宋体" w:hAnsi="宋体" w:cs="宋体" w:eastAsia="宋体" w:hint="default"/>
          <w:b/>
          <w:bCs/>
          <w:sz w:val="18"/>
          <w:szCs w:val="18"/>
        </w:rPr>
        <w:t>智能物联网管控平台</w:t>
      </w:r>
      <w:r>
        <w:rPr>
          <w:rFonts w:ascii="宋体" w:hAnsi="宋体" w:cs="宋体" w:eastAsia="宋体" w:hint="default"/>
          <w:b/>
          <w:bCs/>
          <w:w w:val="99"/>
          <w:sz w:val="18"/>
          <w:szCs w:val="18"/>
        </w:rPr>
        <w:t> </w:t>
      </w:r>
      <w:r>
        <w:rPr>
          <w:rFonts w:ascii="宋体" w:hAnsi="宋体" w:cs="宋体" w:eastAsia="宋体" w:hint="default"/>
          <w:sz w:val="18"/>
          <w:szCs w:val="18"/>
        </w:rPr>
        <w:t>公司自主研发的</w:t>
      </w:r>
      <w:r>
        <w:rPr>
          <w:rFonts w:ascii="Times New Roman" w:hAnsi="Times New Roman" w:cs="Times New Roman" w:eastAsia="Times New Roman" w:hint="default"/>
          <w:sz w:val="18"/>
          <w:szCs w:val="18"/>
        </w:rPr>
        <w:t>AIoT</w:t>
      </w:r>
      <w:r>
        <w:rPr>
          <w:rFonts w:ascii="宋体" w:hAnsi="宋体" w:cs="宋体" w:eastAsia="宋体" w:hint="default"/>
          <w:sz w:val="18"/>
          <w:szCs w:val="18"/>
        </w:rPr>
        <w:t>智能物联网管控平台采用云</w:t>
      </w:r>
      <w:r>
        <w:rPr>
          <w:rFonts w:ascii="Times New Roman" w:hAnsi="Times New Roman" w:cs="Times New Roman" w:eastAsia="Times New Roman" w:hint="default"/>
          <w:sz w:val="18"/>
          <w:szCs w:val="18"/>
        </w:rPr>
        <w:t>+</w:t>
      </w:r>
      <w:r>
        <w:rPr>
          <w:rFonts w:ascii="宋体" w:hAnsi="宋体" w:cs="宋体" w:eastAsia="宋体" w:hint="default"/>
          <w:sz w:val="18"/>
          <w:szCs w:val="18"/>
        </w:rPr>
        <w:t>边</w:t>
      </w:r>
      <w:r>
        <w:rPr>
          <w:rFonts w:ascii="Times New Roman" w:hAnsi="Times New Roman" w:cs="Times New Roman" w:eastAsia="Times New Roman" w:hint="default"/>
          <w:sz w:val="18"/>
          <w:szCs w:val="18"/>
        </w:rPr>
        <w:t>+</w:t>
      </w:r>
      <w:r>
        <w:rPr>
          <w:rFonts w:ascii="宋体" w:hAnsi="宋体" w:cs="宋体" w:eastAsia="宋体" w:hint="default"/>
          <w:sz w:val="18"/>
          <w:szCs w:val="18"/>
        </w:rPr>
        <w:t>端系统架构：云端覆盖</w:t>
      </w:r>
      <w:r>
        <w:rPr>
          <w:rFonts w:ascii="Times New Roman" w:hAnsi="Times New Roman" w:cs="Times New Roman" w:eastAsia="Times New Roman" w:hint="default"/>
          <w:sz w:val="18"/>
          <w:szCs w:val="18"/>
        </w:rPr>
        <w:t>IBMS</w:t>
      </w:r>
      <w:r>
        <w:rPr>
          <w:rFonts w:ascii="宋体" w:hAnsi="宋体" w:cs="宋体" w:eastAsia="宋体" w:hint="default"/>
          <w:sz w:val="18"/>
          <w:szCs w:val="18"/>
        </w:rPr>
        <w:t>集成管理、</w:t>
      </w:r>
      <w:r>
        <w:rPr>
          <w:rFonts w:ascii="Times New Roman" w:hAnsi="Times New Roman" w:cs="Times New Roman" w:eastAsia="Times New Roman" w:hint="default"/>
          <w:sz w:val="18"/>
          <w:szCs w:val="18"/>
        </w:rPr>
        <w:t>EMS</w:t>
      </w:r>
      <w:r>
        <w:rPr>
          <w:rFonts w:ascii="宋体" w:hAnsi="宋体" w:cs="宋体" w:eastAsia="宋体" w:hint="default"/>
          <w:sz w:val="18"/>
          <w:szCs w:val="18"/>
        </w:rPr>
        <w:t>能源管理、</w:t>
      </w:r>
      <w:r>
        <w:rPr>
          <w:rFonts w:ascii="Times New Roman" w:hAnsi="Times New Roman" w:cs="Times New Roman" w:eastAsia="Times New Roman" w:hint="default"/>
          <w:sz w:val="18"/>
          <w:szCs w:val="18"/>
        </w:rPr>
        <w:t>FMS</w:t>
      </w:r>
      <w:r>
        <w:rPr>
          <w:rFonts w:ascii="宋体" w:hAnsi="宋体" w:cs="宋体" w:eastAsia="宋体" w:hint="default"/>
          <w:sz w:val="18"/>
          <w:szCs w:val="18"/>
        </w:rPr>
        <w:t>运</w:t>
      </w:r>
    </w:p>
    <w:p>
      <w:pPr>
        <w:pStyle w:val="BodyText"/>
        <w:spacing w:line="451" w:lineRule="auto" w:before="44"/>
        <w:ind w:right="1174"/>
        <w:jc w:val="left"/>
      </w:pPr>
      <w:r>
        <w:rPr/>
        <w:t>维管理、</w:t>
      </w:r>
      <w:r>
        <w:rPr>
          <w:rFonts w:ascii="Times New Roman" w:hAnsi="Times New Roman" w:cs="Times New Roman" w:eastAsia="Times New Roman" w:hint="default"/>
        </w:rPr>
        <w:t>BIM</w:t>
      </w:r>
      <w:r>
        <w:rPr/>
        <w:t>三维可视化、</w:t>
      </w:r>
      <w:r>
        <w:rPr>
          <w:rFonts w:ascii="Times New Roman" w:hAnsi="Times New Roman" w:cs="Times New Roman" w:eastAsia="Times New Roman" w:hint="default"/>
        </w:rPr>
        <w:t>APP</w:t>
      </w:r>
      <w:r>
        <w:rPr/>
        <w:t>移动运维</w:t>
      </w:r>
      <w:r>
        <w:rPr>
          <w:rFonts w:ascii="Times New Roman" w:hAnsi="Times New Roman" w:cs="Times New Roman" w:eastAsia="Times New Roman" w:hint="default"/>
        </w:rPr>
        <w:t>5</w:t>
      </w:r>
      <w:r>
        <w:rPr/>
        <w:t>大业务应用，实现高性能、稳定、灵活的协同一体化管控；边缘侧采用了达实自 主研发的边缘控制器</w:t>
      </w:r>
      <w:r>
        <w:rPr>
          <w:rFonts w:ascii="Times New Roman" w:hAnsi="Times New Roman" w:cs="Times New Roman" w:eastAsia="Times New Roman" w:hint="default"/>
        </w:rPr>
        <w:t>——</w:t>
      </w:r>
      <w:r>
        <w:rPr>
          <w:rFonts w:ascii="Times New Roman" w:hAnsi="Times New Roman" w:cs="Times New Roman" w:eastAsia="Times New Roman" w:hint="default"/>
        </w:rPr>
        <w:t>dasEdge</w:t>
      </w:r>
      <w:r>
        <w:rPr/>
        <w:t>，实现了对本地设备的实时监测和逻辑控制。</w:t>
      </w:r>
    </w:p>
    <w:p>
      <w:pPr>
        <w:pStyle w:val="BodyText"/>
        <w:spacing w:line="458" w:lineRule="auto" w:before="43"/>
        <w:ind w:right="1131" w:firstLine="420"/>
        <w:jc w:val="both"/>
      </w:pPr>
      <w:r>
        <w:rPr>
          <w:spacing w:val="-1"/>
        </w:rPr>
        <w:t>自主研发的</w:t>
      </w:r>
      <w:r>
        <w:rPr>
          <w:rFonts w:ascii="Times New Roman" w:hAnsi="Times New Roman" w:cs="Times New Roman" w:eastAsia="Times New Roman" w:hint="default"/>
          <w:spacing w:val="-1"/>
        </w:rPr>
        <w:t>dasEdge</w:t>
      </w:r>
      <w:r>
        <w:rPr>
          <w:spacing w:val="-1"/>
        </w:rPr>
        <w:t>边缘控制器为用户提供满足需求的边缘计算性能，芯片模块器件均采用工业级标准，满足工业现场</w:t>
      </w:r>
      <w:r>
        <w:rPr/>
        <w:t> 恶劣环境，经久耐用；软件架构支持云边一体化接入，有效保障数据安全；基于规则的</w:t>
      </w:r>
      <w:r>
        <w:rPr>
          <w:rFonts w:ascii="Times New Roman" w:hAnsi="Times New Roman" w:cs="Times New Roman" w:eastAsia="Times New Roman" w:hint="default"/>
        </w:rPr>
        <w:t>M2M</w:t>
      </w:r>
      <w:r>
        <w:rPr>
          <w:rFonts w:ascii="Times New Roman" w:hAnsi="Times New Roman" w:cs="Times New Roman" w:eastAsia="Times New Roman" w:hint="default"/>
          <w:spacing w:val="5"/>
        </w:rPr>
        <w:t> </w:t>
      </w:r>
      <w:r>
        <w:rPr/>
        <w:t>互动控制，加快边缘侧的分析 </w:t>
      </w:r>
      <w:r>
        <w:rPr>
          <w:spacing w:val="-2"/>
        </w:rPr>
        <w:t>与决策执行能力；支持单节点接入海量数据点，给用户提供强大的采集运算能力，为实现边缘节点数据优化、实时响应、便</w:t>
      </w:r>
      <w:r>
        <w:rPr>
          <w:spacing w:val="-67"/>
        </w:rPr>
        <w:t> </w:t>
      </w:r>
      <w:r>
        <w:rPr>
          <w:spacing w:val="-67"/>
        </w:rPr>
      </w:r>
      <w:r>
        <w:rPr/>
        <w:t>捷连接、智能应用、安全与隐私保护等业务处理提供计算资源，有效分担云计算资源负荷。</w:t>
      </w:r>
    </w:p>
    <w:p>
      <w:pPr>
        <w:spacing w:after="0" w:line="458" w:lineRule="auto"/>
        <w:jc w:val="both"/>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3"/>
          <w:szCs w:val="13"/>
        </w:rPr>
      </w:pPr>
    </w:p>
    <w:p>
      <w:pPr>
        <w:spacing w:line="6739" w:lineRule="exact"/>
        <w:ind w:left="762" w:right="0" w:firstLine="0"/>
        <w:rPr>
          <w:rFonts w:ascii="宋体" w:hAnsi="宋体" w:cs="宋体" w:eastAsia="宋体" w:hint="default"/>
          <w:sz w:val="20"/>
          <w:szCs w:val="20"/>
        </w:rPr>
      </w:pPr>
      <w:r>
        <w:rPr>
          <w:rFonts w:ascii="宋体" w:hAnsi="宋体" w:cs="宋体" w:eastAsia="宋体" w:hint="default"/>
          <w:position w:val="-134"/>
          <w:sz w:val="20"/>
          <w:szCs w:val="20"/>
        </w:rPr>
        <w:drawing>
          <wp:inline distT="0" distB="0" distL="0" distR="0">
            <wp:extent cx="5346065" cy="4279392"/>
            <wp:effectExtent l="0" t="0" r="0" b="0"/>
            <wp:docPr id="5" name="image4.png" descr=""/>
            <wp:cNvGraphicFramePr>
              <a:graphicFrameLocks noChangeAspect="1"/>
            </wp:cNvGraphicFramePr>
            <a:graphic>
              <a:graphicData uri="http://schemas.openxmlformats.org/drawingml/2006/picture">
                <pic:pic>
                  <pic:nvPicPr>
                    <pic:cNvPr id="6" name="image4.png"/>
                    <pic:cNvPicPr/>
                  </pic:nvPicPr>
                  <pic:blipFill>
                    <a:blip r:embed="rId13" cstate="print"/>
                    <a:stretch>
                      <a:fillRect/>
                    </a:stretch>
                  </pic:blipFill>
                  <pic:spPr>
                    <a:xfrm>
                      <a:off x="0" y="0"/>
                      <a:ext cx="5346065" cy="4279392"/>
                    </a:xfrm>
                    <a:prstGeom prst="rect">
                      <a:avLst/>
                    </a:prstGeom>
                  </pic:spPr>
                </pic:pic>
              </a:graphicData>
            </a:graphic>
          </wp:inline>
        </w:drawing>
      </w:r>
      <w:r>
        <w:rPr>
          <w:rFonts w:ascii="宋体" w:hAnsi="宋体" w:cs="宋体" w:eastAsia="宋体" w:hint="default"/>
          <w:position w:val="-134"/>
          <w:sz w:val="20"/>
          <w:szCs w:val="20"/>
        </w:rPr>
      </w:r>
    </w:p>
    <w:p>
      <w:pPr>
        <w:spacing w:line="240" w:lineRule="auto" w:before="2"/>
        <w:rPr>
          <w:rFonts w:ascii="宋体" w:hAnsi="宋体" w:cs="宋体" w:eastAsia="宋体" w:hint="default"/>
          <w:sz w:val="8"/>
          <w:szCs w:val="8"/>
        </w:rPr>
      </w:pPr>
    </w:p>
    <w:p>
      <w:pPr>
        <w:pStyle w:val="Heading6"/>
        <w:spacing w:line="240" w:lineRule="auto" w:before="44"/>
        <w:ind w:right="1133"/>
        <w:jc w:val="left"/>
        <w:rPr>
          <w:b w:val="0"/>
          <w:bCs w:val="0"/>
        </w:rPr>
      </w:pPr>
      <w:r>
        <w:rPr>
          <w:rFonts w:ascii="Times New Roman" w:hAnsi="Times New Roman" w:cs="Times New Roman" w:eastAsia="Times New Roman" w:hint="default"/>
        </w:rPr>
        <w:t>2</w:t>
      </w:r>
      <w:r>
        <w:rPr/>
        <w:t>、</w:t>
      </w:r>
      <w:r>
        <w:rPr>
          <w:rFonts w:ascii="Times New Roman" w:hAnsi="Times New Roman" w:cs="Times New Roman" w:eastAsia="Times New Roman" w:hint="default"/>
        </w:rPr>
        <w:t>C3</w:t>
      </w:r>
      <w:r>
        <w:rPr/>
        <w:t>物联通道管控智能终端及子系统整体解决方案</w:t>
      </w:r>
      <w:r>
        <w:rPr>
          <w:b w:val="0"/>
          <w:bCs w:val="0"/>
        </w:rPr>
      </w:r>
    </w:p>
    <w:p>
      <w:pPr>
        <w:spacing w:line="240" w:lineRule="auto" w:before="10"/>
        <w:rPr>
          <w:rFonts w:ascii="宋体" w:hAnsi="宋体" w:cs="宋体" w:eastAsia="宋体" w:hint="default"/>
          <w:b/>
          <w:bCs/>
          <w:sz w:val="16"/>
          <w:szCs w:val="16"/>
        </w:rPr>
      </w:pPr>
    </w:p>
    <w:p>
      <w:pPr>
        <w:pStyle w:val="BodyText"/>
        <w:spacing w:line="456" w:lineRule="auto"/>
        <w:ind w:right="0" w:firstLine="420"/>
        <w:jc w:val="left"/>
      </w:pPr>
      <w:r>
        <w:rPr>
          <w:rFonts w:ascii="Times New Roman" w:hAnsi="Times New Roman" w:cs="Times New Roman" w:eastAsia="Times New Roman" w:hint="default"/>
          <w:spacing w:val="-2"/>
        </w:rPr>
        <w:t>C3</w:t>
      </w:r>
      <w:r>
        <w:rPr>
          <w:spacing w:val="-2"/>
        </w:rPr>
        <w:t>物联网智能终端整体解决方案基于移动互联网、</w:t>
      </w:r>
      <w:r>
        <w:rPr>
          <w:rFonts w:ascii="Times New Roman" w:hAnsi="Times New Roman" w:cs="Times New Roman" w:eastAsia="Times New Roman" w:hint="default"/>
          <w:spacing w:val="-2"/>
        </w:rPr>
        <w:t>AI</w:t>
      </w:r>
      <w:r>
        <w:rPr>
          <w:spacing w:val="-2"/>
        </w:rPr>
        <w:t>大数据分析、</w:t>
      </w:r>
      <w:r>
        <w:rPr>
          <w:rFonts w:ascii="Times New Roman" w:hAnsi="Times New Roman" w:cs="Times New Roman" w:eastAsia="Times New Roman" w:hint="default"/>
          <w:spacing w:val="-2"/>
        </w:rPr>
        <w:t>AI</w:t>
      </w:r>
      <w:r>
        <w:rPr>
          <w:spacing w:val="-2"/>
        </w:rPr>
        <w:t>智能图像识别等技术应用及蓝牙、</w:t>
      </w:r>
      <w:r>
        <w:rPr>
          <w:rFonts w:ascii="Times New Roman" w:hAnsi="Times New Roman" w:cs="Times New Roman" w:eastAsia="Times New Roman" w:hint="default"/>
          <w:spacing w:val="-2"/>
        </w:rPr>
        <w:t>WIFI</w:t>
      </w:r>
      <w:r>
        <w:rPr>
          <w:spacing w:val="-2"/>
        </w:rPr>
        <w:t>、</w:t>
      </w:r>
      <w:r>
        <w:rPr>
          <w:rFonts w:ascii="Times New Roman" w:hAnsi="Times New Roman" w:cs="Times New Roman" w:eastAsia="Times New Roman" w:hint="default"/>
          <w:spacing w:val="-2"/>
        </w:rPr>
        <w:t>NB-IoT</w:t>
      </w:r>
      <w:r>
        <w:rPr>
          <w:rFonts w:ascii="Times New Roman" w:hAnsi="Times New Roman" w:cs="Times New Roman" w:eastAsia="Times New Roman" w:hint="default"/>
          <w:w w:val="99"/>
        </w:rPr>
        <w:t> </w:t>
      </w:r>
      <w:r>
        <w:rPr/>
        <w:t>窄带物联网技术研发，包含公司自主研发的</w:t>
      </w:r>
      <w:r>
        <w:rPr>
          <w:rFonts w:ascii="Times New Roman" w:hAnsi="Times New Roman" w:cs="Times New Roman" w:eastAsia="Times New Roman" w:hint="default"/>
        </w:rPr>
        <w:t>C3</w:t>
      </w:r>
      <w:r>
        <w:rPr/>
        <w:t>物联网智能终端云平台及智能终端产品。平台按照</w:t>
      </w:r>
      <w:r>
        <w:rPr>
          <w:rFonts w:ascii="Times New Roman" w:hAnsi="Times New Roman" w:cs="Times New Roman" w:eastAsia="Times New Roman" w:hint="default"/>
        </w:rPr>
        <w:t>“</w:t>
      </w:r>
      <w:r>
        <w:rPr/>
        <w:t>集中管理、统一控制</w:t>
      </w:r>
      <w:r>
        <w:rPr>
          <w:rFonts w:ascii="Times New Roman" w:hAnsi="Times New Roman" w:cs="Times New Roman" w:eastAsia="Times New Roman" w:hint="default"/>
        </w:rPr>
        <w:t>”</w:t>
      </w:r>
      <w:r>
        <w:rPr/>
        <w:t>的 设计理念，采用</w:t>
      </w:r>
      <w:r>
        <w:rPr>
          <w:rFonts w:ascii="Times New Roman" w:hAnsi="Times New Roman" w:cs="Times New Roman" w:eastAsia="Times New Roman" w:hint="default"/>
        </w:rPr>
        <w:t>“</w:t>
      </w:r>
      <w:r>
        <w:rPr/>
        <w:t>平台</w:t>
      </w:r>
      <w:r>
        <w:rPr>
          <w:rFonts w:ascii="Times New Roman" w:hAnsi="Times New Roman" w:cs="Times New Roman" w:eastAsia="Times New Roman" w:hint="default"/>
        </w:rPr>
        <w:t>+</w:t>
      </w:r>
      <w:r>
        <w:rPr/>
        <w:t>应用</w:t>
      </w:r>
      <w:r>
        <w:rPr>
          <w:rFonts w:ascii="Times New Roman" w:hAnsi="Times New Roman" w:cs="Times New Roman" w:eastAsia="Times New Roman" w:hint="default"/>
        </w:rPr>
        <w:t>”</w:t>
      </w:r>
      <w:r>
        <w:rPr/>
        <w:t>的</w:t>
      </w:r>
      <w:r>
        <w:rPr>
          <w:rFonts w:ascii="Times New Roman" w:hAnsi="Times New Roman" w:cs="Times New Roman" w:eastAsia="Times New Roman" w:hint="default"/>
        </w:rPr>
        <w:t>1+N</w:t>
      </w:r>
      <w:r>
        <w:rPr/>
        <w:t>架构，通过部署智能终端云平台及智能终端本地管理平台相结合的方式，实现对建筑自 用智能终端应用、物业智能终端应用、租户智能终端应用的集中管理、统一控制，以实现</w:t>
      </w:r>
      <w:r>
        <w:rPr>
          <w:rFonts w:ascii="Times New Roman" w:hAnsi="Times New Roman" w:cs="Times New Roman" w:eastAsia="Times New Roman" w:hint="default"/>
        </w:rPr>
        <w:t>“</w:t>
      </w:r>
      <w:r>
        <w:rPr/>
        <w:t>安全控制、方便管理、人性化服 务</w:t>
      </w:r>
      <w:r>
        <w:rPr>
          <w:rFonts w:ascii="Times New Roman" w:hAnsi="Times New Roman" w:cs="Times New Roman" w:eastAsia="Times New Roman" w:hint="default"/>
        </w:rPr>
        <w:t>”</w:t>
      </w:r>
      <w:r>
        <w:rPr/>
        <w:t>等目标，根据各用户的不同管理要求进行智能终端管理系统建设，定制化为建筑智能管理提供辅助手段，采用自主研发 </w:t>
      </w:r>
      <w:r>
        <w:rPr>
          <w:spacing w:val="-2"/>
        </w:rPr>
        <w:t>的通行、门禁、消费等一卡通终端产品，支持建筑内不同区域间多种方式无感通行、便捷消费，为物业人员、入驻企业和内</w:t>
      </w:r>
      <w:r>
        <w:rPr>
          <w:spacing w:val="-68"/>
        </w:rPr>
        <w:t> </w:t>
      </w:r>
      <w:r>
        <w:rPr>
          <w:spacing w:val="-68"/>
        </w:rPr>
      </w:r>
      <w:r>
        <w:rPr/>
        <w:t>部人员提供人性化、高体验感、可扩展、可迭代的智慧体验。</w:t>
      </w:r>
    </w:p>
    <w:p>
      <w:pPr>
        <w:spacing w:after="0" w:line="456" w:lineRule="auto"/>
        <w:jc w:val="left"/>
        <w:sectPr>
          <w:pgSz w:w="11910" w:h="16840"/>
          <w:pgMar w:header="745" w:footer="980" w:top="1060" w:bottom="1160" w:left="980" w:right="0"/>
        </w:sectPr>
      </w:pPr>
    </w:p>
    <w:p>
      <w:pPr>
        <w:spacing w:line="240" w:lineRule="auto" w:before="8"/>
        <w:rPr>
          <w:rFonts w:ascii="宋体" w:hAnsi="宋体" w:cs="宋体" w:eastAsia="宋体" w:hint="default"/>
          <w:sz w:val="28"/>
          <w:szCs w:val="28"/>
        </w:rPr>
      </w:pPr>
    </w:p>
    <w:p>
      <w:pPr>
        <w:spacing w:line="6857" w:lineRule="exact"/>
        <w:ind w:left="846" w:right="0" w:firstLine="0"/>
        <w:rPr>
          <w:rFonts w:ascii="宋体" w:hAnsi="宋体" w:cs="宋体" w:eastAsia="宋体" w:hint="default"/>
          <w:sz w:val="20"/>
          <w:szCs w:val="20"/>
        </w:rPr>
      </w:pPr>
      <w:r>
        <w:rPr>
          <w:rFonts w:ascii="宋体" w:hAnsi="宋体" w:cs="宋体" w:eastAsia="宋体" w:hint="default"/>
          <w:position w:val="-136"/>
          <w:sz w:val="20"/>
          <w:szCs w:val="20"/>
        </w:rPr>
        <w:drawing>
          <wp:inline distT="0" distB="0" distL="0" distR="0">
            <wp:extent cx="5240096" cy="4354258"/>
            <wp:effectExtent l="0" t="0" r="0" b="0"/>
            <wp:docPr id="7" name="image5.jpeg" descr=""/>
            <wp:cNvGraphicFramePr>
              <a:graphicFrameLocks noChangeAspect="1"/>
            </wp:cNvGraphicFramePr>
            <a:graphic>
              <a:graphicData uri="http://schemas.openxmlformats.org/drawingml/2006/picture">
                <pic:pic>
                  <pic:nvPicPr>
                    <pic:cNvPr id="8" name="image5.jpeg"/>
                    <pic:cNvPicPr/>
                  </pic:nvPicPr>
                  <pic:blipFill>
                    <a:blip r:embed="rId14" cstate="print"/>
                    <a:stretch>
                      <a:fillRect/>
                    </a:stretch>
                  </pic:blipFill>
                  <pic:spPr>
                    <a:xfrm>
                      <a:off x="0" y="0"/>
                      <a:ext cx="5240096" cy="4354258"/>
                    </a:xfrm>
                    <a:prstGeom prst="rect">
                      <a:avLst/>
                    </a:prstGeom>
                  </pic:spPr>
                </pic:pic>
              </a:graphicData>
            </a:graphic>
          </wp:inline>
        </w:drawing>
      </w:r>
      <w:r>
        <w:rPr>
          <w:rFonts w:ascii="宋体" w:hAnsi="宋体" w:cs="宋体" w:eastAsia="宋体" w:hint="default"/>
          <w:position w:val="-136"/>
          <w:sz w:val="20"/>
          <w:szCs w:val="20"/>
        </w:rPr>
      </w:r>
    </w:p>
    <w:p>
      <w:pPr>
        <w:spacing w:line="451" w:lineRule="auto" w:before="93"/>
        <w:ind w:left="573" w:right="1153" w:hanging="42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、能源管控终端及子系统解决方案</w:t>
      </w:r>
      <w:r>
        <w:rPr>
          <w:rFonts w:ascii="宋体" w:hAnsi="宋体" w:cs="宋体" w:eastAsia="宋体" w:hint="default"/>
          <w:b/>
          <w:bCs/>
          <w:w w:val="99"/>
          <w:sz w:val="18"/>
          <w:szCs w:val="18"/>
        </w:rPr>
        <w:t> </w:t>
      </w:r>
      <w:r>
        <w:rPr>
          <w:rFonts w:ascii="宋体" w:hAnsi="宋体" w:cs="宋体" w:eastAsia="宋体" w:hint="default"/>
          <w:sz w:val="18"/>
          <w:szCs w:val="18"/>
        </w:rPr>
        <w:t>采用群控控制、负荷预测、风水联动、寻优控制等核心技术，广泛应用于工厂、医院、机场、地铁站、商场、写字楼</w:t>
      </w:r>
    </w:p>
    <w:p>
      <w:pPr>
        <w:pStyle w:val="BodyText"/>
        <w:spacing w:line="477" w:lineRule="auto" w:before="74"/>
        <w:ind w:right="1135"/>
        <w:jc w:val="both"/>
      </w:pPr>
      <w:r>
        <w:rPr>
          <w:spacing w:val="-2"/>
        </w:rPr>
        <w:t>等，以模块式控制箱（柜）为产品单元，集强弱电控制与管理于一体，通过中央空调冷热站及末端的设备优化控制，提高系</w:t>
      </w:r>
      <w:r>
        <w:rPr>
          <w:spacing w:val="-70"/>
        </w:rPr>
        <w:t> </w:t>
      </w:r>
      <w:r>
        <w:rPr>
          <w:spacing w:val="-70"/>
        </w:rPr>
      </w:r>
      <w:r>
        <w:rPr/>
        <w:t>统制冷效率。</w:t>
      </w:r>
    </w:p>
    <w:p>
      <w:pPr>
        <w:spacing w:line="451" w:lineRule="auto" w:before="54"/>
        <w:ind w:left="573" w:right="1153" w:hanging="42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、手术室管控终端及子系统解决方案</w:t>
      </w:r>
      <w:r>
        <w:rPr>
          <w:rFonts w:ascii="宋体" w:hAnsi="宋体" w:cs="宋体" w:eastAsia="宋体" w:hint="default"/>
          <w:b/>
          <w:bCs/>
          <w:w w:val="99"/>
          <w:sz w:val="18"/>
          <w:szCs w:val="18"/>
        </w:rPr>
        <w:t> </w:t>
      </w:r>
      <w:r>
        <w:rPr>
          <w:rFonts w:ascii="宋体" w:hAnsi="宋体" w:cs="宋体" w:eastAsia="宋体" w:hint="default"/>
          <w:sz w:val="18"/>
          <w:szCs w:val="18"/>
        </w:rPr>
        <w:t>采用</w:t>
      </w:r>
      <w:r>
        <w:rPr>
          <w:rFonts w:ascii="Times New Roman" w:hAnsi="Times New Roman" w:cs="Times New Roman" w:eastAsia="Times New Roman" w:hint="default"/>
          <w:sz w:val="18"/>
          <w:szCs w:val="18"/>
        </w:rPr>
        <w:t>J2EE</w:t>
      </w:r>
      <w:r>
        <w:rPr>
          <w:rFonts w:ascii="宋体" w:hAnsi="宋体" w:cs="宋体" w:eastAsia="宋体" w:hint="default"/>
          <w:sz w:val="18"/>
          <w:szCs w:val="18"/>
        </w:rPr>
        <w:t>分布式系统架构设计，医疗大数据底层支撑，</w:t>
      </w:r>
      <w:r>
        <w:rPr>
          <w:rFonts w:ascii="Times New Roman" w:hAnsi="Times New Roman" w:cs="Times New Roman" w:eastAsia="Times New Roman" w:hint="default"/>
          <w:sz w:val="18"/>
          <w:szCs w:val="18"/>
        </w:rPr>
        <w:t>NLP</w:t>
      </w:r>
      <w:r>
        <w:rPr>
          <w:rFonts w:ascii="宋体" w:hAnsi="宋体" w:cs="宋体" w:eastAsia="宋体" w:hint="default"/>
          <w:sz w:val="18"/>
          <w:szCs w:val="18"/>
        </w:rPr>
        <w:t>自然语言学习、搜索技术以及分布式数据库和运算、知识</w:t>
      </w:r>
    </w:p>
    <w:p>
      <w:pPr>
        <w:pStyle w:val="BodyText"/>
        <w:spacing w:line="477" w:lineRule="auto" w:before="43"/>
        <w:ind w:right="1130"/>
        <w:jc w:val="both"/>
      </w:pPr>
      <w:r>
        <w:rPr>
          <w:spacing w:val="-2"/>
        </w:rPr>
        <w:t>图谱、语义识别和数据挖掘模型，数据通讯中间件，通过整合各类手术室医疗资源和加强手术室业务流程管理，全面提升围</w:t>
      </w:r>
      <w:r>
        <w:rPr>
          <w:spacing w:val="-63"/>
        </w:rPr>
        <w:t> </w:t>
      </w:r>
      <w:r>
        <w:rPr>
          <w:spacing w:val="-63"/>
        </w:rPr>
      </w:r>
      <w:r>
        <w:rPr>
          <w:spacing w:val="-2"/>
        </w:rPr>
        <w:t>手术期的医疗安全、医疗质量和整体效益，实现医院各信息系统的互联互通，及多角度、多维度患者诊疗信息的集中展示与</w:t>
      </w:r>
      <w:r>
        <w:rPr>
          <w:spacing w:val="-64"/>
        </w:rPr>
        <w:t> </w:t>
      </w:r>
      <w:r>
        <w:rPr>
          <w:spacing w:val="-64"/>
        </w:rPr>
      </w:r>
      <w:r>
        <w:rPr/>
        <w:t>数据分析。</w:t>
      </w:r>
    </w:p>
    <w:p>
      <w:pPr>
        <w:spacing w:line="451" w:lineRule="auto" w:before="55"/>
        <w:ind w:left="573" w:right="1153" w:hanging="42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5</w:t>
      </w:r>
      <w:r>
        <w:rPr>
          <w:rFonts w:ascii="宋体" w:hAnsi="宋体" w:cs="宋体" w:eastAsia="宋体" w:hint="default"/>
          <w:b/>
          <w:bCs/>
          <w:sz w:val="18"/>
          <w:szCs w:val="18"/>
        </w:rPr>
        <w:t>、医院信息化平台及区域医疗信息化平台系统</w:t>
      </w:r>
      <w:r>
        <w:rPr>
          <w:rFonts w:ascii="宋体" w:hAnsi="宋体" w:cs="宋体" w:eastAsia="宋体" w:hint="default"/>
          <w:b/>
          <w:bCs/>
          <w:w w:val="99"/>
          <w:sz w:val="18"/>
          <w:szCs w:val="18"/>
        </w:rPr>
        <w:t> </w:t>
      </w:r>
      <w:r>
        <w:rPr>
          <w:rFonts w:ascii="宋体" w:hAnsi="宋体" w:cs="宋体" w:eastAsia="宋体" w:hint="default"/>
          <w:sz w:val="18"/>
          <w:szCs w:val="18"/>
        </w:rPr>
        <w:t>依托电子健康档案和电子病历，支撑公共卫生、医疗服务、医疗保障、药品管理、计划生育、综合管理等多项业务应</w:t>
      </w:r>
    </w:p>
    <w:p>
      <w:pPr>
        <w:pStyle w:val="BodyText"/>
        <w:spacing w:line="477" w:lineRule="auto" w:before="74"/>
        <w:ind w:right="1135"/>
        <w:jc w:val="both"/>
      </w:pPr>
      <w:r>
        <w:rPr>
          <w:spacing w:val="-2"/>
        </w:rPr>
        <w:t>用，构建电子健康档案数据库、电子病历数据库、全员人口个案数据库等，建立一个安全的卫生网络，加强卫生标准体系和</w:t>
      </w:r>
      <w:r>
        <w:rPr>
          <w:spacing w:val="-67"/>
        </w:rPr>
        <w:t> </w:t>
      </w:r>
      <w:r>
        <w:rPr>
          <w:spacing w:val="-67"/>
        </w:rPr>
      </w:r>
      <w:r>
        <w:rPr/>
        <w:t>安全体系建设。</w:t>
      </w:r>
    </w:p>
    <w:p>
      <w:pPr>
        <w:pStyle w:val="Heading6"/>
        <w:spacing w:line="477" w:lineRule="auto" w:before="54"/>
        <w:ind w:right="7321"/>
        <w:jc w:val="left"/>
        <w:rPr>
          <w:b w:val="0"/>
          <w:bCs w:val="0"/>
        </w:rPr>
      </w:pPr>
      <w:r>
        <w:rPr/>
        <w:t>二、细分市场智能物联网整体解决方案产品</w:t>
      </w:r>
      <w:r>
        <w:rPr>
          <w:w w:val="99"/>
        </w:rPr>
        <w:t> </w:t>
      </w:r>
      <w:r>
        <w:rPr>
          <w:rFonts w:ascii="宋体" w:hAnsi="宋体" w:cs="宋体" w:eastAsia="宋体" w:hint="default"/>
        </w:rPr>
        <w:t>1</w:t>
      </w:r>
      <w:r>
        <w:rPr/>
        <w:t>、智慧医疗</w:t>
      </w:r>
      <w:r>
        <w:rPr>
          <w:b w:val="0"/>
          <w:bCs w:val="0"/>
        </w:rPr>
      </w:r>
    </w:p>
    <w:p>
      <w:pPr>
        <w:spacing w:after="0" w:line="477" w:lineRule="auto"/>
        <w:jc w:val="left"/>
        <w:sectPr>
          <w:pgSz w:w="11910" w:h="16840"/>
          <w:pgMar w:header="745" w:footer="980" w:top="1060" w:bottom="1160" w:left="980" w:right="0"/>
        </w:sect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5"/>
          <w:szCs w:val="15"/>
        </w:rPr>
      </w:pPr>
    </w:p>
    <w:p>
      <w:pPr>
        <w:pStyle w:val="BodyText"/>
        <w:spacing w:line="477" w:lineRule="auto"/>
        <w:ind w:right="1129" w:firstLine="420"/>
        <w:jc w:val="both"/>
      </w:pPr>
      <w:r>
        <w:rPr/>
        <w:t>依托自主研发的</w:t>
      </w:r>
      <w:r>
        <w:rPr>
          <w:rFonts w:ascii="宋体" w:hAnsi="宋体" w:cs="宋体" w:eastAsia="宋体" w:hint="default"/>
        </w:rPr>
        <w:t>AIoT</w:t>
      </w:r>
      <w:r>
        <w:rPr/>
        <w:t>智能物联网管控平台、智慧医院综合管理平台、手术室智慧管理系统及医院临床辅助决策支持系 统，提供覆盖医院全范围全流程全场景的涵盖医院能源</w:t>
      </w:r>
      <w:r>
        <w:rPr>
          <w:rFonts w:ascii="宋体" w:hAnsi="宋体" w:cs="宋体" w:eastAsia="宋体" w:hint="default"/>
        </w:rPr>
        <w:t>IoT</w:t>
      </w:r>
      <w:r>
        <w:rPr/>
        <w:t>大数据管理及后勤运营管理服务的</w:t>
      </w:r>
      <w:r>
        <w:rPr>
          <w:rFonts w:ascii="宋体" w:hAnsi="宋体" w:cs="宋体" w:eastAsia="宋体" w:hint="default"/>
        </w:rPr>
        <w:t>AIoT</w:t>
      </w:r>
      <w:r>
        <w:rPr/>
        <w:t>智能物联整体解决方案， </w:t>
      </w:r>
      <w:r>
        <w:rPr>
          <w:spacing w:val="-2"/>
        </w:rPr>
        <w:t>致力于打造数字孪生的智慧医院，实现医院内部万物互联，为医院经营管理、医院临床服务、患者监护提供一体化服务；同</w:t>
      </w:r>
      <w:r>
        <w:rPr>
          <w:spacing w:val="-67"/>
        </w:rPr>
        <w:t> </w:t>
      </w:r>
      <w:r>
        <w:rPr>
          <w:spacing w:val="-67"/>
        </w:rPr>
      </w:r>
      <w:r>
        <w:rPr>
          <w:spacing w:val="-2"/>
        </w:rPr>
        <w:t>时提供涵盖医疗卫生信息平台、互联网医院、远程医疗</w:t>
      </w:r>
      <w:r>
        <w:rPr>
          <w:rFonts w:ascii="宋体" w:hAnsi="宋体" w:cs="宋体" w:eastAsia="宋体" w:hint="default"/>
          <w:spacing w:val="-2"/>
        </w:rPr>
        <w:t>(</w:t>
      </w:r>
      <w:r>
        <w:rPr>
          <w:spacing w:val="-2"/>
        </w:rPr>
        <w:t>会诊</w:t>
      </w:r>
      <w:r>
        <w:rPr>
          <w:rFonts w:ascii="宋体" w:hAnsi="宋体" w:cs="宋体" w:eastAsia="宋体" w:hint="default"/>
          <w:spacing w:val="-2"/>
        </w:rPr>
        <w:t>)</w:t>
      </w:r>
      <w:r>
        <w:rPr>
          <w:spacing w:val="-2"/>
        </w:rPr>
        <w:t>等多系统的城市级区域医疗卫生信息一体化集成解决方案，并</w:t>
      </w:r>
      <w:r>
        <w:rPr>
          <w:spacing w:val="-61"/>
        </w:rPr>
        <w:t> </w:t>
      </w:r>
      <w:r>
        <w:rPr>
          <w:spacing w:val="-61"/>
        </w:rPr>
      </w:r>
      <w:r>
        <w:rPr>
          <w:spacing w:val="-2"/>
        </w:rPr>
        <w:t>基于人口健康信息开发针对居民和第三方机构的大数据应用和增值服务。一方面有效减少医院管理上的数据死角，为医院管</w:t>
      </w:r>
      <w:r>
        <w:rPr>
          <w:spacing w:val="-63"/>
        </w:rPr>
        <w:t> </w:t>
      </w:r>
      <w:r>
        <w:rPr>
          <w:spacing w:val="-63"/>
        </w:rPr>
      </w:r>
      <w:r>
        <w:rPr>
          <w:spacing w:val="-2"/>
        </w:rPr>
        <w:t>理提供更为全面的数据集合，实现对医院医疗、运营、后勤的有效监管与科学决策，一方面解决区域内医疗卫生机构互联互</w:t>
      </w:r>
      <w:r>
        <w:rPr>
          <w:spacing w:val="-64"/>
        </w:rPr>
        <w:t> </w:t>
      </w:r>
      <w:r>
        <w:rPr>
          <w:spacing w:val="-64"/>
        </w:rPr>
      </w:r>
      <w:r>
        <w:rPr>
          <w:spacing w:val="-2"/>
        </w:rPr>
        <w:t>通、电子病例、居民健康档案、处方、检验、检查、用药等医疗数据共享和医疗资源配置问题。公司智慧医疗领域业务总体</w:t>
      </w:r>
      <w:r>
        <w:rPr>
          <w:spacing w:val="-71"/>
        </w:rPr>
        <w:t> </w:t>
      </w:r>
      <w:r>
        <w:rPr>
          <w:spacing w:val="-71"/>
        </w:rPr>
      </w:r>
      <w:r>
        <w:rPr/>
        <w:t>毛利较高，近年营业收入占总体比重逐步增加，</w:t>
      </w:r>
      <w:r>
        <w:rPr>
          <w:rFonts w:ascii="宋体" w:hAnsi="宋体" w:cs="宋体" w:eastAsia="宋体" w:hint="default"/>
        </w:rPr>
        <w:t>2019</w:t>
      </w:r>
      <w:r>
        <w:rPr/>
        <w:t>年度实现收入</w:t>
      </w:r>
      <w:r>
        <w:rPr>
          <w:rFonts w:ascii="宋体" w:hAnsi="宋体" w:cs="宋体" w:eastAsia="宋体" w:hint="default"/>
        </w:rPr>
        <w:t>9.04</w:t>
      </w:r>
      <w:r>
        <w:rPr/>
        <w:t>亿，占比</w:t>
      </w:r>
      <w:r>
        <w:rPr>
          <w:rFonts w:ascii="宋体" w:hAnsi="宋体" w:cs="宋体" w:eastAsia="宋体" w:hint="default"/>
        </w:rPr>
        <w:t>41.00%</w:t>
      </w:r>
      <w:r>
        <w:rPr/>
        <w:t>。</w:t>
      </w:r>
    </w:p>
    <w:p>
      <w:pPr>
        <w:pStyle w:val="Heading6"/>
        <w:spacing w:line="240" w:lineRule="auto" w:before="55"/>
        <w:ind w:right="1133"/>
        <w:jc w:val="left"/>
        <w:rPr>
          <w:b w:val="0"/>
          <w:bCs w:val="0"/>
        </w:rPr>
      </w:pPr>
      <w:r>
        <w:rPr>
          <w:rFonts w:ascii="宋体" w:hAnsi="宋体" w:cs="宋体" w:eastAsia="宋体" w:hint="default"/>
        </w:rPr>
        <w:t>2</w:t>
      </w:r>
      <w:r>
        <w:rPr/>
        <w:t>、智慧交通</w:t>
      </w:r>
      <w:r>
        <w:rPr>
          <w:b w:val="0"/>
          <w:bCs w:val="0"/>
        </w:rPr>
      </w:r>
    </w:p>
    <w:p>
      <w:pPr>
        <w:spacing w:line="240" w:lineRule="auto" w:before="10"/>
        <w:rPr>
          <w:rFonts w:ascii="宋体" w:hAnsi="宋体" w:cs="宋体" w:eastAsia="宋体" w:hint="default"/>
          <w:b/>
          <w:bCs/>
          <w:sz w:val="17"/>
          <w:szCs w:val="17"/>
        </w:rPr>
      </w:pPr>
    </w:p>
    <w:p>
      <w:pPr>
        <w:pStyle w:val="BodyText"/>
        <w:spacing w:line="477" w:lineRule="auto"/>
        <w:ind w:right="1034" w:firstLine="420"/>
        <w:jc w:val="left"/>
      </w:pPr>
      <w:r>
        <w:rPr>
          <w:spacing w:val="-5"/>
        </w:rPr>
        <w:t>基于公司自主研发的“</w:t>
      </w:r>
      <w:r>
        <w:rPr>
          <w:rFonts w:ascii="宋体" w:hAnsi="宋体" w:cs="宋体" w:eastAsia="宋体" w:hint="default"/>
          <w:spacing w:val="-5"/>
        </w:rPr>
        <w:t>AI+</w:t>
      </w:r>
      <w:r>
        <w:rPr>
          <w:spacing w:val="-5"/>
        </w:rPr>
        <w:t>物联网”及“</w:t>
      </w:r>
      <w:r>
        <w:rPr>
          <w:rFonts w:ascii="宋体" w:hAnsi="宋体" w:cs="宋体" w:eastAsia="宋体" w:hint="default"/>
          <w:spacing w:val="-5"/>
        </w:rPr>
        <w:t>AI+</w:t>
      </w:r>
      <w:r>
        <w:rPr>
          <w:spacing w:val="-5"/>
        </w:rPr>
        <w:t>大数据”产品，面向城市轨道交通提供涵盖轨道交通综合监控系统（</w:t>
      </w:r>
      <w:r>
        <w:rPr>
          <w:rFonts w:ascii="宋体" w:hAnsi="宋体" w:cs="宋体" w:eastAsia="宋体" w:hint="default"/>
          <w:spacing w:val="-5"/>
        </w:rPr>
        <w:t>ISCS</w:t>
      </w:r>
      <w:r>
        <w:rPr>
          <w:spacing w:val="-5"/>
        </w:rPr>
        <w:t>）、</w:t>
      </w:r>
      <w:r>
        <w:rPr>
          <w:spacing w:val="-34"/>
        </w:rPr>
        <w:t> </w:t>
      </w:r>
      <w:r>
        <w:rPr/>
        <w:t>自动售检票系统（</w:t>
      </w:r>
      <w:r>
        <w:rPr>
          <w:rFonts w:ascii="宋体" w:hAnsi="宋体" w:cs="宋体" w:eastAsia="宋体" w:hint="default"/>
        </w:rPr>
        <w:t>AFC</w:t>
      </w:r>
      <w:r>
        <w:rPr/>
        <w:t>）、综合安防系统（ </w:t>
      </w:r>
      <w:r>
        <w:rPr>
          <w:rFonts w:ascii="宋体" w:hAnsi="宋体" w:cs="宋体" w:eastAsia="宋体" w:hint="default"/>
        </w:rPr>
        <w:t>ISDS </w:t>
      </w:r>
      <w:r>
        <w:rPr/>
        <w:t>）、乘客资讯系统（</w:t>
      </w:r>
      <w:r>
        <w:rPr>
          <w:rFonts w:ascii="宋体" w:hAnsi="宋体" w:cs="宋体" w:eastAsia="宋体" w:hint="default"/>
        </w:rPr>
        <w:t>PIS</w:t>
      </w:r>
      <w:r>
        <w:rPr/>
        <w:t>）、地铁信号系统（</w:t>
      </w:r>
      <w:r>
        <w:rPr>
          <w:rFonts w:ascii="宋体" w:hAnsi="宋体" w:cs="宋体" w:eastAsia="宋体" w:hint="default"/>
        </w:rPr>
        <w:t>SIG</w:t>
      </w:r>
      <w:r>
        <w:rPr/>
        <w:t>）、地铁环境节能控制系 统（</w:t>
      </w:r>
      <w:r>
        <w:rPr>
          <w:rFonts w:ascii="宋体" w:hAnsi="宋体" w:cs="宋体" w:eastAsia="宋体" w:hint="default"/>
        </w:rPr>
        <w:t>EMC</w:t>
      </w:r>
      <w:r>
        <w:rPr/>
        <w:t>）、轨道交通关联智能化系统、轨道交通关联信息化系统、相关配套建筑（交通枢纽、控制中心、车辆段、车场、 </w:t>
      </w:r>
      <w:r>
        <w:rPr>
          <w:spacing w:val="-2"/>
        </w:rPr>
        <w:t>地铁大厦、地下空间、上盖物业等）智能化系统、轨道交通相关维保服务等多项智能化及节能综合解决方案，实现地铁轨道</w:t>
      </w:r>
      <w:r>
        <w:rPr>
          <w:spacing w:val="-67"/>
        </w:rPr>
        <w:t> </w:t>
      </w:r>
      <w:r>
        <w:rPr>
          <w:spacing w:val="-67"/>
        </w:rPr>
      </w:r>
      <w:r>
        <w:rPr>
          <w:spacing w:val="-2"/>
        </w:rPr>
        <w:t>交通信息的互联互通与协同，为乘客提供安全、舒适、便捷的智能化出行环境。并与腾讯、银联等行业巨头开展合作，共同</w:t>
      </w:r>
      <w:r>
        <w:rPr>
          <w:spacing w:val="-68"/>
        </w:rPr>
        <w:t> </w:t>
      </w:r>
      <w:r>
        <w:rPr>
          <w:spacing w:val="-68"/>
        </w:rPr>
      </w:r>
      <w:r>
        <w:rPr>
          <w:spacing w:val="-2"/>
        </w:rPr>
        <w:t>打造绿色、智慧的高品质城市交通综合运营体系，构建开放共赢的智慧交通产业生态链。。</w:t>
      </w:r>
      <w:r>
        <w:rPr>
          <w:rFonts w:ascii="宋体" w:hAnsi="宋体" w:cs="宋体" w:eastAsia="宋体" w:hint="default"/>
          <w:spacing w:val="-2"/>
        </w:rPr>
        <w:t>2019</w:t>
      </w:r>
      <w:r>
        <w:rPr>
          <w:spacing w:val="-2"/>
        </w:rPr>
        <w:t>年度实现收入</w:t>
      </w:r>
      <w:r>
        <w:rPr>
          <w:rFonts w:ascii="宋体" w:hAnsi="宋体" w:cs="宋体" w:eastAsia="宋体" w:hint="default"/>
          <w:spacing w:val="-2"/>
        </w:rPr>
        <w:t>3.42</w:t>
      </w:r>
      <w:r>
        <w:rPr>
          <w:spacing w:val="-2"/>
        </w:rPr>
        <w:t>亿，占比</w:t>
      </w:r>
      <w:r>
        <w:rPr>
          <w:spacing w:val="-62"/>
        </w:rPr>
        <w:t> </w:t>
      </w:r>
      <w:r>
        <w:rPr>
          <w:spacing w:val="-62"/>
        </w:rPr>
      </w:r>
      <w:r>
        <w:rPr>
          <w:rFonts w:ascii="宋体" w:hAnsi="宋体" w:cs="宋体" w:eastAsia="宋体" w:hint="default"/>
        </w:rPr>
        <w:t>15.53%</w:t>
      </w:r>
      <w:r>
        <w:rPr/>
        <w:t>。</w:t>
      </w:r>
    </w:p>
    <w:p>
      <w:pPr>
        <w:pStyle w:val="Heading6"/>
        <w:spacing w:line="240" w:lineRule="auto" w:before="54"/>
        <w:ind w:right="1133"/>
        <w:jc w:val="left"/>
        <w:rPr>
          <w:b w:val="0"/>
          <w:bCs w:val="0"/>
        </w:rPr>
      </w:pPr>
      <w:r>
        <w:rPr>
          <w:rFonts w:ascii="宋体" w:hAnsi="宋体" w:cs="宋体" w:eastAsia="宋体" w:hint="default"/>
        </w:rPr>
        <w:t>3</w:t>
      </w:r>
      <w:r>
        <w:rPr/>
        <w:t>、数据中心</w:t>
      </w:r>
      <w:r>
        <w:rPr>
          <w:b w:val="0"/>
          <w:bCs w:val="0"/>
        </w:rPr>
      </w:r>
    </w:p>
    <w:p>
      <w:pPr>
        <w:spacing w:line="240" w:lineRule="auto" w:before="10"/>
        <w:rPr>
          <w:rFonts w:ascii="宋体" w:hAnsi="宋体" w:cs="宋体" w:eastAsia="宋体" w:hint="default"/>
          <w:b/>
          <w:bCs/>
          <w:sz w:val="17"/>
          <w:szCs w:val="17"/>
        </w:rPr>
      </w:pPr>
    </w:p>
    <w:p>
      <w:pPr>
        <w:pStyle w:val="BodyText"/>
        <w:spacing w:line="477" w:lineRule="auto"/>
        <w:ind w:right="0" w:firstLine="420"/>
        <w:jc w:val="left"/>
      </w:pPr>
      <w:r>
        <w:rPr/>
        <w:t>为数据中心建设提供面向办公区域基于</w:t>
      </w:r>
      <w:r>
        <w:rPr>
          <w:rFonts w:ascii="宋体" w:hAnsi="宋体" w:cs="宋体" w:eastAsia="宋体" w:hint="default"/>
        </w:rPr>
        <w:t>AIoT</w:t>
      </w:r>
      <w:r>
        <w:rPr/>
        <w:t>智能物联网管控平台的整体解决方案及面向机房涵盖咨询、规划设计、集 </w:t>
      </w:r>
      <w:r>
        <w:rPr>
          <w:spacing w:val="-2"/>
        </w:rPr>
        <w:t>成建设、运维管理以及测试验证等绿色数据中心全生命周期服务，并结合数据中心项目特殊性，通过采用自主研发的中央空</w:t>
      </w:r>
      <w:r>
        <w:rPr>
          <w:spacing w:val="-63"/>
        </w:rPr>
        <w:t> </w:t>
      </w:r>
      <w:r>
        <w:rPr>
          <w:spacing w:val="-63"/>
        </w:rPr>
      </w:r>
      <w:r>
        <w:rPr>
          <w:spacing w:val="-2"/>
        </w:rPr>
        <w:t>调节能控制系统、能源监测管理系统、个性化配备高能效的高频</w:t>
      </w:r>
      <w:r>
        <w:rPr>
          <w:rFonts w:ascii="宋体" w:hAnsi="宋体" w:cs="宋体" w:eastAsia="宋体" w:hint="default"/>
          <w:spacing w:val="-2"/>
        </w:rPr>
        <w:t>UPS</w:t>
      </w:r>
      <w:r>
        <w:rPr>
          <w:spacing w:val="-2"/>
        </w:rPr>
        <w:t>不间断电源系统等方式保证机房工作安全、高效、节能。</w:t>
      </w:r>
      <w:r>
        <w:rPr>
          <w:spacing w:val="-62"/>
        </w:rPr>
        <w:t> </w:t>
      </w:r>
      <w:r>
        <w:rPr>
          <w:spacing w:val="-62"/>
        </w:rPr>
      </w:r>
      <w:r>
        <w:rPr>
          <w:rFonts w:ascii="宋体" w:hAnsi="宋体" w:cs="宋体" w:eastAsia="宋体" w:hint="default"/>
        </w:rPr>
        <w:t>2019</w:t>
      </w:r>
      <w:r>
        <w:rPr/>
        <w:t>年度实现收入</w:t>
      </w:r>
      <w:r>
        <w:rPr>
          <w:rFonts w:ascii="宋体" w:hAnsi="宋体" w:cs="宋体" w:eastAsia="宋体" w:hint="default"/>
        </w:rPr>
        <w:t>3,927</w:t>
      </w:r>
      <w:r>
        <w:rPr/>
        <w:t>万元，占比</w:t>
      </w:r>
      <w:r>
        <w:rPr>
          <w:rFonts w:ascii="宋体" w:hAnsi="宋体" w:cs="宋体" w:eastAsia="宋体" w:hint="default"/>
        </w:rPr>
        <w:t>1.78%</w:t>
      </w:r>
      <w:r>
        <w:rPr/>
        <w:t>。</w:t>
      </w:r>
    </w:p>
    <w:p>
      <w:pPr>
        <w:pStyle w:val="Heading6"/>
        <w:spacing w:line="240" w:lineRule="auto" w:before="54"/>
        <w:ind w:right="1133"/>
        <w:jc w:val="left"/>
        <w:rPr>
          <w:b w:val="0"/>
          <w:bCs w:val="0"/>
        </w:rPr>
      </w:pPr>
      <w:r>
        <w:rPr>
          <w:rFonts w:ascii="宋体" w:hAnsi="宋体" w:cs="宋体" w:eastAsia="宋体" w:hint="default"/>
        </w:rPr>
        <w:t>4</w:t>
      </w:r>
      <w:r>
        <w:rPr/>
        <w:t>、智慧社区</w:t>
      </w:r>
      <w:r>
        <w:rPr>
          <w:b w:val="0"/>
          <w:bCs w:val="0"/>
        </w:rPr>
      </w:r>
    </w:p>
    <w:p>
      <w:pPr>
        <w:spacing w:line="240" w:lineRule="auto" w:before="10"/>
        <w:rPr>
          <w:rFonts w:ascii="宋体" w:hAnsi="宋体" w:cs="宋体" w:eastAsia="宋体" w:hint="default"/>
          <w:b/>
          <w:bCs/>
          <w:sz w:val="17"/>
          <w:szCs w:val="17"/>
        </w:rPr>
      </w:pPr>
    </w:p>
    <w:p>
      <w:pPr>
        <w:pStyle w:val="BodyText"/>
        <w:spacing w:line="477" w:lineRule="auto"/>
        <w:ind w:right="1133" w:firstLine="420"/>
        <w:jc w:val="both"/>
      </w:pPr>
      <w:r>
        <w:rPr/>
        <w:t>基于</w:t>
      </w:r>
      <w:r>
        <w:rPr>
          <w:rFonts w:ascii="宋体" w:hAnsi="宋体" w:cs="宋体" w:eastAsia="宋体" w:hint="default"/>
        </w:rPr>
        <w:t>AIoT</w:t>
      </w:r>
      <w:r>
        <w:rPr/>
        <w:t>智能物联网管控平台，面向综合社区个性化提供智能楼宇对讲系统、智慧综合安防系统、智能人车分流及停 </w:t>
      </w:r>
      <w:r>
        <w:rPr>
          <w:spacing w:val="-2"/>
        </w:rPr>
        <w:t>车收费管理系统、综合信息网络服务系统、智能物业管理信息化系统等，通过技术创新，精减管理人员，降低人力成本，大</w:t>
      </w:r>
      <w:r>
        <w:rPr>
          <w:spacing w:val="-70"/>
        </w:rPr>
        <w:t> </w:t>
      </w:r>
      <w:r>
        <w:rPr>
          <w:spacing w:val="-70"/>
        </w:rPr>
      </w:r>
      <w:r>
        <w:rPr>
          <w:spacing w:val="-2"/>
        </w:rPr>
        <w:t>幅提升社区安全系数，力求把项目建设成集智慧、绿色、安全、舒适、宜居的现代家园。公司智慧社区领域业务一直保持稳</w:t>
      </w:r>
      <w:r>
        <w:rPr>
          <w:spacing w:val="-68"/>
        </w:rPr>
        <w:t> </w:t>
      </w:r>
      <w:r>
        <w:rPr>
          <w:spacing w:val="-68"/>
        </w:rPr>
      </w:r>
      <w:r>
        <w:rPr/>
        <w:t>健发展，为公司提供强有力业绩保障，</w:t>
      </w:r>
      <w:r>
        <w:rPr>
          <w:rFonts w:ascii="宋体" w:hAnsi="宋体" w:cs="宋体" w:eastAsia="宋体" w:hint="default"/>
        </w:rPr>
        <w:t>2019</w:t>
      </w:r>
      <w:r>
        <w:rPr/>
        <w:t>年度实现收入</w:t>
      </w:r>
      <w:r>
        <w:rPr>
          <w:rFonts w:ascii="宋体" w:hAnsi="宋体" w:cs="宋体" w:eastAsia="宋体" w:hint="default"/>
        </w:rPr>
        <w:t>3.82</w:t>
      </w:r>
      <w:r>
        <w:rPr/>
        <w:t>亿元，占比</w:t>
      </w:r>
      <w:r>
        <w:rPr>
          <w:rFonts w:ascii="宋体" w:hAnsi="宋体" w:cs="宋体" w:eastAsia="宋体" w:hint="default"/>
        </w:rPr>
        <w:t>17.31%</w:t>
      </w:r>
      <w:r>
        <w:rPr/>
        <w:t>。</w:t>
      </w:r>
    </w:p>
    <w:p>
      <w:pPr>
        <w:pStyle w:val="BodyText"/>
        <w:spacing w:line="477" w:lineRule="auto" w:before="54"/>
        <w:ind w:left="573" w:right="1153" w:hanging="421"/>
        <w:jc w:val="left"/>
      </w:pPr>
      <w:r>
        <w:rPr>
          <w:rFonts w:ascii="宋体" w:hAnsi="宋体" w:cs="宋体" w:eastAsia="宋体" w:hint="default"/>
          <w:b/>
          <w:bCs/>
        </w:rPr>
        <w:t>5</w:t>
      </w:r>
      <w:r>
        <w:rPr>
          <w:rFonts w:ascii="宋体" w:hAnsi="宋体" w:cs="宋体" w:eastAsia="宋体" w:hint="default"/>
          <w:b/>
          <w:bCs/>
        </w:rPr>
        <w:t>、智慧建筑及节能</w:t>
      </w:r>
      <w:r>
        <w:rPr>
          <w:rFonts w:ascii="宋体" w:hAnsi="宋体" w:cs="宋体" w:eastAsia="宋体" w:hint="default"/>
          <w:b/>
          <w:bCs/>
          <w:w w:val="99"/>
        </w:rPr>
        <w:t> </w:t>
      </w:r>
      <w:r>
        <w:rPr/>
        <w:t>以自用总部大厦为标杆，采用数字孪生的建设理念，以数字化方式复制建筑，打通</w:t>
      </w:r>
      <w:r>
        <w:rPr>
          <w:rFonts w:ascii="宋体" w:hAnsi="宋体" w:cs="宋体" w:eastAsia="宋体" w:hint="default"/>
        </w:rPr>
        <w:t>BIM\IBMS\APP</w:t>
      </w:r>
      <w:r>
        <w:rPr/>
        <w:t>三大平台数据交互，</w:t>
      </w:r>
    </w:p>
    <w:p>
      <w:pPr>
        <w:pStyle w:val="BodyText"/>
        <w:spacing w:line="477" w:lineRule="auto" w:before="54"/>
        <w:ind w:right="0"/>
        <w:jc w:val="left"/>
      </w:pPr>
      <w:r>
        <w:rPr>
          <w:spacing w:val="-2"/>
        </w:rPr>
        <w:t>将大厦内的物、人、事件融为一体，形成孪生的数字虚拟模型，并在孪生数据建筑中，通过大数据分析，打造具有学习及预</w:t>
      </w:r>
      <w:r>
        <w:rPr>
          <w:spacing w:val="-67"/>
        </w:rPr>
        <w:t> </w:t>
      </w:r>
      <w:r>
        <w:rPr>
          <w:spacing w:val="-67"/>
        </w:rPr>
      </w:r>
      <w:r>
        <w:rPr>
          <w:spacing w:val="-4"/>
        </w:rPr>
        <w:t>判能力的</w:t>
      </w:r>
      <w:r>
        <w:rPr>
          <w:rFonts w:ascii="宋体" w:hAnsi="宋体" w:cs="宋体" w:eastAsia="宋体" w:hint="default"/>
          <w:spacing w:val="-4"/>
        </w:rPr>
        <w:t>AI</w:t>
      </w:r>
      <w:r>
        <w:rPr>
          <w:spacing w:val="-4"/>
        </w:rPr>
        <w:t>智慧大厦，实现计算资源及存储资源“云端化”，物联网设备接入“无限化”，软件平台及应用开发“开放化”，</w:t>
      </w:r>
    </w:p>
    <w:p>
      <w:pPr>
        <w:spacing w:after="0" w:line="477"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477" w:lineRule="auto"/>
        <w:ind w:right="1129"/>
        <w:jc w:val="left"/>
      </w:pPr>
      <w:r>
        <w:rPr>
          <w:spacing w:val="-2"/>
        </w:rPr>
        <w:t>借助人脸识别、声纹识别及指纹识别等生物识别技术，依托系统强大的大数据分析能力，在大楼内实现人车无感通行、设备</w:t>
      </w:r>
      <w:r>
        <w:rPr>
          <w:spacing w:val="-65"/>
        </w:rPr>
        <w:t> </w:t>
      </w:r>
      <w:r>
        <w:rPr>
          <w:spacing w:val="-65"/>
        </w:rPr>
      </w:r>
      <w:r>
        <w:rPr/>
        <w:t>无感控制、共享办公、移动运维、访客管理、环境控制等全方位无感体验。</w:t>
      </w:r>
    </w:p>
    <w:p>
      <w:pPr>
        <w:pStyle w:val="BodyText"/>
        <w:spacing w:line="477" w:lineRule="auto" w:before="54"/>
        <w:ind w:right="0" w:firstLine="420"/>
        <w:jc w:val="left"/>
      </w:pPr>
      <w:r>
        <w:rPr/>
        <w:t>结合达实智能自主研发的“达实能源监测管理系统”、“达实中央空调节能控制系统”和“达实水蓄冷节能系统”等 </w:t>
      </w:r>
      <w:r>
        <w:rPr>
          <w:spacing w:val="-2"/>
        </w:rPr>
        <w:t>系统及技术的综合应用，以物联感知、计量为基础，以实现供能服务数字化、智能化、绿色化为目标，建立智慧供能物联网</w:t>
      </w:r>
      <w:r>
        <w:rPr>
          <w:spacing w:val="-67"/>
        </w:rPr>
        <w:t> </w:t>
      </w:r>
      <w:r>
        <w:rPr>
          <w:spacing w:val="-67"/>
        </w:rPr>
      </w:r>
      <w:r>
        <w:rPr>
          <w:spacing w:val="-4"/>
        </w:rPr>
        <w:t>监测体系，为后期其它物联网平台或其它应用平台提供全面、准确的供能系统感知和计量能力，并兼顾能源供应的指挥调度、</w:t>
      </w:r>
      <w:r>
        <w:rPr>
          <w:spacing w:val="-44"/>
        </w:rPr>
        <w:t> </w:t>
      </w:r>
      <w:r>
        <w:rPr>
          <w:spacing w:val="-44"/>
        </w:rPr>
      </w:r>
      <w:r>
        <w:rPr>
          <w:spacing w:val="-2"/>
        </w:rPr>
        <w:t>运维管理、资产管理等功能，面向各类型单体建筑、城市级能源系统、区域能源系统、大型园区能源系统等多应用场景，提</w:t>
      </w:r>
      <w:r>
        <w:rPr>
          <w:spacing w:val="-68"/>
        </w:rPr>
        <w:t> </w:t>
      </w:r>
      <w:r>
        <w:rPr>
          <w:spacing w:val="-68"/>
        </w:rPr>
      </w:r>
      <w:r>
        <w:rPr>
          <w:spacing w:val="-4"/>
        </w:rPr>
        <w:t>供从规划、设计、施工到运营维护全生命周期的节能服务方案，实现能源的“源、网、荷、储、用”全环节协同管理和服务。</w:t>
      </w:r>
      <w:r>
        <w:rPr>
          <w:spacing w:val="-50"/>
        </w:rPr>
        <w:t> </w:t>
      </w:r>
      <w:r>
        <w:rPr>
          <w:spacing w:val="-50"/>
        </w:rPr>
      </w:r>
      <w:r>
        <w:rPr>
          <w:rFonts w:ascii="宋体" w:hAnsi="宋体" w:cs="宋体" w:eastAsia="宋体" w:hint="default"/>
        </w:rPr>
        <w:t>2019</w:t>
      </w:r>
      <w:r>
        <w:rPr/>
        <w:t>年度实现收入</w:t>
      </w:r>
      <w:r>
        <w:rPr>
          <w:rFonts w:ascii="宋体" w:hAnsi="宋体" w:cs="宋体" w:eastAsia="宋体" w:hint="default"/>
        </w:rPr>
        <w:t>3.51</w:t>
      </w:r>
      <w:r>
        <w:rPr/>
        <w:t>亿元，占比</w:t>
      </w:r>
      <w:r>
        <w:rPr>
          <w:rFonts w:ascii="宋体" w:hAnsi="宋体" w:cs="宋体" w:eastAsia="宋体" w:hint="default"/>
        </w:rPr>
        <w:t>15.91%</w:t>
      </w:r>
      <w:r>
        <w:rPr/>
        <w:t>。</w:t>
      </w:r>
    </w:p>
    <w:p>
      <w:pPr>
        <w:pStyle w:val="Heading6"/>
        <w:spacing w:line="240" w:lineRule="auto" w:before="55"/>
        <w:ind w:right="1133"/>
        <w:jc w:val="left"/>
        <w:rPr>
          <w:b w:val="0"/>
          <w:bCs w:val="0"/>
        </w:rPr>
      </w:pPr>
      <w:r>
        <w:rPr>
          <w:rFonts w:ascii="宋体" w:hAnsi="宋体" w:cs="宋体" w:eastAsia="宋体" w:hint="default"/>
        </w:rPr>
        <w:t>6</w:t>
      </w:r>
      <w:r>
        <w:rPr/>
        <w:t>、智慧城区</w:t>
      </w:r>
      <w:r>
        <w:rPr>
          <w:b w:val="0"/>
          <w:bCs w:val="0"/>
        </w:rPr>
      </w:r>
    </w:p>
    <w:p>
      <w:pPr>
        <w:spacing w:line="240" w:lineRule="auto" w:before="10"/>
        <w:rPr>
          <w:rFonts w:ascii="宋体" w:hAnsi="宋体" w:cs="宋体" w:eastAsia="宋体" w:hint="default"/>
          <w:b/>
          <w:bCs/>
          <w:sz w:val="17"/>
          <w:szCs w:val="17"/>
        </w:rPr>
      </w:pPr>
    </w:p>
    <w:p>
      <w:pPr>
        <w:pStyle w:val="BodyText"/>
        <w:spacing w:line="477" w:lineRule="auto"/>
        <w:ind w:right="0" w:firstLine="420"/>
        <w:jc w:val="left"/>
      </w:pPr>
      <w:r>
        <w:rPr>
          <w:spacing w:val="-2"/>
        </w:rPr>
        <w:t>凭借在智慧城市建设领域丰富的实践经验和扎实的技术实力，紧跟党中央新型城区战略部署，围绕城区未来规划需求，</w:t>
      </w:r>
      <w:r>
        <w:rPr/>
        <w:t> </w:t>
      </w:r>
      <w:r>
        <w:rPr>
          <w:spacing w:val="-2"/>
        </w:rPr>
        <w:t>通过与高端高新技术企业合作创新，致力于以智慧雄安为标杆，融合城市发展建设中建筑、交通、医疗、环境等多个重点民</w:t>
      </w:r>
      <w:r>
        <w:rPr>
          <w:spacing w:val="-65"/>
        </w:rPr>
        <w:t> </w:t>
      </w:r>
      <w:r>
        <w:rPr>
          <w:spacing w:val="-65"/>
        </w:rPr>
      </w:r>
      <w:r>
        <w:rPr/>
        <w:t>生领域，创新模式打造新型数字智慧城市。</w:t>
      </w:r>
    </w:p>
    <w:p>
      <w:pPr>
        <w:pStyle w:val="BodyText"/>
        <w:spacing w:line="477" w:lineRule="auto" w:before="54"/>
        <w:ind w:right="1130" w:firstLine="420"/>
        <w:jc w:val="both"/>
      </w:pPr>
      <w:r>
        <w:rPr/>
        <w:t>作为第一批入驻雄安的公司，达实快速响应国家战略部署，投资设立全资子公司，并打造集智慧城市研发创新中心、 </w:t>
      </w:r>
      <w:r>
        <w:rPr>
          <w:spacing w:val="-2"/>
        </w:rPr>
        <w:t>智慧城市展示和服务中心、智慧城市工程技术服务中心于一体的达实北方总部，在雄安市民服务中心项目中，与阿里巴巴集</w:t>
      </w:r>
      <w:r>
        <w:rPr>
          <w:spacing w:val="-63"/>
        </w:rPr>
        <w:t> </w:t>
      </w:r>
      <w:r>
        <w:rPr>
          <w:spacing w:val="-63"/>
        </w:rPr>
      </w:r>
      <w:r>
        <w:rPr>
          <w:spacing w:val="-2"/>
        </w:rPr>
        <w:t>团、中节能、国家电网等企业合作，以“数字城市与现实城市同步建设，智能基础设施适度超前”为建设理念，创新引入云</w:t>
      </w:r>
      <w:r>
        <w:rPr>
          <w:spacing w:val="-73"/>
        </w:rPr>
        <w:t> </w:t>
      </w:r>
      <w:r>
        <w:rPr>
          <w:spacing w:val="-73"/>
        </w:rPr>
      </w:r>
      <w:r>
        <w:rPr>
          <w:spacing w:val="-2"/>
        </w:rPr>
        <w:t>端物联网技术、物联网感知技术，融合</w:t>
      </w:r>
      <w:r>
        <w:rPr>
          <w:rFonts w:ascii="宋体" w:hAnsi="宋体" w:cs="宋体" w:eastAsia="宋体" w:hint="default"/>
          <w:spacing w:val="-2"/>
        </w:rPr>
        <w:t>BIM+IBMS+FM</w:t>
      </w:r>
      <w:r>
        <w:rPr>
          <w:spacing w:val="-2"/>
        </w:rPr>
        <w:t>，建立“</w:t>
      </w:r>
      <w:r>
        <w:rPr>
          <w:rFonts w:ascii="宋体" w:hAnsi="宋体" w:cs="宋体" w:eastAsia="宋体" w:hint="default"/>
          <w:spacing w:val="-2"/>
        </w:rPr>
        <w:t>1+2+N</w:t>
      </w:r>
      <w:r>
        <w:rPr>
          <w:spacing w:val="-2"/>
        </w:rPr>
        <w:t>”服务体系，运用自主研发的“基于实时数据库的智能建</w:t>
      </w:r>
      <w:r>
        <w:rPr>
          <w:spacing w:val="-60"/>
        </w:rPr>
        <w:t> </w:t>
      </w:r>
      <w:r>
        <w:rPr>
          <w:spacing w:val="-60"/>
        </w:rPr>
      </w:r>
      <w:r>
        <w:rPr/>
        <w:t>筑管控平台”，对建筑进行了全生命周期的数字化管理，实现</w:t>
      </w:r>
      <w:r>
        <w:rPr>
          <w:rFonts w:ascii="宋体" w:hAnsi="宋体" w:cs="宋体" w:eastAsia="宋体" w:hint="default"/>
        </w:rPr>
        <w:t>34</w:t>
      </w:r>
      <w:r>
        <w:rPr/>
        <w:t>个不同厂家的</w:t>
      </w:r>
      <w:r>
        <w:rPr>
          <w:rFonts w:ascii="宋体" w:hAnsi="宋体" w:cs="宋体" w:eastAsia="宋体" w:hint="default"/>
        </w:rPr>
        <w:t>25</w:t>
      </w:r>
      <w:r>
        <w:rPr/>
        <w:t>个子系统，共计</w:t>
      </w:r>
      <w:r>
        <w:rPr>
          <w:rFonts w:ascii="宋体" w:hAnsi="宋体" w:cs="宋体" w:eastAsia="宋体" w:hint="default"/>
        </w:rPr>
        <w:t>19054</w:t>
      </w:r>
      <w:r>
        <w:rPr/>
        <w:t>多个物联网数据点互 </w:t>
      </w:r>
      <w:r>
        <w:rPr>
          <w:spacing w:val="-2"/>
        </w:rPr>
        <w:t>通互联，打造了园区的“最强大脑”，并引入了共享办公、无感停车、无人零售等第三方智慧应用，打造现实空间与虚拟数</w:t>
      </w:r>
      <w:r>
        <w:rPr>
          <w:spacing w:val="-73"/>
        </w:rPr>
        <w:t> </w:t>
      </w:r>
      <w:r>
        <w:rPr>
          <w:spacing w:val="-73"/>
        </w:rPr>
      </w:r>
      <w:r>
        <w:rPr/>
        <w:t>字空间交互映射，融合共生的数字孪生园区，形成雄安新区数字孪生城市的“雏形”。</w:t>
      </w:r>
    </w:p>
    <w:p>
      <w:pPr>
        <w:pStyle w:val="Heading6"/>
        <w:spacing w:line="477" w:lineRule="auto" w:before="54"/>
        <w:ind w:right="8405"/>
        <w:jc w:val="left"/>
        <w:rPr>
          <w:b w:val="0"/>
          <w:bCs w:val="0"/>
        </w:rPr>
      </w:pPr>
      <w:r>
        <w:rPr/>
        <w:t>（二）公司所处行业发展状况</w:t>
      </w:r>
      <w:r>
        <w:rPr>
          <w:w w:val="99"/>
        </w:rPr>
        <w:t> </w:t>
      </w:r>
      <w:r>
        <w:rPr>
          <w:rFonts w:ascii="宋体" w:hAnsi="宋体" w:cs="宋体" w:eastAsia="宋体" w:hint="default"/>
        </w:rPr>
        <w:t>1</w:t>
      </w:r>
      <w:r>
        <w:rPr/>
        <w:t>、智能物联网行业现状</w:t>
      </w:r>
      <w:r>
        <w:rPr>
          <w:b w:val="0"/>
          <w:bCs w:val="0"/>
        </w:rPr>
      </w:r>
    </w:p>
    <w:p>
      <w:pPr>
        <w:pStyle w:val="BodyText"/>
        <w:spacing w:line="451" w:lineRule="auto" w:before="54"/>
        <w:ind w:right="1040" w:firstLine="420"/>
        <w:jc w:val="both"/>
      </w:pPr>
      <w:r>
        <w:rPr/>
        <w:t>继</w:t>
      </w:r>
      <w:r>
        <w:rPr>
          <w:rFonts w:ascii="Times New Roman" w:hAnsi="Times New Roman" w:cs="Times New Roman" w:eastAsia="Times New Roman" w:hint="default"/>
        </w:rPr>
        <w:t>“</w:t>
      </w:r>
      <w:r>
        <w:rPr/>
        <w:t>十二五</w:t>
      </w:r>
      <w:r>
        <w:rPr>
          <w:rFonts w:ascii="Times New Roman" w:hAnsi="Times New Roman" w:cs="Times New Roman" w:eastAsia="Times New Roman" w:hint="default"/>
        </w:rPr>
        <w:t>”</w:t>
      </w:r>
      <w:r>
        <w:rPr/>
        <w:t>期间国务院、工信部、发改委等纷纷出台物联网发展指导文件，</w:t>
      </w:r>
      <w:r>
        <w:rPr>
          <w:rFonts w:ascii="Times New Roman" w:hAnsi="Times New Roman" w:cs="Times New Roman" w:eastAsia="Times New Roman" w:hint="default"/>
        </w:rPr>
        <w:t>2017</w:t>
      </w:r>
      <w:r>
        <w:rPr>
          <w:rFonts w:ascii="Times New Roman" w:hAnsi="Times New Roman" w:cs="Times New Roman" w:eastAsia="Times New Roman" w:hint="default"/>
          <w:spacing w:val="25"/>
        </w:rPr>
        <w:t> </w:t>
      </w:r>
      <w:r>
        <w:rPr/>
        <w:t>年，工信部发布《物联网</w:t>
      </w:r>
      <w:r>
        <w:rPr>
          <w:rFonts w:ascii="Times New Roman" w:hAnsi="Times New Roman" w:cs="Times New Roman" w:eastAsia="Times New Roman" w:hint="default"/>
        </w:rPr>
        <w:t>“</w:t>
      </w:r>
      <w:r>
        <w:rPr/>
        <w:t>十三五</w:t>
      </w:r>
      <w:r>
        <w:rPr>
          <w:rFonts w:ascii="Times New Roman" w:hAnsi="Times New Roman" w:cs="Times New Roman" w:eastAsia="Times New Roman" w:hint="default"/>
        </w:rPr>
        <w:t>”</w:t>
      </w:r>
      <w:r>
        <w:rPr/>
        <w:t>规 划》明确指出我国物联网加速进入</w:t>
      </w:r>
      <w:r>
        <w:rPr>
          <w:rFonts w:ascii="Times New Roman" w:hAnsi="Times New Roman" w:cs="Times New Roman" w:eastAsia="Times New Roman" w:hint="default"/>
        </w:rPr>
        <w:t>“</w:t>
      </w:r>
      <w:r>
        <w:rPr/>
        <w:t>跨界融合、集成创新和规模化发展</w:t>
      </w:r>
      <w:r>
        <w:rPr>
          <w:rFonts w:ascii="Times New Roman" w:hAnsi="Times New Roman" w:cs="Times New Roman" w:eastAsia="Times New Roman" w:hint="default"/>
        </w:rPr>
        <w:t>”</w:t>
      </w:r>
      <w:r>
        <w:rPr/>
        <w:t>的新阶段，提出完善技术创新体系，构建完善标准体 </w:t>
      </w:r>
      <w:r>
        <w:rPr>
          <w:spacing w:val="-2"/>
        </w:rPr>
        <w:t>系，推动物联网规模应用，完善公共服务体系，提升安全保障能力等具体任务，为我国未来</w:t>
      </w:r>
      <w:r>
        <w:rPr>
          <w:rFonts w:ascii="Times New Roman" w:hAnsi="Times New Roman" w:cs="Times New Roman" w:eastAsia="Times New Roman" w:hint="default"/>
          <w:spacing w:val="-2"/>
        </w:rPr>
        <w:t>5</w:t>
      </w:r>
      <w:r>
        <w:rPr>
          <w:spacing w:val="-2"/>
        </w:rPr>
        <w:t>年物联网产业发展指明了方向。</w:t>
      </w:r>
    </w:p>
    <w:p>
      <w:pPr>
        <w:pStyle w:val="BodyText"/>
        <w:spacing w:line="451" w:lineRule="auto" w:before="43"/>
        <w:ind w:right="1199" w:firstLine="420"/>
        <w:jc w:val="left"/>
      </w:pPr>
      <w:r>
        <w:rPr/>
        <w:t>中国物联网市场空间巨大，自</w:t>
      </w:r>
      <w:r>
        <w:rPr>
          <w:rFonts w:ascii="Times New Roman" w:hAnsi="Times New Roman" w:cs="Times New Roman" w:eastAsia="Times New Roman" w:hint="default"/>
        </w:rPr>
        <w:t>2012</w:t>
      </w:r>
      <w:r>
        <w:rPr/>
        <w:t>年开始发展稳步增长，</w:t>
      </w:r>
      <w:r>
        <w:rPr>
          <w:rFonts w:ascii="Times New Roman" w:hAnsi="Times New Roman" w:cs="Times New Roman" w:eastAsia="Times New Roman" w:hint="default"/>
        </w:rPr>
        <w:t>2017</w:t>
      </w:r>
      <w:r>
        <w:rPr/>
        <w:t>年我国物联网市场规模达到</w:t>
      </w:r>
      <w:r>
        <w:rPr>
          <w:rFonts w:ascii="Times New Roman" w:hAnsi="Times New Roman" w:cs="Times New Roman" w:eastAsia="Times New Roman" w:hint="default"/>
        </w:rPr>
        <w:t>1.15</w:t>
      </w:r>
      <w:r>
        <w:rPr/>
        <w:t>万亿元，而随着物联网 被列为国家重点发展的战略性新兴产业，预计到</w:t>
      </w:r>
      <w:r>
        <w:rPr>
          <w:rFonts w:ascii="Times New Roman" w:hAnsi="Times New Roman" w:cs="Times New Roman" w:eastAsia="Times New Roman" w:hint="default"/>
        </w:rPr>
        <w:t>2022</w:t>
      </w:r>
      <w:r>
        <w:rPr/>
        <w:t>年我国物联网市场规模将达到</w:t>
      </w:r>
      <w:r>
        <w:rPr>
          <w:rFonts w:ascii="Times New Roman" w:hAnsi="Times New Roman" w:cs="Times New Roman" w:eastAsia="Times New Roman" w:hint="default"/>
        </w:rPr>
        <w:t>7.2</w:t>
      </w:r>
      <w:r>
        <w:rPr/>
        <w:t>万亿元。</w:t>
      </w:r>
    </w:p>
    <w:p>
      <w:pPr>
        <w:pStyle w:val="BodyText"/>
        <w:spacing w:line="458" w:lineRule="auto" w:before="43"/>
        <w:ind w:right="1131" w:firstLine="420"/>
        <w:jc w:val="both"/>
      </w:pPr>
      <w:r>
        <w:rPr>
          <w:rFonts w:ascii="Times New Roman" w:hAnsi="Times New Roman" w:cs="Times New Roman" w:eastAsia="Times New Roman" w:hint="default"/>
        </w:rPr>
        <w:t>2017</w:t>
      </w:r>
      <w:r>
        <w:rPr>
          <w:rFonts w:ascii="Times New Roman" w:hAnsi="Times New Roman" w:cs="Times New Roman" w:eastAsia="Times New Roman" w:hint="default"/>
          <w:spacing w:val="-7"/>
        </w:rPr>
        <w:t> </w:t>
      </w:r>
      <w:r>
        <w:rPr/>
        <w:t>年以来，国内物联网连接数实现爆发式增长，国内主要平台取得快速发展。但国内物联网平台的市场格局仍相对 </w:t>
      </w:r>
      <w:r>
        <w:rPr>
          <w:spacing w:val="-2"/>
        </w:rPr>
        <w:t>稳固，平台企业并未随着应用规模跃升而大幅增加。经过数年运营，部分平台厂商经营出现困境，开始探索新的商业模式和</w:t>
      </w:r>
      <w:r>
        <w:rPr>
          <w:spacing w:val="-65"/>
        </w:rPr>
        <w:t> </w:t>
      </w:r>
      <w:r>
        <w:rPr>
          <w:spacing w:val="-65"/>
        </w:rPr>
      </w:r>
      <w:r>
        <w:rPr/>
        <w:t>转型方式。大型企业除了不断强化自身平台功能外，还重点加强对边缘计算、</w:t>
      </w:r>
      <w:r>
        <w:rPr>
          <w:rFonts w:ascii="Times New Roman" w:hAnsi="Times New Roman" w:cs="Times New Roman" w:eastAsia="Times New Roman" w:hint="default"/>
        </w:rPr>
        <w:t>AI</w:t>
      </w:r>
      <w:r>
        <w:rPr>
          <w:rFonts w:ascii="Times New Roman" w:hAnsi="Times New Roman" w:cs="Times New Roman" w:eastAsia="Times New Roman" w:hint="default"/>
          <w:spacing w:val="26"/>
        </w:rPr>
        <w:t> </w:t>
      </w:r>
      <w:r>
        <w:rPr/>
        <w:t>等能力以及对工业、汽车、家居等垂直行</w:t>
      </w:r>
      <w:r>
        <w:rPr>
          <w:w w:val="99"/>
        </w:rPr>
        <w:t> </w:t>
      </w:r>
      <w:r>
        <w:rPr/>
        <w:t>业的支持，如阿里云</w:t>
      </w:r>
      <w:r>
        <w:rPr>
          <w:rFonts w:ascii="Times New Roman" w:hAnsi="Times New Roman" w:cs="Times New Roman" w:eastAsia="Times New Roman" w:hint="default"/>
        </w:rPr>
        <w:t>IoT</w:t>
      </w:r>
      <w:r>
        <w:rPr>
          <w:rFonts w:ascii="Times New Roman" w:hAnsi="Times New Roman" w:cs="Times New Roman" w:eastAsia="Times New Roman" w:hint="default"/>
          <w:spacing w:val="-5"/>
        </w:rPr>
        <w:t> </w:t>
      </w:r>
      <w:r>
        <w:rPr>
          <w:rFonts w:ascii="Times New Roman" w:hAnsi="Times New Roman" w:cs="Times New Roman" w:eastAsia="Times New Roman" w:hint="default"/>
        </w:rPr>
        <w:t>Link</w:t>
      </w:r>
      <w:r>
        <w:rPr/>
        <w:t>平台、华为</w:t>
      </w:r>
      <w:r>
        <w:rPr>
          <w:rFonts w:ascii="Times New Roman" w:hAnsi="Times New Roman" w:cs="Times New Roman" w:eastAsia="Times New Roman" w:hint="default"/>
        </w:rPr>
        <w:t>Oceanconnect</w:t>
      </w:r>
      <w:r>
        <w:rPr/>
        <w:t>平台不断联合行业合作伙伴持续孵化多样化解决方案。</w:t>
      </w:r>
    </w:p>
    <w:p>
      <w:pPr>
        <w:spacing w:after="0" w:line="458" w:lineRule="auto"/>
        <w:jc w:val="both"/>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spacing w:line="451" w:lineRule="auto" w:before="0"/>
        <w:ind w:left="573" w:right="1153" w:hanging="42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、智能物联网的行业趋势</w:t>
      </w:r>
      <w:r>
        <w:rPr>
          <w:rFonts w:ascii="宋体" w:hAnsi="宋体" w:cs="宋体" w:eastAsia="宋体" w:hint="default"/>
          <w:b/>
          <w:bCs/>
          <w:w w:val="99"/>
          <w:sz w:val="18"/>
          <w:szCs w:val="18"/>
        </w:rPr>
        <w:t> </w:t>
      </w:r>
      <w:r>
        <w:rPr>
          <w:rFonts w:ascii="宋体" w:hAnsi="宋体" w:cs="宋体" w:eastAsia="宋体" w:hint="default"/>
          <w:sz w:val="18"/>
          <w:szCs w:val="18"/>
        </w:rPr>
        <w:t>随着国家战略部署对物联网发展提出新要求。作为国家落实创新驱动、培育发展新动能、建设制造强国和网络强国、</w:t>
      </w:r>
    </w:p>
    <w:p>
      <w:pPr>
        <w:pStyle w:val="BodyText"/>
        <w:spacing w:line="477" w:lineRule="auto" w:before="74"/>
        <w:ind w:left="573" w:right="1153" w:hanging="421"/>
        <w:jc w:val="left"/>
      </w:pPr>
      <w:r>
        <w:rPr/>
        <w:t>实现智慧社会、工业互联网、军民融合等一系列国家重大战略部署的重要举措，物联网的发展面临新机遇。 此外，应用需求升级也将为物联网带来新机遇。一是传统产业智能化升级将驱动物联网应用进一步深化。当前物联网</w:t>
      </w:r>
    </w:p>
    <w:p>
      <w:pPr>
        <w:pStyle w:val="BodyText"/>
        <w:spacing w:line="470" w:lineRule="auto" w:before="54"/>
        <w:ind w:right="1034"/>
        <w:jc w:val="left"/>
      </w:pPr>
      <w:r>
        <w:rPr/>
        <w:t>应用正在向工业研发、制造、管理、服务等业务全流程渗透，农业、交通、零售等行业物联网集成应用试点也在加速开展。 </w:t>
      </w:r>
      <w:r>
        <w:rPr>
          <w:spacing w:val="-2"/>
        </w:rPr>
        <w:t>二是消费物联网应用市场潜力将逐步释放。全屋智能、健康管理可穿戴设备、智能门锁、车载智能终端等消费领域市场保持</w:t>
      </w:r>
      <w:r>
        <w:rPr>
          <w:spacing w:val="-66"/>
        </w:rPr>
        <w:t> </w:t>
      </w:r>
      <w:r>
        <w:rPr>
          <w:spacing w:val="-66"/>
        </w:rPr>
      </w:r>
      <w:r>
        <w:rPr>
          <w:spacing w:val="-3"/>
        </w:rPr>
        <w:t>高速增长，共享经济蓬勃发展，</w:t>
      </w:r>
      <w:r>
        <w:rPr>
          <w:rFonts w:ascii="Times New Roman" w:hAnsi="Times New Roman" w:cs="Times New Roman" w:eastAsia="Times New Roman" w:hint="default"/>
          <w:spacing w:val="-3"/>
        </w:rPr>
        <w:t>“</w:t>
      </w:r>
      <w:r>
        <w:rPr>
          <w:spacing w:val="-3"/>
        </w:rPr>
        <w:t>双创</w:t>
      </w:r>
      <w:r>
        <w:rPr>
          <w:rFonts w:ascii="Times New Roman" w:hAnsi="Times New Roman" w:cs="Times New Roman" w:eastAsia="Times New Roman" w:hint="default"/>
          <w:spacing w:val="-3"/>
        </w:rPr>
        <w:t>”</w:t>
      </w:r>
      <w:r>
        <w:rPr>
          <w:spacing w:val="-3"/>
        </w:rPr>
        <w:t>新活力持续迸发。三是新型智慧城市全面落地实施将带动物联网规模应用和开环应用。</w:t>
      </w:r>
      <w:r>
        <w:rPr>
          <w:spacing w:val="-74"/>
        </w:rPr>
        <w:t> </w:t>
      </w:r>
      <w:r>
        <w:rPr>
          <w:spacing w:val="-74"/>
        </w:rPr>
      </w:r>
      <w:r>
        <w:rPr>
          <w:spacing w:val="-2"/>
        </w:rPr>
        <w:t>全国智慧城市由分批试点步入全面建设阶段，促使物联网从小范围局部性应用向较大范围规模化应用转变，从垂直应用和闭</w:t>
      </w:r>
      <w:r>
        <w:rPr>
          <w:spacing w:val="-64"/>
        </w:rPr>
        <w:t> </w:t>
      </w:r>
      <w:r>
        <w:rPr>
          <w:spacing w:val="-64"/>
        </w:rPr>
      </w:r>
      <w:r>
        <w:rPr/>
        <w:t>环应用向跨界融合、水平化和开环应用转变。</w:t>
      </w:r>
    </w:p>
    <w:p>
      <w:pPr>
        <w:spacing w:line="451" w:lineRule="auto" w:before="59"/>
        <w:ind w:left="573" w:right="1039" w:hanging="42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、新技术驱动与场景化应用是行业特征</w:t>
      </w:r>
      <w:r>
        <w:rPr>
          <w:rFonts w:ascii="宋体" w:hAnsi="宋体" w:cs="宋体" w:eastAsia="宋体" w:hint="default"/>
          <w:b/>
          <w:bCs/>
          <w:w w:val="99"/>
          <w:sz w:val="18"/>
          <w:szCs w:val="18"/>
        </w:rPr>
        <w:t> </w:t>
      </w:r>
      <w:r>
        <w:rPr>
          <w:rFonts w:ascii="宋体" w:hAnsi="宋体" w:cs="宋体" w:eastAsia="宋体" w:hint="default"/>
          <w:spacing w:val="-2"/>
          <w:sz w:val="18"/>
          <w:szCs w:val="18"/>
        </w:rPr>
        <w:t>新技术驱动是智能物联的基本特征。无线感知网络的成熟、</w:t>
      </w:r>
      <w:r>
        <w:rPr>
          <w:rFonts w:ascii="Times New Roman" w:hAnsi="Times New Roman" w:cs="Times New Roman" w:eastAsia="Times New Roman" w:hint="default"/>
          <w:spacing w:val="-2"/>
          <w:sz w:val="18"/>
          <w:szCs w:val="18"/>
        </w:rPr>
        <w:t>5G</w:t>
      </w:r>
      <w:r>
        <w:rPr>
          <w:rFonts w:ascii="宋体" w:hAnsi="宋体" w:cs="宋体" w:eastAsia="宋体" w:hint="default"/>
          <w:spacing w:val="-2"/>
          <w:sz w:val="18"/>
          <w:szCs w:val="18"/>
        </w:rPr>
        <w:t>商用、人工智能技术的演进，都快速推动了行业的发展。</w:t>
      </w:r>
    </w:p>
    <w:p>
      <w:pPr>
        <w:pStyle w:val="BodyText"/>
        <w:spacing w:line="463" w:lineRule="auto" w:before="43"/>
        <w:ind w:right="1034"/>
        <w:jc w:val="left"/>
      </w:pPr>
      <w:r>
        <w:rPr>
          <w:rFonts w:ascii="Times New Roman" w:hAnsi="Times New Roman" w:cs="Times New Roman" w:eastAsia="Times New Roman" w:hint="default"/>
        </w:rPr>
        <w:t>2019</w:t>
      </w:r>
      <w:r>
        <w:rPr/>
        <w:t>年，工信部开始颁发</w:t>
      </w:r>
      <w:r>
        <w:rPr>
          <w:rFonts w:ascii="Times New Roman" w:hAnsi="Times New Roman" w:cs="Times New Roman" w:eastAsia="Times New Roman" w:hint="default"/>
        </w:rPr>
        <w:t>5G</w:t>
      </w:r>
      <w:r>
        <w:rPr/>
        <w:t>商用牌照，未来，</w:t>
      </w:r>
      <w:r>
        <w:rPr>
          <w:rFonts w:ascii="Times New Roman" w:hAnsi="Times New Roman" w:cs="Times New Roman" w:eastAsia="Times New Roman" w:hint="default"/>
        </w:rPr>
        <w:t>80%</w:t>
      </w:r>
      <w:r>
        <w:rPr/>
        <w:t>的</w:t>
      </w:r>
      <w:r>
        <w:rPr>
          <w:rFonts w:ascii="Times New Roman" w:hAnsi="Times New Roman" w:cs="Times New Roman" w:eastAsia="Times New Roman" w:hint="default"/>
        </w:rPr>
        <w:t>5G</w:t>
      </w:r>
      <w:r>
        <w:rPr/>
        <w:t>设施应用于物联网，只有</w:t>
      </w:r>
      <w:r>
        <w:rPr>
          <w:rFonts w:ascii="Times New Roman" w:hAnsi="Times New Roman" w:cs="Times New Roman" w:eastAsia="Times New Roman" w:hint="default"/>
        </w:rPr>
        <w:t>20%</w:t>
      </w:r>
      <w:r>
        <w:rPr/>
        <w:t>用于人与人的通信。基于云、边、端 的架构，人工智能与物联网融合，是目前主流的整体架构。在医疗、建筑、基础设施等领域，开放的</w:t>
      </w:r>
      <w:r>
        <w:rPr>
          <w:rFonts w:ascii="Times New Roman" w:hAnsi="Times New Roman" w:cs="Times New Roman" w:eastAsia="Times New Roman" w:hint="default"/>
        </w:rPr>
        <w:t>5</w:t>
      </w:r>
      <w:r>
        <w:rPr/>
        <w:t>级结构平台正创造出 </w:t>
      </w:r>
      <w:r>
        <w:rPr>
          <w:spacing w:val="-2"/>
        </w:rPr>
        <w:t>全新的数字城市，实现全主体、全要素、全过程、全空间的信息化、数字化智能化管理。云端计算、终端计算、边缘计算是</w:t>
      </w:r>
      <w:r>
        <w:rPr>
          <w:spacing w:val="-65"/>
        </w:rPr>
        <w:t> </w:t>
      </w:r>
      <w:r>
        <w:rPr>
          <w:spacing w:val="-65"/>
        </w:rPr>
      </w:r>
      <w:r>
        <w:rPr/>
        <w:t>一个协同系统，人工智能与物联网的融合，依据用户场景、资源匹配、业务实时性进行动态调配，形成不同的应用方案。 </w:t>
      </w:r>
      <w:r>
        <w:rPr>
          <w:rFonts w:ascii="Times New Roman" w:hAnsi="Times New Roman" w:cs="Times New Roman" w:eastAsia="Times New Roman" w:hint="default"/>
        </w:rPr>
        <w:t>AI</w:t>
      </w:r>
      <w:r>
        <w:rPr/>
        <w:t>巨头纷纷向线下场景转身，人工智能对建筑、安防、医疗、交通等传统产业赋能，驱动出一个千亿级的新兴市场，传统 产业的边界在模糊，</w:t>
      </w:r>
      <w:r>
        <w:rPr>
          <w:rFonts w:ascii="Times New Roman" w:hAnsi="Times New Roman" w:cs="Times New Roman" w:eastAsia="Times New Roman" w:hint="default"/>
        </w:rPr>
        <w:t>AI+IoT</w:t>
      </w:r>
      <w:r>
        <w:rPr/>
        <w:t>、</w:t>
      </w:r>
      <w:r>
        <w:rPr>
          <w:rFonts w:ascii="Times New Roman" w:hAnsi="Times New Roman" w:cs="Times New Roman" w:eastAsia="Times New Roman" w:hint="default"/>
        </w:rPr>
        <w:t>AI+BIGDATA</w:t>
      </w:r>
      <w:r>
        <w:rPr/>
        <w:t>是继互联网后的又一次技术革命，并将带来巨大的红利。通过人工智能驱动商 业智能，并赋予建筑、交通、医疗等传统产业</w:t>
      </w:r>
      <w:r>
        <w:rPr>
          <w:rFonts w:ascii="Times New Roman" w:hAnsi="Times New Roman" w:cs="Times New Roman" w:eastAsia="Times New Roman" w:hint="default"/>
        </w:rPr>
        <w:t>“</w:t>
      </w:r>
      <w:r>
        <w:rPr/>
        <w:t>生命</w:t>
      </w:r>
      <w:r>
        <w:rPr>
          <w:rFonts w:ascii="Times New Roman" w:hAnsi="Times New Roman" w:cs="Times New Roman" w:eastAsia="Times New Roman" w:hint="default"/>
        </w:rPr>
        <w:t>”</w:t>
      </w:r>
      <w:r>
        <w:rPr/>
        <w:t>，推动城市</w:t>
      </w:r>
      <w:r>
        <w:rPr>
          <w:rFonts w:ascii="Times New Roman" w:hAnsi="Times New Roman" w:cs="Times New Roman" w:eastAsia="Times New Roman" w:hint="default"/>
        </w:rPr>
        <w:t>“</w:t>
      </w:r>
      <w:r>
        <w:rPr/>
        <w:t>进化</w:t>
      </w:r>
      <w:r>
        <w:rPr>
          <w:rFonts w:ascii="Times New Roman" w:hAnsi="Times New Roman" w:cs="Times New Roman" w:eastAsia="Times New Roman" w:hint="default"/>
        </w:rPr>
        <w:t>”</w:t>
      </w:r>
      <w:r>
        <w:rPr/>
        <w:t>与新型城市化，基础设施的数字化需求迫在眉睫。以 </w:t>
      </w:r>
      <w:r>
        <w:rPr>
          <w:spacing w:val="-2"/>
        </w:rPr>
        <w:t>建筑为例，建筑是传统产业，但在新的技术趋势下，建筑是一个特殊的场景，边界清晰，场景中设备连接需求量很高，人的</w:t>
      </w:r>
      <w:r>
        <w:rPr>
          <w:spacing w:val="-68"/>
        </w:rPr>
        <w:t> </w:t>
      </w:r>
      <w:r>
        <w:rPr>
          <w:spacing w:val="-68"/>
        </w:rPr>
      </w:r>
      <w:r>
        <w:rPr>
          <w:spacing w:val="-2"/>
        </w:rPr>
        <w:t>行为活动非常密集；城市则抓住了人这个核心角色，城市物联网以人工智能作为智慧中枢，以物联设备为抓手，赋能城市要</w:t>
      </w:r>
      <w:r>
        <w:rPr>
          <w:spacing w:val="-64"/>
        </w:rPr>
        <w:t> </w:t>
      </w:r>
      <w:r>
        <w:rPr>
          <w:spacing w:val="-64"/>
        </w:rPr>
      </w:r>
      <w:r>
        <w:rPr/>
        <w:t>素升级。依托场景，结合自身累积沉淀的行业经验优势不断落地，形成商业闭环，能够演变出全新的商业机会和商业模式。</w:t>
      </w:r>
    </w:p>
    <w:p>
      <w:pPr>
        <w:spacing w:line="240" w:lineRule="auto" w:before="4"/>
        <w:rPr>
          <w:rFonts w:ascii="宋体" w:hAnsi="宋体" w:cs="宋体" w:eastAsia="宋体" w:hint="default"/>
          <w:sz w:val="18"/>
          <w:szCs w:val="18"/>
        </w:rPr>
      </w:pPr>
    </w:p>
    <w:p>
      <w:pPr>
        <w:pStyle w:val="Heading2"/>
        <w:spacing w:line="240" w:lineRule="auto"/>
        <w:ind w:right="1133"/>
        <w:jc w:val="left"/>
        <w:rPr>
          <w:b w:val="0"/>
          <w:bCs w:val="0"/>
        </w:rPr>
      </w:pPr>
      <w:bookmarkStart w:name="二、主要资产重大变化情况" w:id="19"/>
      <w:bookmarkEnd w:id="19"/>
      <w:r>
        <w:rPr>
          <w:b w:val="0"/>
          <w:bCs w:val="0"/>
        </w:rPr>
      </w:r>
      <w:r>
        <w:rPr/>
        <w:t>二、主要资产重大变化情况</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1133"/>
        <w:jc w:val="left"/>
        <w:rPr>
          <w:b w:val="0"/>
          <w:bCs w:val="0"/>
        </w:rPr>
      </w:pPr>
      <w:bookmarkStart w:name="1、主要资产重大变化情况" w:id="20"/>
      <w:bookmarkEnd w:id="20"/>
      <w:r>
        <w:rPr>
          <w:b w:val="0"/>
          <w:bCs w:val="0"/>
        </w:rPr>
      </w:r>
      <w:r>
        <w:rPr>
          <w:rFonts w:ascii="Times New Roman" w:hAnsi="Times New Roman" w:cs="Times New Roman" w:eastAsia="Times New Roman" w:hint="default"/>
        </w:rPr>
        <w:t>1</w:t>
      </w:r>
      <w:r>
        <w:rPr/>
        <w:t>、主要资产重大变化情况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039"/>
        <w:gridCol w:w="6519"/>
      </w:tblGrid>
      <w:tr>
        <w:trPr>
          <w:trHeight w:val="187" w:hRule="exact"/>
        </w:trPr>
        <w:tc>
          <w:tcPr>
            <w:tcW w:w="3039"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1" w:hRule="exact"/>
        </w:trPr>
        <w:tc>
          <w:tcPr>
            <w:tcW w:w="30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7"/>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651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185" w:hRule="exact"/>
        </w:trPr>
        <w:tc>
          <w:tcPr>
            <w:tcW w:w="3039"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3" w:hRule="exact"/>
        </w:trPr>
        <w:tc>
          <w:tcPr>
            <w:tcW w:w="30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51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本期长期股权投资较上期增长</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14.78%</w:t>
            </w:r>
            <w:r>
              <w:rPr>
                <w:rFonts w:ascii="宋体" w:hAnsi="宋体" w:cs="宋体" w:eastAsia="宋体" w:hint="default"/>
                <w:sz w:val="18"/>
                <w:szCs w:val="18"/>
              </w:rPr>
              <w:t>，无重大变化。</w:t>
            </w:r>
          </w:p>
        </w:tc>
      </w:tr>
      <w:tr>
        <w:trPr>
          <w:trHeight w:val="161" w:hRule="exact"/>
        </w:trPr>
        <w:tc>
          <w:tcPr>
            <w:tcW w:w="3039"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9" w:type="dxa"/>
            <w:vMerge w:val="restart"/>
            <w:tcBorders>
              <w:top w:val="single" w:sz="4" w:space="0" w:color="000000"/>
              <w:left w:val="single" w:sz="10" w:space="0" w:color="D2D2D2"/>
              <w:right w:val="single" w:sz="4" w:space="0" w:color="000000"/>
            </w:tcBorders>
          </w:tcPr>
          <w:p>
            <w:pPr>
              <w:pStyle w:val="TableParagraph"/>
              <w:spacing w:line="300" w:lineRule="auto" w:before="49"/>
              <w:ind w:left="16" w:right="32"/>
              <w:jc w:val="left"/>
              <w:rPr>
                <w:rFonts w:ascii="宋体" w:hAnsi="宋体" w:cs="宋体" w:eastAsia="宋体" w:hint="default"/>
                <w:sz w:val="18"/>
                <w:szCs w:val="18"/>
              </w:rPr>
            </w:pPr>
            <w:r>
              <w:rPr>
                <w:rFonts w:ascii="宋体" w:hAnsi="宋体" w:cs="宋体" w:eastAsia="宋体" w:hint="default"/>
                <w:sz w:val="18"/>
                <w:szCs w:val="18"/>
              </w:rPr>
              <w:t>本期固定资产较上期增长</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191.82%</w:t>
            </w:r>
            <w:r>
              <w:rPr>
                <w:rFonts w:ascii="宋体" w:hAnsi="宋体" w:cs="宋体" w:eastAsia="宋体" w:hint="default"/>
                <w:sz w:val="18"/>
                <w:szCs w:val="18"/>
              </w:rPr>
              <w:t>，主要是本报告期达实大厦改扩建工程部分完工 转固定资产所致。</w:t>
            </w:r>
          </w:p>
        </w:tc>
      </w:tr>
      <w:tr>
        <w:trPr>
          <w:trHeight w:val="391" w:hRule="exact"/>
        </w:trPr>
        <w:tc>
          <w:tcPr>
            <w:tcW w:w="30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6519" w:type="dxa"/>
            <w:vMerge/>
            <w:tcBorders>
              <w:left w:val="single" w:sz="10" w:space="0" w:color="D2D2D2"/>
              <w:right w:val="single" w:sz="4" w:space="0" w:color="000000"/>
            </w:tcBorders>
          </w:tcPr>
          <w:p>
            <w:pPr/>
          </w:p>
        </w:tc>
      </w:tr>
      <w:tr>
        <w:trPr>
          <w:trHeight w:val="161" w:hRule="exact"/>
        </w:trPr>
        <w:tc>
          <w:tcPr>
            <w:tcW w:w="3039"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9" w:type="dxa"/>
            <w:vMerge/>
            <w:tcBorders>
              <w:left w:val="single" w:sz="10" w:space="0" w:color="D2D2D2"/>
              <w:bottom w:val="single" w:sz="4" w:space="0" w:color="000000"/>
              <w:right w:val="single" w:sz="4" w:space="0" w:color="000000"/>
            </w:tcBorders>
          </w:tcPr>
          <w:p>
            <w:pPr/>
          </w:p>
        </w:tc>
      </w:tr>
      <w:tr>
        <w:trPr>
          <w:trHeight w:val="403" w:hRule="exact"/>
        </w:trPr>
        <w:tc>
          <w:tcPr>
            <w:tcW w:w="30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651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70"/>
              <w:ind w:left="16" w:right="0"/>
              <w:jc w:val="left"/>
              <w:rPr>
                <w:rFonts w:ascii="宋体" w:hAnsi="宋体" w:cs="宋体" w:eastAsia="宋体" w:hint="default"/>
                <w:sz w:val="18"/>
                <w:szCs w:val="18"/>
              </w:rPr>
            </w:pPr>
            <w:r>
              <w:rPr>
                <w:rFonts w:ascii="宋体" w:hAnsi="宋体" w:cs="宋体" w:eastAsia="宋体" w:hint="default"/>
                <w:sz w:val="18"/>
                <w:szCs w:val="18"/>
              </w:rPr>
              <w:t>本期无形资产较上期增长</w:t>
            </w:r>
            <w:r>
              <w:rPr>
                <w:rFonts w:ascii="宋体" w:hAnsi="宋体" w:cs="宋体" w:eastAsia="宋体" w:hint="default"/>
                <w:spacing w:val="-41"/>
                <w:sz w:val="18"/>
                <w:szCs w:val="18"/>
              </w:rPr>
              <w:t> </w:t>
            </w:r>
            <w:r>
              <w:rPr>
                <w:rFonts w:ascii="Times New Roman" w:hAnsi="Times New Roman" w:cs="Times New Roman" w:eastAsia="Times New Roman" w:hint="default"/>
                <w:spacing w:val="-3"/>
                <w:sz w:val="18"/>
                <w:szCs w:val="18"/>
              </w:rPr>
              <w:t>26.81%</w:t>
            </w:r>
            <w:r>
              <w:rPr>
                <w:rFonts w:ascii="宋体" w:hAnsi="宋体" w:cs="宋体" w:eastAsia="宋体" w:hint="default"/>
                <w:spacing w:val="-3"/>
                <w:sz w:val="18"/>
                <w:szCs w:val="18"/>
              </w:rPr>
              <w:t>，主要是本期部分研发项目开发完成，资本化转入</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8" w:type="dxa"/>
        <w:tblLayout w:type="fixed"/>
        <w:tblCellMar>
          <w:top w:w="0" w:type="dxa"/>
          <w:left w:w="0" w:type="dxa"/>
          <w:bottom w:w="0" w:type="dxa"/>
          <w:right w:w="0" w:type="dxa"/>
        </w:tblCellMar>
        <w:tblLook w:val="01E0"/>
      </w:tblPr>
      <w:tblGrid>
        <w:gridCol w:w="3051"/>
        <w:gridCol w:w="6519"/>
      </w:tblGrid>
      <w:tr>
        <w:trPr>
          <w:trHeight w:val="363" w:hRule="exact"/>
        </w:trPr>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无形资产所致。</w:t>
            </w:r>
          </w:p>
        </w:tc>
      </w:tr>
      <w:tr>
        <w:trPr>
          <w:trHeight w:val="713" w:hRule="exact"/>
        </w:trPr>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20"/>
              <w:jc w:val="left"/>
              <w:rPr>
                <w:rFonts w:ascii="宋体" w:hAnsi="宋体" w:cs="宋体" w:eastAsia="宋体" w:hint="default"/>
                <w:sz w:val="18"/>
                <w:szCs w:val="18"/>
              </w:rPr>
            </w:pPr>
            <w:r>
              <w:rPr>
                <w:rFonts w:ascii="宋体" w:hAnsi="宋体" w:cs="宋体" w:eastAsia="宋体" w:hint="default"/>
                <w:sz w:val="18"/>
                <w:szCs w:val="18"/>
              </w:rPr>
              <w:t>本期在建工程较上期下降</w:t>
            </w:r>
            <w:r>
              <w:rPr>
                <w:rFonts w:ascii="宋体" w:hAnsi="宋体" w:cs="宋体" w:eastAsia="宋体" w:hint="default"/>
                <w:spacing w:val="-43"/>
                <w:sz w:val="18"/>
                <w:szCs w:val="18"/>
              </w:rPr>
              <w:t> </w:t>
            </w:r>
            <w:r>
              <w:rPr>
                <w:rFonts w:ascii="Times New Roman" w:hAnsi="Times New Roman" w:cs="Times New Roman" w:eastAsia="Times New Roman" w:hint="default"/>
                <w:spacing w:val="-3"/>
                <w:sz w:val="18"/>
                <w:szCs w:val="18"/>
              </w:rPr>
              <w:t>38.62%</w:t>
            </w:r>
            <w:r>
              <w:rPr>
                <w:rFonts w:ascii="宋体" w:hAnsi="宋体" w:cs="宋体" w:eastAsia="宋体" w:hint="default"/>
                <w:spacing w:val="-3"/>
                <w:sz w:val="18"/>
                <w:szCs w:val="18"/>
              </w:rPr>
              <w:t>，主要是本报告期达实大厦改扩建工程部分完工转</w:t>
            </w:r>
            <w:r>
              <w:rPr>
                <w:rFonts w:ascii="宋体" w:hAnsi="宋体" w:cs="宋体" w:eastAsia="宋体" w:hint="default"/>
                <w:sz w:val="18"/>
                <w:szCs w:val="18"/>
              </w:rPr>
              <w:t> 固定资产所致。</w:t>
            </w:r>
          </w:p>
        </w:tc>
      </w:tr>
      <w:tr>
        <w:trPr>
          <w:trHeight w:val="715"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32"/>
              <w:jc w:val="left"/>
              <w:rPr>
                <w:rFonts w:ascii="宋体" w:hAnsi="宋体" w:cs="宋体" w:eastAsia="宋体" w:hint="default"/>
                <w:sz w:val="18"/>
                <w:szCs w:val="18"/>
              </w:rPr>
            </w:pPr>
            <w:r>
              <w:rPr>
                <w:rFonts w:ascii="宋体" w:hAnsi="宋体" w:cs="宋体" w:eastAsia="宋体" w:hint="default"/>
                <w:sz w:val="18"/>
                <w:szCs w:val="18"/>
              </w:rPr>
              <w:t>本期投资性房地产较上期增长</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788.26%</w:t>
            </w:r>
            <w:r>
              <w:rPr>
                <w:rFonts w:ascii="宋体" w:hAnsi="宋体" w:cs="宋体" w:eastAsia="宋体" w:hint="default"/>
                <w:sz w:val="18"/>
                <w:szCs w:val="18"/>
              </w:rPr>
              <w:t>，主要是本报告期达实大厦改扩建工程部分 完工转固定资产所致。</w:t>
            </w:r>
          </w:p>
        </w:tc>
      </w:tr>
    </w:tbl>
    <w:p>
      <w:pPr>
        <w:spacing w:line="240" w:lineRule="auto" w:before="3"/>
        <w:rPr>
          <w:rFonts w:ascii="宋体" w:hAnsi="宋体" w:cs="宋体" w:eastAsia="宋体" w:hint="default"/>
          <w:b/>
          <w:bCs/>
          <w:sz w:val="19"/>
          <w:szCs w:val="19"/>
        </w:rPr>
      </w:pPr>
    </w:p>
    <w:p>
      <w:pPr>
        <w:pStyle w:val="Heading4"/>
        <w:spacing w:line="240" w:lineRule="auto" w:before="36"/>
        <w:ind w:right="1133"/>
        <w:jc w:val="left"/>
        <w:rPr>
          <w:b w:val="0"/>
          <w:bCs w:val="0"/>
        </w:rPr>
      </w:pPr>
      <w:bookmarkStart w:name="2、主要境外资产情况" w:id="21"/>
      <w:bookmarkEnd w:id="21"/>
      <w:r>
        <w:rPr>
          <w:b w:val="0"/>
          <w:bCs w:val="0"/>
        </w:rPr>
      </w:r>
      <w:r>
        <w:rPr>
          <w:rFonts w:ascii="Times New Roman" w:hAnsi="Times New Roman" w:cs="Times New Roman" w:eastAsia="Times New Roman" w:hint="default"/>
        </w:rPr>
        <w:t>2</w:t>
      </w:r>
      <w:r>
        <w:rPr/>
        <w:t>、主要境外资产情况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24"/>
          <w:szCs w:val="24"/>
        </w:rPr>
      </w:pPr>
    </w:p>
    <w:p>
      <w:pPr>
        <w:pStyle w:val="Heading2"/>
        <w:spacing w:line="240" w:lineRule="auto"/>
        <w:ind w:right="1133"/>
        <w:jc w:val="left"/>
        <w:rPr>
          <w:b w:val="0"/>
          <w:bCs w:val="0"/>
        </w:rPr>
      </w:pPr>
      <w:bookmarkStart w:name="三、核心竞争力分析" w:id="22"/>
      <w:bookmarkEnd w:id="22"/>
      <w:r>
        <w:rPr>
          <w:b w:val="0"/>
          <w:bCs w:val="0"/>
        </w:rPr>
      </w:r>
      <w:r>
        <w:rPr/>
        <w:t>三、核心竞争力分析</w:t>
      </w:r>
      <w:r>
        <w:rPr>
          <w:b w:val="0"/>
          <w:bCs w:val="0"/>
        </w:rPr>
      </w:r>
    </w:p>
    <w:p>
      <w:pPr>
        <w:spacing w:line="240" w:lineRule="auto" w:before="7"/>
        <w:rPr>
          <w:rFonts w:ascii="宋体" w:hAnsi="宋体" w:cs="宋体" w:eastAsia="宋体" w:hint="default"/>
          <w:b/>
          <w:bCs/>
          <w:sz w:val="32"/>
          <w:szCs w:val="32"/>
        </w:rPr>
      </w:pPr>
    </w:p>
    <w:p>
      <w:pPr>
        <w:pStyle w:val="Heading6"/>
        <w:spacing w:line="240" w:lineRule="auto"/>
        <w:ind w:right="1133"/>
        <w:jc w:val="left"/>
        <w:rPr>
          <w:b w:val="0"/>
          <w:bCs w:val="0"/>
        </w:rPr>
      </w:pPr>
      <w:r>
        <w:rPr>
          <w:rFonts w:ascii="Times New Roman" w:hAnsi="Times New Roman" w:cs="Times New Roman" w:eastAsia="Times New Roman" w:hint="default"/>
        </w:rPr>
        <w:t>1</w:t>
      </w:r>
      <w:r>
        <w:rPr/>
        <w:t>、企业文化优势</w:t>
      </w:r>
      <w:r>
        <w:rPr>
          <w:b w:val="0"/>
          <w:bCs w:val="0"/>
        </w:rPr>
      </w:r>
    </w:p>
    <w:p>
      <w:pPr>
        <w:spacing w:line="240" w:lineRule="auto" w:before="9"/>
        <w:rPr>
          <w:rFonts w:ascii="宋体" w:hAnsi="宋体" w:cs="宋体" w:eastAsia="宋体" w:hint="default"/>
          <w:b/>
          <w:bCs/>
          <w:sz w:val="16"/>
          <w:szCs w:val="16"/>
        </w:rPr>
      </w:pPr>
    </w:p>
    <w:p>
      <w:pPr>
        <w:pStyle w:val="BodyText"/>
        <w:spacing w:line="456" w:lineRule="auto"/>
        <w:ind w:right="1034" w:firstLine="420"/>
        <w:jc w:val="left"/>
        <w:rPr>
          <w:rFonts w:ascii="宋体" w:hAnsi="宋体" w:cs="宋体" w:eastAsia="宋体" w:hint="default"/>
        </w:rPr>
      </w:pPr>
      <w:r>
        <w:rPr>
          <w:spacing w:val="-1"/>
        </w:rPr>
        <w:t>公司始终坚持</w:t>
      </w:r>
      <w:r>
        <w:rPr>
          <w:rFonts w:ascii="Times New Roman" w:hAnsi="Times New Roman" w:cs="Times New Roman" w:eastAsia="Times New Roman" w:hint="default"/>
          <w:spacing w:val="-1"/>
        </w:rPr>
        <w:t>“</w:t>
      </w:r>
      <w:r>
        <w:rPr>
          <w:spacing w:val="-1"/>
        </w:rPr>
        <w:t>达则兼善天下，实则恒心如一</w:t>
      </w:r>
      <w:r>
        <w:rPr>
          <w:rFonts w:ascii="Times New Roman" w:hAnsi="Times New Roman" w:cs="Times New Roman" w:eastAsia="Times New Roman" w:hint="default"/>
          <w:spacing w:val="-1"/>
        </w:rPr>
        <w:t>”</w:t>
      </w:r>
      <w:r>
        <w:rPr>
          <w:spacing w:val="-1"/>
        </w:rPr>
        <w:t>的企业核心价值观，持续升级与公司战略及业务发展相匹配的企业文化，</w:t>
      </w:r>
      <w:r>
        <w:rPr/>
        <w:t> </w:t>
      </w:r>
      <w:r>
        <w:rPr>
          <w:spacing w:val="-3"/>
        </w:rPr>
        <w:t>自</w:t>
      </w:r>
      <w:r>
        <w:rPr>
          <w:rFonts w:ascii="Times New Roman" w:hAnsi="Times New Roman" w:cs="Times New Roman" w:eastAsia="Times New Roman" w:hint="default"/>
          <w:spacing w:val="-3"/>
        </w:rPr>
        <w:t>2018</w:t>
      </w:r>
      <w:r>
        <w:rPr>
          <w:spacing w:val="-3"/>
        </w:rPr>
        <w:t>年底孕育了公司发展的</w:t>
      </w:r>
      <w:r>
        <w:rPr>
          <w:rFonts w:ascii="Times New Roman" w:hAnsi="Times New Roman" w:cs="Times New Roman" w:eastAsia="Times New Roman" w:hint="default"/>
          <w:spacing w:val="-3"/>
        </w:rPr>
        <w:t>3.0</w:t>
      </w:r>
      <w:r>
        <w:rPr>
          <w:spacing w:val="-3"/>
        </w:rPr>
        <w:t>战略，即不仅靠</w:t>
      </w:r>
      <w:r>
        <w:rPr>
          <w:rFonts w:ascii="Times New Roman" w:hAnsi="Times New Roman" w:cs="Times New Roman" w:eastAsia="Times New Roman" w:hint="default"/>
          <w:spacing w:val="-3"/>
        </w:rPr>
        <w:t>“</w:t>
      </w:r>
      <w:r>
        <w:rPr>
          <w:spacing w:val="-3"/>
        </w:rPr>
        <w:t>四肢</w:t>
      </w:r>
      <w:r>
        <w:rPr>
          <w:rFonts w:ascii="Times New Roman" w:hAnsi="Times New Roman" w:cs="Times New Roman" w:eastAsia="Times New Roman" w:hint="default"/>
          <w:spacing w:val="-3"/>
        </w:rPr>
        <w:t>”</w:t>
      </w:r>
      <w:r>
        <w:rPr>
          <w:spacing w:val="-3"/>
        </w:rPr>
        <w:t>的勤奋，靠用</w:t>
      </w:r>
      <w:r>
        <w:rPr>
          <w:rFonts w:ascii="Times New Roman" w:hAnsi="Times New Roman" w:cs="Times New Roman" w:eastAsia="Times New Roman" w:hint="default"/>
          <w:spacing w:val="-3"/>
        </w:rPr>
        <w:t>“</w:t>
      </w:r>
      <w:r>
        <w:rPr>
          <w:spacing w:val="-3"/>
        </w:rPr>
        <w:t>脑</w:t>
      </w:r>
      <w:r>
        <w:rPr>
          <w:rFonts w:ascii="Times New Roman" w:hAnsi="Times New Roman" w:cs="Times New Roman" w:eastAsia="Times New Roman" w:hint="default"/>
          <w:spacing w:val="-3"/>
        </w:rPr>
        <w:t>”</w:t>
      </w:r>
      <w:r>
        <w:rPr>
          <w:spacing w:val="-3"/>
        </w:rPr>
        <w:t>的思考，更要靠用</w:t>
      </w:r>
      <w:r>
        <w:rPr>
          <w:rFonts w:ascii="Times New Roman" w:hAnsi="Times New Roman" w:cs="Times New Roman" w:eastAsia="Times New Roman" w:hint="default"/>
          <w:spacing w:val="-3"/>
        </w:rPr>
        <w:t>“</w:t>
      </w:r>
      <w:r>
        <w:rPr>
          <w:spacing w:val="-3"/>
        </w:rPr>
        <w:t>心</w:t>
      </w:r>
      <w:r>
        <w:rPr>
          <w:rFonts w:ascii="Times New Roman" w:hAnsi="Times New Roman" w:cs="Times New Roman" w:eastAsia="Times New Roman" w:hint="default"/>
          <w:spacing w:val="-3"/>
        </w:rPr>
        <w:t>”</w:t>
      </w:r>
      <w:r>
        <w:rPr>
          <w:spacing w:val="-3"/>
        </w:rPr>
        <w:t>驱动发展。</w:t>
      </w:r>
      <w:r>
        <w:rPr>
          <w:rFonts w:ascii="Times New Roman" w:hAnsi="Times New Roman" w:cs="Times New Roman" w:eastAsia="Times New Roman" w:hint="default"/>
          <w:spacing w:val="-3"/>
        </w:rPr>
        <w:t>“</w:t>
      </w:r>
      <w:r>
        <w:rPr>
          <w:spacing w:val="-3"/>
        </w:rPr>
        <w:t>达则兼善天下</w:t>
      </w:r>
      <w:r>
        <w:rPr>
          <w:rFonts w:ascii="Times New Roman" w:hAnsi="Times New Roman" w:cs="Times New Roman" w:eastAsia="Times New Roman" w:hint="default"/>
          <w:spacing w:val="-3"/>
        </w:rPr>
        <w:t>”</w:t>
      </w:r>
      <w:r>
        <w:rPr>
          <w:spacing w:val="-3"/>
        </w:rPr>
        <w:t>，</w:t>
      </w:r>
      <w:r>
        <w:rPr>
          <w:spacing w:val="-43"/>
        </w:rPr>
        <w:t> </w:t>
      </w:r>
      <w:r>
        <w:rPr/>
        <w:t>不仅创造价值与他人分享，更要成就他人的成功与幸福；</w:t>
      </w:r>
      <w:r>
        <w:rPr>
          <w:rFonts w:ascii="Times New Roman" w:hAnsi="Times New Roman" w:cs="Times New Roman" w:eastAsia="Times New Roman" w:hint="default"/>
        </w:rPr>
        <w:t>“</w:t>
      </w:r>
      <w:r>
        <w:rPr/>
        <w:t>实则恒心如一</w:t>
      </w:r>
      <w:r>
        <w:rPr>
          <w:rFonts w:ascii="Times New Roman" w:hAnsi="Times New Roman" w:cs="Times New Roman" w:eastAsia="Times New Roman" w:hint="default"/>
        </w:rPr>
        <w:t>”</w:t>
      </w:r>
      <w:r>
        <w:rPr/>
        <w:t>，不仅要艰苦奋斗，更要将用户装在心里，永远依 道而行！公司坚持</w:t>
      </w:r>
      <w:r>
        <w:rPr>
          <w:rFonts w:ascii="Times New Roman" w:hAnsi="Times New Roman" w:cs="Times New Roman" w:eastAsia="Times New Roman" w:hint="default"/>
        </w:rPr>
        <w:t>“</w:t>
      </w:r>
      <w:r>
        <w:rPr/>
        <w:t>共享</w:t>
      </w:r>
      <w:r>
        <w:rPr>
          <w:rFonts w:ascii="Times New Roman" w:hAnsi="Times New Roman" w:cs="Times New Roman" w:eastAsia="Times New Roman" w:hint="default"/>
        </w:rPr>
        <w:t>”</w:t>
      </w:r>
      <w:r>
        <w:rPr/>
        <w:t>的企业文化理念，自</w:t>
      </w:r>
      <w:r>
        <w:rPr>
          <w:rFonts w:ascii="Times New Roman" w:hAnsi="Times New Roman" w:cs="Times New Roman" w:eastAsia="Times New Roman" w:hint="default"/>
        </w:rPr>
        <w:t>1995</w:t>
      </w:r>
      <w:r>
        <w:rPr/>
        <w:t>年成立以来，共实施了</w:t>
      </w:r>
      <w:r>
        <w:rPr>
          <w:rFonts w:ascii="Times New Roman" w:hAnsi="Times New Roman" w:cs="Times New Roman" w:eastAsia="Times New Roman" w:hint="default"/>
        </w:rPr>
        <w:t>7</w:t>
      </w:r>
      <w:r>
        <w:rPr/>
        <w:t>次员工持股方案和</w:t>
      </w:r>
      <w:r>
        <w:rPr>
          <w:rFonts w:ascii="Times New Roman" w:hAnsi="Times New Roman" w:cs="Times New Roman" w:eastAsia="Times New Roman" w:hint="default"/>
        </w:rPr>
        <w:t>3</w:t>
      </w:r>
      <w:r>
        <w:rPr/>
        <w:t>次限制性股票激励计划，是深 圳员工股权激励最为广泛的上市公司之一，同时将核心价值观延伸到各个利益相关者，从而形成公司的行为准则。 </w:t>
      </w:r>
      <w:r>
        <w:rPr>
          <w:rFonts w:ascii="Times New Roman" w:hAnsi="Times New Roman" w:cs="Times New Roman" w:eastAsia="Times New Roman" w:hint="default"/>
          <w:b/>
          <w:bCs/>
        </w:rPr>
        <w:t>2</w:t>
      </w:r>
      <w:r>
        <w:rPr>
          <w:rFonts w:ascii="宋体" w:hAnsi="宋体" w:cs="宋体" w:eastAsia="宋体" w:hint="default"/>
          <w:b/>
          <w:bCs/>
        </w:rPr>
        <w:t>、卓越的品牌优势</w:t>
      </w:r>
      <w:r>
        <w:rPr>
          <w:rFonts w:ascii="宋体" w:hAnsi="宋体" w:cs="宋体" w:eastAsia="宋体" w:hint="default"/>
        </w:rPr>
      </w:r>
    </w:p>
    <w:p>
      <w:pPr>
        <w:pStyle w:val="BodyText"/>
        <w:spacing w:line="451" w:lineRule="auto" w:before="40"/>
        <w:ind w:right="1133" w:firstLine="420"/>
        <w:jc w:val="left"/>
      </w:pPr>
      <w:r>
        <w:rPr/>
        <w:t>公司自</w:t>
      </w:r>
      <w:r>
        <w:rPr>
          <w:rFonts w:ascii="Times New Roman" w:hAnsi="Times New Roman" w:cs="Times New Roman" w:eastAsia="Times New Roman" w:hint="default"/>
        </w:rPr>
        <w:t>1995</w:t>
      </w:r>
      <w:r>
        <w:rPr/>
        <w:t>年成立以来，一直坚持以</w:t>
      </w:r>
      <w:r>
        <w:rPr>
          <w:rFonts w:ascii="Times New Roman" w:hAnsi="Times New Roman" w:cs="Times New Roman" w:eastAsia="Times New Roman" w:hint="default"/>
        </w:rPr>
        <w:t>“</w:t>
      </w:r>
      <w:r>
        <w:rPr/>
        <w:t>让城市更智慧</w:t>
      </w:r>
      <w:r>
        <w:rPr>
          <w:rFonts w:ascii="Times New Roman" w:hAnsi="Times New Roman" w:cs="Times New Roman" w:eastAsia="Times New Roman" w:hint="default"/>
        </w:rPr>
        <w:t>”</w:t>
      </w:r>
      <w:r>
        <w:rPr/>
        <w:t>为经营宗旨，并结合国家政策及行业发展深度聚焦，目前已在智 能物联网综合解决方案多个细分领域具有明显的品牌优势。</w:t>
      </w:r>
    </w:p>
    <w:p>
      <w:pPr>
        <w:pStyle w:val="BodyText"/>
        <w:spacing w:line="451" w:lineRule="auto" w:before="74"/>
        <w:ind w:right="1129" w:firstLine="420"/>
        <w:jc w:val="both"/>
      </w:pPr>
      <w:r>
        <w:rPr/>
        <w:t>公司已先后荣获</w:t>
      </w:r>
      <w:r>
        <w:rPr>
          <w:rFonts w:ascii="Times New Roman" w:hAnsi="Times New Roman" w:cs="Times New Roman" w:eastAsia="Times New Roman" w:hint="default"/>
        </w:rPr>
        <w:t>“</w:t>
      </w:r>
      <w:r>
        <w:rPr/>
        <w:t>国家级高新技术企业</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博士后科研工作站</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广东省工程技术研究开发中心</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深圳市工程技术研 究开发中心</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广东省、深圳市、南山区科普教育基地</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软件百强企业</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深圳市自主创新行业龙头企业</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深圳知名品 </w:t>
      </w:r>
      <w:r>
        <w:rPr>
          <w:spacing w:val="-7"/>
        </w:rPr>
        <w:t>牌</w:t>
      </w:r>
      <w:r>
        <w:rPr>
          <w:rFonts w:ascii="Times New Roman" w:hAnsi="Times New Roman" w:cs="Times New Roman" w:eastAsia="Times New Roman" w:hint="default"/>
          <w:spacing w:val="-7"/>
        </w:rPr>
        <w:t>”</w:t>
      </w:r>
      <w:r>
        <w:rPr>
          <w:spacing w:val="-7"/>
        </w:rPr>
        <w:t>、</w:t>
      </w:r>
      <w:r>
        <w:rPr>
          <w:rFonts w:ascii="Times New Roman" w:hAnsi="Times New Roman" w:cs="Times New Roman" w:eastAsia="Times New Roman" w:hint="default"/>
          <w:spacing w:val="-7"/>
        </w:rPr>
        <w:t>“</w:t>
      </w:r>
      <w:r>
        <w:rPr>
          <w:spacing w:val="-7"/>
        </w:rPr>
        <w:t>工信部、发改委、广东省节能技术服务单位</w:t>
      </w:r>
      <w:r>
        <w:rPr>
          <w:rFonts w:ascii="Times New Roman" w:hAnsi="Times New Roman" w:cs="Times New Roman" w:eastAsia="Times New Roman" w:hint="default"/>
          <w:spacing w:val="-7"/>
        </w:rPr>
        <w:t>”</w:t>
      </w:r>
      <w:r>
        <w:rPr>
          <w:spacing w:val="-7"/>
        </w:rPr>
        <w:t>、</w:t>
      </w:r>
      <w:r>
        <w:rPr>
          <w:rFonts w:ascii="Times New Roman" w:hAnsi="Times New Roman" w:cs="Times New Roman" w:eastAsia="Times New Roman" w:hint="default"/>
          <w:spacing w:val="-7"/>
        </w:rPr>
        <w:t>“</w:t>
      </w:r>
      <w:r>
        <w:rPr>
          <w:spacing w:val="-7"/>
        </w:rPr>
        <w:t>深圳市民营领军骨干企业</w:t>
      </w:r>
      <w:r>
        <w:rPr>
          <w:rFonts w:ascii="Times New Roman" w:hAnsi="Times New Roman" w:cs="Times New Roman" w:eastAsia="Times New Roman" w:hint="default"/>
          <w:spacing w:val="-7"/>
        </w:rPr>
        <w:t>”</w:t>
      </w:r>
      <w:r>
        <w:rPr>
          <w:spacing w:val="-7"/>
        </w:rPr>
        <w:t>、</w:t>
      </w:r>
      <w:r>
        <w:rPr>
          <w:rFonts w:ascii="Times New Roman" w:hAnsi="Times New Roman" w:cs="Times New Roman" w:eastAsia="Times New Roman" w:hint="default"/>
          <w:spacing w:val="-7"/>
        </w:rPr>
        <w:t>“</w:t>
      </w:r>
      <w:r>
        <w:rPr>
          <w:spacing w:val="-7"/>
        </w:rPr>
        <w:t>深圳市既有建筑节能改造示范企业</w:t>
      </w:r>
      <w:r>
        <w:rPr>
          <w:rFonts w:ascii="Times New Roman" w:hAnsi="Times New Roman" w:cs="Times New Roman" w:eastAsia="Times New Roman" w:hint="default"/>
          <w:spacing w:val="-7"/>
        </w:rPr>
        <w:t>”</w:t>
      </w:r>
      <w:r>
        <w:rPr>
          <w:spacing w:val="-7"/>
        </w:rPr>
        <w:t>、</w:t>
      </w:r>
      <w:r>
        <w:rPr>
          <w:rFonts w:ascii="Times New Roman" w:hAnsi="Times New Roman" w:cs="Times New Roman" w:eastAsia="Times New Roman" w:hint="default"/>
          <w:spacing w:val="-7"/>
        </w:rPr>
        <w:t>“AAA</w:t>
      </w:r>
      <w:r>
        <w:rPr>
          <w:rFonts w:ascii="Times New Roman" w:hAnsi="Times New Roman" w:cs="Times New Roman" w:eastAsia="Times New Roman" w:hint="default"/>
          <w:spacing w:val="-15"/>
        </w:rPr>
        <w:t> </w:t>
      </w:r>
      <w:r>
        <w:rPr>
          <w:rFonts w:ascii="Times New Roman" w:hAnsi="Times New Roman" w:cs="Times New Roman" w:eastAsia="Times New Roman" w:hint="default"/>
          <w:spacing w:val="-15"/>
        </w:rPr>
      </w:r>
      <w:r>
        <w:rPr/>
        <w:t>级信用企业</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南山区总部企业</w:t>
      </w:r>
      <w:r>
        <w:rPr>
          <w:rFonts w:ascii="Times New Roman" w:hAnsi="Times New Roman" w:cs="Times New Roman" w:eastAsia="Times New Roman" w:hint="default"/>
        </w:rPr>
        <w:t>”</w:t>
      </w:r>
      <w:r>
        <w:rPr/>
        <w:t>，连续十年获得</w:t>
      </w:r>
      <w:r>
        <w:rPr>
          <w:rFonts w:ascii="Times New Roman" w:hAnsi="Times New Roman" w:cs="Times New Roman" w:eastAsia="Times New Roman" w:hint="default"/>
        </w:rPr>
        <w:t>“</w:t>
      </w:r>
      <w:r>
        <w:rPr/>
        <w:t>广东守合同重信用企业（</w:t>
      </w:r>
      <w:r>
        <w:rPr>
          <w:rFonts w:ascii="Times New Roman" w:hAnsi="Times New Roman" w:cs="Times New Roman" w:eastAsia="Times New Roman" w:hint="default"/>
        </w:rPr>
        <w:t>2009-2019</w:t>
      </w:r>
      <w:r>
        <w:rPr/>
        <w:t>年）</w:t>
      </w:r>
      <w:r>
        <w:rPr>
          <w:rFonts w:ascii="Times New Roman" w:hAnsi="Times New Roman" w:cs="Times New Roman" w:eastAsia="Times New Roman" w:hint="default"/>
        </w:rPr>
        <w:t>”</w:t>
      </w:r>
      <w:r>
        <w:rPr/>
        <w:t>等荣誉。经过二十余年的市场开 拓，产品质量及服务获得客户的广泛认可，在行业内具有较强的品牌知名度和影响力，已构建自身的品牌竞争优势。</w:t>
      </w:r>
    </w:p>
    <w:p>
      <w:pPr>
        <w:pStyle w:val="BodyText"/>
        <w:spacing w:line="463" w:lineRule="auto" w:before="74"/>
        <w:ind w:right="0" w:firstLine="420"/>
        <w:jc w:val="left"/>
      </w:pPr>
      <w:r>
        <w:rPr/>
        <w:t>公司通过在深圳和雄安设立两个科普教育基地，运用公司自主研发的多项专利、技术与产品，形象展示了达实智能智 慧城市建设的创新、发展成果，持续向社会公众推广智慧理念、普及节能知识；通过在深圳建设的</w:t>
      </w:r>
      <w:r>
        <w:rPr>
          <w:rFonts w:ascii="Times New Roman" w:hAnsi="Times New Roman" w:cs="Times New Roman" w:eastAsia="Times New Roman" w:hint="default"/>
        </w:rPr>
        <w:t>200</w:t>
      </w:r>
      <w:r>
        <w:rPr/>
        <w:t>米高的达实智能总部</w:t>
      </w:r>
      <w:r>
        <w:rPr>
          <w:spacing w:val="-83"/>
        </w:rPr>
        <w:t> </w:t>
      </w:r>
      <w:r>
        <w:rPr>
          <w:spacing w:val="-83"/>
        </w:rPr>
      </w:r>
      <w:r>
        <w:rPr>
          <w:spacing w:val="-3"/>
        </w:rPr>
        <w:t>大厦，应用了自主研发的 </w:t>
      </w:r>
      <w:r>
        <w:rPr>
          <w:rFonts w:ascii="Times New Roman" w:hAnsi="Times New Roman" w:cs="Times New Roman" w:eastAsia="Times New Roman" w:hint="default"/>
        </w:rPr>
        <w:t>AIoT</w:t>
      </w:r>
      <w:r>
        <w:rPr>
          <w:rFonts w:ascii="Times New Roman" w:hAnsi="Times New Roman" w:cs="Times New Roman" w:eastAsia="Times New Roman" w:hint="default"/>
          <w:spacing w:val="-16"/>
        </w:rPr>
        <w:t> </w:t>
      </w:r>
      <w:r>
        <w:rPr/>
        <w:t>物联网智能管控平台和智能终端产品，打造了一个绿色智慧的超高层建筑，提供了物联网系</w:t>
      </w:r>
      <w:r>
        <w:rPr>
          <w:w w:val="99"/>
        </w:rPr>
        <w:t> </w:t>
      </w:r>
      <w:r>
        <w:rPr>
          <w:spacing w:val="-4"/>
        </w:rPr>
        <w:t>列产品应用平台、研发实验平台、体验展示的平台；通过市场推广持续提升公司形象，连续多年首席战略合作医院建设大会，</w:t>
      </w:r>
      <w:r>
        <w:rPr>
          <w:spacing w:val="-47"/>
        </w:rPr>
        <w:t> </w:t>
      </w:r>
      <w:r>
        <w:rPr>
          <w:spacing w:val="-47"/>
        </w:rPr>
      </w:r>
      <w:r>
        <w:rPr/>
        <w:t>多家权威媒体支持多渠道联动，品牌推广效果显著。</w:t>
      </w:r>
    </w:p>
    <w:p>
      <w:pPr>
        <w:pStyle w:val="Heading6"/>
        <w:spacing w:line="240" w:lineRule="auto" w:before="65"/>
        <w:ind w:right="1133"/>
        <w:jc w:val="left"/>
        <w:rPr>
          <w:b w:val="0"/>
          <w:bCs w:val="0"/>
        </w:rPr>
      </w:pPr>
      <w:r>
        <w:rPr>
          <w:rFonts w:ascii="Times New Roman" w:hAnsi="Times New Roman" w:cs="Times New Roman" w:eastAsia="Times New Roman" w:hint="default"/>
        </w:rPr>
        <w:t>3</w:t>
      </w:r>
      <w:r>
        <w:rPr/>
        <w:t>、技术研发优势</w:t>
      </w:r>
      <w:r>
        <w:rPr>
          <w:b w:val="0"/>
          <w:bCs w:val="0"/>
        </w:rPr>
      </w:r>
    </w:p>
    <w:p>
      <w:pPr>
        <w:spacing w:line="240" w:lineRule="auto" w:before="9"/>
        <w:rPr>
          <w:rFonts w:ascii="宋体" w:hAnsi="宋体" w:cs="宋体" w:eastAsia="宋体" w:hint="default"/>
          <w:b/>
          <w:bCs/>
          <w:sz w:val="16"/>
          <w:szCs w:val="16"/>
        </w:rPr>
      </w:pPr>
    </w:p>
    <w:p>
      <w:pPr>
        <w:pStyle w:val="BodyText"/>
        <w:spacing w:line="240" w:lineRule="auto"/>
        <w:ind w:left="573" w:right="0"/>
        <w:jc w:val="left"/>
      </w:pPr>
      <w:r>
        <w:rPr/>
        <w:t>公司技术创新能力处于行业领先地位，依托设立在公司的国家博士后科研工作站，主导</w:t>
      </w:r>
      <w:r>
        <w:rPr>
          <w:rFonts w:ascii="Times New Roman" w:hAnsi="Times New Roman" w:cs="Times New Roman" w:eastAsia="Times New Roman" w:hint="default"/>
        </w:rPr>
        <w:t>7</w:t>
      </w:r>
      <w:r>
        <w:rPr/>
        <w:t>项国家标准，累计获授逾百项</w:t>
      </w:r>
    </w:p>
    <w:p>
      <w:pPr>
        <w:spacing w:after="0" w:line="240"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240" w:lineRule="auto"/>
        <w:ind w:right="0"/>
        <w:jc w:val="left"/>
      </w:pPr>
      <w:r>
        <w:rPr/>
        <w:t>发明专利、数十项实用新型专利和近</w:t>
      </w:r>
      <w:r>
        <w:rPr>
          <w:rFonts w:ascii="Times New Roman" w:hAnsi="Times New Roman" w:cs="Times New Roman" w:eastAsia="Times New Roman" w:hint="default"/>
        </w:rPr>
        <w:t>200</w:t>
      </w:r>
      <w:r>
        <w:rPr/>
        <w:t>项软件著作权。拥有自主创新的智能终端产品和物联网、互联网及大数据平台产品。</w:t>
      </w:r>
    </w:p>
    <w:p>
      <w:pPr>
        <w:spacing w:line="240" w:lineRule="auto" w:before="10"/>
        <w:rPr>
          <w:rFonts w:ascii="宋体" w:hAnsi="宋体" w:cs="宋体" w:eastAsia="宋体" w:hint="default"/>
          <w:sz w:val="16"/>
          <w:szCs w:val="16"/>
        </w:rPr>
      </w:pPr>
    </w:p>
    <w:p>
      <w:pPr>
        <w:pStyle w:val="BodyText"/>
        <w:spacing w:line="451" w:lineRule="auto"/>
        <w:ind w:left="573" w:right="1133" w:hanging="421"/>
        <w:jc w:val="left"/>
      </w:pPr>
      <w:r>
        <w:rPr>
          <w:rFonts w:ascii="Times New Roman" w:hAnsi="Times New Roman" w:cs="Times New Roman" w:eastAsia="Times New Roman" w:hint="default"/>
          <w:b/>
          <w:bCs/>
        </w:rPr>
        <w:t>4</w:t>
      </w:r>
      <w:r>
        <w:rPr>
          <w:rFonts w:ascii="宋体" w:hAnsi="宋体" w:cs="宋体" w:eastAsia="宋体" w:hint="default"/>
          <w:b/>
          <w:bCs/>
        </w:rPr>
        <w:t>、整体解决方案优势</w:t>
      </w:r>
      <w:r>
        <w:rPr>
          <w:rFonts w:ascii="宋体" w:hAnsi="宋体" w:cs="宋体" w:eastAsia="宋体" w:hint="default"/>
          <w:b/>
          <w:bCs/>
          <w:w w:val="99"/>
        </w:rPr>
        <w:t> </w:t>
      </w:r>
      <w:r>
        <w:rPr/>
        <w:t>公司在多年的市场服务中，积累了丰富的行业经验，致力于为每个使用者提供定制化智能物联网综合解决方案。可面</w:t>
      </w:r>
    </w:p>
    <w:p>
      <w:pPr>
        <w:pStyle w:val="BodyText"/>
        <w:spacing w:line="477" w:lineRule="auto" w:before="74"/>
        <w:ind w:right="1034"/>
        <w:jc w:val="left"/>
      </w:pPr>
      <w:r>
        <w:rPr/>
        <w:t>向商业建筑、综合社区、城市轨道交通、数据中心、各层级医院提供涵盖信息化应用系统、设备管理系统、公共安全系统、 </w:t>
      </w:r>
      <w:r>
        <w:rPr>
          <w:spacing w:val="-2"/>
        </w:rPr>
        <w:t>智能化集成系统、节能控制等的方案设计、定制开发、系统集成、施工管理及后期运营服务；可为城市医疗卫生体系提供一</w:t>
      </w:r>
      <w:r>
        <w:rPr>
          <w:spacing w:val="-67"/>
        </w:rPr>
        <w:t> </w:t>
      </w:r>
      <w:r>
        <w:rPr>
          <w:spacing w:val="-67"/>
        </w:rPr>
      </w:r>
      <w:r>
        <w:rPr/>
        <w:t>体化软件平台及大数据运营服务。</w:t>
      </w:r>
    </w:p>
    <w:p>
      <w:pPr>
        <w:spacing w:after="0" w:line="477"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1"/>
        <w:spacing w:line="240" w:lineRule="auto"/>
        <w:ind w:left="3045" w:right="1133"/>
        <w:jc w:val="left"/>
        <w:rPr>
          <w:b w:val="0"/>
          <w:bCs w:val="0"/>
        </w:rPr>
      </w:pPr>
      <w:bookmarkStart w:name="_TOC_250009" w:id="23"/>
      <w:bookmarkStart w:name="第四节经营情况讨论与分析" w:id="24"/>
      <w:r>
        <w:rPr>
          <w:b w:val="0"/>
          <w:bCs w:val="0"/>
        </w:rPr>
      </w:r>
      <w:r>
        <w:rPr/>
        <w:t>第四节经营情况讨论与分析</w:t>
      </w:r>
      <w:bookmarkEnd w:id="23"/>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6"/>
          <w:szCs w:val="16"/>
        </w:rPr>
      </w:pPr>
    </w:p>
    <w:p>
      <w:pPr>
        <w:pStyle w:val="Heading2"/>
        <w:spacing w:line="240" w:lineRule="auto" w:before="26"/>
        <w:ind w:right="1133"/>
        <w:jc w:val="left"/>
        <w:rPr>
          <w:b w:val="0"/>
          <w:bCs w:val="0"/>
        </w:rPr>
      </w:pPr>
      <w:bookmarkStart w:name="一、概述" w:id="25"/>
      <w:bookmarkEnd w:id="25"/>
      <w:r>
        <w:rPr>
          <w:b w:val="0"/>
          <w:bCs w:val="0"/>
        </w:rPr>
      </w:r>
      <w:r>
        <w:rPr/>
        <w:t>一、概述</w:t>
      </w:r>
      <w:r>
        <w:rPr>
          <w:b w:val="0"/>
          <w:bCs w:val="0"/>
        </w:rPr>
      </w:r>
    </w:p>
    <w:p>
      <w:pPr>
        <w:spacing w:line="240" w:lineRule="auto" w:before="7"/>
        <w:rPr>
          <w:rFonts w:ascii="宋体" w:hAnsi="宋体" w:cs="宋体" w:eastAsia="宋体" w:hint="default"/>
          <w:b/>
          <w:bCs/>
          <w:sz w:val="32"/>
          <w:szCs w:val="32"/>
        </w:rPr>
      </w:pPr>
    </w:p>
    <w:p>
      <w:pPr>
        <w:pStyle w:val="BodyText"/>
        <w:spacing w:line="477" w:lineRule="auto"/>
        <w:ind w:right="1130" w:firstLine="420"/>
        <w:jc w:val="both"/>
      </w:pPr>
      <w:r>
        <w:rPr>
          <w:spacing w:val="-3"/>
        </w:rPr>
        <w:t>报告期内，公司实现营业收入</w:t>
      </w:r>
      <w:r>
        <w:rPr>
          <w:rFonts w:ascii="宋体" w:hAnsi="宋体" w:cs="宋体" w:eastAsia="宋体" w:hint="default"/>
          <w:spacing w:val="-3"/>
        </w:rPr>
        <w:t>220,585.25</w:t>
      </w:r>
      <w:r>
        <w:rPr>
          <w:spacing w:val="-3"/>
        </w:rPr>
        <w:t>万元，较上年同期减少</w:t>
      </w:r>
      <w:r>
        <w:rPr>
          <w:rFonts w:ascii="宋体" w:hAnsi="宋体" w:cs="宋体" w:eastAsia="宋体" w:hint="default"/>
          <w:spacing w:val="-3"/>
        </w:rPr>
        <w:t>12.72%</w:t>
      </w:r>
      <w:r>
        <w:rPr>
          <w:spacing w:val="-3"/>
        </w:rPr>
        <w:t>；实现归属于上市公司股东的净利润</w:t>
      </w:r>
      <w:r>
        <w:rPr>
          <w:rFonts w:ascii="宋体" w:hAnsi="宋体" w:cs="宋体" w:eastAsia="宋体" w:hint="default"/>
          <w:spacing w:val="-3"/>
        </w:rPr>
        <w:t>-34,288.58</w:t>
      </w:r>
      <w:r>
        <w:rPr>
          <w:rFonts w:ascii="宋体" w:hAnsi="宋体" w:cs="宋体" w:eastAsia="宋体" w:hint="default"/>
        </w:rPr>
        <w:t> </w:t>
      </w:r>
      <w:r>
        <w:rPr/>
        <w:t>万元，较上年同期减少</w:t>
      </w:r>
      <w:r>
        <w:rPr>
          <w:rFonts w:ascii="宋体" w:hAnsi="宋体" w:cs="宋体" w:eastAsia="宋体" w:hint="default"/>
        </w:rPr>
        <w:t>258.18%</w:t>
      </w:r>
      <w:r>
        <w:rPr/>
        <w:t>，经营活动现金流</w:t>
      </w:r>
      <w:r>
        <w:rPr>
          <w:rFonts w:ascii="宋体" w:hAnsi="宋体" w:cs="宋体" w:eastAsia="宋体" w:hint="default"/>
        </w:rPr>
        <w:t>47,396.83</w:t>
      </w:r>
      <w:r>
        <w:rPr/>
        <w:t>万元，较上年同期增加</w:t>
      </w:r>
      <w:r>
        <w:rPr>
          <w:rFonts w:ascii="宋体" w:hAnsi="宋体" w:cs="宋体" w:eastAsia="宋体" w:hint="default"/>
        </w:rPr>
        <w:t>348.18%</w:t>
      </w:r>
      <w:r>
        <w:rPr/>
        <w:t>。其中，智慧交通业务板块实现 </w:t>
      </w:r>
      <w:r>
        <w:rPr>
          <w:spacing w:val="-2"/>
        </w:rPr>
        <w:t>营业收入</w:t>
      </w:r>
      <w:r>
        <w:rPr>
          <w:rFonts w:ascii="宋体" w:hAnsi="宋体" w:cs="宋体" w:eastAsia="宋体" w:hint="default"/>
          <w:spacing w:val="-2"/>
        </w:rPr>
        <w:t>3.42</w:t>
      </w:r>
      <w:r>
        <w:rPr>
          <w:spacing w:val="-2"/>
        </w:rPr>
        <w:t>亿，较上年增长</w:t>
      </w:r>
      <w:r>
        <w:rPr>
          <w:rFonts w:ascii="宋体" w:hAnsi="宋体" w:cs="宋体" w:eastAsia="宋体" w:hint="default"/>
          <w:spacing w:val="-2"/>
        </w:rPr>
        <w:t>58.06%</w:t>
      </w:r>
      <w:r>
        <w:rPr>
          <w:spacing w:val="-2"/>
        </w:rPr>
        <w:t>，智慧医疗业务板块业务受整体宏观环境去杠杆和市场竞争格局变化，营业收入出现下</w:t>
      </w:r>
      <w:r>
        <w:rPr>
          <w:spacing w:val="-60"/>
        </w:rPr>
        <w:t> </w:t>
      </w:r>
      <w:r>
        <w:rPr>
          <w:spacing w:val="-60"/>
        </w:rPr>
      </w:r>
      <w:r>
        <w:rPr/>
        <w:t>滑。受计提全资子公司达实久信</w:t>
      </w:r>
      <w:r>
        <w:rPr>
          <w:rFonts w:ascii="宋体" w:hAnsi="宋体" w:cs="宋体" w:eastAsia="宋体" w:hint="default"/>
        </w:rPr>
        <w:t>46,949.42</w:t>
      </w:r>
      <w:r>
        <w:rPr/>
        <w:t>万元商誉减值的影响，公司经营业绩上市以来首次出现亏损。该资产组计提商誉 减值准备金额占公司</w:t>
      </w: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31</w:t>
      </w:r>
      <w:r>
        <w:rPr/>
        <w:t>日经审计归属于上市公司股东的所有者权益的</w:t>
      </w:r>
      <w:r>
        <w:rPr>
          <w:rFonts w:ascii="宋体" w:hAnsi="宋体" w:cs="宋体" w:eastAsia="宋体" w:hint="default"/>
        </w:rPr>
        <w:t>16.63%</w:t>
      </w:r>
      <w:r>
        <w:rPr/>
        <w:t>。</w:t>
      </w:r>
    </w:p>
    <w:p>
      <w:pPr>
        <w:pStyle w:val="Heading6"/>
        <w:spacing w:line="240" w:lineRule="auto" w:before="54"/>
        <w:ind w:right="1133"/>
        <w:jc w:val="left"/>
        <w:rPr>
          <w:b w:val="0"/>
          <w:bCs w:val="0"/>
        </w:rPr>
      </w:pPr>
      <w:r>
        <w:rPr>
          <w:rFonts w:ascii="宋体" w:hAnsi="宋体" w:cs="宋体" w:eastAsia="宋体" w:hint="default"/>
        </w:rPr>
        <w:t>1</w:t>
      </w:r>
      <w:r>
        <w:rPr/>
        <w:t>、技术与研发</w:t>
      </w:r>
      <w:r>
        <w:rPr>
          <w:b w:val="0"/>
          <w:bCs w:val="0"/>
        </w:rPr>
      </w:r>
    </w:p>
    <w:p>
      <w:pPr>
        <w:spacing w:line="240" w:lineRule="auto" w:before="10"/>
        <w:rPr>
          <w:rFonts w:ascii="宋体" w:hAnsi="宋体" w:cs="宋体" w:eastAsia="宋体" w:hint="default"/>
          <w:b/>
          <w:bCs/>
          <w:sz w:val="17"/>
          <w:szCs w:val="17"/>
        </w:rPr>
      </w:pPr>
    </w:p>
    <w:p>
      <w:pPr>
        <w:pStyle w:val="BodyText"/>
        <w:spacing w:line="477" w:lineRule="auto"/>
        <w:ind w:right="1127" w:firstLine="420"/>
        <w:jc w:val="both"/>
      </w:pPr>
      <w:r>
        <w:rPr/>
        <w:t>报告期内，公司回归技术与创新驱动，致力于成为</w:t>
      </w:r>
      <w:r>
        <w:rPr>
          <w:rFonts w:ascii="宋体" w:hAnsi="宋体" w:cs="宋体" w:eastAsia="宋体" w:hint="default"/>
        </w:rPr>
        <w:t>5G</w:t>
      </w:r>
      <w:r>
        <w:rPr/>
        <w:t>时代值得信赖的智能物联网解决方案的建设者和服务商，以人工 智能、物联网、云计算技术，通过智能物联</w:t>
      </w:r>
      <w:r>
        <w:rPr>
          <w:rFonts w:ascii="宋体" w:hAnsi="宋体" w:cs="宋体" w:eastAsia="宋体" w:hint="default"/>
        </w:rPr>
        <w:t>AIoT+</w:t>
      </w:r>
      <w:r>
        <w:rPr/>
        <w:t>为传统行业赋能，解决全要素、全过程、全空间的数字化、信息化、智能 化，积极打造“</w:t>
      </w:r>
      <w:r>
        <w:rPr>
          <w:rFonts w:ascii="宋体" w:hAnsi="宋体" w:cs="宋体" w:eastAsia="宋体" w:hint="default"/>
        </w:rPr>
        <w:t>AIoT+</w:t>
      </w:r>
      <w:r>
        <w:rPr/>
        <w:t>细分场景”的规模应用。报告期内，公司围绕云、边、端的技术框架，定义核心技术与研发内容，在 </w:t>
      </w:r>
      <w:r>
        <w:rPr>
          <w:spacing w:val="-2"/>
        </w:rPr>
        <w:t>边缘技术、云服务平台领域持续研发与创新。开发了基于</w:t>
      </w:r>
      <w:r>
        <w:rPr>
          <w:rFonts w:ascii="宋体" w:hAnsi="宋体" w:cs="宋体" w:eastAsia="宋体" w:hint="default"/>
          <w:spacing w:val="-2"/>
        </w:rPr>
        <w:t>AIoT</w:t>
      </w:r>
      <w:r>
        <w:rPr>
          <w:spacing w:val="-2"/>
        </w:rPr>
        <w:t>的轨道智慧交通运维系统及基于云平台的新一代自动售检票系</w:t>
      </w:r>
      <w:r>
        <w:rPr>
          <w:spacing w:val="-62"/>
        </w:rPr>
        <w:t> </w:t>
      </w:r>
      <w:r>
        <w:rPr>
          <w:spacing w:val="-2"/>
        </w:rPr>
        <w:t>统；成功研发标准模块化手术室，实现了工程产品化的关键技术突破；研发出业内首套手术室智慧管理平台产品；中标</w:t>
      </w:r>
      <w:r>
        <w:rPr>
          <w:rFonts w:ascii="宋体" w:hAnsi="宋体" w:cs="宋体" w:eastAsia="宋体" w:hint="default"/>
          <w:spacing w:val="-2"/>
        </w:rPr>
        <w:t>2019</w:t>
      </w:r>
      <w:r>
        <w:rPr>
          <w:rFonts w:ascii="宋体" w:hAnsi="宋体" w:cs="宋体" w:eastAsia="宋体" w:hint="default"/>
          <w:spacing w:val="-58"/>
        </w:rPr>
        <w:t> </w:t>
      </w:r>
      <w:r>
        <w:rPr>
          <w:rFonts w:ascii="宋体" w:hAnsi="宋体" w:cs="宋体" w:eastAsia="宋体" w:hint="default"/>
          <w:spacing w:val="-58"/>
        </w:rPr>
      </w:r>
      <w:r>
        <w:rPr>
          <w:spacing w:val="-2"/>
        </w:rPr>
        <w:t>年度雄安新区智能城市标准研究课题——物联网建设导则（楼宇），体现公司在未来雄安新区智能物联建设中技术领域综合</w:t>
      </w:r>
      <w:r>
        <w:rPr>
          <w:spacing w:val="-65"/>
        </w:rPr>
        <w:t> </w:t>
      </w:r>
      <w:r>
        <w:rPr>
          <w:spacing w:val="-65"/>
        </w:rPr>
      </w:r>
      <w:r>
        <w:rPr>
          <w:spacing w:val="-2"/>
        </w:rPr>
        <w:t>实力；雄安市民服务中心荣获雄安新区首个中国建设工程鲁班奖，公司物联网技术服务再获肯定，夯实了公司在建筑楼宇智</w:t>
      </w:r>
      <w:r>
        <w:rPr>
          <w:spacing w:val="-63"/>
        </w:rPr>
        <w:t> </w:t>
      </w:r>
      <w:r>
        <w:rPr>
          <w:spacing w:val="-63"/>
        </w:rPr>
      </w:r>
      <w:r>
        <w:rPr/>
        <w:t>能化中的专业力量。</w:t>
      </w:r>
    </w:p>
    <w:p>
      <w:pPr>
        <w:pStyle w:val="Heading6"/>
        <w:spacing w:line="240" w:lineRule="auto" w:before="54"/>
        <w:ind w:right="1133"/>
        <w:jc w:val="left"/>
        <w:rPr>
          <w:b w:val="0"/>
          <w:bCs w:val="0"/>
        </w:rPr>
      </w:pPr>
      <w:r>
        <w:rPr>
          <w:rFonts w:ascii="宋体" w:hAnsi="宋体" w:cs="宋体" w:eastAsia="宋体" w:hint="default"/>
        </w:rPr>
        <w:t>2</w:t>
      </w:r>
      <w:r>
        <w:rPr/>
        <w:t>、业务拓展</w:t>
      </w:r>
      <w:r>
        <w:rPr>
          <w:b w:val="0"/>
          <w:bCs w:val="0"/>
        </w:rPr>
      </w:r>
    </w:p>
    <w:p>
      <w:pPr>
        <w:spacing w:line="240" w:lineRule="auto" w:before="10"/>
        <w:rPr>
          <w:rFonts w:ascii="宋体" w:hAnsi="宋体" w:cs="宋体" w:eastAsia="宋体" w:hint="default"/>
          <w:b/>
          <w:bCs/>
          <w:sz w:val="17"/>
          <w:szCs w:val="17"/>
        </w:rPr>
      </w:pPr>
    </w:p>
    <w:p>
      <w:pPr>
        <w:pStyle w:val="BodyText"/>
        <w:spacing w:line="477" w:lineRule="auto"/>
        <w:ind w:right="1028" w:firstLine="420"/>
        <w:jc w:val="left"/>
      </w:pPr>
      <w:r>
        <w:rPr>
          <w:rFonts w:ascii="宋体" w:hAnsi="宋体" w:cs="宋体" w:eastAsia="宋体" w:hint="default"/>
          <w:spacing w:val="-1"/>
        </w:rPr>
        <w:t>2019</w:t>
      </w:r>
      <w:r>
        <w:rPr>
          <w:spacing w:val="-1"/>
        </w:rPr>
        <w:t>年，公司顺应宏观经济与产业变革新环境，持续强化技术创新和市场开拓，在城市智能物联各条细分场景赛道上，</w:t>
      </w:r>
      <w:r>
        <w:rPr/>
        <w:t> 基于</w:t>
      </w:r>
      <w:r>
        <w:rPr>
          <w:rFonts w:ascii="宋体" w:hAnsi="宋体" w:cs="宋体" w:eastAsia="宋体" w:hint="default"/>
        </w:rPr>
        <w:t>AI</w:t>
      </w:r>
      <w:r>
        <w:rPr/>
        <w:t>赋能的五级框架结构，发挥实际应用场景的数据驱动</w:t>
      </w:r>
      <w:r>
        <w:rPr>
          <w:rFonts w:ascii="宋体" w:hAnsi="宋体" w:cs="宋体" w:eastAsia="宋体" w:hint="default"/>
        </w:rPr>
        <w:t>+</w:t>
      </w:r>
      <w:r>
        <w:rPr/>
        <w:t>专家知识经验不断学习的优势，落地应用规模持续扩大。</w:t>
      </w:r>
    </w:p>
    <w:p>
      <w:pPr>
        <w:pStyle w:val="BodyText"/>
        <w:spacing w:line="477" w:lineRule="auto" w:before="54"/>
        <w:ind w:right="1026" w:firstLine="420"/>
        <w:jc w:val="left"/>
      </w:pPr>
      <w:r>
        <w:rPr>
          <w:spacing w:val="-1"/>
        </w:rPr>
        <w:t>报告期内，公司积极巩固传统业务板块的实施能力及综合竞争力，涟水县中医院迁建项目、深圳技术大学智能化项目、</w:t>
      </w:r>
      <w:r>
        <w:rPr/>
        <w:t> 石家庄市城市轨道交通</w:t>
      </w:r>
      <w:r>
        <w:rPr>
          <w:rFonts w:ascii="宋体" w:hAnsi="宋体" w:cs="宋体" w:eastAsia="宋体" w:hint="default"/>
        </w:rPr>
        <w:t>2</w:t>
      </w:r>
      <w:r>
        <w:rPr/>
        <w:t>号线一期综合监控等大型项目实施，为经营业绩奠定订单基础；</w:t>
      </w:r>
      <w:r>
        <w:rPr>
          <w:rFonts w:ascii="宋体" w:hAnsi="宋体" w:cs="宋体" w:eastAsia="宋体" w:hint="default"/>
        </w:rPr>
        <w:t>3.53</w:t>
      </w:r>
      <w:r>
        <w:rPr/>
        <w:t>亿中标深圳市报合大数据中心</w:t>
      </w:r>
      <w:r>
        <w:rPr>
          <w:spacing w:val="-87"/>
        </w:rPr>
        <w:t> </w:t>
      </w:r>
      <w:r>
        <w:rPr>
          <w:rFonts w:ascii="宋体" w:hAnsi="宋体" w:cs="宋体" w:eastAsia="宋体" w:hint="default"/>
        </w:rPr>
        <w:t>EPC</w:t>
      </w:r>
      <w:r>
        <w:rPr/>
        <w:t>项目，作为公司在数据中心业务领域单笔金额最大的项目，彰显公司在数据中心领域的综合实力；以自主水蓄冷技术为 </w:t>
      </w:r>
      <w:r>
        <w:rPr>
          <w:spacing w:val="-2"/>
        </w:rPr>
        <w:t>核心，签约全亚洲单体最大水蓄冷项目——成都天府国际机场水蓄冷项目；北京中粮高效能源站项目顺利实施，荣获“蓝天</w:t>
      </w:r>
      <w:r>
        <w:rPr>
          <w:spacing w:val="-64"/>
        </w:rPr>
        <w:t> </w:t>
      </w:r>
      <w:r>
        <w:rPr>
          <w:spacing w:val="-64"/>
        </w:rPr>
      </w:r>
      <w:r>
        <w:rPr/>
        <w:t>杯“卓越技术奖、国优</w:t>
      </w:r>
      <w:r>
        <w:rPr>
          <w:rFonts w:ascii="宋体" w:hAnsi="宋体" w:cs="宋体" w:eastAsia="宋体" w:hint="default"/>
        </w:rPr>
        <w:t>/</w:t>
      </w:r>
      <w:r>
        <w:rPr/>
        <w:t>市优工程质量奖，高效能源站建设、运营服务能力获得认可，树立行业标杆。</w:t>
      </w:r>
    </w:p>
    <w:p>
      <w:pPr>
        <w:pStyle w:val="BodyText"/>
        <w:spacing w:line="477" w:lineRule="auto" w:before="54"/>
        <w:ind w:right="1034" w:firstLine="420"/>
        <w:jc w:val="left"/>
        <w:rPr>
          <w:rFonts w:ascii="宋体" w:hAnsi="宋体" w:cs="宋体" w:eastAsia="宋体" w:hint="default"/>
        </w:rPr>
      </w:pPr>
      <w:r>
        <w:rPr/>
        <w:t>同时，公司积极探索云服务平台、医疗与健康数据运营等可持续性强的创新型业务，并进行相应的人力资源储备，淮 南区域医疗平台通过国家互联互通四级甲等评测，成为</w:t>
      </w:r>
      <w:r>
        <w:rPr>
          <w:rFonts w:ascii="宋体" w:hAnsi="宋体" w:cs="宋体" w:eastAsia="宋体" w:hint="default"/>
        </w:rPr>
        <w:t>2019</w:t>
      </w:r>
      <w:r>
        <w:rPr/>
        <w:t>年度安徽省唯一一个通过国家互联互通四级甲等评测的地级市。 </w:t>
      </w:r>
      <w:r>
        <w:rPr>
          <w:rFonts w:ascii="宋体" w:hAnsi="宋体" w:cs="宋体" w:eastAsia="宋体" w:hint="default"/>
          <w:b/>
          <w:bCs/>
        </w:rPr>
        <w:t>3</w:t>
      </w:r>
      <w:r>
        <w:rPr>
          <w:rFonts w:ascii="宋体" w:hAnsi="宋体" w:cs="宋体" w:eastAsia="宋体" w:hint="default"/>
          <w:b/>
          <w:bCs/>
        </w:rPr>
        <w:t>、市场营销</w:t>
      </w:r>
      <w:r>
        <w:rPr>
          <w:rFonts w:ascii="宋体" w:hAnsi="宋体" w:cs="宋体" w:eastAsia="宋体" w:hint="default"/>
        </w:rPr>
      </w:r>
    </w:p>
    <w:p>
      <w:pPr>
        <w:spacing w:after="0" w:line="477" w:lineRule="auto"/>
        <w:jc w:val="left"/>
        <w:rPr>
          <w:rFonts w:ascii="宋体" w:hAnsi="宋体" w:cs="宋体" w:eastAsia="宋体" w:hint="default"/>
        </w:rPr>
        <w:sectPr>
          <w:pgSz w:w="11910" w:h="16840"/>
          <w:pgMar w:header="745" w:footer="980" w:top="1060" w:bottom="1160" w:left="980" w:right="0"/>
        </w:sect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5"/>
          <w:szCs w:val="15"/>
        </w:rPr>
      </w:pPr>
    </w:p>
    <w:p>
      <w:pPr>
        <w:pStyle w:val="BodyText"/>
        <w:spacing w:line="477" w:lineRule="auto"/>
        <w:ind w:right="0" w:firstLine="420"/>
        <w:jc w:val="left"/>
      </w:pPr>
      <w:r>
        <w:rPr/>
        <w:t>报告期内，公司持续拓展市场营销工作，作为首席战略合作伙伴参与被誉为“亚洲医建第一盛会”的第二十届全国医 </w:t>
      </w:r>
      <w:r>
        <w:rPr>
          <w:spacing w:val="-4"/>
        </w:rPr>
        <w:t>院建设大会，展示了为智慧医院提供的智能化及节能系统、手术室及医疗专项系统、医院信息化及大数据三大核心解决方案，</w:t>
      </w:r>
      <w:r>
        <w:rPr>
          <w:spacing w:val="-44"/>
        </w:rPr>
        <w:t> </w:t>
      </w:r>
      <w:r>
        <w:rPr>
          <w:spacing w:val="-44"/>
        </w:rPr>
      </w:r>
      <w:r>
        <w:rPr>
          <w:spacing w:val="-2"/>
        </w:rPr>
        <w:t>同时发布《基于物联网应用的达实智慧医院白皮书》，受到业界高度评价和关注，公司在现场展示的基于物联网应用的智慧</w:t>
      </w:r>
      <w:r>
        <w:rPr>
          <w:spacing w:val="-64"/>
        </w:rPr>
        <w:t> </w:t>
      </w:r>
      <w:r>
        <w:rPr>
          <w:spacing w:val="-64"/>
        </w:rPr>
      </w:r>
      <w:r>
        <w:rPr>
          <w:spacing w:val="-2"/>
        </w:rPr>
        <w:t>医院解决方案，以及在新技术冲击下的智慧医院建设战略布局，受到了多家主流媒体和行业媒体的报道；作为公司智慧医院</w:t>
      </w:r>
      <w:r>
        <w:rPr>
          <w:spacing w:val="-63"/>
        </w:rPr>
        <w:t> </w:t>
      </w:r>
      <w:r>
        <w:rPr>
          <w:spacing w:val="-63"/>
        </w:rPr>
      </w:r>
      <w:r>
        <w:rPr/>
        <w:t>项目标杆，成功组织遵义医学院第二附属医院项目样板现场会，接待当地市属医院客户及全国各地大型医院的负责人</w:t>
      </w:r>
      <w:r>
        <w:rPr>
          <w:rFonts w:ascii="宋体" w:hAnsi="宋体" w:cs="宋体" w:eastAsia="宋体" w:hint="default"/>
        </w:rPr>
        <w:t>200</w:t>
      </w:r>
      <w:r>
        <w:rPr/>
        <w:t>余 人，广获用户好评。</w:t>
      </w:r>
    </w:p>
    <w:p>
      <w:pPr>
        <w:pStyle w:val="BodyText"/>
        <w:spacing w:line="477" w:lineRule="auto" w:before="54"/>
        <w:ind w:right="1129" w:firstLine="420"/>
        <w:jc w:val="both"/>
      </w:pPr>
      <w:r>
        <w:rPr>
          <w:spacing w:val="-2"/>
        </w:rPr>
        <w:t>公司在深圳的企业总部达实大厦</w:t>
      </w:r>
      <w:r>
        <w:rPr>
          <w:rFonts w:ascii="宋体" w:hAnsi="宋体" w:cs="宋体" w:eastAsia="宋体" w:hint="default"/>
          <w:spacing w:val="-2"/>
        </w:rPr>
        <w:t>2019</w:t>
      </w:r>
      <w:r>
        <w:rPr>
          <w:spacing w:val="-2"/>
        </w:rPr>
        <w:t>年</w:t>
      </w:r>
      <w:r>
        <w:rPr>
          <w:rFonts w:ascii="宋体" w:hAnsi="宋体" w:cs="宋体" w:eastAsia="宋体" w:hint="default"/>
          <w:spacing w:val="-2"/>
        </w:rPr>
        <w:t>3</w:t>
      </w:r>
      <w:r>
        <w:rPr>
          <w:spacing w:val="-2"/>
        </w:rPr>
        <w:t>月正式投入使用，项目深度融合人工智能、数字孪生、物联网、大数据等先进</w:t>
      </w:r>
      <w:r>
        <w:rPr/>
        <w:t> </w:t>
      </w:r>
      <w:r>
        <w:rPr>
          <w:spacing w:val="-7"/>
        </w:rPr>
        <w:t>技术，自主创新打造写字楼内无感通行、无感控制、智慧办公等体验，广获业界好评，树立湾区绿色智慧建筑标杆，成为</w:t>
      </w:r>
      <w:r>
        <w:rPr>
          <w:rFonts w:ascii="宋体" w:hAnsi="宋体" w:cs="宋体" w:eastAsia="宋体" w:hint="default"/>
          <w:spacing w:val="-7"/>
        </w:rPr>
        <w:t>AIoT+</w:t>
      </w:r>
      <w:r>
        <w:rPr>
          <w:rFonts w:ascii="宋体" w:hAnsi="宋体" w:cs="宋体" w:eastAsia="宋体" w:hint="default"/>
          <w:spacing w:val="-39"/>
        </w:rPr>
        <w:t> </w:t>
      </w:r>
      <w:r>
        <w:rPr>
          <w:rFonts w:ascii="宋体" w:hAnsi="宋体" w:cs="宋体" w:eastAsia="宋体" w:hint="default"/>
          <w:spacing w:val="-39"/>
        </w:rPr>
      </w:r>
      <w:r>
        <w:rPr/>
        <w:t>建筑的研发样本。</w:t>
      </w:r>
    </w:p>
    <w:p>
      <w:pPr>
        <w:spacing w:line="477" w:lineRule="auto" w:before="54"/>
        <w:ind w:left="573" w:right="1153" w:hanging="421"/>
        <w:jc w:val="left"/>
        <w:rPr>
          <w:rFonts w:ascii="宋体" w:hAnsi="宋体" w:cs="宋体" w:eastAsia="宋体" w:hint="default"/>
          <w:sz w:val="18"/>
          <w:szCs w:val="18"/>
        </w:rPr>
      </w:pPr>
      <w:r>
        <w:rPr>
          <w:rFonts w:ascii="宋体" w:hAnsi="宋体" w:cs="宋体" w:eastAsia="宋体" w:hint="default"/>
          <w:b/>
          <w:bCs/>
          <w:sz w:val="18"/>
          <w:szCs w:val="18"/>
        </w:rPr>
        <w:t>4</w:t>
      </w:r>
      <w:r>
        <w:rPr>
          <w:rFonts w:ascii="宋体" w:hAnsi="宋体" w:cs="宋体" w:eastAsia="宋体" w:hint="default"/>
          <w:b/>
          <w:bCs/>
          <w:sz w:val="18"/>
          <w:szCs w:val="18"/>
        </w:rPr>
        <w:t>、商誉减值致使公司净利润亏损</w:t>
      </w:r>
      <w:r>
        <w:rPr>
          <w:rFonts w:ascii="宋体" w:hAnsi="宋体" w:cs="宋体" w:eastAsia="宋体" w:hint="default"/>
          <w:b/>
          <w:bCs/>
          <w:w w:val="99"/>
          <w:sz w:val="18"/>
          <w:szCs w:val="18"/>
        </w:rPr>
        <w:t> </w:t>
      </w:r>
      <w:r>
        <w:rPr>
          <w:rFonts w:ascii="宋体" w:hAnsi="宋体" w:cs="宋体" w:eastAsia="宋体" w:hint="default"/>
          <w:sz w:val="18"/>
          <w:szCs w:val="18"/>
        </w:rPr>
        <w:t>报告期内，由于宏观环境去杠杆和市场竞争格局变化，子公司久信医疗的新增订单增长迟缓，传统手术室净化业务毛</w:t>
      </w:r>
    </w:p>
    <w:p>
      <w:pPr>
        <w:pStyle w:val="BodyText"/>
        <w:spacing w:line="477" w:lineRule="auto" w:before="54"/>
        <w:ind w:right="1119"/>
        <w:jc w:val="left"/>
      </w:pPr>
      <w:r>
        <w:rPr>
          <w:spacing w:val="-2"/>
        </w:rPr>
        <w:t>利率下滑，高毛利的数字化手术室创新业务的规模仍较小，已签约待执行项目实施进度滞后。综合对其经营利润总体情况及</w:t>
      </w:r>
      <w:r>
        <w:rPr>
          <w:spacing w:val="-63"/>
        </w:rPr>
        <w:t> </w:t>
      </w:r>
      <w:r>
        <w:rPr>
          <w:spacing w:val="-63"/>
        </w:rPr>
      </w:r>
      <w:r>
        <w:rPr>
          <w:spacing w:val="-2"/>
        </w:rPr>
        <w:t>目前的市场形势分析，根据专业评估机构出具的评估结果，公司对收购形成的商誉计提了减值准备，导致</w:t>
      </w:r>
      <w:r>
        <w:rPr>
          <w:rFonts w:ascii="宋体" w:hAnsi="宋体" w:cs="宋体" w:eastAsia="宋体" w:hint="default"/>
          <w:spacing w:val="-2"/>
        </w:rPr>
        <w:t>2019</w:t>
      </w:r>
      <w:r>
        <w:rPr>
          <w:spacing w:val="-2"/>
        </w:rPr>
        <w:t>年度归属于上</w:t>
      </w:r>
      <w:r>
        <w:rPr>
          <w:spacing w:val="-60"/>
        </w:rPr>
        <w:t> </w:t>
      </w:r>
      <w:r>
        <w:rPr>
          <w:spacing w:val="-60"/>
        </w:rPr>
      </w:r>
      <w:r>
        <w:rPr/>
        <w:t>市公司股东的净利润减少</w:t>
      </w:r>
      <w:r>
        <w:rPr>
          <w:rFonts w:ascii="宋体" w:hAnsi="宋体" w:cs="宋体" w:eastAsia="宋体" w:hint="default"/>
        </w:rPr>
        <w:t>4.73</w:t>
      </w:r>
      <w:r>
        <w:rPr/>
        <w:t>亿元。剔除计提商誉减值的影响，公司经营情况正常，久信医疗</w:t>
      </w:r>
      <w:r>
        <w:rPr>
          <w:rFonts w:ascii="宋体" w:hAnsi="宋体" w:cs="宋体" w:eastAsia="宋体" w:hint="default"/>
        </w:rPr>
        <w:t>2019</w:t>
      </w:r>
      <w:r>
        <w:rPr/>
        <w:t>年实现净利润</w:t>
      </w:r>
      <w:r>
        <w:rPr>
          <w:rFonts w:ascii="宋体" w:hAnsi="宋体" w:cs="宋体" w:eastAsia="宋体" w:hint="default"/>
        </w:rPr>
        <w:t>3,115.71 </w:t>
      </w:r>
      <w:r>
        <w:rPr/>
        <w:t>万元。</w:t>
      </w:r>
    </w:p>
    <w:p>
      <w:pPr>
        <w:spacing w:line="240" w:lineRule="auto" w:before="7"/>
        <w:rPr>
          <w:rFonts w:ascii="宋体" w:hAnsi="宋体" w:cs="宋体" w:eastAsia="宋体" w:hint="default"/>
          <w:sz w:val="17"/>
          <w:szCs w:val="17"/>
        </w:rPr>
      </w:pPr>
    </w:p>
    <w:p>
      <w:pPr>
        <w:pStyle w:val="Heading2"/>
        <w:spacing w:line="240" w:lineRule="auto"/>
        <w:ind w:right="1133"/>
        <w:jc w:val="left"/>
        <w:rPr>
          <w:b w:val="0"/>
          <w:bCs w:val="0"/>
        </w:rPr>
      </w:pPr>
      <w:bookmarkStart w:name="二、主营业务分析" w:id="26"/>
      <w:bookmarkEnd w:id="26"/>
      <w:r>
        <w:rPr>
          <w:b w:val="0"/>
          <w:bCs w:val="0"/>
        </w:rPr>
      </w:r>
      <w:r>
        <w:rPr/>
        <w:t>二、主营业务分析</w:t>
      </w:r>
      <w:r>
        <w:rPr>
          <w:b w:val="0"/>
          <w:bCs w:val="0"/>
        </w:rPr>
      </w:r>
    </w:p>
    <w:p>
      <w:pPr>
        <w:spacing w:line="240" w:lineRule="auto" w:before="9"/>
        <w:rPr>
          <w:rFonts w:ascii="宋体" w:hAnsi="宋体" w:cs="宋体" w:eastAsia="宋体" w:hint="default"/>
          <w:b/>
          <w:bCs/>
          <w:sz w:val="24"/>
          <w:szCs w:val="24"/>
        </w:rPr>
      </w:pPr>
    </w:p>
    <w:p>
      <w:pPr>
        <w:spacing w:line="547" w:lineRule="auto" w:before="0"/>
        <w:ind w:left="152" w:right="6474" w:firstLine="0"/>
        <w:jc w:val="left"/>
        <w:rPr>
          <w:rFonts w:ascii="宋体" w:hAnsi="宋体" w:cs="宋体" w:eastAsia="宋体" w:hint="default"/>
          <w:sz w:val="21"/>
          <w:szCs w:val="21"/>
        </w:rPr>
      </w:pPr>
      <w:bookmarkStart w:name="1、概述" w:id="27"/>
      <w:bookmarkEnd w:id="27"/>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、概述</w:t>
      </w:r>
      <w:r>
        <w:rPr>
          <w:rFonts w:ascii="宋体" w:hAnsi="宋体" w:cs="宋体" w:eastAsia="宋体" w:hint="default"/>
          <w:b/>
          <w:bCs/>
          <w:w w:val="100"/>
          <w:sz w:val="21"/>
          <w:szCs w:val="21"/>
        </w:rPr>
        <w:t> </w:t>
      </w:r>
      <w:r>
        <w:rPr>
          <w:rFonts w:ascii="宋体" w:hAnsi="宋体" w:cs="宋体" w:eastAsia="宋体" w:hint="default"/>
          <w:sz w:val="18"/>
          <w:szCs w:val="18"/>
        </w:rPr>
        <w:t>参见</w:t>
      </w:r>
      <w:r>
        <w:rPr>
          <w:rFonts w:ascii="Times New Roman" w:hAnsi="Times New Roman" w:cs="Times New Roman" w:eastAsia="Times New Roman" w:hint="default"/>
          <w:sz w:val="18"/>
          <w:szCs w:val="18"/>
        </w:rPr>
        <w:t>“</w:t>
      </w:r>
      <w:r>
        <w:rPr>
          <w:rFonts w:ascii="宋体" w:hAnsi="宋体" w:cs="宋体" w:eastAsia="宋体" w:hint="default"/>
          <w:sz w:val="18"/>
          <w:szCs w:val="18"/>
        </w:rPr>
        <w:t>经营情况讨论与分析</w:t>
      </w:r>
      <w:r>
        <w:rPr>
          <w:rFonts w:ascii="Times New Roman" w:hAnsi="Times New Roman" w:cs="Times New Roman" w:eastAsia="Times New Roman" w:hint="default"/>
          <w:sz w:val="18"/>
          <w:szCs w:val="18"/>
        </w:rPr>
        <w:t>”</w:t>
      </w:r>
      <w:r>
        <w:rPr>
          <w:rFonts w:ascii="宋体" w:hAnsi="宋体" w:cs="宋体" w:eastAsia="宋体" w:hint="default"/>
          <w:sz w:val="18"/>
          <w:szCs w:val="18"/>
        </w:rPr>
        <w:t>中的</w:t>
      </w:r>
      <w:r>
        <w:rPr>
          <w:rFonts w:ascii="Times New Roman" w:hAnsi="Times New Roman" w:cs="Times New Roman" w:eastAsia="Times New Roman" w:hint="default"/>
          <w:sz w:val="18"/>
          <w:szCs w:val="18"/>
        </w:rPr>
        <w:t>“</w:t>
      </w:r>
      <w:r>
        <w:rPr>
          <w:rFonts w:ascii="宋体" w:hAnsi="宋体" w:cs="宋体" w:eastAsia="宋体" w:hint="default"/>
          <w:sz w:val="18"/>
          <w:szCs w:val="18"/>
        </w:rPr>
        <w:t>一、概述</w:t>
      </w:r>
      <w:r>
        <w:rPr>
          <w:rFonts w:ascii="Times New Roman" w:hAnsi="Times New Roman" w:cs="Times New Roman" w:eastAsia="Times New Roman" w:hint="default"/>
          <w:sz w:val="18"/>
          <w:szCs w:val="18"/>
        </w:rPr>
        <w:t>”</w:t>
      </w:r>
      <w:r>
        <w:rPr>
          <w:rFonts w:ascii="宋体" w:hAnsi="宋体" w:cs="宋体" w:eastAsia="宋体" w:hint="default"/>
          <w:sz w:val="18"/>
          <w:szCs w:val="18"/>
        </w:rPr>
        <w:t>相关内容。 </w:t>
      </w:r>
      <w:bookmarkStart w:name="2、收入与成本" w:id="28"/>
      <w:bookmarkEnd w:id="28"/>
      <w:r>
        <w:rPr>
          <w:rFonts w:ascii="宋体" w:hAnsi="宋体" w:cs="宋体" w:eastAsia="宋体" w:hint="default"/>
          <w:sz w:val="18"/>
          <w:szCs w:val="18"/>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、收入与成本</w:t>
      </w:r>
      <w:r>
        <w:rPr>
          <w:rFonts w:ascii="宋体" w:hAnsi="宋体" w:cs="宋体" w:eastAsia="宋体" w:hint="default"/>
          <w:sz w:val="21"/>
          <w:szCs w:val="21"/>
        </w:rPr>
      </w:r>
    </w:p>
    <w:p>
      <w:pPr>
        <w:pStyle w:val="Heading4"/>
        <w:spacing w:line="240" w:lineRule="auto" w:before="26"/>
        <w:ind w:right="1133"/>
        <w:jc w:val="left"/>
        <w:rPr>
          <w:b w:val="0"/>
          <w:bCs w:val="0"/>
        </w:rPr>
      </w:pPr>
      <w:bookmarkStart w:name="（1）营业收入构成" w:id="29"/>
      <w:bookmarkEnd w:id="29"/>
      <w:r>
        <w:rPr>
          <w:b w:val="0"/>
          <w:bCs w:val="0"/>
        </w:rPr>
      </w:r>
      <w:r>
        <w:rPr/>
        <w:t>（</w:t>
      </w:r>
      <w:r>
        <w:rPr>
          <w:rFonts w:ascii="Times New Roman" w:hAnsi="Times New Roman" w:cs="Times New Roman" w:eastAsia="Times New Roman" w:hint="default"/>
        </w:rPr>
        <w:t>1</w:t>
      </w:r>
      <w:r>
        <w:rPr/>
        <w:t>）营业收入构成</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600"/>
        <w:gridCol w:w="1594"/>
        <w:gridCol w:w="1590"/>
        <w:gridCol w:w="1600"/>
        <w:gridCol w:w="1586"/>
        <w:gridCol w:w="1598"/>
      </w:tblGrid>
      <w:tr>
        <w:trPr>
          <w:trHeight w:val="206" w:hRule="exact"/>
        </w:trPr>
        <w:tc>
          <w:tcPr>
            <w:tcW w:w="1600" w:type="dxa"/>
            <w:tcBorders>
              <w:top w:val="single" w:sz="4" w:space="0" w:color="000000"/>
              <w:left w:val="single" w:sz="4" w:space="0" w:color="000000"/>
              <w:bottom w:val="nil" w:sz="6" w:space="0" w:color="auto"/>
              <w:right w:val="single" w:sz="4" w:space="0" w:color="000000"/>
            </w:tcBorders>
            <w:shd w:val="clear" w:color="auto" w:fill="D2D2D2"/>
          </w:tcPr>
          <w:p>
            <w:pPr/>
          </w:p>
        </w:tc>
        <w:tc>
          <w:tcPr>
            <w:tcW w:w="318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8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0" w:hRule="exact"/>
        </w:trPr>
        <w:tc>
          <w:tcPr>
            <w:tcW w:w="1600" w:type="dxa"/>
            <w:vMerge w:val="restart"/>
            <w:tcBorders>
              <w:top w:val="nil" w:sz="6" w:space="0" w:color="auto"/>
              <w:left w:val="single" w:sz="4" w:space="0" w:color="000000"/>
              <w:right w:val="single" w:sz="4" w:space="0" w:color="000000"/>
            </w:tcBorders>
            <w:shd w:val="clear" w:color="auto" w:fill="D2D2D2"/>
          </w:tcPr>
          <w:p>
            <w:pPr/>
          </w:p>
        </w:tc>
        <w:tc>
          <w:tcPr>
            <w:tcW w:w="3184" w:type="dxa"/>
            <w:gridSpan w:val="2"/>
            <w:vMerge/>
            <w:tcBorders>
              <w:left w:val="single" w:sz="4" w:space="0" w:color="000000"/>
              <w:bottom w:val="single" w:sz="4" w:space="0" w:color="000000"/>
              <w:right w:val="single" w:sz="4" w:space="0" w:color="000000"/>
            </w:tcBorders>
            <w:shd w:val="clear" w:color="auto" w:fill="D2D2D2"/>
          </w:tcPr>
          <w:p>
            <w:pPr/>
          </w:p>
        </w:tc>
        <w:tc>
          <w:tcPr>
            <w:tcW w:w="3186" w:type="dxa"/>
            <w:gridSpan w:val="2"/>
            <w:vMerge/>
            <w:tcBorders>
              <w:left w:val="single" w:sz="4" w:space="0" w:color="000000"/>
              <w:bottom w:val="single" w:sz="4" w:space="0" w:color="000000"/>
              <w:right w:val="single" w:sz="4" w:space="0" w:color="000000"/>
            </w:tcBorders>
            <w:shd w:val="clear" w:color="auto" w:fill="D2D2D2"/>
          </w:tcPr>
          <w:p>
            <w:pPr/>
          </w:p>
        </w:tc>
        <w:tc>
          <w:tcPr>
            <w:tcW w:w="159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436"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202" w:hRule="exact"/>
        </w:trPr>
        <w:tc>
          <w:tcPr>
            <w:tcW w:w="1600" w:type="dxa"/>
            <w:vMerge/>
            <w:tcBorders>
              <w:left w:val="single" w:sz="4" w:space="0" w:color="000000"/>
              <w:bottom w:val="nil" w:sz="6" w:space="0" w:color="auto"/>
              <w:right w:val="single" w:sz="4" w:space="0" w:color="000000"/>
            </w:tcBorders>
            <w:shd w:val="clear" w:color="auto" w:fill="D2D2D2"/>
          </w:tcPr>
          <w:p>
            <w:pP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6"/>
              <w:jc w:val="center"/>
              <w:rPr>
                <w:rFonts w:ascii="宋体" w:hAnsi="宋体" w:cs="宋体" w:eastAsia="宋体" w:hint="default"/>
                <w:sz w:val="18"/>
                <w:szCs w:val="18"/>
              </w:rPr>
            </w:pPr>
            <w:r>
              <w:rPr>
                <w:rFonts w:ascii="宋体" w:hAnsi="宋体" w:cs="宋体" w:eastAsia="宋体" w:hint="default"/>
                <w:sz w:val="18"/>
                <w:szCs w:val="18"/>
              </w:rPr>
              <w:t>金额</w:t>
            </w:r>
          </w:p>
        </w:tc>
        <w:tc>
          <w:tcPr>
            <w:tcW w:w="15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59"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6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4"/>
              <w:jc w:val="center"/>
              <w:rPr>
                <w:rFonts w:ascii="宋体" w:hAnsi="宋体" w:cs="宋体" w:eastAsia="宋体" w:hint="default"/>
                <w:sz w:val="18"/>
                <w:szCs w:val="18"/>
              </w:rPr>
            </w:pPr>
            <w:r>
              <w:rPr>
                <w:rFonts w:ascii="宋体" w:hAnsi="宋体" w:cs="宋体" w:eastAsia="宋体" w:hint="default"/>
                <w:sz w:val="18"/>
                <w:szCs w:val="18"/>
              </w:rPr>
              <w:t>金额</w:t>
            </w:r>
          </w:p>
        </w:tc>
        <w:tc>
          <w:tcPr>
            <w:tcW w:w="158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59"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8"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1600"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0" w:type="dxa"/>
            <w:vMerge/>
            <w:tcBorders>
              <w:left w:val="single" w:sz="4" w:space="0" w:color="000000"/>
              <w:bottom w:val="single" w:sz="4" w:space="0" w:color="000000"/>
              <w:right w:val="single" w:sz="4" w:space="0" w:color="000000"/>
            </w:tcBorders>
            <w:shd w:val="clear" w:color="auto" w:fill="D2D2D2"/>
          </w:tcPr>
          <w:p>
            <w:pPr/>
          </w:p>
        </w:tc>
        <w:tc>
          <w:tcPr>
            <w:tcW w:w="1600" w:type="dxa"/>
            <w:vMerge/>
            <w:tcBorders>
              <w:left w:val="single" w:sz="4" w:space="0" w:color="000000"/>
              <w:bottom w:val="single" w:sz="4" w:space="0" w:color="000000"/>
              <w:right w:val="single" w:sz="4" w:space="0" w:color="000000"/>
            </w:tcBorders>
            <w:shd w:val="clear" w:color="auto" w:fill="D2D2D2"/>
          </w:tcPr>
          <w:p>
            <w:pPr/>
          </w:p>
        </w:tc>
        <w:tc>
          <w:tcPr>
            <w:tcW w:w="1586" w:type="dxa"/>
            <w:vMerge/>
            <w:tcBorders>
              <w:left w:val="single" w:sz="4" w:space="0" w:color="000000"/>
              <w:bottom w:val="single" w:sz="4" w:space="0" w:color="000000"/>
              <w:right w:val="single" w:sz="4" w:space="0" w:color="000000"/>
            </w:tcBorders>
            <w:shd w:val="clear" w:color="auto" w:fill="D2D2D2"/>
          </w:tcPr>
          <w:p>
            <w:pPr/>
          </w:p>
        </w:tc>
        <w:tc>
          <w:tcPr>
            <w:tcW w:w="159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6" w:hRule="exact"/>
        </w:trPr>
        <w:tc>
          <w:tcPr>
            <w:tcW w:w="16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94" w:type="dxa"/>
            <w:tcBorders>
              <w:top w:val="single" w:sz="4" w:space="0" w:color="000000"/>
              <w:left w:val="single" w:sz="9" w:space="0" w:color="D2D2D2"/>
              <w:bottom w:val="single" w:sz="4" w:space="0" w:color="000000"/>
              <w:right w:val="single" w:sz="13" w:space="0" w:color="D2D2D2"/>
            </w:tcBorders>
          </w:tcPr>
          <w:p>
            <w:pPr>
              <w:pStyle w:val="TableParagraph"/>
              <w:spacing w:line="240" w:lineRule="auto" w:before="91"/>
              <w:ind w:right="12"/>
              <w:jc w:val="right"/>
              <w:rPr>
                <w:rFonts w:ascii="Times New Roman" w:hAnsi="Times New Roman" w:cs="Times New Roman" w:eastAsia="Times New Roman" w:hint="default"/>
                <w:sz w:val="18"/>
                <w:szCs w:val="18"/>
              </w:rPr>
            </w:pPr>
            <w:r>
              <w:rPr>
                <w:rFonts w:ascii="Times New Roman"/>
                <w:spacing w:val="-1"/>
                <w:sz w:val="18"/>
              </w:rPr>
              <w:t>2,205,852,549.27</w:t>
            </w:r>
          </w:p>
        </w:tc>
        <w:tc>
          <w:tcPr>
            <w:tcW w:w="1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z w:val="18"/>
              </w:rPr>
              <w:t>100%</w:t>
            </w:r>
          </w:p>
        </w:tc>
        <w:tc>
          <w:tcPr>
            <w:tcW w:w="1600" w:type="dxa"/>
            <w:tcBorders>
              <w:top w:val="single" w:sz="4" w:space="0" w:color="000000"/>
              <w:left w:val="single" w:sz="10" w:space="0" w:color="D2D2D2"/>
              <w:bottom w:val="single" w:sz="4" w:space="0" w:color="000000"/>
              <w:right w:val="single" w:sz="10" w:space="0" w:color="D2D2D2"/>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2,527,415,275.10</w:t>
            </w:r>
          </w:p>
        </w:tc>
        <w:tc>
          <w:tcPr>
            <w:tcW w:w="15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z w:val="18"/>
              </w:rPr>
              <w:t>100%</w:t>
            </w:r>
          </w:p>
        </w:tc>
        <w:tc>
          <w:tcPr>
            <w:tcW w:w="15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-12.72%</w:t>
            </w:r>
          </w:p>
        </w:tc>
      </w:tr>
      <w:tr>
        <w:trPr>
          <w:trHeight w:val="398"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1" w:hRule="exact"/>
        </w:trPr>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信息技术服务业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2,205,852,549.27</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6"/>
              <w:jc w:val="right"/>
              <w:rPr>
                <w:rFonts w:ascii="Times New Roman" w:hAnsi="Times New Roman" w:cs="Times New Roman" w:eastAsia="Times New Roman" w:hint="default"/>
                <w:sz w:val="18"/>
                <w:szCs w:val="18"/>
              </w:rPr>
            </w:pPr>
            <w:r>
              <w:rPr>
                <w:rFonts w:ascii="Times New Roman"/>
                <w:spacing w:val="-1"/>
                <w:sz w:val="18"/>
              </w:rPr>
              <w:t>2,527,415,275.10</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1"/>
                <w:sz w:val="18"/>
              </w:rPr>
              <w:t>100.00%</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-12.72%</w:t>
            </w:r>
          </w:p>
        </w:tc>
      </w:tr>
      <w:tr>
        <w:trPr>
          <w:trHeight w:val="403"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1" w:hRule="exact"/>
        </w:trPr>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智慧医疗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904,415,211.58</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41.00%</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6"/>
              <w:jc w:val="right"/>
              <w:rPr>
                <w:rFonts w:ascii="Times New Roman" w:hAnsi="Times New Roman" w:cs="Times New Roman" w:eastAsia="Times New Roman" w:hint="default"/>
                <w:sz w:val="18"/>
                <w:szCs w:val="18"/>
              </w:rPr>
            </w:pPr>
            <w:r>
              <w:rPr>
                <w:rFonts w:ascii="Times New Roman"/>
                <w:spacing w:val="-1"/>
                <w:sz w:val="18"/>
              </w:rPr>
              <w:t>937,062,247.41</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3"/>
              <w:jc w:val="right"/>
              <w:rPr>
                <w:rFonts w:ascii="Times New Roman" w:hAnsi="Times New Roman" w:cs="Times New Roman" w:eastAsia="Times New Roman" w:hint="default"/>
                <w:sz w:val="18"/>
                <w:szCs w:val="18"/>
              </w:rPr>
            </w:pPr>
            <w:r>
              <w:rPr>
                <w:rFonts w:ascii="Times New Roman"/>
                <w:sz w:val="18"/>
              </w:rPr>
              <w:t>37.08%</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-3.48%</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668" w:type="dxa"/>
        <w:tblLayout w:type="fixed"/>
        <w:tblCellMar>
          <w:top w:w="0" w:type="dxa"/>
          <w:left w:w="0" w:type="dxa"/>
          <w:bottom w:w="0" w:type="dxa"/>
          <w:right w:w="0" w:type="dxa"/>
        </w:tblCellMar>
        <w:tblLook w:val="01E0"/>
      </w:tblPr>
      <w:tblGrid>
        <w:gridCol w:w="1596"/>
        <w:gridCol w:w="1594"/>
        <w:gridCol w:w="1594"/>
        <w:gridCol w:w="1596"/>
        <w:gridCol w:w="1594"/>
        <w:gridCol w:w="1594"/>
      </w:tblGrid>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智慧交通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342,472,674.22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15.53%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216,667,044.10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8.57%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58.06%</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数据中心</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39,273,401.47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1.78%</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120,920,954.15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4.78%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-67.52%</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智慧社区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381,750,139.36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17.31%</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376,545,887.11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14.90%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1.38%</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智慧建筑及节能</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350,938,836.99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15.91%</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702,857,329.21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27.81%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-50.07%</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终端产品</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115,306,475.33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5.23%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116,252,654.08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4.60%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-0.81%</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租金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44,289,726.47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2.01%</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pacing w:val="-1"/>
                <w:sz w:val="18"/>
              </w:rPr>
              <w:t>11,596,445.42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0.46%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281.93%</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融资租赁及金融</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21,063,142.68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0.95%</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41,172,101.50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-48.84%</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6,342,941.17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0.29%</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4,340,612.12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0.17%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46.13%</w:t>
            </w:r>
          </w:p>
        </w:tc>
      </w:tr>
      <w:tr>
        <w:trPr>
          <w:trHeight w:val="401"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华南地区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617,628,068.48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28.00%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671,051,404.25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26.55%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-7.96%</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华东地区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641,551,335.31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29.08%</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776,855,545.49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30.74%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-17.42%</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华北地区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231,743,955.98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10.51%</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251,378,942.05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9.95%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-7.81%</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东北地区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116,454,160.92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5.28%</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140,028,381.23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5.54%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-16.84%</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华中地区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204,949,932.38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9.29%</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143,793,062.83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5.69%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42.53%</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西南地区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365,653,355.65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16.58%</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501,502,133.98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19.84%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-27.09%</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西北地区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27,871,740.55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1.26%</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42,805,805.27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1.69%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-34.89%</w:t>
            </w:r>
          </w:p>
        </w:tc>
      </w:tr>
    </w:tbl>
    <w:p>
      <w:pPr>
        <w:spacing w:line="240" w:lineRule="auto" w:before="2"/>
        <w:rPr>
          <w:rFonts w:ascii="宋体" w:hAnsi="宋体" w:cs="宋体" w:eastAsia="宋体" w:hint="default"/>
          <w:sz w:val="27"/>
          <w:szCs w:val="27"/>
        </w:rPr>
      </w:pPr>
    </w:p>
    <w:p>
      <w:pPr>
        <w:pStyle w:val="BodyText"/>
        <w:spacing w:line="240" w:lineRule="auto" w:before="44"/>
        <w:ind w:left="672" w:right="0"/>
        <w:jc w:val="left"/>
      </w:pP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w:t>
      </w:r>
    </w:p>
    <w:p>
      <w:pPr>
        <w:pStyle w:val="BodyText"/>
        <w:spacing w:line="240" w:lineRule="auto" w:before="103"/>
        <w:ind w:left="0" w:right="1131"/>
        <w:jc w:val="right"/>
      </w:pPr>
      <w:r>
        <w:rPr/>
        <w:t>单位：元</w:t>
      </w:r>
    </w:p>
    <w:p>
      <w:pPr>
        <w:spacing w:line="240" w:lineRule="auto" w:before="5"/>
        <w:rPr>
          <w:rFonts w:ascii="宋体" w:hAnsi="宋体" w:cs="宋体" w:eastAsia="宋体" w:hint="default"/>
          <w:sz w:val="8"/>
          <w:szCs w:val="8"/>
        </w:rPr>
      </w:pPr>
    </w:p>
    <w:tbl>
      <w:tblPr>
        <w:tblW w:w="0" w:type="auto"/>
        <w:jc w:val="left"/>
        <w:tblInd w:w="113" w:type="dxa"/>
        <w:tblLayout w:type="fixed"/>
        <w:tblCellMar>
          <w:top w:w="0" w:type="dxa"/>
          <w:left w:w="0" w:type="dxa"/>
          <w:bottom w:w="0" w:type="dxa"/>
          <w:right w:w="0" w:type="dxa"/>
        </w:tblCellMar>
        <w:tblLook w:val="01E0"/>
      </w:tblPr>
      <w:tblGrid>
        <w:gridCol w:w="782"/>
        <w:gridCol w:w="1192"/>
        <w:gridCol w:w="1229"/>
        <w:gridCol w:w="1181"/>
        <w:gridCol w:w="1274"/>
        <w:gridCol w:w="1229"/>
        <w:gridCol w:w="1181"/>
        <w:gridCol w:w="1277"/>
        <w:gridCol w:w="1277"/>
      </w:tblGrid>
      <w:tr>
        <w:trPr>
          <w:trHeight w:val="206" w:hRule="exact"/>
        </w:trPr>
        <w:tc>
          <w:tcPr>
            <w:tcW w:w="782" w:type="dxa"/>
            <w:tcBorders>
              <w:top w:val="single" w:sz="4" w:space="0" w:color="000000"/>
              <w:left w:val="single" w:sz="4" w:space="0" w:color="000000"/>
              <w:bottom w:val="nil" w:sz="6" w:space="0" w:color="auto"/>
              <w:right w:val="single" w:sz="4" w:space="0" w:color="000000"/>
            </w:tcBorders>
            <w:shd w:val="clear" w:color="auto" w:fill="D2D2D2"/>
          </w:tcPr>
          <w:p>
            <w:pPr/>
          </w:p>
        </w:tc>
        <w:tc>
          <w:tcPr>
            <w:tcW w:w="4876" w:type="dxa"/>
            <w:gridSpan w:val="4"/>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4964" w:type="dxa"/>
            <w:gridSpan w:val="4"/>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190" w:hRule="exact"/>
        </w:trPr>
        <w:tc>
          <w:tcPr>
            <w:tcW w:w="782" w:type="dxa"/>
            <w:vMerge w:val="restart"/>
            <w:tcBorders>
              <w:top w:val="nil" w:sz="6" w:space="0" w:color="auto"/>
              <w:left w:val="single" w:sz="4" w:space="0" w:color="000000"/>
              <w:right w:val="single" w:sz="4" w:space="0" w:color="000000"/>
            </w:tcBorders>
            <w:shd w:val="clear" w:color="auto" w:fill="D2D2D2"/>
          </w:tcPr>
          <w:p>
            <w:pPr/>
          </w:p>
        </w:tc>
        <w:tc>
          <w:tcPr>
            <w:tcW w:w="4876" w:type="dxa"/>
            <w:gridSpan w:val="4"/>
            <w:vMerge/>
            <w:tcBorders>
              <w:left w:val="single" w:sz="4" w:space="0" w:color="000000"/>
              <w:bottom w:val="single" w:sz="4" w:space="0" w:color="000000"/>
              <w:right w:val="single" w:sz="4" w:space="0" w:color="000000"/>
            </w:tcBorders>
            <w:shd w:val="clear" w:color="auto" w:fill="D2D2D2"/>
          </w:tcPr>
          <w:p>
            <w:pPr/>
          </w:p>
        </w:tc>
        <w:tc>
          <w:tcPr>
            <w:tcW w:w="4964" w:type="dxa"/>
            <w:gridSpan w:val="4"/>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782" w:type="dxa"/>
            <w:vMerge/>
            <w:tcBorders>
              <w:left w:val="single" w:sz="4" w:space="0" w:color="000000"/>
              <w:bottom w:val="nil" w:sz="6" w:space="0" w:color="auto"/>
              <w:right w:val="single" w:sz="4" w:space="0" w:color="000000"/>
            </w:tcBorders>
            <w:shd w:val="clear" w:color="auto" w:fill="D2D2D2"/>
          </w:tcPr>
          <w:p>
            <w:pPr/>
          </w:p>
        </w:tc>
        <w:tc>
          <w:tcPr>
            <w:tcW w:w="11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36"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22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49"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18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25"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27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73" w:right="0"/>
              <w:jc w:val="left"/>
              <w:rPr>
                <w:rFonts w:ascii="宋体" w:hAnsi="宋体" w:cs="宋体" w:eastAsia="宋体" w:hint="default"/>
                <w:sz w:val="18"/>
                <w:szCs w:val="18"/>
              </w:rPr>
            </w:pPr>
            <w:r>
              <w:rPr>
                <w:rFonts w:ascii="宋体" w:hAnsi="宋体" w:cs="宋体" w:eastAsia="宋体" w:hint="default"/>
                <w:sz w:val="18"/>
                <w:szCs w:val="18"/>
              </w:rPr>
              <w:t>第四季度</w:t>
            </w:r>
          </w:p>
        </w:tc>
        <w:tc>
          <w:tcPr>
            <w:tcW w:w="122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49"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18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25"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2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76"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2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73"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206" w:hRule="exact"/>
        </w:trPr>
        <w:tc>
          <w:tcPr>
            <w:tcW w:w="782"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2" w:type="dxa"/>
            <w:vMerge/>
            <w:tcBorders>
              <w:left w:val="single" w:sz="4" w:space="0" w:color="000000"/>
              <w:bottom w:val="single" w:sz="4" w:space="0" w:color="000000"/>
              <w:right w:val="single" w:sz="4" w:space="0" w:color="000000"/>
            </w:tcBorders>
            <w:shd w:val="clear" w:color="auto" w:fill="D2D2D2"/>
          </w:tcPr>
          <w:p>
            <w:pPr/>
          </w:p>
        </w:tc>
        <w:tc>
          <w:tcPr>
            <w:tcW w:w="1229" w:type="dxa"/>
            <w:vMerge/>
            <w:tcBorders>
              <w:left w:val="single" w:sz="4" w:space="0" w:color="000000"/>
              <w:bottom w:val="single" w:sz="4" w:space="0" w:color="000000"/>
              <w:right w:val="single" w:sz="4" w:space="0" w:color="000000"/>
            </w:tcBorders>
            <w:shd w:val="clear" w:color="auto" w:fill="D2D2D2"/>
          </w:tcPr>
          <w:p>
            <w:pPr/>
          </w:p>
        </w:tc>
        <w:tc>
          <w:tcPr>
            <w:tcW w:w="1181" w:type="dxa"/>
            <w:vMerge/>
            <w:tcBorders>
              <w:left w:val="single" w:sz="4" w:space="0" w:color="000000"/>
              <w:bottom w:val="single" w:sz="4" w:space="0" w:color="000000"/>
              <w:right w:val="single" w:sz="4" w:space="0" w:color="000000"/>
            </w:tcBorders>
            <w:shd w:val="clear" w:color="auto" w:fill="D2D2D2"/>
          </w:tcPr>
          <w:p>
            <w:pPr/>
          </w:p>
        </w:tc>
        <w:tc>
          <w:tcPr>
            <w:tcW w:w="1274" w:type="dxa"/>
            <w:vMerge/>
            <w:tcBorders>
              <w:left w:val="single" w:sz="4" w:space="0" w:color="000000"/>
              <w:bottom w:val="single" w:sz="4" w:space="0" w:color="000000"/>
              <w:right w:val="single" w:sz="4" w:space="0" w:color="000000"/>
            </w:tcBorders>
            <w:shd w:val="clear" w:color="auto" w:fill="D2D2D2"/>
          </w:tcPr>
          <w:p>
            <w:pPr/>
          </w:p>
        </w:tc>
        <w:tc>
          <w:tcPr>
            <w:tcW w:w="1229" w:type="dxa"/>
            <w:vMerge/>
            <w:tcBorders>
              <w:left w:val="single" w:sz="4" w:space="0" w:color="000000"/>
              <w:bottom w:val="single" w:sz="4" w:space="0" w:color="000000"/>
              <w:right w:val="single" w:sz="4" w:space="0" w:color="000000"/>
            </w:tcBorders>
            <w:shd w:val="clear" w:color="auto" w:fill="D2D2D2"/>
          </w:tcPr>
          <w:p>
            <w:pPr/>
          </w:p>
        </w:tc>
        <w:tc>
          <w:tcPr>
            <w:tcW w:w="1181" w:type="dxa"/>
            <w:vMerge/>
            <w:tcBorders>
              <w:left w:val="single" w:sz="4" w:space="0" w:color="000000"/>
              <w:bottom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19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414,096,328.91</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510,228,351.82</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642,992,530.30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638,535,338.24</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378,011,914.72</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665,099,980.29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743,695,886.80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740,607,493.29</w:t>
            </w:r>
          </w:p>
        </w:tc>
      </w:tr>
      <w:tr>
        <w:trPr>
          <w:trHeight w:val="1339" w:hRule="exact"/>
        </w:trPr>
        <w:tc>
          <w:tcPr>
            <w:tcW w:w="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38"/>
              <w:jc w:val="both"/>
              <w:rPr>
                <w:rFonts w:ascii="宋体" w:hAnsi="宋体" w:cs="宋体" w:eastAsia="宋体" w:hint="default"/>
                <w:sz w:val="18"/>
                <w:szCs w:val="18"/>
              </w:rPr>
            </w:pPr>
            <w:r>
              <w:rPr>
                <w:rFonts w:ascii="宋体" w:hAnsi="宋体" w:cs="宋体" w:eastAsia="宋体" w:hint="default"/>
                <w:sz w:val="18"/>
                <w:szCs w:val="18"/>
              </w:rPr>
              <w:t>归属于上 市公司股 东的净利 润</w:t>
            </w:r>
          </w:p>
        </w:tc>
        <w:tc>
          <w:tcPr>
            <w:tcW w:w="119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93" w:right="0"/>
              <w:jc w:val="center"/>
              <w:rPr>
                <w:rFonts w:ascii="Times New Roman" w:hAnsi="Times New Roman" w:cs="Times New Roman" w:eastAsia="Times New Roman" w:hint="default"/>
                <w:sz w:val="18"/>
                <w:szCs w:val="18"/>
              </w:rPr>
            </w:pPr>
            <w:r>
              <w:rPr>
                <w:rFonts w:ascii="Times New Roman"/>
                <w:sz w:val="18"/>
              </w:rPr>
              <w:t>19,647,297.17</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73,545,420.77</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35,609,148.11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-471,687,711.59</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35,772,575.55</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60,892,916.04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59,172,450.53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60,931,841.95</w:t>
            </w:r>
          </w:p>
        </w:tc>
      </w:tr>
    </w:tbl>
    <w:p>
      <w:pPr>
        <w:pStyle w:val="BodyText"/>
        <w:spacing w:line="357" w:lineRule="auto" w:before="49"/>
        <w:ind w:left="672" w:right="6614"/>
        <w:jc w:val="left"/>
      </w:pPr>
      <w:r>
        <w:rPr/>
        <w:t>说明经营季节性（或周期性）发生的原因及波动风险 公司经营不存在显著的季节性或周期性特征。</w:t>
      </w:r>
    </w:p>
    <w:p>
      <w:pPr>
        <w:spacing w:line="240" w:lineRule="auto" w:before="6"/>
        <w:rPr>
          <w:rFonts w:ascii="宋体" w:hAnsi="宋体" w:cs="宋体" w:eastAsia="宋体" w:hint="default"/>
          <w:sz w:val="20"/>
          <w:szCs w:val="20"/>
        </w:rPr>
      </w:pPr>
    </w:p>
    <w:p>
      <w:pPr>
        <w:pStyle w:val="Heading4"/>
        <w:spacing w:line="240" w:lineRule="auto"/>
        <w:ind w:left="672" w:right="0"/>
        <w:jc w:val="left"/>
        <w:rPr>
          <w:b w:val="0"/>
          <w:bCs w:val="0"/>
        </w:rPr>
      </w:pPr>
      <w:bookmarkStart w:name="（2）占公司营业收入或营业利润10%以上的行业、产品或地区情况" w:id="30"/>
      <w:bookmarkEnd w:id="30"/>
      <w:r>
        <w:rPr>
          <w:b w:val="0"/>
          <w:bCs w:val="0"/>
        </w:rPr>
      </w:r>
      <w:r>
        <w:rPr/>
        <w:t>（</w:t>
      </w:r>
      <w:r>
        <w:rPr>
          <w:rFonts w:ascii="Times New Roman" w:hAnsi="Times New Roman" w:cs="Times New Roman" w:eastAsia="Times New Roman" w:hint="default"/>
        </w:rPr>
        <w:t>2</w:t>
      </w:r>
      <w:r>
        <w:rPr/>
        <w:t>）占公司营业收入或营业利润</w:t>
      </w:r>
      <w:r>
        <w:rPr>
          <w:spacing w:val="-53"/>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80" w:top="1060" w:bottom="1160" w:left="460" w:right="0"/>
        </w:sectPr>
      </w:pPr>
    </w:p>
    <w:p>
      <w:pPr>
        <w:pStyle w:val="BodyText"/>
        <w:spacing w:line="240" w:lineRule="auto" w:before="44"/>
        <w:ind w:left="672" w:right="-17"/>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left="672" w:right="-17"/>
        <w:jc w:val="left"/>
      </w:pP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left="-32" w:right="0"/>
        <w:jc w:val="left"/>
      </w:pPr>
      <w:r>
        <w:rPr/>
        <w:t>单位：元</w:t>
      </w:r>
    </w:p>
    <w:p>
      <w:pPr>
        <w:spacing w:after="0" w:line="240" w:lineRule="auto"/>
        <w:jc w:val="left"/>
        <w:sectPr>
          <w:type w:val="continuous"/>
          <w:pgSz w:w="11910" w:h="16840"/>
          <w:pgMar w:top="1060" w:bottom="1160" w:left="460" w:right="0"/>
          <w:cols w:num="2" w:equalWidth="0">
            <w:col w:w="9586" w:space="40"/>
            <w:col w:w="1824"/>
          </w:cols>
        </w:sectPr>
      </w:pPr>
    </w:p>
    <w:p>
      <w:pPr>
        <w:spacing w:line="240" w:lineRule="auto" w:before="4"/>
        <w:rPr>
          <w:rFonts w:ascii="宋体" w:hAnsi="宋体" w:cs="宋体" w:eastAsia="宋体" w:hint="default"/>
          <w:sz w:val="8"/>
          <w:szCs w:val="8"/>
        </w:rPr>
      </w:pPr>
    </w:p>
    <w:tbl>
      <w:tblPr>
        <w:tblW w:w="0" w:type="auto"/>
        <w:jc w:val="left"/>
        <w:tblInd w:w="669" w:type="dxa"/>
        <w:tblLayout w:type="fixed"/>
        <w:tblCellMar>
          <w:top w:w="0" w:type="dxa"/>
          <w:left w:w="0" w:type="dxa"/>
          <w:bottom w:w="0" w:type="dxa"/>
          <w:right w:w="0" w:type="dxa"/>
        </w:tblCellMar>
        <w:tblLook w:val="01E0"/>
      </w:tblPr>
      <w:tblGrid>
        <w:gridCol w:w="1367"/>
        <w:gridCol w:w="1366"/>
        <w:gridCol w:w="1366"/>
        <w:gridCol w:w="1368"/>
        <w:gridCol w:w="1366"/>
        <w:gridCol w:w="1369"/>
        <w:gridCol w:w="1370"/>
      </w:tblGrid>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19" w:right="47" w:hanging="272"/>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19" w:right="50" w:hanging="272"/>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10" w:right="48"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3"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分客户所处行业</w:t>
            </w:r>
          </w:p>
        </w:tc>
      </w:tr>
    </w:tbl>
    <w:p>
      <w:pPr>
        <w:spacing w:after="0" w:line="240" w:lineRule="auto"/>
        <w:jc w:val="left"/>
        <w:rPr>
          <w:rFonts w:ascii="宋体" w:hAnsi="宋体" w:cs="宋体" w:eastAsia="宋体" w:hint="default"/>
          <w:sz w:val="18"/>
          <w:szCs w:val="18"/>
        </w:rPr>
        <w:sectPr>
          <w:type w:val="continuous"/>
          <w:pgSz w:w="11910" w:h="16840"/>
          <w:pgMar w:top="1060" w:bottom="1160" w:left="46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368"/>
        <w:gridCol w:w="1366"/>
        <w:gridCol w:w="1366"/>
        <w:gridCol w:w="1368"/>
        <w:gridCol w:w="1366"/>
        <w:gridCol w:w="1369"/>
        <w:gridCol w:w="1370"/>
      </w:tblGrid>
      <w:tr>
        <w:trPr>
          <w:trHeight w:val="40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信息技术服务业</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2,205,852,549.27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1,512,198,213.98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31.45%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-12.72%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-12.06%</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-0.52%</w:t>
            </w:r>
          </w:p>
        </w:tc>
      </w:tr>
      <w:tr>
        <w:trPr>
          <w:trHeight w:val="402"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智慧医疗</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904,415,211.58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650,830,737.12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28.04%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4.12%</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-5.25%</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智慧交通</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342,472,674.22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275,398,927.05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19.59%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58.06%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87.99%</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-12.80%</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智慧社区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381,750,139.36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251,370,688.81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34.15%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-5.67%</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4.92%</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智慧建筑及节能</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350,938,836.99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256,835,075.36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26.81%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-50.07%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-51.41%</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2.02%</w:t>
            </w:r>
          </w:p>
        </w:tc>
      </w:tr>
      <w:tr>
        <w:trPr>
          <w:trHeight w:val="401"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华南地区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617,628,068.48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426,046,690.54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31.02%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-7.96%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-0.57%</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-5.13%</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华东地区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641,551,335.31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471,365,227.13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26.53%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-17.42%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-9.31%</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-6.57%</w:t>
            </w:r>
          </w:p>
        </w:tc>
      </w:tr>
      <w:tr>
        <w:trPr>
          <w:trHeight w:val="404"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华北地区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231,743,955.98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159,319,251.90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31.25%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-7.81%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-8.48%</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0.50%</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西南地区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365,653,355.65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258,881,940.36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29.20%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-27.09%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-29.56%</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2.48%</w:t>
            </w:r>
          </w:p>
        </w:tc>
      </w:tr>
    </w:tbl>
    <w:p>
      <w:pPr>
        <w:spacing w:line="240" w:lineRule="auto" w:before="2"/>
        <w:rPr>
          <w:rFonts w:ascii="宋体" w:hAnsi="宋体" w:cs="宋体" w:eastAsia="宋体" w:hint="default"/>
          <w:sz w:val="27"/>
          <w:szCs w:val="27"/>
        </w:rPr>
      </w:pPr>
    </w:p>
    <w:p>
      <w:pPr>
        <w:pStyle w:val="BodyText"/>
        <w:spacing w:line="240" w:lineRule="auto" w:before="44"/>
        <w:ind w:right="1133"/>
        <w:jc w:val="left"/>
      </w:pPr>
      <w:r>
        <w:rPr/>
        <w:t>公司主营业务数据统计口径在报告期发生调整的情况下，公司最近</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年按报告期末口径调整后的主营业务数据</w:t>
      </w:r>
    </w:p>
    <w:p>
      <w:pPr>
        <w:pStyle w:val="BodyText"/>
        <w:spacing w:line="240" w:lineRule="auto" w:before="103"/>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4"/>
        <w:spacing w:line="240" w:lineRule="auto"/>
        <w:ind w:right="1133"/>
        <w:jc w:val="left"/>
        <w:rPr>
          <w:b w:val="0"/>
          <w:bCs w:val="0"/>
        </w:rPr>
      </w:pPr>
      <w:bookmarkStart w:name="（3）公司实物销售收入是否大于劳务收入" w:id="31"/>
      <w:bookmarkEnd w:id="31"/>
      <w:r>
        <w:rPr>
          <w:b w:val="0"/>
          <w:bCs w:val="0"/>
        </w:rPr>
      </w:r>
      <w:r>
        <w:rPr/>
        <w:t>（</w:t>
      </w:r>
      <w:r>
        <w:rPr>
          <w:rFonts w:ascii="Times New Roman" w:hAnsi="Times New Roman" w:cs="Times New Roman" w:eastAsia="Times New Roman" w:hint="default"/>
        </w:rPr>
        <w:t>3</w:t>
      </w:r>
      <w:r>
        <w:rPr/>
        <w:t>）公司实物销售收入是否大于劳务收入</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2"/>
        <w:rPr>
          <w:rFonts w:ascii="宋体" w:hAnsi="宋体" w:cs="宋体" w:eastAsia="宋体" w:hint="default"/>
          <w:sz w:val="26"/>
          <w:szCs w:val="26"/>
        </w:rPr>
      </w:pPr>
    </w:p>
    <w:p>
      <w:pPr>
        <w:pStyle w:val="Heading4"/>
        <w:spacing w:line="240" w:lineRule="auto"/>
        <w:ind w:right="1133"/>
        <w:jc w:val="left"/>
        <w:rPr>
          <w:b w:val="0"/>
          <w:bCs w:val="0"/>
        </w:rPr>
      </w:pPr>
      <w:bookmarkStart w:name="（4）公司已签订的重大销售合同截至本报告期的履行情况" w:id="32"/>
      <w:bookmarkEnd w:id="32"/>
      <w:r>
        <w:rPr>
          <w:b w:val="0"/>
          <w:bCs w:val="0"/>
        </w:rPr>
      </w:r>
      <w:r>
        <w:rPr/>
        <w:t>（</w:t>
      </w:r>
      <w:r>
        <w:rPr>
          <w:rFonts w:ascii="Times New Roman" w:hAnsi="Times New Roman" w:cs="Times New Roman" w:eastAsia="Times New Roman" w:hint="default"/>
        </w:rPr>
        <w:t>4</w:t>
      </w:r>
      <w:r>
        <w:rPr/>
        <w:t>）公司已签订的重大销售合同截至本报告期的履行情况</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4"/>
        <w:spacing w:line="240" w:lineRule="auto"/>
        <w:ind w:right="1133"/>
        <w:jc w:val="left"/>
        <w:rPr>
          <w:b w:val="0"/>
          <w:bCs w:val="0"/>
        </w:rPr>
      </w:pPr>
      <w:bookmarkStart w:name="（5）营业成本构成" w:id="33"/>
      <w:bookmarkEnd w:id="33"/>
      <w:r>
        <w:rPr>
          <w:b w:val="0"/>
          <w:bCs w:val="0"/>
        </w:rPr>
      </w:r>
      <w:r>
        <w:rPr/>
        <w:t>（</w:t>
      </w:r>
      <w:r>
        <w:rPr>
          <w:rFonts w:ascii="Times New Roman" w:hAnsi="Times New Roman" w:cs="Times New Roman" w:eastAsia="Times New Roman" w:hint="default"/>
        </w:rPr>
        <w:t>5</w:t>
      </w:r>
      <w:r>
        <w:rPr/>
        <w:t>）营业成本构成</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1133"/>
        <w:jc w:val="left"/>
      </w:pPr>
      <w:r>
        <w:rPr/>
        <w:t>行业和产品分类</w:t>
      </w:r>
    </w:p>
    <w:p>
      <w:pPr>
        <w:pStyle w:val="BodyText"/>
        <w:spacing w:line="240" w:lineRule="auto" w:before="117"/>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9"/>
        <w:gridCol w:w="1368"/>
        <w:gridCol w:w="1366"/>
        <w:gridCol w:w="1368"/>
        <w:gridCol w:w="1366"/>
        <w:gridCol w:w="1368"/>
      </w:tblGrid>
      <w:tr>
        <w:trPr>
          <w:trHeight w:val="401" w:hRule="exact"/>
        </w:trPr>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3" w:hRule="exact"/>
        </w:trPr>
        <w:tc>
          <w:tcPr>
            <w:tcW w:w="1367"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6"/>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6"/>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信息技术服务业</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center"/>
              <w:rPr>
                <w:rFonts w:ascii="Times New Roman" w:hAnsi="Times New Roman" w:cs="Times New Roman" w:eastAsia="Times New Roman" w:hint="default"/>
                <w:sz w:val="18"/>
                <w:szCs w:val="18"/>
              </w:rPr>
            </w:pPr>
            <w:r>
              <w:rPr>
                <w:rFonts w:ascii="Times New Roman"/>
                <w:sz w:val="18"/>
              </w:rPr>
              <w:t>1,512,198,213.98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center"/>
              <w:rPr>
                <w:rFonts w:ascii="Times New Roman" w:hAnsi="Times New Roman" w:cs="Times New Roman" w:eastAsia="Times New Roman" w:hint="default"/>
                <w:sz w:val="18"/>
                <w:szCs w:val="18"/>
              </w:rPr>
            </w:pPr>
            <w:r>
              <w:rPr>
                <w:rFonts w:ascii="Times New Roman"/>
                <w:sz w:val="18"/>
              </w:rPr>
              <w:t>1,719,623,943.94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9" w:right="0"/>
              <w:jc w:val="left"/>
              <w:rPr>
                <w:rFonts w:ascii="Times New Roman" w:hAnsi="Times New Roman" w:cs="Times New Roman" w:eastAsia="Times New Roman" w:hint="default"/>
                <w:sz w:val="18"/>
                <w:szCs w:val="18"/>
              </w:rPr>
            </w:pPr>
            <w:r>
              <w:rPr>
                <w:rFonts w:ascii="Times New Roman"/>
                <w:sz w:val="18"/>
              </w:rPr>
              <w:t>-12.06%</w:t>
            </w:r>
          </w:p>
        </w:tc>
      </w:tr>
    </w:tbl>
    <w:p>
      <w:pPr>
        <w:pStyle w:val="BodyText"/>
        <w:spacing w:line="240" w:lineRule="auto" w:before="49"/>
        <w:ind w:left="0" w:right="1131"/>
        <w:jc w:val="right"/>
      </w:pPr>
      <w:r>
        <w:rPr/>
        <w:t>单位：元</w:t>
      </w:r>
    </w:p>
    <w:p>
      <w:pPr>
        <w:spacing w:line="240" w:lineRule="auto" w:before="5"/>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9"/>
        <w:gridCol w:w="1368"/>
        <w:gridCol w:w="1366"/>
        <w:gridCol w:w="1368"/>
        <w:gridCol w:w="1366"/>
        <w:gridCol w:w="1368"/>
      </w:tblGrid>
      <w:tr>
        <w:trPr>
          <w:trHeight w:val="401"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产品分类</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3"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6"/>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6"/>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智慧医疗</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650,830,737.12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43.04%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625,087,507.69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36.36%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4.12%</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智慧交通</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275,398,927.05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18.21%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146,493,613.90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8.53%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87.99%</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数据中心</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27,130,587.92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99,577,465.62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-72.75%</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智慧社区</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251,370,688.81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16.62%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266,480,623.05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15.51%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-5.67%</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368"/>
        <w:gridCol w:w="1369"/>
        <w:gridCol w:w="1368"/>
        <w:gridCol w:w="1366"/>
        <w:gridCol w:w="1368"/>
        <w:gridCol w:w="1366"/>
        <w:gridCol w:w="1368"/>
      </w:tblGrid>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智慧建筑及节能</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256,835,075.36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16.98%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528,584,089.22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30.75%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-51.41%</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终端产品</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31,948,790.07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2"/>
                <w:sz w:val="18"/>
              </w:rPr>
              <w:t>2.11%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36,617,271.34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2.14%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-12.75%</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租金</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11,849,066.52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0.78%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5,542,822.57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0.33%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113.77%</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融资租赁及金融</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5,417,013.08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0.36%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9,166,990.44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0.54%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-40.91%</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1,417,328.05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2,073,560.11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0.13%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-31.65%</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5"/>
          <w:szCs w:val="25"/>
        </w:rPr>
      </w:pPr>
    </w:p>
    <w:p>
      <w:pPr>
        <w:pStyle w:val="Heading4"/>
        <w:spacing w:line="240" w:lineRule="auto" w:before="36"/>
        <w:ind w:right="1133"/>
        <w:jc w:val="left"/>
        <w:rPr>
          <w:b w:val="0"/>
          <w:bCs w:val="0"/>
        </w:rPr>
      </w:pPr>
      <w:bookmarkStart w:name="（6）报告期内合并范围是否发生变动" w:id="34"/>
      <w:bookmarkEnd w:id="34"/>
      <w:r>
        <w:rPr>
          <w:b w:val="0"/>
          <w:bCs w:val="0"/>
        </w:rPr>
      </w:r>
      <w:r>
        <w:rPr/>
        <w:t>（</w:t>
      </w:r>
      <w:r>
        <w:rPr>
          <w:rFonts w:ascii="Times New Roman" w:hAnsi="Times New Roman" w:cs="Times New Roman" w:eastAsia="Times New Roman" w:hint="default"/>
        </w:rPr>
        <w:t>6</w:t>
      </w:r>
      <w:r>
        <w:rPr/>
        <w:t>）报告期内合并范围是否发生变动</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否</w:t>
      </w:r>
    </w:p>
    <w:p>
      <w:pPr>
        <w:spacing w:line="240" w:lineRule="auto" w:before="0"/>
        <w:rPr>
          <w:rFonts w:ascii="宋体" w:hAnsi="宋体" w:cs="宋体" w:eastAsia="宋体" w:hint="default"/>
          <w:sz w:val="14"/>
          <w:szCs w:val="14"/>
        </w:rPr>
      </w:pPr>
    </w:p>
    <w:p>
      <w:pPr>
        <w:pStyle w:val="BodyText"/>
        <w:spacing w:line="240" w:lineRule="auto"/>
        <w:ind w:right="1133"/>
        <w:jc w:val="left"/>
      </w:pPr>
      <w:r>
        <w:rPr>
          <w:rFonts w:ascii="Times New Roman" w:hAnsi="Times New Roman" w:cs="Times New Roman" w:eastAsia="Times New Roman" w:hint="default"/>
        </w:rPr>
        <w:t>1</w:t>
      </w:r>
      <w:r>
        <w:rPr/>
        <w:t>、本期处置子公司</w:t>
      </w:r>
    </w:p>
    <w:p>
      <w:pPr>
        <w:spacing w:line="240" w:lineRule="auto" w:before="9"/>
        <w:rPr>
          <w:rFonts w:ascii="宋体" w:hAnsi="宋体" w:cs="宋体" w:eastAsia="宋体" w:hint="default"/>
          <w:sz w:val="16"/>
          <w:szCs w:val="16"/>
        </w:rPr>
      </w:pPr>
    </w:p>
    <w:p>
      <w:pPr>
        <w:pStyle w:val="BodyText"/>
        <w:spacing w:line="240" w:lineRule="auto"/>
        <w:ind w:left="441" w:right="1133"/>
        <w:jc w:val="left"/>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8</w:t>
      </w:r>
      <w:r>
        <w:rPr/>
        <w:t>月，子公司上海达实自动化工程有限公司注销。</w:t>
      </w:r>
    </w:p>
    <w:p>
      <w:pPr>
        <w:spacing w:line="240" w:lineRule="auto" w:before="9"/>
        <w:rPr>
          <w:rFonts w:ascii="宋体" w:hAnsi="宋体" w:cs="宋体" w:eastAsia="宋体" w:hint="default"/>
          <w:sz w:val="16"/>
          <w:szCs w:val="16"/>
        </w:rPr>
      </w:pPr>
    </w:p>
    <w:p>
      <w:pPr>
        <w:pStyle w:val="BodyText"/>
        <w:spacing w:line="240" w:lineRule="auto"/>
        <w:ind w:left="441" w:right="1133"/>
        <w:jc w:val="left"/>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11</w:t>
      </w:r>
      <w:r>
        <w:rPr/>
        <w:t>月，子公司汕头达实智慧医疗投资发展有限公司注销。</w:t>
      </w:r>
    </w:p>
    <w:p>
      <w:pPr>
        <w:spacing w:line="240" w:lineRule="auto" w:before="9"/>
        <w:rPr>
          <w:rFonts w:ascii="宋体" w:hAnsi="宋体" w:cs="宋体" w:eastAsia="宋体" w:hint="default"/>
          <w:sz w:val="16"/>
          <w:szCs w:val="16"/>
        </w:rPr>
      </w:pPr>
    </w:p>
    <w:p>
      <w:pPr>
        <w:pStyle w:val="BodyText"/>
        <w:spacing w:line="240" w:lineRule="auto"/>
        <w:ind w:right="1133"/>
        <w:jc w:val="left"/>
      </w:pPr>
      <w:r>
        <w:rPr>
          <w:rFonts w:ascii="Times New Roman" w:hAnsi="Times New Roman" w:cs="Times New Roman" w:eastAsia="Times New Roman" w:hint="default"/>
        </w:rPr>
        <w:t>2</w:t>
      </w:r>
      <w:r>
        <w:rPr/>
        <w:t>、本期新增子公司</w:t>
      </w:r>
    </w:p>
    <w:p>
      <w:pPr>
        <w:spacing w:line="240" w:lineRule="auto" w:before="5"/>
        <w:rPr>
          <w:rFonts w:ascii="宋体" w:hAnsi="宋体" w:cs="宋体" w:eastAsia="宋体" w:hint="default"/>
          <w:sz w:val="10"/>
          <w:szCs w:val="10"/>
        </w:rPr>
      </w:pPr>
    </w:p>
    <w:tbl>
      <w:tblPr>
        <w:tblW w:w="0" w:type="auto"/>
        <w:jc w:val="left"/>
        <w:tblInd w:w="138" w:type="dxa"/>
        <w:tblLayout w:type="fixed"/>
        <w:tblCellMar>
          <w:top w:w="0" w:type="dxa"/>
          <w:left w:w="0" w:type="dxa"/>
          <w:bottom w:w="0" w:type="dxa"/>
          <w:right w:w="0" w:type="dxa"/>
        </w:tblCellMar>
        <w:tblLook w:val="01E0"/>
      </w:tblPr>
      <w:tblGrid>
        <w:gridCol w:w="3123"/>
        <w:gridCol w:w="1217"/>
        <w:gridCol w:w="1455"/>
        <w:gridCol w:w="1454"/>
        <w:gridCol w:w="2410"/>
      </w:tblGrid>
      <w:tr>
        <w:trPr>
          <w:trHeight w:val="415" w:hRule="exact"/>
        </w:trPr>
        <w:tc>
          <w:tcPr>
            <w:tcW w:w="31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2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53" w:right="0"/>
              <w:jc w:val="left"/>
              <w:rPr>
                <w:rFonts w:ascii="宋体" w:hAnsi="宋体" w:cs="宋体" w:eastAsia="宋体" w:hint="default"/>
                <w:sz w:val="18"/>
                <w:szCs w:val="18"/>
              </w:rPr>
            </w:pPr>
            <w:r>
              <w:rPr>
                <w:rFonts w:ascii="宋体" w:hAnsi="宋体" w:cs="宋体" w:eastAsia="宋体" w:hint="default"/>
                <w:sz w:val="18"/>
                <w:szCs w:val="18"/>
              </w:rPr>
              <w:t>子公司级次</w:t>
            </w:r>
          </w:p>
        </w:tc>
        <w:tc>
          <w:tcPr>
            <w:tcW w:w="1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84" w:right="0"/>
              <w:jc w:val="left"/>
              <w:rPr>
                <w:rFonts w:ascii="宋体" w:hAnsi="宋体" w:cs="宋体" w:eastAsia="宋体" w:hint="default"/>
                <w:sz w:val="18"/>
                <w:szCs w:val="18"/>
              </w:rPr>
            </w:pPr>
            <w:r>
              <w:rPr>
                <w:rFonts w:ascii="宋体" w:hAnsi="宋体" w:cs="宋体" w:eastAsia="宋体" w:hint="default"/>
                <w:sz w:val="18"/>
                <w:szCs w:val="18"/>
              </w:rPr>
              <w:t>股权取得方式</w:t>
            </w:r>
          </w:p>
        </w:tc>
        <w:tc>
          <w:tcPr>
            <w:tcW w:w="1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82" w:right="0"/>
              <w:jc w:val="left"/>
              <w:rPr>
                <w:rFonts w:ascii="宋体" w:hAnsi="宋体" w:cs="宋体" w:eastAsia="宋体" w:hint="default"/>
                <w:sz w:val="18"/>
                <w:szCs w:val="18"/>
              </w:rPr>
            </w:pPr>
            <w:r>
              <w:rPr>
                <w:rFonts w:ascii="宋体" w:hAnsi="宋体" w:cs="宋体" w:eastAsia="宋体" w:hint="default"/>
                <w:sz w:val="18"/>
                <w:szCs w:val="18"/>
              </w:rPr>
              <w:t>股权取得时点</w:t>
            </w:r>
          </w:p>
        </w:tc>
        <w:tc>
          <w:tcPr>
            <w:tcW w:w="24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新增方式</w:t>
            </w:r>
          </w:p>
        </w:tc>
      </w:tr>
      <w:tr>
        <w:trPr>
          <w:trHeight w:val="420" w:hRule="exact"/>
        </w:trPr>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青岛达实智慧科技有限公司</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一级子公司</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货币出资</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7" w:right="0"/>
              <w:jc w:val="left"/>
              <w:rPr>
                <w:rFonts w:ascii="Times New Roman" w:hAnsi="Times New Roman" w:cs="Times New Roman" w:eastAsia="Times New Roman" w:hint="default"/>
                <w:sz w:val="18"/>
                <w:szCs w:val="18"/>
              </w:rPr>
            </w:pPr>
            <w:r>
              <w:rPr>
                <w:rFonts w:ascii="Times New Roman"/>
                <w:sz w:val="18"/>
              </w:rPr>
              <w:t>2019-01-11</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新设</w:t>
            </w:r>
          </w:p>
        </w:tc>
      </w:tr>
      <w:tr>
        <w:trPr>
          <w:trHeight w:val="422" w:hRule="exact"/>
        </w:trPr>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淮南达实智慧医疗有限公司</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一级子公司</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宋体" w:hAnsi="宋体" w:cs="宋体" w:eastAsia="宋体" w:hint="default"/>
                <w:sz w:val="18"/>
                <w:szCs w:val="18"/>
              </w:rPr>
            </w:pPr>
            <w:r>
              <w:rPr>
                <w:rFonts w:ascii="宋体" w:hAnsi="宋体" w:cs="宋体" w:eastAsia="宋体" w:hint="default"/>
                <w:sz w:val="18"/>
                <w:szCs w:val="18"/>
              </w:rPr>
              <w:t>货币出资</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7" w:right="0"/>
              <w:jc w:val="left"/>
              <w:rPr>
                <w:rFonts w:ascii="Times New Roman" w:hAnsi="Times New Roman" w:cs="Times New Roman" w:eastAsia="Times New Roman" w:hint="default"/>
                <w:sz w:val="18"/>
                <w:szCs w:val="18"/>
              </w:rPr>
            </w:pPr>
            <w:r>
              <w:rPr>
                <w:rFonts w:ascii="Times New Roman"/>
                <w:sz w:val="18"/>
              </w:rPr>
              <w:t>2019-03-22</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宋体" w:hAnsi="宋体" w:cs="宋体" w:eastAsia="宋体" w:hint="default"/>
                <w:sz w:val="18"/>
                <w:szCs w:val="18"/>
              </w:rPr>
            </w:pPr>
            <w:r>
              <w:rPr>
                <w:rFonts w:ascii="宋体" w:hAnsi="宋体" w:cs="宋体" w:eastAsia="宋体" w:hint="default"/>
                <w:sz w:val="18"/>
                <w:szCs w:val="18"/>
              </w:rPr>
              <w:t>新设</w:t>
            </w:r>
          </w:p>
        </w:tc>
      </w:tr>
      <w:tr>
        <w:trPr>
          <w:trHeight w:val="420" w:hRule="exact"/>
        </w:trPr>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深圳达实物联网科技有限公司</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一级子公司</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子公司分立</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7" w:right="0"/>
              <w:jc w:val="left"/>
              <w:rPr>
                <w:rFonts w:ascii="Times New Roman" w:hAnsi="Times New Roman" w:cs="Times New Roman" w:eastAsia="Times New Roman" w:hint="default"/>
                <w:sz w:val="18"/>
                <w:szCs w:val="18"/>
              </w:rPr>
            </w:pPr>
            <w:r>
              <w:rPr>
                <w:rFonts w:ascii="Times New Roman"/>
                <w:sz w:val="18"/>
              </w:rPr>
              <w:t>2019-03-31</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新设</w:t>
            </w:r>
          </w:p>
        </w:tc>
      </w:tr>
      <w:tr>
        <w:trPr>
          <w:trHeight w:val="423" w:hRule="exact"/>
        </w:trPr>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平行咨询有限公司</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一级子公司</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宋体" w:hAnsi="宋体" w:cs="宋体" w:eastAsia="宋体" w:hint="default"/>
                <w:sz w:val="18"/>
                <w:szCs w:val="18"/>
              </w:rPr>
            </w:pPr>
            <w:r>
              <w:rPr>
                <w:rFonts w:ascii="宋体" w:hAnsi="宋体" w:cs="宋体" w:eastAsia="宋体" w:hint="default"/>
                <w:sz w:val="18"/>
                <w:szCs w:val="18"/>
              </w:rPr>
              <w:t>货币支付</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7" w:right="0"/>
              <w:jc w:val="left"/>
              <w:rPr>
                <w:rFonts w:ascii="Times New Roman" w:hAnsi="Times New Roman" w:cs="Times New Roman" w:eastAsia="Times New Roman" w:hint="default"/>
                <w:sz w:val="18"/>
                <w:szCs w:val="18"/>
              </w:rPr>
            </w:pPr>
            <w:r>
              <w:rPr>
                <w:rFonts w:ascii="Times New Roman"/>
                <w:sz w:val="18"/>
              </w:rPr>
              <w:t>2019-09-01</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宋体" w:hAnsi="宋体" w:cs="宋体" w:eastAsia="宋体" w:hint="default"/>
                <w:sz w:val="18"/>
                <w:szCs w:val="18"/>
              </w:rPr>
            </w:pPr>
            <w:r>
              <w:rPr>
                <w:rFonts w:ascii="宋体" w:hAnsi="宋体" w:cs="宋体" w:eastAsia="宋体" w:hint="default"/>
                <w:sz w:val="18"/>
                <w:szCs w:val="18"/>
              </w:rPr>
              <w:t>购买少数股东权益</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7）公司报告期内业务、产品或服务发生重大变化或调整有关情况" w:id="35"/>
      <w:bookmarkEnd w:id="35"/>
      <w:r>
        <w:rPr>
          <w:b w:val="0"/>
          <w:bCs w:val="0"/>
        </w:rPr>
      </w:r>
      <w:r>
        <w:rPr/>
        <w:t>（</w:t>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4"/>
        <w:spacing w:line="240" w:lineRule="auto"/>
        <w:ind w:right="1133"/>
        <w:jc w:val="left"/>
        <w:rPr>
          <w:b w:val="0"/>
          <w:bCs w:val="0"/>
        </w:rPr>
      </w:pPr>
      <w:bookmarkStart w:name="（8）主要销售客户和主要供应商情况" w:id="36"/>
      <w:bookmarkEnd w:id="36"/>
      <w:r>
        <w:rPr>
          <w:b w:val="0"/>
          <w:bCs w:val="0"/>
        </w:rPr>
      </w:r>
      <w:r>
        <w:rPr/>
        <w:t>（</w:t>
      </w:r>
      <w:r>
        <w:rPr>
          <w:rFonts w:ascii="Times New Roman" w:hAnsi="Times New Roman" w:cs="Times New Roman" w:eastAsia="Times New Roman" w:hint="default"/>
        </w:rPr>
        <w:t>8</w:t>
      </w:r>
      <w:r>
        <w:rPr/>
        <w:t>）主要销售客户和主要供应商情况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t>公司主要销售客户情况</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257"/>
        <w:gridCol w:w="5312"/>
      </w:tblGrid>
      <w:tr>
        <w:trPr>
          <w:trHeight w:val="401"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463,815,320.72</w:t>
            </w:r>
          </w:p>
        </w:tc>
      </w:tr>
      <w:tr>
        <w:trPr>
          <w:trHeight w:val="403"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21.03%</w:t>
            </w:r>
          </w:p>
        </w:tc>
      </w:tr>
      <w:tr>
        <w:trPr>
          <w:trHeight w:val="713"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22" w:right="84"/>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前五名客户销售额中关联方销售额占年度销售总额比 例</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49"/>
        <w:ind w:right="1133"/>
        <w:jc w:val="left"/>
      </w:pPr>
      <w:r>
        <w:rPr/>
        <w:t>公司前</w:t>
      </w:r>
      <w:r>
        <w:rPr>
          <w:spacing w:val="-44"/>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大客户资料</w:t>
      </w:r>
    </w:p>
    <w:p>
      <w:pPr>
        <w:spacing w:line="240" w:lineRule="auto" w:before="4"/>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779"/>
        <w:gridCol w:w="3314"/>
        <w:gridCol w:w="2321"/>
        <w:gridCol w:w="3145"/>
      </w:tblGrid>
      <w:tr>
        <w:trPr>
          <w:trHeight w:val="401" w:hRule="exact"/>
        </w:trPr>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16"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5"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3" w:hRule="exact"/>
        </w:trPr>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1</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155,917,098.55</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7.07%</w:t>
            </w:r>
          </w:p>
        </w:tc>
      </w:tr>
      <w:tr>
        <w:trPr>
          <w:trHeight w:val="401" w:hRule="exact"/>
        </w:trPr>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2</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144,835,377.51</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6.57%</w:t>
            </w:r>
          </w:p>
        </w:tc>
      </w:tr>
      <w:tr>
        <w:trPr>
          <w:trHeight w:val="403" w:hRule="exact"/>
        </w:trPr>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3</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69,666,400.22</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3.16%</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779"/>
        <w:gridCol w:w="3314"/>
        <w:gridCol w:w="2321"/>
        <w:gridCol w:w="3145"/>
      </w:tblGrid>
      <w:tr>
        <w:trPr>
          <w:trHeight w:val="401" w:hRule="exact"/>
        </w:trPr>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4</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47,431,016.85</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2.15%</w:t>
            </w:r>
          </w:p>
        </w:tc>
      </w:tr>
      <w:tr>
        <w:trPr>
          <w:trHeight w:val="403" w:hRule="exact"/>
        </w:trPr>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12" w:right="0"/>
              <w:jc w:val="left"/>
              <w:rPr>
                <w:rFonts w:ascii="Times New Roman" w:hAnsi="Times New Roman" w:cs="Times New Roman" w:eastAsia="Times New Roman" w:hint="default"/>
                <w:sz w:val="18"/>
                <w:szCs w:val="18"/>
              </w:rPr>
            </w:pPr>
            <w:r>
              <w:rPr>
                <w:rFonts w:ascii="Times New Roman"/>
                <w:sz w:val="18"/>
              </w:rPr>
              <w:t>5</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left="27"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45,965,427.59</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2.08%</w:t>
            </w:r>
          </w:p>
        </w:tc>
      </w:tr>
      <w:tr>
        <w:trPr>
          <w:trHeight w:val="403" w:hRule="exact"/>
        </w:trPr>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232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463,815,320.72</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21.03%</w:t>
            </w:r>
          </w:p>
        </w:tc>
      </w:tr>
    </w:tbl>
    <w:p>
      <w:pPr>
        <w:pStyle w:val="BodyText"/>
        <w:spacing w:line="240" w:lineRule="auto" w:before="49"/>
        <w:ind w:right="1133"/>
        <w:jc w:val="left"/>
      </w:pPr>
      <w:r>
        <w:rPr/>
        <w:t>主要客户其他情况说明</w:t>
      </w:r>
    </w:p>
    <w:p>
      <w:pPr>
        <w:pStyle w:val="BodyText"/>
        <w:spacing w:line="340" w:lineRule="auto" w:before="115"/>
        <w:ind w:right="9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公司主要供应商情况</w:t>
      </w:r>
    </w:p>
    <w:p>
      <w:pPr>
        <w:spacing w:line="240" w:lineRule="auto" w:before="5"/>
        <w:rPr>
          <w:rFonts w:ascii="宋体" w:hAnsi="宋体" w:cs="宋体" w:eastAsia="宋体" w:hint="default"/>
          <w:sz w:val="2"/>
          <w:szCs w:val="2"/>
        </w:rPr>
      </w:pPr>
    </w:p>
    <w:tbl>
      <w:tblPr>
        <w:tblW w:w="0" w:type="auto"/>
        <w:jc w:val="left"/>
        <w:tblInd w:w="149" w:type="dxa"/>
        <w:tblLayout w:type="fixed"/>
        <w:tblCellMar>
          <w:top w:w="0" w:type="dxa"/>
          <w:left w:w="0" w:type="dxa"/>
          <w:bottom w:w="0" w:type="dxa"/>
          <w:right w:w="0" w:type="dxa"/>
        </w:tblCellMar>
        <w:tblLook w:val="01E0"/>
      </w:tblPr>
      <w:tblGrid>
        <w:gridCol w:w="4819"/>
        <w:gridCol w:w="4751"/>
      </w:tblGrid>
      <w:tr>
        <w:trPr>
          <w:trHeight w:val="403" w:hRule="exact"/>
        </w:trPr>
        <w:tc>
          <w:tcPr>
            <w:tcW w:w="48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47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1,844,532,206.33</w:t>
            </w:r>
          </w:p>
        </w:tc>
      </w:tr>
      <w:tr>
        <w:trPr>
          <w:trHeight w:val="401" w:hRule="exact"/>
        </w:trPr>
        <w:tc>
          <w:tcPr>
            <w:tcW w:w="48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47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336,437,977.14</w:t>
            </w:r>
          </w:p>
        </w:tc>
      </w:tr>
      <w:tr>
        <w:trPr>
          <w:trHeight w:val="403" w:hRule="exact"/>
        </w:trPr>
        <w:tc>
          <w:tcPr>
            <w:tcW w:w="48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前五名供应商采购额中关联方采购额占年度采购总额比例</w:t>
            </w:r>
          </w:p>
        </w:tc>
        <w:tc>
          <w:tcPr>
            <w:tcW w:w="47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18.25%</w:t>
            </w:r>
          </w:p>
        </w:tc>
      </w:tr>
    </w:tbl>
    <w:p>
      <w:pPr>
        <w:spacing w:line="240" w:lineRule="auto" w:before="2"/>
        <w:rPr>
          <w:rFonts w:ascii="宋体" w:hAnsi="宋体" w:cs="宋体" w:eastAsia="宋体" w:hint="default"/>
          <w:sz w:val="27"/>
          <w:szCs w:val="27"/>
        </w:rPr>
      </w:pPr>
    </w:p>
    <w:p>
      <w:pPr>
        <w:pStyle w:val="BodyText"/>
        <w:spacing w:line="240" w:lineRule="auto" w:before="44"/>
        <w:ind w:right="1133"/>
        <w:jc w:val="left"/>
      </w:pPr>
      <w:r>
        <w:rPr/>
        <w:t>公司前</w:t>
      </w:r>
      <w:r>
        <w:rPr>
          <w:spacing w:val="-44"/>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名供应商资料</w:t>
      </w:r>
    </w:p>
    <w:p>
      <w:pPr>
        <w:spacing w:line="240" w:lineRule="auto" w:before="4"/>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912"/>
        <w:gridCol w:w="3181"/>
        <w:gridCol w:w="2321"/>
        <w:gridCol w:w="3145"/>
      </w:tblGrid>
      <w:tr>
        <w:trPr>
          <w:trHeight w:val="401"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1"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16"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5"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12" w:right="0"/>
              <w:jc w:val="left"/>
              <w:rPr>
                <w:rFonts w:ascii="Times New Roman" w:hAnsi="Times New Roman" w:cs="Times New Roman" w:eastAsia="Times New Roman" w:hint="default"/>
                <w:sz w:val="18"/>
                <w:szCs w:val="18"/>
              </w:rPr>
            </w:pPr>
            <w:r>
              <w:rPr>
                <w:rFonts w:ascii="Times New Roman"/>
                <w:sz w:val="18"/>
              </w:rPr>
              <w:t>1</w:t>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165,629,602.90</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8.98%</w:t>
            </w:r>
          </w:p>
        </w:tc>
      </w:tr>
      <w:tr>
        <w:trPr>
          <w:trHeight w:val="401"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2</w:t>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82,746,645.41</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4.49%</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12" w:right="0"/>
              <w:jc w:val="left"/>
              <w:rPr>
                <w:rFonts w:ascii="Times New Roman" w:hAnsi="Times New Roman" w:cs="Times New Roman" w:eastAsia="Times New Roman" w:hint="default"/>
                <w:sz w:val="18"/>
                <w:szCs w:val="18"/>
              </w:rPr>
            </w:pPr>
            <w:r>
              <w:rPr>
                <w:rFonts w:ascii="Times New Roman"/>
                <w:sz w:val="18"/>
              </w:rPr>
              <w:t>3</w:t>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38,743,458.55</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2.10%</w:t>
            </w:r>
          </w:p>
        </w:tc>
      </w:tr>
      <w:tr>
        <w:trPr>
          <w:trHeight w:val="401"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4</w:t>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30,350,108.67</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1.65%</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12" w:right="0"/>
              <w:jc w:val="left"/>
              <w:rPr>
                <w:rFonts w:ascii="Times New Roman" w:hAnsi="Times New Roman" w:cs="Times New Roman" w:eastAsia="Times New Roman" w:hint="default"/>
                <w:sz w:val="18"/>
                <w:szCs w:val="18"/>
              </w:rPr>
            </w:pPr>
            <w:r>
              <w:rPr>
                <w:rFonts w:ascii="Times New Roman"/>
                <w:sz w:val="18"/>
              </w:rPr>
              <w:t>5</w:t>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18,968,161.61</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1.03%</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w:t>
            </w:r>
          </w:p>
        </w:tc>
        <w:tc>
          <w:tcPr>
            <w:tcW w:w="232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336,437,977.14</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18.25%</w:t>
            </w:r>
          </w:p>
        </w:tc>
      </w:tr>
    </w:tbl>
    <w:p>
      <w:pPr>
        <w:pStyle w:val="BodyText"/>
        <w:spacing w:line="240" w:lineRule="auto" w:before="49"/>
        <w:ind w:right="1133"/>
        <w:jc w:val="left"/>
      </w:pPr>
      <w:r>
        <w:rPr/>
        <w:t>主要供应商其他情况说明</w:t>
      </w:r>
    </w:p>
    <w:p>
      <w:pPr>
        <w:pStyle w:val="BodyText"/>
        <w:spacing w:line="240" w:lineRule="auto" w:before="115"/>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4"/>
        <w:spacing w:line="240" w:lineRule="auto"/>
        <w:ind w:right="1133"/>
        <w:jc w:val="left"/>
        <w:rPr>
          <w:b w:val="0"/>
          <w:bCs w:val="0"/>
        </w:rPr>
      </w:pPr>
      <w:bookmarkStart w:name="3、费用" w:id="37"/>
      <w:bookmarkEnd w:id="37"/>
      <w:r>
        <w:rPr>
          <w:b w:val="0"/>
          <w:bCs w:val="0"/>
        </w:rPr>
      </w:r>
      <w:r>
        <w:rPr>
          <w:rFonts w:ascii="Times New Roman" w:hAnsi="Times New Roman" w:cs="Times New Roman" w:eastAsia="Times New Roman" w:hint="default"/>
        </w:rPr>
        <w:t>3</w:t>
      </w:r>
      <w:r>
        <w:rPr/>
        <w:t>、费用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93"/>
        <w:gridCol w:w="1648"/>
        <w:gridCol w:w="1637"/>
        <w:gridCol w:w="1462"/>
        <w:gridCol w:w="2919"/>
      </w:tblGrid>
      <w:tr>
        <w:trPr>
          <w:trHeight w:val="403" w:hRule="exact"/>
        </w:trPr>
        <w:tc>
          <w:tcPr>
            <w:tcW w:w="189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3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64"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4"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01" w:hRule="exact"/>
        </w:trPr>
        <w:tc>
          <w:tcPr>
            <w:tcW w:w="1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4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295,780,131.67</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9" w:right="0"/>
              <w:jc w:val="left"/>
              <w:rPr>
                <w:rFonts w:ascii="Times New Roman" w:hAnsi="Times New Roman" w:cs="Times New Roman" w:eastAsia="Times New Roman" w:hint="default"/>
                <w:sz w:val="18"/>
                <w:szCs w:val="18"/>
              </w:rPr>
            </w:pPr>
            <w:r>
              <w:rPr>
                <w:rFonts w:ascii="Times New Roman"/>
                <w:sz w:val="18"/>
              </w:rPr>
              <w:t>253,769,209.28</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16.55%</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4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159,415,321.55</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9" w:right="0"/>
              <w:jc w:val="left"/>
              <w:rPr>
                <w:rFonts w:ascii="Times New Roman" w:hAnsi="Times New Roman" w:cs="Times New Roman" w:eastAsia="Times New Roman" w:hint="default"/>
                <w:sz w:val="18"/>
                <w:szCs w:val="18"/>
              </w:rPr>
            </w:pPr>
            <w:r>
              <w:rPr>
                <w:rFonts w:ascii="Times New Roman"/>
                <w:sz w:val="18"/>
              </w:rPr>
              <w:t>136,147,800.18</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17.09%</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629" w:hRule="exact"/>
        </w:trPr>
        <w:tc>
          <w:tcPr>
            <w:tcW w:w="1893" w:type="dxa"/>
            <w:tcBorders>
              <w:top w:val="single" w:sz="4" w:space="0" w:color="000000"/>
              <w:left w:val="single" w:sz="4" w:space="0" w:color="000000"/>
              <w:bottom w:val="nil" w:sz="6" w:space="0" w:color="auto"/>
              <w:right w:val="single" w:sz="4" w:space="0" w:color="000000"/>
            </w:tcBorders>
            <w:shd w:val="clear" w:color="auto" w:fill="D2D2D2"/>
          </w:tcPr>
          <w:p>
            <w:pPr/>
          </w:p>
        </w:tc>
        <w:tc>
          <w:tcPr>
            <w:tcW w:w="1648"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575" w:right="0"/>
              <w:jc w:val="left"/>
              <w:rPr>
                <w:rFonts w:ascii="Times New Roman" w:hAnsi="Times New Roman" w:cs="Times New Roman" w:eastAsia="Times New Roman" w:hint="default"/>
                <w:sz w:val="18"/>
                <w:szCs w:val="18"/>
              </w:rPr>
            </w:pPr>
            <w:r>
              <w:rPr>
                <w:rFonts w:ascii="Times New Roman"/>
                <w:sz w:val="18"/>
              </w:rPr>
              <w:t>60,073,723.22</w:t>
            </w:r>
          </w:p>
        </w:tc>
        <w:tc>
          <w:tcPr>
            <w:tcW w:w="163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571" w:right="0"/>
              <w:jc w:val="left"/>
              <w:rPr>
                <w:rFonts w:ascii="Times New Roman" w:hAnsi="Times New Roman" w:cs="Times New Roman" w:eastAsia="Times New Roman" w:hint="default"/>
                <w:sz w:val="18"/>
                <w:szCs w:val="18"/>
              </w:rPr>
            </w:pPr>
            <w:r>
              <w:rPr>
                <w:rFonts w:ascii="Times New Roman"/>
                <w:sz w:val="18"/>
              </w:rPr>
              <w:t>26,575,526.70</w:t>
            </w:r>
          </w:p>
        </w:tc>
        <w:tc>
          <w:tcPr>
            <w:tcW w:w="14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782" w:right="0"/>
              <w:jc w:val="left"/>
              <w:rPr>
                <w:rFonts w:ascii="Times New Roman" w:hAnsi="Times New Roman" w:cs="Times New Roman" w:eastAsia="Times New Roman" w:hint="default"/>
                <w:sz w:val="18"/>
                <w:szCs w:val="18"/>
              </w:rPr>
            </w:pPr>
            <w:r>
              <w:rPr>
                <w:rFonts w:ascii="Times New Roman"/>
                <w:sz w:val="18"/>
              </w:rPr>
              <w:t>126.05%</w:t>
            </w:r>
          </w:p>
        </w:tc>
        <w:tc>
          <w:tcPr>
            <w:tcW w:w="2919" w:type="dxa"/>
            <w:vMerge w:val="restart"/>
            <w:tcBorders>
              <w:top w:val="single" w:sz="4" w:space="0" w:color="000000"/>
              <w:left w:val="single" w:sz="4" w:space="0" w:color="000000"/>
              <w:right w:val="single" w:sz="4" w:space="0" w:color="000000"/>
            </w:tcBorders>
          </w:tcPr>
          <w:p>
            <w:pPr>
              <w:pStyle w:val="TableParagraph"/>
              <w:spacing w:line="319" w:lineRule="auto" w:before="49"/>
              <w:ind w:left="23" w:right="20"/>
              <w:jc w:val="left"/>
              <w:rPr>
                <w:rFonts w:ascii="宋体" w:hAnsi="宋体" w:cs="宋体" w:eastAsia="宋体" w:hint="default"/>
                <w:sz w:val="18"/>
                <w:szCs w:val="18"/>
              </w:rPr>
            </w:pPr>
            <w:r>
              <w:rPr>
                <w:rFonts w:ascii="宋体" w:hAnsi="宋体" w:cs="宋体" w:eastAsia="宋体" w:hint="default"/>
                <w:sz w:val="18"/>
                <w:szCs w:val="18"/>
              </w:rPr>
              <w:t>主要原因是本报告期子公司达实信 </w:t>
            </w:r>
            <w:r>
              <w:rPr>
                <w:rFonts w:ascii="宋体" w:hAnsi="宋体" w:cs="宋体" w:eastAsia="宋体" w:hint="default"/>
                <w:spacing w:val="-2"/>
                <w:sz w:val="18"/>
                <w:szCs w:val="18"/>
              </w:rPr>
              <w:t>息达实大厦改扩建项目完工转固，银</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2"/>
                <w:sz w:val="18"/>
                <w:szCs w:val="18"/>
              </w:rPr>
              <w:t>行借款利息停止资本化，母公司及子</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2"/>
                <w:sz w:val="18"/>
                <w:szCs w:val="18"/>
              </w:rPr>
              <w:t>公司达实信息、淮南达实、久信医疗</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支付的银行借款利息增加所致。</w:t>
            </w:r>
          </w:p>
        </w:tc>
      </w:tr>
      <w:tr>
        <w:trPr>
          <w:trHeight w:val="392" w:hRule="exact"/>
        </w:trPr>
        <w:tc>
          <w:tcPr>
            <w:tcW w:w="189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48" w:type="dxa"/>
            <w:vMerge/>
            <w:tcBorders>
              <w:left w:val="single" w:sz="9" w:space="0" w:color="D2D2D2"/>
              <w:right w:val="single" w:sz="4" w:space="0" w:color="000000"/>
            </w:tcBorders>
          </w:tcPr>
          <w:p>
            <w:pPr/>
          </w:p>
        </w:tc>
        <w:tc>
          <w:tcPr>
            <w:tcW w:w="1637" w:type="dxa"/>
            <w:vMerge/>
            <w:tcBorders>
              <w:left w:val="single" w:sz="4" w:space="0" w:color="000000"/>
              <w:right w:val="single" w:sz="4" w:space="0" w:color="000000"/>
            </w:tcBorders>
          </w:tcPr>
          <w:p>
            <w:pPr/>
          </w:p>
        </w:tc>
        <w:tc>
          <w:tcPr>
            <w:tcW w:w="1462" w:type="dxa"/>
            <w:vMerge/>
            <w:tcBorders>
              <w:left w:val="single" w:sz="4" w:space="0" w:color="000000"/>
              <w:right w:val="single" w:sz="4" w:space="0" w:color="000000"/>
            </w:tcBorders>
          </w:tcPr>
          <w:p>
            <w:pPr/>
          </w:p>
        </w:tc>
        <w:tc>
          <w:tcPr>
            <w:tcW w:w="2919" w:type="dxa"/>
            <w:vMerge/>
            <w:tcBorders>
              <w:left w:val="single" w:sz="4" w:space="0" w:color="000000"/>
              <w:right w:val="single" w:sz="4" w:space="0" w:color="000000"/>
            </w:tcBorders>
          </w:tcPr>
          <w:p>
            <w:pPr/>
          </w:p>
        </w:tc>
      </w:tr>
      <w:tr>
        <w:trPr>
          <w:trHeight w:val="629" w:hRule="exact"/>
        </w:trPr>
        <w:tc>
          <w:tcPr>
            <w:tcW w:w="1893" w:type="dxa"/>
            <w:tcBorders>
              <w:top w:val="nil" w:sz="6" w:space="0" w:color="auto"/>
              <w:left w:val="single" w:sz="4" w:space="0" w:color="000000"/>
              <w:bottom w:val="single" w:sz="4" w:space="0" w:color="000000"/>
              <w:right w:val="single" w:sz="4" w:space="0" w:color="000000"/>
            </w:tcBorders>
            <w:shd w:val="clear" w:color="auto" w:fill="D2D2D2"/>
          </w:tcPr>
          <w:p>
            <w:pPr/>
          </w:p>
        </w:tc>
        <w:tc>
          <w:tcPr>
            <w:tcW w:w="1648" w:type="dxa"/>
            <w:vMerge/>
            <w:tcBorders>
              <w:left w:val="single" w:sz="9" w:space="0" w:color="D2D2D2"/>
              <w:bottom w:val="single" w:sz="4" w:space="0" w:color="000000"/>
              <w:right w:val="single" w:sz="4" w:space="0" w:color="000000"/>
            </w:tcBorders>
          </w:tcPr>
          <w:p>
            <w:pPr/>
          </w:p>
        </w:tc>
        <w:tc>
          <w:tcPr>
            <w:tcW w:w="1637" w:type="dxa"/>
            <w:vMerge/>
            <w:tcBorders>
              <w:left w:val="single" w:sz="4" w:space="0" w:color="000000"/>
              <w:bottom w:val="single" w:sz="4" w:space="0" w:color="000000"/>
              <w:right w:val="single" w:sz="4" w:space="0" w:color="000000"/>
            </w:tcBorders>
          </w:tcPr>
          <w:p>
            <w:pPr/>
          </w:p>
        </w:tc>
        <w:tc>
          <w:tcPr>
            <w:tcW w:w="1462" w:type="dxa"/>
            <w:vMerge/>
            <w:tcBorders>
              <w:left w:val="single" w:sz="4" w:space="0" w:color="000000"/>
              <w:bottom w:val="single" w:sz="4" w:space="0" w:color="000000"/>
              <w:right w:val="single" w:sz="4" w:space="0" w:color="000000"/>
            </w:tcBorders>
          </w:tcPr>
          <w:p>
            <w:pPr/>
          </w:p>
        </w:tc>
        <w:tc>
          <w:tcPr>
            <w:tcW w:w="2919" w:type="dxa"/>
            <w:vMerge/>
            <w:tcBorders>
              <w:left w:val="single" w:sz="4" w:space="0" w:color="000000"/>
              <w:bottom w:val="single" w:sz="4" w:space="0" w:color="000000"/>
              <w:right w:val="single" w:sz="4" w:space="0" w:color="000000"/>
            </w:tcBorders>
          </w:tcPr>
          <w:p>
            <w:pPr/>
          </w:p>
        </w:tc>
      </w:tr>
      <w:tr>
        <w:trPr>
          <w:trHeight w:val="403" w:hRule="exact"/>
        </w:trPr>
        <w:tc>
          <w:tcPr>
            <w:tcW w:w="1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64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52,051,103.53</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1" w:right="0"/>
              <w:jc w:val="left"/>
              <w:rPr>
                <w:rFonts w:ascii="Times New Roman" w:hAnsi="Times New Roman" w:cs="Times New Roman" w:eastAsia="Times New Roman" w:hint="default"/>
                <w:sz w:val="18"/>
                <w:szCs w:val="18"/>
              </w:rPr>
            </w:pPr>
            <w:r>
              <w:rPr>
                <w:rFonts w:ascii="Times New Roman"/>
                <w:sz w:val="18"/>
              </w:rPr>
              <w:t>47,573,406.42</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9.41%</w:t>
            </w:r>
          </w:p>
        </w:tc>
        <w:tc>
          <w:tcPr>
            <w:tcW w:w="291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4、研发投入" w:id="38"/>
      <w:bookmarkEnd w:id="38"/>
      <w:r>
        <w:rPr>
          <w:b w:val="0"/>
          <w:bCs w:val="0"/>
        </w:rPr>
      </w:r>
      <w:r>
        <w:rPr>
          <w:rFonts w:ascii="Times New Roman" w:hAnsi="Times New Roman" w:cs="Times New Roman" w:eastAsia="Times New Roman" w:hint="default"/>
        </w:rPr>
        <w:t>4</w:t>
      </w:r>
      <w:r>
        <w:rPr/>
        <w:t>、研发投入</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3"/>
        <w:rPr>
          <w:rFonts w:ascii="宋体" w:hAnsi="宋体" w:cs="宋体" w:eastAsia="宋体" w:hint="default"/>
          <w:sz w:val="13"/>
          <w:szCs w:val="13"/>
        </w:rPr>
      </w:pPr>
    </w:p>
    <w:p>
      <w:pPr>
        <w:pStyle w:val="BodyText"/>
        <w:spacing w:line="240" w:lineRule="auto"/>
        <w:ind w:left="573" w:right="0"/>
        <w:jc w:val="left"/>
      </w:pPr>
      <w:r>
        <w:rPr/>
        <w:t>报告期内，公司立足智能物联领域各细分市场应用，持续加大技术和产品的研发投入，取得</w:t>
      </w:r>
      <w:r>
        <w:rPr>
          <w:rFonts w:ascii="Times New Roman" w:hAnsi="Times New Roman" w:cs="Times New Roman" w:eastAsia="Times New Roman" w:hint="default"/>
        </w:rPr>
        <w:t>14</w:t>
      </w:r>
      <w:r>
        <w:rPr/>
        <w:t>项发明专利证书、</w:t>
      </w:r>
      <w:r>
        <w:rPr>
          <w:rFonts w:ascii="Times New Roman" w:hAnsi="Times New Roman" w:cs="Times New Roman" w:eastAsia="Times New Roman" w:hint="default"/>
        </w:rPr>
        <w:t>1</w:t>
      </w:r>
      <w:r>
        <w:rPr/>
        <w:t>项实</w:t>
      </w:r>
    </w:p>
    <w:p>
      <w:pPr>
        <w:spacing w:after="0" w:line="240"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489" w:lineRule="auto"/>
        <w:ind w:left="573" w:right="0" w:hanging="421"/>
        <w:jc w:val="left"/>
      </w:pPr>
      <w:r>
        <w:rPr/>
        <w:t>用新型专利证书、</w:t>
      </w:r>
      <w:r>
        <w:rPr>
          <w:rFonts w:ascii="Times New Roman" w:hAnsi="Times New Roman" w:cs="Times New Roman" w:eastAsia="Times New Roman" w:hint="default"/>
        </w:rPr>
        <w:t>24</w:t>
      </w:r>
      <w:r>
        <w:rPr/>
        <w:t>项软件著作权，新申请</w:t>
      </w:r>
      <w:r>
        <w:rPr>
          <w:rFonts w:ascii="Times New Roman" w:hAnsi="Times New Roman" w:cs="Times New Roman" w:eastAsia="Times New Roman" w:hint="default"/>
        </w:rPr>
        <w:t>22</w:t>
      </w:r>
      <w:r>
        <w:rPr/>
        <w:t>项专利，参编</w:t>
      </w:r>
      <w:r>
        <w:rPr>
          <w:rFonts w:ascii="Times New Roman" w:hAnsi="Times New Roman" w:cs="Times New Roman" w:eastAsia="Times New Roman" w:hint="default"/>
        </w:rPr>
        <w:t>4</w:t>
      </w:r>
      <w:r>
        <w:rPr/>
        <w:t>项国家、省市级标准，研发实力进一步增强。 </w:t>
      </w:r>
      <w:r>
        <w:rPr>
          <w:spacing w:val="-4"/>
        </w:rPr>
        <w:t>公司不断迭代升级智能建筑管理系统，升级为物联网智能管控</w:t>
      </w:r>
      <w:r>
        <w:rPr>
          <w:rFonts w:ascii="Times New Roman" w:hAnsi="Times New Roman" w:cs="Times New Roman" w:eastAsia="Times New Roman" w:hint="default"/>
          <w:spacing w:val="-4"/>
        </w:rPr>
        <w:t>AIoT</w:t>
      </w:r>
      <w:r>
        <w:rPr>
          <w:spacing w:val="-4"/>
        </w:rPr>
        <w:t>平台，提供</w:t>
      </w:r>
      <w:r>
        <w:rPr>
          <w:rFonts w:ascii="Times New Roman" w:hAnsi="Times New Roman" w:cs="Times New Roman" w:eastAsia="Times New Roman" w:hint="default"/>
          <w:spacing w:val="-4"/>
        </w:rPr>
        <w:t>IBMS</w:t>
      </w:r>
      <w:r>
        <w:rPr>
          <w:spacing w:val="-4"/>
        </w:rPr>
        <w:t>（集成管理）、</w:t>
      </w:r>
      <w:r>
        <w:rPr>
          <w:rFonts w:ascii="Times New Roman" w:hAnsi="Times New Roman" w:cs="Times New Roman" w:eastAsia="Times New Roman" w:hint="default"/>
          <w:spacing w:val="-4"/>
        </w:rPr>
        <w:t>EMS</w:t>
      </w:r>
      <w:r>
        <w:rPr>
          <w:spacing w:val="-4"/>
        </w:rPr>
        <w:t>（能源管理）、</w:t>
      </w:r>
    </w:p>
    <w:p>
      <w:pPr>
        <w:pStyle w:val="BodyText"/>
        <w:spacing w:line="451" w:lineRule="auto" w:before="11"/>
        <w:ind w:right="1129"/>
        <w:jc w:val="left"/>
      </w:pPr>
      <w:r>
        <w:rPr>
          <w:rFonts w:ascii="Times New Roman" w:hAnsi="Times New Roman" w:cs="Times New Roman" w:eastAsia="Times New Roman" w:hint="default"/>
          <w:spacing w:val="-1"/>
        </w:rPr>
        <w:t>FMS</w:t>
      </w:r>
      <w:r>
        <w:rPr>
          <w:spacing w:val="-1"/>
        </w:rPr>
        <w:t>（运维管理）、</w:t>
      </w:r>
      <w:r>
        <w:rPr>
          <w:rFonts w:ascii="Times New Roman" w:hAnsi="Times New Roman" w:cs="Times New Roman" w:eastAsia="Times New Roman" w:hint="default"/>
          <w:spacing w:val="-1"/>
        </w:rPr>
        <w:t>BIM</w:t>
      </w:r>
      <w:r>
        <w:rPr>
          <w:spacing w:val="-1"/>
        </w:rPr>
        <w:t>（三维可视化）、</w:t>
      </w:r>
      <w:r>
        <w:rPr>
          <w:rFonts w:ascii="Times New Roman" w:hAnsi="Times New Roman" w:cs="Times New Roman" w:eastAsia="Times New Roman" w:hint="default"/>
          <w:spacing w:val="-1"/>
        </w:rPr>
        <w:t>APP</w:t>
      </w:r>
      <w:r>
        <w:rPr>
          <w:spacing w:val="-1"/>
        </w:rPr>
        <w:t>（移动运维）等应用服务。在满足用户基本管理需求的同时，更加注重高级</w:t>
      </w:r>
      <w:r>
        <w:rPr>
          <w:spacing w:val="-76"/>
        </w:rPr>
        <w:t> </w:t>
      </w:r>
      <w:r>
        <w:rPr>
          <w:spacing w:val="-76"/>
        </w:rPr>
      </w:r>
      <w:r>
        <w:rPr/>
        <w:t>功能需求的研发，如负荷预测和能耗分析等。</w:t>
      </w:r>
    </w:p>
    <w:p>
      <w:pPr>
        <w:pStyle w:val="BodyText"/>
        <w:spacing w:line="451" w:lineRule="auto" w:before="112"/>
        <w:ind w:right="0" w:firstLine="420"/>
        <w:jc w:val="left"/>
      </w:pPr>
      <w:r>
        <w:rPr/>
        <w:t>公司针对当前物联网存在的数据传输带宽与快速响应等需求，对达实的边缘控制器</w:t>
      </w:r>
      <w:r>
        <w:rPr>
          <w:rFonts w:ascii="Times New Roman" w:hAnsi="Times New Roman" w:cs="Times New Roman" w:eastAsia="Times New Roman" w:hint="default"/>
        </w:rPr>
        <w:t>DasEdge</w:t>
      </w:r>
      <w:r>
        <w:rPr/>
        <w:t>进行了架构升级，开发了</w:t>
      </w:r>
      <w:r>
        <w:rPr>
          <w:spacing w:val="2"/>
        </w:rPr>
        <w:t> </w:t>
      </w:r>
      <w:r>
        <w:rPr>
          <w:rFonts w:ascii="Times New Roman" w:hAnsi="Times New Roman" w:cs="Times New Roman" w:eastAsia="Times New Roman" w:hint="default"/>
          <w:spacing w:val="-2"/>
        </w:rPr>
        <w:t>Go</w:t>
      </w:r>
      <w:r>
        <w:rPr>
          <w:spacing w:val="-2"/>
        </w:rPr>
        <w:t>语言版本的</w:t>
      </w:r>
      <w:r>
        <w:rPr>
          <w:rFonts w:ascii="Times New Roman" w:hAnsi="Times New Roman" w:cs="Times New Roman" w:eastAsia="Times New Roman" w:hint="default"/>
          <w:spacing w:val="-2"/>
        </w:rPr>
        <w:t>DasEdge</w:t>
      </w:r>
      <w:r>
        <w:rPr>
          <w:spacing w:val="-2"/>
        </w:rPr>
        <w:t>，缩短了</w:t>
      </w:r>
      <w:r>
        <w:rPr>
          <w:rFonts w:ascii="Times New Roman" w:hAnsi="Times New Roman" w:cs="Times New Roman" w:eastAsia="Times New Roman" w:hint="default"/>
          <w:spacing w:val="-2"/>
        </w:rPr>
        <w:t>API</w:t>
      </w:r>
      <w:r>
        <w:rPr>
          <w:spacing w:val="-2"/>
        </w:rPr>
        <w:t>的响应时长，解决了批量请求访问超时的问题，提高了大容量实时数据的并发处理能力，</w:t>
      </w:r>
      <w:r>
        <w:rPr>
          <w:spacing w:val="-47"/>
        </w:rPr>
        <w:t> </w:t>
      </w:r>
      <w:r>
        <w:rPr>
          <w:spacing w:val="-47"/>
        </w:rPr>
      </w:r>
      <w:r>
        <w:rPr/>
        <w:t>并使用微服务实现了框架的标准化，使用统一的规范实现了</w:t>
      </w:r>
      <w:r>
        <w:rPr>
          <w:rFonts w:ascii="Times New Roman" w:hAnsi="Times New Roman" w:cs="Times New Roman" w:eastAsia="Times New Roman" w:hint="default"/>
        </w:rPr>
        <w:t>API</w:t>
      </w:r>
      <w:r>
        <w:rPr/>
        <w:t>业务逻辑的快速构建。</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22"/>
        <w:ind w:right="1133"/>
        <w:jc w:val="left"/>
      </w:pPr>
      <w:r>
        <w:rPr/>
        <w:t>公司研发投入情况</w:t>
      </w:r>
    </w:p>
    <w:p>
      <w:pPr>
        <w:spacing w:line="240" w:lineRule="auto" w:before="0"/>
        <w:rPr>
          <w:rFonts w:ascii="宋体" w:hAnsi="宋体" w:cs="宋体" w:eastAsia="宋体" w:hint="default"/>
          <w:sz w:val="14"/>
          <w:szCs w:val="14"/>
        </w:rPr>
      </w:pPr>
    </w:p>
    <w:tbl>
      <w:tblPr>
        <w:tblW w:w="0" w:type="auto"/>
        <w:jc w:val="left"/>
        <w:tblInd w:w="160" w:type="dxa"/>
        <w:tblLayout w:type="fixed"/>
        <w:tblCellMar>
          <w:top w:w="0" w:type="dxa"/>
          <w:left w:w="0" w:type="dxa"/>
          <w:bottom w:w="0" w:type="dxa"/>
          <w:right w:w="0" w:type="dxa"/>
        </w:tblCellMar>
        <w:tblLook w:val="01E0"/>
      </w:tblPr>
      <w:tblGrid>
        <w:gridCol w:w="2369"/>
        <w:gridCol w:w="2403"/>
        <w:gridCol w:w="2393"/>
        <w:gridCol w:w="2393"/>
      </w:tblGrid>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变动比例</w:t>
            </w:r>
          </w:p>
        </w:tc>
      </w:tr>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441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467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-5.57%</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20.16%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21.91%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-1.75%</w:t>
            </w:r>
          </w:p>
        </w:tc>
      </w:tr>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101,366,589.42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123,496,636.87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-17.92%</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4.89%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-0.29%</w:t>
            </w:r>
          </w:p>
        </w:tc>
      </w:tr>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研发投入资本化的金额（元）</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49,315,485.89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55,997,277.27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-11.93%</w:t>
            </w:r>
          </w:p>
        </w:tc>
      </w:tr>
      <w:tr>
        <w:trPr>
          <w:trHeight w:val="716"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85"/>
              <w:jc w:val="left"/>
              <w:rPr>
                <w:rFonts w:ascii="宋体" w:hAnsi="宋体" w:cs="宋体" w:eastAsia="宋体" w:hint="default"/>
                <w:sz w:val="18"/>
                <w:szCs w:val="18"/>
              </w:rPr>
            </w:pPr>
            <w:r>
              <w:rPr>
                <w:rFonts w:ascii="宋体" w:hAnsi="宋体" w:cs="宋体" w:eastAsia="宋体" w:hint="default"/>
                <w:sz w:val="18"/>
                <w:szCs w:val="18"/>
              </w:rPr>
              <w:t>资本化研发投入占研发投入 的比例</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48.65%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45.34%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3.31%</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pStyle w:val="BodyText"/>
        <w:spacing w:line="240" w:lineRule="auto" w:before="49"/>
        <w:ind w:right="-17"/>
        <w:jc w:val="left"/>
      </w:pPr>
      <w:r>
        <w:rPr/>
        <w:t>研发投入总额占营业收入的比重较上年发生显著变化的原因</w:t>
      </w:r>
    </w:p>
    <w:p>
      <w:pPr>
        <w:pStyle w:val="BodyText"/>
        <w:spacing w:line="240" w:lineRule="auto" w:before="115"/>
        <w:ind w:right="-17"/>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pStyle w:val="BodyText"/>
        <w:spacing w:line="240" w:lineRule="auto" w:before="103"/>
        <w:ind w:right="-17"/>
        <w:jc w:val="left"/>
      </w:pP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2"/>
          <w:szCs w:val="12"/>
        </w:rPr>
      </w:pPr>
    </w:p>
    <w:p>
      <w:pPr>
        <w:pStyle w:val="BodyText"/>
        <w:spacing w:line="240" w:lineRule="auto"/>
        <w:ind w:left="-32" w:right="0"/>
        <w:jc w:val="left"/>
      </w:pPr>
      <w:r>
        <w:rPr/>
        <w:t>单位：元</w:t>
      </w:r>
    </w:p>
    <w:p>
      <w:pPr>
        <w:spacing w:after="0" w:line="240" w:lineRule="auto"/>
        <w:jc w:val="left"/>
        <w:sectPr>
          <w:type w:val="continuous"/>
          <w:pgSz w:w="11910" w:h="16840"/>
          <w:pgMar w:top="1060" w:bottom="1160" w:left="980" w:right="0"/>
          <w:cols w:num="2" w:equalWidth="0">
            <w:col w:w="9066" w:space="40"/>
            <w:col w:w="1824"/>
          </w:cols>
        </w:sectPr>
      </w:pP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675"/>
        <w:gridCol w:w="1049"/>
        <w:gridCol w:w="5067"/>
        <w:gridCol w:w="878"/>
      </w:tblGrid>
      <w:tr>
        <w:trPr>
          <w:trHeight w:val="715" w:hRule="exact"/>
        </w:trPr>
        <w:tc>
          <w:tcPr>
            <w:tcW w:w="26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1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40" w:right="67" w:hanging="272"/>
              <w:jc w:val="left"/>
              <w:rPr>
                <w:rFonts w:ascii="宋体" w:hAnsi="宋体" w:cs="宋体" w:eastAsia="宋体" w:hint="default"/>
                <w:sz w:val="18"/>
                <w:szCs w:val="18"/>
              </w:rPr>
            </w:pPr>
            <w:r>
              <w:rPr>
                <w:rFonts w:ascii="宋体" w:hAnsi="宋体" w:cs="宋体" w:eastAsia="宋体" w:hint="default"/>
                <w:sz w:val="18"/>
                <w:szCs w:val="18"/>
              </w:rPr>
              <w:t>研发资本化 金额</w:t>
            </w:r>
          </w:p>
        </w:tc>
        <w:tc>
          <w:tcPr>
            <w:tcW w:w="50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相关项目的基本情况</w:t>
            </w:r>
          </w:p>
        </w:tc>
        <w:tc>
          <w:tcPr>
            <w:tcW w:w="8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74" w:right="0"/>
              <w:jc w:val="left"/>
              <w:rPr>
                <w:rFonts w:ascii="宋体" w:hAnsi="宋体" w:cs="宋体" w:eastAsia="宋体" w:hint="default"/>
                <w:sz w:val="18"/>
                <w:szCs w:val="18"/>
              </w:rPr>
            </w:pPr>
            <w:r>
              <w:rPr>
                <w:rFonts w:ascii="宋体" w:hAnsi="宋体" w:cs="宋体" w:eastAsia="宋体" w:hint="default"/>
                <w:sz w:val="18"/>
                <w:szCs w:val="18"/>
              </w:rPr>
              <w:t>实施进度</w:t>
            </w:r>
          </w:p>
        </w:tc>
      </w:tr>
      <w:tr>
        <w:trPr>
          <w:trHeight w:val="1649" w:hRule="exact"/>
        </w:trPr>
        <w:tc>
          <w:tcPr>
            <w:tcW w:w="2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数据集成平台</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724,981.32</w:t>
            </w:r>
          </w:p>
        </w:tc>
        <w:tc>
          <w:tcPr>
            <w:tcW w:w="5067"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20"/>
              <w:jc w:val="both"/>
              <w:rPr>
                <w:rFonts w:ascii="宋体" w:hAnsi="宋体" w:cs="宋体" w:eastAsia="宋体" w:hint="default"/>
                <w:sz w:val="18"/>
                <w:szCs w:val="18"/>
              </w:rPr>
            </w:pPr>
            <w:r>
              <w:rPr>
                <w:rFonts w:ascii="宋体" w:hAnsi="宋体" w:cs="宋体" w:eastAsia="宋体" w:hint="default"/>
                <w:spacing w:val="-2"/>
                <w:sz w:val="18"/>
                <w:szCs w:val="18"/>
              </w:rPr>
              <w:t>主要由数据采集与交换系统、数据标准管理系统、质量控制系统</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组成。是把不同来源、格式、特点性质的数据在逻辑上或物理上</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3"/>
                <w:sz w:val="18"/>
                <w:szCs w:val="18"/>
              </w:rPr>
              <w:t>有机地集中，从而提供全面的数据共享</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主要解决异构数据源数据</w:t>
            </w:r>
            <w:r>
              <w:rPr>
                <w:rFonts w:ascii="宋体" w:hAnsi="宋体" w:cs="宋体" w:eastAsia="宋体" w:hint="default"/>
                <w:spacing w:val="-78"/>
                <w:sz w:val="18"/>
                <w:szCs w:val="18"/>
              </w:rPr>
              <w:t> </w:t>
            </w:r>
            <w:r>
              <w:rPr>
                <w:rFonts w:ascii="宋体" w:hAnsi="宋体" w:cs="宋体" w:eastAsia="宋体" w:hint="default"/>
                <w:sz w:val="18"/>
                <w:szCs w:val="18"/>
              </w:rPr>
              <w:t>整合的问题，简单易用</w:t>
            </w:r>
            <w:r>
              <w:rPr>
                <w:rFonts w:ascii="Times New Roman" w:hAnsi="Times New Roman" w:cs="Times New Roman" w:eastAsia="Times New Roman" w:hint="default"/>
                <w:sz w:val="18"/>
                <w:szCs w:val="18"/>
              </w:rPr>
              <w:t>,</w:t>
            </w:r>
            <w:r>
              <w:rPr>
                <w:rFonts w:ascii="宋体" w:hAnsi="宋体" w:cs="宋体" w:eastAsia="宋体" w:hint="default"/>
                <w:sz w:val="18"/>
                <w:szCs w:val="18"/>
              </w:rPr>
              <w:t>适配各类数据源</w:t>
            </w:r>
            <w:r>
              <w:rPr>
                <w:rFonts w:ascii="Times New Roman" w:hAnsi="Times New Roman" w:cs="Times New Roman" w:eastAsia="Times New Roman" w:hint="default"/>
                <w:sz w:val="18"/>
                <w:szCs w:val="18"/>
              </w:rPr>
              <w:t>,</w:t>
            </w:r>
            <w:r>
              <w:rPr>
                <w:rFonts w:ascii="宋体" w:hAnsi="宋体" w:cs="宋体" w:eastAsia="宋体" w:hint="default"/>
                <w:sz w:val="18"/>
                <w:szCs w:val="18"/>
              </w:rPr>
              <w:t>提供无侵入式的增量获 取功能</w:t>
            </w:r>
            <w:r>
              <w:rPr>
                <w:rFonts w:ascii="Times New Roman" w:hAnsi="Times New Roman" w:cs="Times New Roman" w:eastAsia="Times New Roman" w:hint="default"/>
                <w:sz w:val="18"/>
                <w:szCs w:val="18"/>
              </w:rPr>
              <w:t>,</w:t>
            </w:r>
            <w:r>
              <w:rPr>
                <w:rFonts w:ascii="宋体" w:hAnsi="宋体" w:cs="宋体" w:eastAsia="宋体" w:hint="default"/>
                <w:sz w:val="18"/>
                <w:szCs w:val="18"/>
              </w:rPr>
              <w:t>具有高速的数据集成能力。</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开发中</w:t>
            </w:r>
          </w:p>
        </w:tc>
      </w:tr>
      <w:tr>
        <w:trPr>
          <w:trHeight w:val="1027" w:hRule="exact"/>
        </w:trPr>
        <w:tc>
          <w:tcPr>
            <w:tcW w:w="2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企业服务总线平台</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V1.0</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97,642.29</w:t>
            </w:r>
          </w:p>
        </w:tc>
        <w:tc>
          <w:tcPr>
            <w:tcW w:w="50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0"/>
              <w:jc w:val="both"/>
              <w:rPr>
                <w:rFonts w:ascii="宋体" w:hAnsi="宋体" w:cs="宋体" w:eastAsia="宋体" w:hint="default"/>
                <w:sz w:val="18"/>
                <w:szCs w:val="18"/>
              </w:rPr>
            </w:pPr>
            <w:r>
              <w:rPr>
                <w:rFonts w:ascii="宋体" w:hAnsi="宋体" w:cs="宋体" w:eastAsia="宋体" w:hint="default"/>
                <w:spacing w:val="-2"/>
                <w:sz w:val="18"/>
                <w:szCs w:val="18"/>
              </w:rPr>
              <w:t>立足于解决现有的医疗机构应用系统由于采用了不同标准、数据</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模型或者事项平台，在需要数据共享时候采用点对点的信息交换</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模式的高成本性和复杂性问题。</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已完成</w:t>
            </w:r>
          </w:p>
        </w:tc>
      </w:tr>
      <w:tr>
        <w:trPr>
          <w:trHeight w:val="1025" w:hRule="exact"/>
        </w:trPr>
        <w:tc>
          <w:tcPr>
            <w:tcW w:w="2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数字一体化手术室系统</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V2.0</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2,908,300.65</w:t>
            </w:r>
          </w:p>
        </w:tc>
        <w:tc>
          <w:tcPr>
            <w:tcW w:w="5067"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20"/>
              <w:jc w:val="left"/>
              <w:rPr>
                <w:rFonts w:ascii="宋体" w:hAnsi="宋体" w:cs="宋体" w:eastAsia="宋体" w:hint="default"/>
                <w:sz w:val="18"/>
                <w:szCs w:val="18"/>
              </w:rPr>
            </w:pPr>
            <w:r>
              <w:rPr>
                <w:rFonts w:ascii="宋体" w:hAnsi="宋体" w:cs="宋体" w:eastAsia="宋体" w:hint="default"/>
                <w:spacing w:val="-1"/>
                <w:w w:val="99"/>
                <w:sz w:val="18"/>
                <w:szCs w:val="18"/>
              </w:rPr>
              <w:t>一个能够接合多套系统（</w:t>
            </w:r>
            <w:r>
              <w:rPr>
                <w:rFonts w:ascii="Times New Roman" w:hAnsi="Times New Roman" w:cs="Times New Roman" w:eastAsia="Times New Roman" w:hint="default"/>
                <w:spacing w:val="-1"/>
                <w:w w:val="99"/>
                <w:sz w:val="18"/>
                <w:szCs w:val="18"/>
              </w:rPr>
              <w:t>HIS</w:t>
            </w:r>
            <w:r>
              <w:rPr>
                <w:rFonts w:ascii="宋体" w:hAnsi="宋体" w:cs="宋体" w:eastAsia="宋体" w:hint="default"/>
                <w:spacing w:val="-1"/>
                <w:w w:val="99"/>
                <w:sz w:val="18"/>
                <w:szCs w:val="18"/>
              </w:rPr>
              <w:t>、</w:t>
            </w:r>
            <w:r>
              <w:rPr>
                <w:rFonts w:ascii="Times New Roman" w:hAnsi="Times New Roman" w:cs="Times New Roman" w:eastAsia="Times New Roman" w:hint="default"/>
                <w:spacing w:val="-1"/>
                <w:w w:val="99"/>
                <w:sz w:val="18"/>
                <w:szCs w:val="18"/>
              </w:rPr>
              <w:t>LIS</w:t>
            </w:r>
            <w:r>
              <w:rPr>
                <w:rFonts w:ascii="宋体" w:hAnsi="宋体" w:cs="宋体" w:eastAsia="宋体" w:hint="default"/>
                <w:spacing w:val="-1"/>
                <w:w w:val="99"/>
                <w:sz w:val="18"/>
                <w:szCs w:val="18"/>
              </w:rPr>
              <w:t>、</w:t>
            </w:r>
            <w:r>
              <w:rPr>
                <w:rFonts w:ascii="Times New Roman" w:hAnsi="Times New Roman" w:cs="Times New Roman" w:eastAsia="Times New Roman" w:hint="default"/>
                <w:spacing w:val="-1"/>
                <w:w w:val="99"/>
                <w:sz w:val="18"/>
                <w:szCs w:val="18"/>
              </w:rPr>
              <w:t>PACS</w:t>
            </w:r>
            <w:r>
              <w:rPr>
                <w:rFonts w:ascii="宋体" w:hAnsi="宋体" w:cs="宋体" w:eastAsia="宋体" w:hint="default"/>
                <w:spacing w:val="-1"/>
                <w:w w:val="99"/>
                <w:sz w:val="18"/>
                <w:szCs w:val="18"/>
              </w:rPr>
              <w:t>、</w:t>
            </w:r>
            <w:r>
              <w:rPr>
                <w:rFonts w:ascii="Times New Roman" w:hAnsi="Times New Roman" w:cs="Times New Roman" w:eastAsia="Times New Roman" w:hint="default"/>
                <w:spacing w:val="-1"/>
                <w:w w:val="99"/>
                <w:sz w:val="18"/>
                <w:szCs w:val="18"/>
              </w:rPr>
              <w:t>EMR</w:t>
            </w:r>
            <w:r>
              <w:rPr>
                <w:rFonts w:ascii="Times New Roman" w:hAnsi="Times New Roman" w:cs="Times New Roman" w:eastAsia="Times New Roman" w:hint="default"/>
                <w:w w:val="99"/>
                <w:sz w:val="18"/>
                <w:szCs w:val="18"/>
              </w:rPr>
              <w:t> </w:t>
            </w:r>
            <w:r>
              <w:rPr>
                <w:rFonts w:ascii="宋体" w:hAnsi="宋体" w:cs="宋体" w:eastAsia="宋体" w:hint="default"/>
                <w:spacing w:val="-16"/>
                <w:sz w:val="18"/>
                <w:szCs w:val="18"/>
              </w:rPr>
              <w:t>等），并且可</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2"/>
                <w:sz w:val="18"/>
                <w:szCs w:val="18"/>
              </w:rPr>
              <w:t>以统一管控手术室内所有医疗设备，同时能够很好的为后续系统</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的接入进行扩展的集中控制管理系统应运而生。</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已完成</w:t>
            </w:r>
          </w:p>
        </w:tc>
      </w:tr>
      <w:tr>
        <w:trPr>
          <w:trHeight w:val="403" w:hRule="exact"/>
        </w:trPr>
        <w:tc>
          <w:tcPr>
            <w:tcW w:w="2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ICU </w:t>
            </w:r>
            <w:r>
              <w:rPr>
                <w:rFonts w:ascii="宋体" w:hAnsi="宋体" w:cs="宋体" w:eastAsia="宋体" w:hint="default"/>
                <w:sz w:val="18"/>
                <w:szCs w:val="18"/>
              </w:rPr>
              <w:t>重症监护系统</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V6.0</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2,828,396.33</w:t>
            </w:r>
          </w:p>
        </w:tc>
        <w:tc>
          <w:tcPr>
            <w:tcW w:w="5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ICU</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作为危重病医学的临床阵地，是医院中危重病人和一些术后</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已完成</w:t>
            </w:r>
          </w:p>
        </w:tc>
      </w:tr>
    </w:tbl>
    <w:p>
      <w:pPr>
        <w:spacing w:after="0" w:line="240" w:lineRule="auto"/>
        <w:jc w:val="left"/>
        <w:rPr>
          <w:rFonts w:ascii="宋体" w:hAnsi="宋体" w:cs="宋体" w:eastAsia="宋体" w:hint="default"/>
          <w:sz w:val="18"/>
          <w:szCs w:val="18"/>
        </w:rPr>
        <w:sectPr>
          <w:type w:val="continuous"/>
          <w:pgSz w:w="11910" w:h="16840"/>
          <w:pgMar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675"/>
        <w:gridCol w:w="1049"/>
        <w:gridCol w:w="5067"/>
        <w:gridCol w:w="878"/>
      </w:tblGrid>
      <w:tr>
        <w:trPr>
          <w:trHeight w:val="675" w:hRule="exact"/>
        </w:trPr>
        <w:tc>
          <w:tcPr>
            <w:tcW w:w="2675" w:type="dxa"/>
            <w:tcBorders>
              <w:top w:val="single" w:sz="4" w:space="0" w:color="000000"/>
              <w:left w:val="single" w:sz="4" w:space="0" w:color="000000"/>
              <w:bottom w:val="single" w:sz="4" w:space="0" w:color="000000"/>
              <w:right w:val="single" w:sz="4" w:space="0" w:color="000000"/>
            </w:tcBorders>
          </w:tcPr>
          <w:p>
            <w:pPr/>
          </w:p>
        </w:tc>
        <w:tc>
          <w:tcPr>
            <w:tcW w:w="1049" w:type="dxa"/>
            <w:tcBorders>
              <w:top w:val="single" w:sz="4" w:space="0" w:color="000000"/>
              <w:left w:val="single" w:sz="4" w:space="0" w:color="000000"/>
              <w:bottom w:val="single" w:sz="4" w:space="0" w:color="000000"/>
              <w:right w:val="single" w:sz="4" w:space="0" w:color="000000"/>
            </w:tcBorders>
          </w:tcPr>
          <w:p>
            <w:pPr/>
          </w:p>
        </w:tc>
        <w:tc>
          <w:tcPr>
            <w:tcW w:w="50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23" w:right="20"/>
              <w:jc w:val="left"/>
              <w:rPr>
                <w:rFonts w:ascii="宋体" w:hAnsi="宋体" w:cs="宋体" w:eastAsia="宋体" w:hint="default"/>
                <w:sz w:val="18"/>
                <w:szCs w:val="18"/>
              </w:rPr>
            </w:pPr>
            <w:r>
              <w:rPr>
                <w:rFonts w:ascii="宋体" w:hAnsi="宋体" w:cs="宋体" w:eastAsia="宋体" w:hint="default"/>
                <w:spacing w:val="-2"/>
                <w:sz w:val="18"/>
                <w:szCs w:val="18"/>
              </w:rPr>
              <w:t>高危患者的集中管理单位，针对这样的需求，我司相继研发了重</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症监护系统不断满足科室的使用需求。</w:t>
            </w:r>
          </w:p>
        </w:tc>
        <w:tc>
          <w:tcPr>
            <w:tcW w:w="878"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2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围术期信息管理系统</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V1.0</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1,859,829.00</w:t>
            </w:r>
          </w:p>
        </w:tc>
        <w:tc>
          <w:tcPr>
            <w:tcW w:w="50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
              <w:jc w:val="both"/>
              <w:rPr>
                <w:rFonts w:ascii="宋体" w:hAnsi="宋体" w:cs="宋体" w:eastAsia="宋体" w:hint="default"/>
                <w:sz w:val="18"/>
                <w:szCs w:val="18"/>
              </w:rPr>
            </w:pPr>
            <w:r>
              <w:rPr>
                <w:rFonts w:ascii="宋体" w:hAnsi="宋体" w:cs="宋体" w:eastAsia="宋体" w:hint="default"/>
                <w:spacing w:val="-2"/>
                <w:sz w:val="18"/>
                <w:szCs w:val="18"/>
              </w:rPr>
              <w:t>围术期信息管理系统以围术期为主线，通过整合相关临床信息系</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统资源及对医疗设备的信息采集规范围术期工作流程，实现对整</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个围术期的管理及过程控制，为用户打造统一的协同工作平台。</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开发中</w:t>
            </w:r>
          </w:p>
        </w:tc>
      </w:tr>
      <w:tr>
        <w:trPr>
          <w:trHeight w:val="715" w:hRule="exact"/>
        </w:trPr>
        <w:tc>
          <w:tcPr>
            <w:tcW w:w="2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LORA</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技术的无线门禁系统</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475,639.18</w:t>
            </w:r>
          </w:p>
        </w:tc>
        <w:tc>
          <w:tcPr>
            <w:tcW w:w="506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3" w:right="60"/>
              <w:jc w:val="left"/>
              <w:rPr>
                <w:rFonts w:ascii="宋体" w:hAnsi="宋体" w:cs="宋体" w:eastAsia="宋体" w:hint="default"/>
                <w:sz w:val="18"/>
                <w:szCs w:val="18"/>
              </w:rPr>
            </w:pPr>
            <w:r>
              <w:rPr>
                <w:rFonts w:ascii="Times New Roman" w:hAnsi="Times New Roman" w:cs="Times New Roman" w:eastAsia="Times New Roman" w:hint="default"/>
                <w:sz w:val="18"/>
                <w:szCs w:val="18"/>
              </w:rPr>
              <w:t>LoRa</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是</w:t>
            </w:r>
            <w:r>
              <w:rPr>
                <w:rFonts w:ascii="宋体" w:hAnsi="宋体" w:cs="宋体" w:eastAsia="宋体" w:hint="default"/>
                <w:spacing w:val="-46"/>
                <w:sz w:val="18"/>
                <w:szCs w:val="18"/>
              </w:rPr>
              <w:t> </w:t>
            </w:r>
            <w:r>
              <w:rPr>
                <w:rFonts w:ascii="Times New Roman" w:hAnsi="Times New Roman" w:cs="Times New Roman" w:eastAsia="Times New Roman" w:hint="default"/>
                <w:spacing w:val="-5"/>
                <w:sz w:val="18"/>
                <w:szCs w:val="18"/>
              </w:rPr>
              <w:t>LPWAN</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通信技术中的一种，是美国</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Semtech</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公司采用 和推广的一种基于扩频技术的超远距离无线传输方案。</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已完成</w:t>
            </w:r>
          </w:p>
        </w:tc>
      </w:tr>
      <w:tr>
        <w:trPr>
          <w:trHeight w:val="1337" w:hRule="exact"/>
        </w:trPr>
        <w:tc>
          <w:tcPr>
            <w:tcW w:w="2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NB-LOT</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技术的互联网门禁系统</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pacing w:val="-1"/>
                <w:sz w:val="18"/>
              </w:rPr>
              <w:t>396,939.31</w:t>
            </w:r>
          </w:p>
        </w:tc>
        <w:tc>
          <w:tcPr>
            <w:tcW w:w="506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3" w:right="108"/>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NB-IoT</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IoT</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领域一个新兴的技术，支持低功耗设备在广域网</w:t>
            </w:r>
            <w:r>
              <w:rPr>
                <w:rFonts w:ascii="宋体" w:hAnsi="宋体" w:cs="宋体" w:eastAsia="宋体" w:hint="default"/>
                <w:w w:val="99"/>
                <w:sz w:val="18"/>
                <w:szCs w:val="18"/>
              </w:rPr>
              <w:t> </w:t>
            </w:r>
            <w:r>
              <w:rPr>
                <w:rFonts w:ascii="宋体" w:hAnsi="宋体" w:cs="宋体" w:eastAsia="宋体" w:hint="default"/>
                <w:sz w:val="18"/>
                <w:szCs w:val="18"/>
              </w:rPr>
              <w:t>的蜂窝数据连接，也被叫作低功耗广域网</w:t>
            </w:r>
            <w:r>
              <w:rPr>
                <w:rFonts w:ascii="Times New Roman" w:hAnsi="Times New Roman" w:cs="Times New Roman" w:eastAsia="Times New Roman" w:hint="default"/>
                <w:sz w:val="18"/>
                <w:szCs w:val="18"/>
              </w:rPr>
              <w:t>(LPWAN)</w:t>
            </w:r>
            <w:r>
              <w:rPr>
                <w:rFonts w:ascii="宋体" w:hAnsi="宋体" w:cs="宋体" w:eastAsia="宋体" w:hint="default"/>
                <w:sz w:val="18"/>
                <w:szCs w:val="18"/>
              </w:rPr>
              <w:t>。</w:t>
            </w:r>
            <w:r>
              <w:rPr>
                <w:rFonts w:ascii="Times New Roman" w:hAnsi="Times New Roman" w:cs="Times New Roman" w:eastAsia="Times New Roman" w:hint="default"/>
                <w:sz w:val="18"/>
                <w:szCs w:val="18"/>
              </w:rPr>
              <w:t>LPWAN</w:t>
            </w:r>
          </w:p>
          <w:p>
            <w:pPr>
              <w:pStyle w:val="TableParagraph"/>
              <w:spacing w:line="300" w:lineRule="auto" w:before="13"/>
              <w:ind w:left="23" w:right="1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Low Power </w:t>
            </w:r>
            <w:r>
              <w:rPr>
                <w:rFonts w:ascii="Times New Roman" w:hAnsi="Times New Roman" w:cs="Times New Roman" w:eastAsia="Times New Roman" w:hint="default"/>
                <w:spacing w:val="-3"/>
                <w:sz w:val="18"/>
                <w:szCs w:val="18"/>
              </w:rPr>
              <w:t>Wide </w:t>
            </w:r>
            <w:r>
              <w:rPr>
                <w:rFonts w:ascii="Times New Roman" w:hAnsi="Times New Roman" w:cs="Times New Roman" w:eastAsia="Times New Roman" w:hint="default"/>
                <w:sz w:val="18"/>
                <w:szCs w:val="18"/>
              </w:rPr>
              <w:t>Area</w:t>
            </w:r>
            <w:r>
              <w:rPr>
                <w:rFonts w:ascii="Times New Roman" w:hAnsi="Times New Roman" w:cs="Times New Roman" w:eastAsia="Times New Roman" w:hint="default"/>
                <w:spacing w:val="-13"/>
                <w:sz w:val="18"/>
                <w:szCs w:val="18"/>
              </w:rPr>
              <w:t> </w:t>
            </w:r>
            <w:r>
              <w:rPr>
                <w:rFonts w:ascii="Times New Roman" w:hAnsi="Times New Roman" w:cs="Times New Roman" w:eastAsia="Times New Roman" w:hint="default"/>
                <w:sz w:val="18"/>
                <w:szCs w:val="18"/>
              </w:rPr>
              <w:t>Network</w:t>
            </w:r>
            <w:r>
              <w:rPr>
                <w:rFonts w:ascii="宋体" w:hAnsi="宋体" w:cs="宋体" w:eastAsia="宋体" w:hint="default"/>
                <w:sz w:val="18"/>
                <w:szCs w:val="18"/>
              </w:rPr>
              <w:t>）低功耗广域网络专为低带宽， 低功耗，远距离和大量连接的物联网应用设计。</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已完成</w:t>
            </w:r>
          </w:p>
        </w:tc>
      </w:tr>
      <w:tr>
        <w:trPr>
          <w:trHeight w:val="716" w:hRule="exact"/>
        </w:trPr>
        <w:tc>
          <w:tcPr>
            <w:tcW w:w="2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访客一体机系统管理软件</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282,973.61</w:t>
            </w:r>
          </w:p>
        </w:tc>
        <w:tc>
          <w:tcPr>
            <w:tcW w:w="50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0"/>
              <w:jc w:val="left"/>
              <w:rPr>
                <w:rFonts w:ascii="宋体" w:hAnsi="宋体" w:cs="宋体" w:eastAsia="宋体" w:hint="default"/>
                <w:sz w:val="18"/>
                <w:szCs w:val="18"/>
              </w:rPr>
            </w:pPr>
            <w:r>
              <w:rPr>
                <w:rFonts w:ascii="宋体" w:hAnsi="宋体" w:cs="宋体" w:eastAsia="宋体" w:hint="default"/>
                <w:spacing w:val="-2"/>
                <w:sz w:val="18"/>
                <w:szCs w:val="18"/>
              </w:rPr>
              <w:t>访客一体机管理系统是一个集智能卡、信息安全、软件、网络及</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机械为一体的智能化管理系统。</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已完成</w:t>
            </w:r>
          </w:p>
        </w:tc>
      </w:tr>
      <w:tr>
        <w:trPr>
          <w:trHeight w:val="713" w:hRule="exact"/>
        </w:trPr>
        <w:tc>
          <w:tcPr>
            <w:tcW w:w="2675"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147"/>
              <w:jc w:val="left"/>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Andriod </w:t>
            </w:r>
            <w:r>
              <w:rPr>
                <w:rFonts w:ascii="宋体" w:hAnsi="宋体" w:cs="宋体" w:eastAsia="宋体" w:hint="default"/>
                <w:sz w:val="18"/>
                <w:szCs w:val="18"/>
              </w:rPr>
              <w:t>平台人脸门禁控制 器</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740,046.23</w:t>
            </w:r>
          </w:p>
        </w:tc>
        <w:tc>
          <w:tcPr>
            <w:tcW w:w="5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适用于访客出入口、员工出入口、人脸消费等。</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开发中</w:t>
            </w:r>
          </w:p>
        </w:tc>
      </w:tr>
      <w:tr>
        <w:trPr>
          <w:trHeight w:val="1339" w:hRule="exact"/>
        </w:trPr>
        <w:tc>
          <w:tcPr>
            <w:tcW w:w="2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人脸识别管理系统</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pacing w:val="-1"/>
                <w:sz w:val="18"/>
              </w:rPr>
              <w:t>6,266,222.69</w:t>
            </w:r>
          </w:p>
        </w:tc>
        <w:tc>
          <w:tcPr>
            <w:tcW w:w="50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9"/>
              <w:jc w:val="left"/>
              <w:rPr>
                <w:rFonts w:ascii="宋体" w:hAnsi="宋体" w:cs="宋体" w:eastAsia="宋体" w:hint="default"/>
                <w:sz w:val="18"/>
                <w:szCs w:val="18"/>
              </w:rPr>
            </w:pPr>
            <w:r>
              <w:rPr>
                <w:rFonts w:ascii="宋体" w:hAnsi="宋体" w:cs="宋体" w:eastAsia="宋体" w:hint="default"/>
                <w:spacing w:val="-2"/>
                <w:sz w:val="18"/>
                <w:szCs w:val="18"/>
              </w:rPr>
              <w:t>系统采取全视频人脸识别的方式实现人员身份认证，进而判断人</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5"/>
                <w:sz w:val="18"/>
                <w:szCs w:val="18"/>
              </w:rPr>
              <w:t>员身份符合性，本系统能够与企业一卡通系统（包括门禁、访客</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2"/>
                <w:sz w:val="18"/>
                <w:szCs w:val="18"/>
              </w:rPr>
              <w:t>考勤、消费、签到等业务应用）联机工作，在一定程度上取代卡</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片，实现刷脸业务。</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196" w:lineRule="exact" w:before="154"/>
              <w:ind w:left="-122"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96" w:lineRule="exact"/>
              <w:ind w:left="23" w:right="0"/>
              <w:jc w:val="left"/>
              <w:rPr>
                <w:rFonts w:ascii="宋体" w:hAnsi="宋体" w:cs="宋体" w:eastAsia="宋体" w:hint="default"/>
                <w:sz w:val="18"/>
                <w:szCs w:val="18"/>
              </w:rPr>
            </w:pPr>
            <w:r>
              <w:rPr>
                <w:rFonts w:ascii="宋体" w:hAnsi="宋体" w:cs="宋体" w:eastAsia="宋体" w:hint="default"/>
                <w:sz w:val="18"/>
                <w:szCs w:val="18"/>
              </w:rPr>
              <w:t>开发中</w:t>
            </w:r>
          </w:p>
          <w:p>
            <w:pPr>
              <w:pStyle w:val="TableParagraph"/>
              <w:spacing w:line="872" w:lineRule="exact"/>
              <w:ind w:left="2" w:right="-39"/>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6"/>
                <w:sz w:val="20"/>
                <w:szCs w:val="20"/>
              </w:rPr>
              <w:pict>
                <v:group style="width:43.35pt;height:43.65pt;mso-position-horizontal-relative:char;mso-position-vertical-relative:line" coordorigin="0,0" coordsize="867,873">
                  <v:group style="position:absolute;left:0;top:0;width:867;height:468" coordorigin="0,0" coordsize="867,468">
                    <v:shape style="position:absolute;left:0;top:0;width:867;height:468" coordorigin="0,0" coordsize="867,468" path="m0,468l866,468,866,0,0,0,0,468xe" filled="true" fillcolor="#ffffff" stroked="false">
                      <v:path arrowok="t"/>
                      <v:fill type="solid"/>
                    </v:shape>
                  </v:group>
                  <v:group style="position:absolute;left:11;top:468;width:2;height:394" coordorigin="11,468" coordsize="2,394">
                    <v:shape style="position:absolute;left:11;top:468;width:2;height:394" coordorigin="11,468" coordsize="0,394" path="m11,468l11,862e" filled="false" stroked="true" strokeweight="1.08pt" strokecolor="#ffffff">
                      <v:path arrowok="t"/>
                    </v:shape>
                  </v:group>
                  <v:group style="position:absolute;left:22;top:468;width:821;height:394" coordorigin="22,468" coordsize="821,394">
                    <v:shape style="position:absolute;left:22;top:468;width:821;height:394" coordorigin="22,468" coordsize="821,394" path="m22,862l842,862,842,468,22,468,22,862xe" filled="true" fillcolor="#ffffff" stroked="false">
                      <v:path arrowok="t"/>
                      <v:fill type="solid"/>
                    </v:shape>
                  </v:group>
                </v:group>
              </w:pict>
            </w:r>
            <w:r>
              <w:rPr>
                <w:rFonts w:ascii="Times New Roman" w:hAnsi="Times New Roman" w:cs="Times New Roman" w:eastAsia="Times New Roman" w:hint="default"/>
                <w:position w:val="-16"/>
                <w:sz w:val="20"/>
                <w:szCs w:val="20"/>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9"/>
                <w:szCs w:val="19"/>
              </w:rPr>
            </w:pPr>
          </w:p>
        </w:tc>
      </w:tr>
      <w:tr>
        <w:trPr>
          <w:trHeight w:val="1961" w:hRule="exact"/>
        </w:trPr>
        <w:tc>
          <w:tcPr>
            <w:tcW w:w="2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物联网边缘计算机系统</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2,427.18</w:t>
            </w:r>
          </w:p>
        </w:tc>
        <w:tc>
          <w:tcPr>
            <w:tcW w:w="50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
              <w:jc w:val="both"/>
              <w:rPr>
                <w:rFonts w:ascii="宋体" w:hAnsi="宋体" w:cs="宋体" w:eastAsia="宋体" w:hint="default"/>
                <w:sz w:val="18"/>
                <w:szCs w:val="18"/>
              </w:rPr>
            </w:pPr>
            <w:r>
              <w:rPr>
                <w:rFonts w:ascii="宋体" w:hAnsi="宋体" w:cs="宋体" w:eastAsia="宋体" w:hint="default"/>
                <w:spacing w:val="-2"/>
                <w:sz w:val="18"/>
                <w:szCs w:val="18"/>
              </w:rPr>
              <w:t>利用边缘网关快速集成本地设备，利用边缘网关作为本地节点快</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速响应本地事件。实现本地物端的智能联动，实现室内室外一体</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化的智能控制，使云中心的业务能力下放到网络边缘，离用户更</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近，满足不同阶段的数据承载需求，极大程度的缩短网络时延， </w:t>
            </w:r>
            <w:r>
              <w:rPr>
                <w:rFonts w:ascii="宋体" w:hAnsi="宋体" w:cs="宋体" w:eastAsia="宋体" w:hint="default"/>
                <w:spacing w:val="-2"/>
                <w:sz w:val="18"/>
                <w:szCs w:val="18"/>
              </w:rPr>
              <w:t>提高数据处理效率，从而解决云中心难以满足的物联网、人工智</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能等重度应用爆发的关键需求</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已完成</w:t>
            </w:r>
          </w:p>
        </w:tc>
      </w:tr>
      <w:tr>
        <w:trPr>
          <w:trHeight w:val="1963" w:hRule="exact"/>
        </w:trPr>
        <w:tc>
          <w:tcPr>
            <w:tcW w:w="2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316" w:lineRule="auto"/>
              <w:ind w:left="24" w:right="120"/>
              <w:jc w:val="left"/>
              <w:rPr>
                <w:rFonts w:ascii="宋体" w:hAnsi="宋体" w:cs="宋体" w:eastAsia="宋体" w:hint="default"/>
                <w:sz w:val="18"/>
                <w:szCs w:val="18"/>
              </w:rPr>
            </w:pPr>
            <w:r>
              <w:rPr>
                <w:rFonts w:ascii="宋体" w:hAnsi="宋体" w:cs="宋体" w:eastAsia="宋体" w:hint="default"/>
                <w:sz w:val="18"/>
                <w:szCs w:val="18"/>
              </w:rPr>
              <w:t>基于人工智能的建筑机电设备故 障诊断系统</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w w:val="95"/>
                <w:sz w:val="18"/>
              </w:rPr>
              <w:t>43,911.69</w:t>
            </w:r>
          </w:p>
        </w:tc>
        <w:tc>
          <w:tcPr>
            <w:tcW w:w="5067"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49"/>
              <w:ind w:left="23" w:right="-7"/>
              <w:jc w:val="left"/>
              <w:rPr>
                <w:rFonts w:ascii="宋体" w:hAnsi="宋体" w:cs="宋体" w:eastAsia="宋体" w:hint="default"/>
                <w:sz w:val="18"/>
                <w:szCs w:val="18"/>
              </w:rPr>
            </w:pPr>
            <w:r>
              <w:rPr>
                <w:rFonts w:ascii="宋体" w:hAnsi="宋体" w:cs="宋体" w:eastAsia="宋体" w:hint="default"/>
                <w:sz w:val="18"/>
                <w:szCs w:val="18"/>
              </w:rPr>
              <w:t>该系统将主要由状态监测模块、故障诊断模块、信息管理模块、 </w:t>
            </w:r>
            <w:r>
              <w:rPr>
                <w:rFonts w:ascii="宋体" w:hAnsi="宋体" w:cs="宋体" w:eastAsia="宋体" w:hint="default"/>
                <w:spacing w:val="-2"/>
                <w:sz w:val="18"/>
                <w:szCs w:val="18"/>
              </w:rPr>
              <w:t>辅助决策模块、输入输出模块和网络通讯模块组成。状态监测和</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故障诊断模块是整个智能保障系统的核心</w:t>
            </w:r>
            <w:r>
              <w:rPr>
                <w:rFonts w:ascii="Times New Roman" w:hAnsi="Times New Roman" w:cs="Times New Roman" w:eastAsia="Times New Roman" w:hint="default"/>
                <w:sz w:val="18"/>
                <w:szCs w:val="18"/>
              </w:rPr>
              <w:t>,</w:t>
            </w:r>
            <w:r>
              <w:rPr>
                <w:rFonts w:ascii="宋体" w:hAnsi="宋体" w:cs="宋体" w:eastAsia="宋体" w:hint="default"/>
                <w:sz w:val="18"/>
                <w:szCs w:val="18"/>
              </w:rPr>
              <w:t>主要完成对机电设备 各组成部分的运行状态的监测</w:t>
            </w:r>
            <w:r>
              <w:rPr>
                <w:rFonts w:ascii="Times New Roman" w:hAnsi="Times New Roman" w:cs="Times New Roman" w:eastAsia="Times New Roman" w:hint="default"/>
                <w:sz w:val="18"/>
                <w:szCs w:val="18"/>
              </w:rPr>
              <w:t>,</w:t>
            </w:r>
            <w:r>
              <w:rPr>
                <w:rFonts w:ascii="宋体" w:hAnsi="宋体" w:cs="宋体" w:eastAsia="宋体" w:hint="default"/>
                <w:sz w:val="18"/>
                <w:szCs w:val="18"/>
              </w:rPr>
              <w:t>完成由故障现象寻找故障原因的 过程</w:t>
            </w:r>
            <w:r>
              <w:rPr>
                <w:rFonts w:ascii="Times New Roman" w:hAnsi="Times New Roman" w:cs="Times New Roman" w:eastAsia="Times New Roman" w:hint="default"/>
                <w:sz w:val="18"/>
                <w:szCs w:val="18"/>
              </w:rPr>
              <w:t>,</w:t>
            </w:r>
            <w:r>
              <w:rPr>
                <w:rFonts w:ascii="宋体" w:hAnsi="宋体" w:cs="宋体" w:eastAsia="宋体" w:hint="default"/>
                <w:sz w:val="18"/>
                <w:szCs w:val="18"/>
              </w:rPr>
              <w:t>我们计划采用神经网络快速推理实现多种有效的推理</w:t>
            </w:r>
            <w:r>
              <w:rPr>
                <w:rFonts w:ascii="Times New Roman" w:hAnsi="Times New Roman" w:cs="Times New Roman" w:eastAsia="Times New Roman" w:hint="default"/>
                <w:sz w:val="18"/>
                <w:szCs w:val="18"/>
              </w:rPr>
              <w:t>,</w:t>
            </w:r>
            <w:r>
              <w:rPr>
                <w:rFonts w:ascii="宋体" w:hAnsi="宋体" w:cs="宋体" w:eastAsia="宋体" w:hint="default"/>
                <w:sz w:val="18"/>
                <w:szCs w:val="18"/>
              </w:rPr>
              <w:t>大大 提高了诊断推理的效率。</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已完成</w:t>
            </w:r>
          </w:p>
        </w:tc>
      </w:tr>
      <w:tr>
        <w:trPr>
          <w:trHeight w:val="2273" w:hRule="exact"/>
        </w:trPr>
        <w:tc>
          <w:tcPr>
            <w:tcW w:w="2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300" w:lineRule="auto"/>
              <w:ind w:left="24" w:right="128"/>
              <w:jc w:val="left"/>
              <w:rPr>
                <w:rFonts w:ascii="宋体" w:hAnsi="宋体" w:cs="宋体" w:eastAsia="宋体" w:hint="default"/>
                <w:sz w:val="18"/>
                <w:szCs w:val="18"/>
              </w:rPr>
            </w:pPr>
            <w:r>
              <w:rPr>
                <w:rFonts w:ascii="宋体" w:hAnsi="宋体" w:cs="宋体" w:eastAsia="宋体" w:hint="default"/>
                <w:sz w:val="18"/>
                <w:szCs w:val="18"/>
              </w:rPr>
              <w:t>基于</w:t>
            </w:r>
            <w:r>
              <w:rPr>
                <w:rFonts w:ascii="Times New Roman" w:hAnsi="Times New Roman" w:cs="Times New Roman" w:eastAsia="Times New Roman" w:hint="default"/>
                <w:sz w:val="18"/>
                <w:szCs w:val="18"/>
              </w:rPr>
              <w:t>"</w:t>
            </w:r>
            <w:r>
              <w:rPr>
                <w:rFonts w:ascii="宋体" w:hAnsi="宋体" w:cs="宋体" w:eastAsia="宋体" w:hint="default"/>
                <w:sz w:val="18"/>
                <w:szCs w:val="18"/>
              </w:rPr>
              <w:t>云</w:t>
            </w:r>
            <w:r>
              <w:rPr>
                <w:rFonts w:ascii="Times New Roman" w:hAnsi="Times New Roman" w:cs="Times New Roman" w:eastAsia="Times New Roman" w:hint="default"/>
                <w:sz w:val="18"/>
                <w:szCs w:val="18"/>
              </w:rPr>
              <w:t>+</w:t>
            </w:r>
            <w:r>
              <w:rPr>
                <w:rFonts w:ascii="宋体" w:hAnsi="宋体" w:cs="宋体" w:eastAsia="宋体" w:hint="default"/>
                <w:sz w:val="18"/>
                <w:szCs w:val="18"/>
              </w:rPr>
              <w:t>边缘</w:t>
            </w:r>
            <w:r>
              <w:rPr>
                <w:rFonts w:ascii="Times New Roman" w:hAnsi="Times New Roman" w:cs="Times New Roman" w:eastAsia="Times New Roman" w:hint="default"/>
                <w:sz w:val="18"/>
                <w:szCs w:val="18"/>
              </w:rPr>
              <w:t>+</w:t>
            </w:r>
            <w:r>
              <w:rPr>
                <w:rFonts w:ascii="宋体" w:hAnsi="宋体" w:cs="宋体" w:eastAsia="宋体" w:hint="default"/>
                <w:sz w:val="18"/>
                <w:szCs w:val="18"/>
              </w:rPr>
              <w:t>端</w:t>
            </w:r>
            <w:r>
              <w:rPr>
                <w:rFonts w:ascii="Times New Roman" w:hAnsi="Times New Roman" w:cs="Times New Roman" w:eastAsia="Times New Roman" w:hint="default"/>
                <w:sz w:val="18"/>
                <w:szCs w:val="18"/>
              </w:rPr>
              <w:t>"</w:t>
            </w:r>
            <w:r>
              <w:rPr>
                <w:rFonts w:ascii="宋体" w:hAnsi="宋体" w:cs="宋体" w:eastAsia="宋体" w:hint="default"/>
                <w:sz w:val="18"/>
                <w:szCs w:val="18"/>
              </w:rPr>
              <w:t>的智慧建筑综 合管理平台</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641,918.33</w:t>
            </w:r>
          </w:p>
        </w:tc>
        <w:tc>
          <w:tcPr>
            <w:tcW w:w="506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3" w:right="-34"/>
              <w:jc w:val="left"/>
              <w:rPr>
                <w:rFonts w:ascii="宋体" w:hAnsi="宋体" w:cs="宋体" w:eastAsia="宋体" w:hint="default"/>
                <w:sz w:val="18"/>
                <w:szCs w:val="18"/>
              </w:rPr>
            </w:pPr>
            <w:r>
              <w:rPr>
                <w:rFonts w:ascii="宋体" w:hAnsi="宋体" w:cs="宋体" w:eastAsia="宋体" w:hint="default"/>
                <w:sz w:val="18"/>
                <w:szCs w:val="18"/>
              </w:rPr>
              <w:t>针对各类建筑的综合管控系统，开展系统的云端开发（如建筑运 </w:t>
            </w:r>
            <w:r>
              <w:rPr>
                <w:rFonts w:ascii="宋体" w:hAnsi="宋体" w:cs="宋体" w:eastAsia="宋体" w:hint="default"/>
                <w:spacing w:val="-4"/>
                <w:sz w:val="18"/>
                <w:szCs w:val="18"/>
              </w:rPr>
              <w:t>维信息的能耗数据挖掘）、边缘开发（包括硬、软件开发，协议</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统一，计算算法，数据安全，数据卸载，消防安防等事件应急处</w:t>
            </w:r>
            <w:r>
              <w:rPr>
                <w:rFonts w:ascii="宋体" w:hAnsi="宋体" w:cs="宋体" w:eastAsia="宋体" w:hint="default"/>
                <w:sz w:val="18"/>
                <w:szCs w:val="18"/>
              </w:rPr>
              <w:t> </w:t>
            </w:r>
            <w:r>
              <w:rPr>
                <w:rFonts w:ascii="宋体" w:hAnsi="宋体" w:cs="宋体" w:eastAsia="宋体" w:hint="default"/>
                <w:spacing w:val="-6"/>
                <w:sz w:val="18"/>
                <w:szCs w:val="18"/>
              </w:rPr>
              <w:t>理等）、端开发（如达实信息人脸识别、停车场设备等）以及云、</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4"/>
                <w:sz w:val="18"/>
                <w:szCs w:val="18"/>
              </w:rPr>
              <w:t>边、端的协同（如南向、北向数据接入，大数据并发处理等）。</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通过开展</w:t>
            </w:r>
            <w:r>
              <w:rPr>
                <w:rFonts w:ascii="Times New Roman" w:hAnsi="Times New Roman" w:cs="Times New Roman" w:eastAsia="Times New Roman" w:hint="default"/>
                <w:sz w:val="18"/>
                <w:szCs w:val="18"/>
              </w:rPr>
              <w:t>"</w:t>
            </w:r>
            <w:r>
              <w:rPr>
                <w:rFonts w:ascii="宋体" w:hAnsi="宋体" w:cs="宋体" w:eastAsia="宋体" w:hint="default"/>
                <w:sz w:val="18"/>
                <w:szCs w:val="18"/>
              </w:rPr>
              <w:t>云</w:t>
            </w:r>
            <w:r>
              <w:rPr>
                <w:rFonts w:ascii="Times New Roman" w:hAnsi="Times New Roman" w:cs="Times New Roman" w:eastAsia="Times New Roman" w:hint="default"/>
                <w:sz w:val="18"/>
                <w:szCs w:val="18"/>
              </w:rPr>
              <w:t>+</w:t>
            </w:r>
            <w:r>
              <w:rPr>
                <w:rFonts w:ascii="宋体" w:hAnsi="宋体" w:cs="宋体" w:eastAsia="宋体" w:hint="default"/>
                <w:sz w:val="18"/>
                <w:szCs w:val="18"/>
              </w:rPr>
              <w:t>边</w:t>
            </w:r>
            <w:r>
              <w:rPr>
                <w:rFonts w:ascii="Times New Roman" w:hAnsi="Times New Roman" w:cs="Times New Roman" w:eastAsia="Times New Roman" w:hint="default"/>
                <w:sz w:val="18"/>
                <w:szCs w:val="18"/>
              </w:rPr>
              <w:t>+</w:t>
            </w:r>
            <w:r>
              <w:rPr>
                <w:rFonts w:ascii="宋体" w:hAnsi="宋体" w:cs="宋体" w:eastAsia="宋体" w:hint="default"/>
                <w:sz w:val="18"/>
                <w:szCs w:val="18"/>
              </w:rPr>
              <w:t>端</w:t>
            </w:r>
            <w:r>
              <w:rPr>
                <w:rFonts w:ascii="Times New Roman" w:hAnsi="Times New Roman" w:cs="Times New Roman" w:eastAsia="Times New Roman" w:hint="default"/>
                <w:sz w:val="18"/>
                <w:szCs w:val="18"/>
              </w:rPr>
              <w:t>"</w:t>
            </w:r>
            <w:r>
              <w:rPr>
                <w:rFonts w:ascii="宋体" w:hAnsi="宋体" w:cs="宋体" w:eastAsia="宋体" w:hint="default"/>
                <w:sz w:val="18"/>
                <w:szCs w:val="18"/>
              </w:rPr>
              <w:t>协同计算技术在建筑综合管控协同的开发， 推动</w:t>
            </w:r>
            <w:r>
              <w:rPr>
                <w:rFonts w:ascii="Times New Roman" w:hAnsi="Times New Roman" w:cs="Times New Roman" w:eastAsia="Times New Roman" w:hint="default"/>
                <w:sz w:val="18"/>
                <w:szCs w:val="18"/>
              </w:rPr>
              <w:t>"</w:t>
            </w:r>
            <w:r>
              <w:rPr>
                <w:rFonts w:ascii="宋体" w:hAnsi="宋体" w:cs="宋体" w:eastAsia="宋体" w:hint="default"/>
                <w:sz w:val="18"/>
                <w:szCs w:val="18"/>
              </w:rPr>
              <w:t>云</w:t>
            </w:r>
            <w:r>
              <w:rPr>
                <w:rFonts w:ascii="Times New Roman" w:hAnsi="Times New Roman" w:cs="Times New Roman" w:eastAsia="Times New Roman" w:hint="default"/>
                <w:sz w:val="18"/>
                <w:szCs w:val="18"/>
              </w:rPr>
              <w:t>+</w:t>
            </w:r>
            <w:r>
              <w:rPr>
                <w:rFonts w:ascii="宋体" w:hAnsi="宋体" w:cs="宋体" w:eastAsia="宋体" w:hint="default"/>
                <w:sz w:val="18"/>
                <w:szCs w:val="18"/>
              </w:rPr>
              <w:t>边</w:t>
            </w:r>
            <w:r>
              <w:rPr>
                <w:rFonts w:ascii="Times New Roman" w:hAnsi="Times New Roman" w:cs="Times New Roman" w:eastAsia="Times New Roman" w:hint="default"/>
                <w:sz w:val="18"/>
                <w:szCs w:val="18"/>
              </w:rPr>
              <w:t>+</w:t>
            </w:r>
            <w:r>
              <w:rPr>
                <w:rFonts w:ascii="宋体" w:hAnsi="宋体" w:cs="宋体" w:eastAsia="宋体" w:hint="default"/>
                <w:sz w:val="18"/>
                <w:szCs w:val="18"/>
              </w:rPr>
              <w:t>端</w:t>
            </w:r>
            <w:r>
              <w:rPr>
                <w:rFonts w:ascii="Times New Roman" w:hAnsi="Times New Roman" w:cs="Times New Roman" w:eastAsia="Times New Roman" w:hint="default"/>
                <w:sz w:val="18"/>
                <w:szCs w:val="18"/>
              </w:rPr>
              <w:t>"</w:t>
            </w:r>
            <w:r>
              <w:rPr>
                <w:rFonts w:ascii="宋体" w:hAnsi="宋体" w:cs="宋体" w:eastAsia="宋体" w:hint="default"/>
                <w:sz w:val="18"/>
                <w:szCs w:val="18"/>
              </w:rPr>
              <w:t>协同计算技术在城市物联网中的产业化应用。</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23" w:right="0"/>
              <w:jc w:val="left"/>
              <w:rPr>
                <w:rFonts w:ascii="宋体" w:hAnsi="宋体" w:cs="宋体" w:eastAsia="宋体" w:hint="default"/>
                <w:sz w:val="18"/>
                <w:szCs w:val="18"/>
              </w:rPr>
            </w:pPr>
            <w:r>
              <w:rPr>
                <w:rFonts w:ascii="宋体" w:hAnsi="宋体" w:cs="宋体" w:eastAsia="宋体" w:hint="default"/>
                <w:sz w:val="18"/>
                <w:szCs w:val="18"/>
              </w:rPr>
              <w:t>开发中</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412" w:lineRule="exact"/>
              <w:ind w:left="2" w:right="-15"/>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7"/>
                <w:sz w:val="20"/>
                <w:szCs w:val="20"/>
              </w:rPr>
              <w:pict>
                <v:group style="width:42.15pt;height:20.65pt;mso-position-horizontal-relative:char;mso-position-vertical-relative:line" coordorigin="0,0" coordsize="843,413">
                  <v:group style="position:absolute;left:11;top:11;width:2;height:392" coordorigin="11,11" coordsize="2,392">
                    <v:shape style="position:absolute;left:11;top:11;width:2;height:392" coordorigin="11,11" coordsize="0,392" path="m11,11l11,402e" filled="false" stroked="true" strokeweight="1.08pt" strokecolor="#ffffff">
                      <v:path arrowok="t"/>
                    </v:shape>
                  </v:group>
                  <v:group style="position:absolute;left:22;top:11;width:821;height:392" coordorigin="22,11" coordsize="821,392">
                    <v:shape style="position:absolute;left:22;top:11;width:821;height:392" coordorigin="22,11" coordsize="821,392" path="m22,402l842,402,842,11,22,11,22,402xe" filled="true" fillcolor="#ffffff" stroked="false">
                      <v:path arrowok="t"/>
                      <v:fill type="solid"/>
                    </v:shape>
                  </v:group>
                </v:group>
              </w:pict>
            </w:r>
            <w:r>
              <w:rPr>
                <w:rFonts w:ascii="Times New Roman" w:hAnsi="Times New Roman" w:cs="Times New Roman" w:eastAsia="Times New Roman" w:hint="default"/>
                <w:position w:val="-7"/>
                <w:sz w:val="20"/>
                <w:szCs w:val="20"/>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0"/>
                <w:szCs w:val="20"/>
              </w:rPr>
            </w:pPr>
          </w:p>
        </w:tc>
      </w:tr>
      <w:tr>
        <w:trPr>
          <w:trHeight w:val="986" w:hRule="exact"/>
        </w:trPr>
        <w:tc>
          <w:tcPr>
            <w:tcW w:w="2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340" w:lineRule="auto"/>
              <w:ind w:left="24" w:right="371"/>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项目现场智慧管理系统</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SCSS</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V1.0</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916,979.25</w:t>
            </w:r>
          </w:p>
        </w:tc>
        <w:tc>
          <w:tcPr>
            <w:tcW w:w="50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
              <w:jc w:val="left"/>
              <w:rPr>
                <w:rFonts w:ascii="宋体" w:hAnsi="宋体" w:cs="宋体" w:eastAsia="宋体" w:hint="default"/>
                <w:sz w:val="18"/>
                <w:szCs w:val="18"/>
              </w:rPr>
            </w:pPr>
            <w:r>
              <w:rPr>
                <w:rFonts w:ascii="宋体" w:hAnsi="宋体" w:cs="宋体" w:eastAsia="宋体" w:hint="default"/>
                <w:sz w:val="18"/>
                <w:szCs w:val="18"/>
              </w:rPr>
              <w:t>智慧工地是建立在高度信息化基础上的一种支持对人和物全面 </w:t>
            </w:r>
            <w:r>
              <w:rPr>
                <w:rFonts w:ascii="宋体" w:hAnsi="宋体" w:cs="宋体" w:eastAsia="宋体" w:hint="default"/>
                <w:spacing w:val="-2"/>
                <w:sz w:val="18"/>
                <w:szCs w:val="18"/>
              </w:rPr>
              <w:t>感知、施工技术全面智能、工作互通互联、信息协同共享、决策</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科学分析、风险智慧预控的新型信息化手段，围绕人、机、料、</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4"/>
              <w:ind w:left="23" w:right="0"/>
              <w:jc w:val="left"/>
              <w:rPr>
                <w:rFonts w:ascii="宋体" w:hAnsi="宋体" w:cs="宋体" w:eastAsia="宋体" w:hint="default"/>
                <w:sz w:val="18"/>
                <w:szCs w:val="18"/>
              </w:rPr>
            </w:pPr>
            <w:r>
              <w:rPr>
                <w:rFonts w:ascii="宋体" w:hAnsi="宋体" w:cs="宋体" w:eastAsia="宋体" w:hint="default"/>
                <w:sz w:val="18"/>
                <w:szCs w:val="18"/>
              </w:rPr>
              <w:t>已完成</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463.256012pt;margin-top:72.475983pt;width:76.650pt;height:48.9pt;mso-position-horizontal-relative:page;mso-position-vertical-relative:page;z-index:-1094992" type="#_x0000_t202" filled="false" stroked="false">
            <v:textbox inset="0,0,0,0">
              <w:txbxContent>
                <w:p>
                  <w:pPr>
                    <w:pStyle w:val="BodyText"/>
                    <w:spacing w:line="319" w:lineRule="auto" w:before="8"/>
                    <w:ind w:left="0" w:right="810" w:firstLine="180"/>
                    <w:jc w:val="left"/>
                  </w:pPr>
                  <w:r>
                    <w:rPr/>
                    <w:t>成本， 精细化、</w:t>
                  </w:r>
                </w:p>
              </w:txbxContent>
            </v:textbox>
            <w10:wrap type="none"/>
          </v:shape>
        </w:pict>
      </w:r>
      <w:r>
        <w:rPr/>
        <w:pict>
          <v:group style="position:absolute;margin-left:496.540009pt;margin-top:438.945984pt;width:43.35pt;height:74.850pt;mso-position-horizontal-relative:page;mso-position-vertical-relative:page;z-index:-1094968" coordorigin="9931,8779" coordsize="867,1497">
            <v:group style="position:absolute;left:9942;top:8790;width:2;height:395" coordorigin="9942,8790" coordsize="2,395">
              <v:shape style="position:absolute;left:9942;top:8790;width:2;height:395" coordorigin="9942,8790" coordsize="0,395" path="m9942,8790l9942,9184e" filled="false" stroked="true" strokeweight="1.08pt" strokecolor="#ffffff">
                <v:path arrowok="t"/>
              </v:shape>
            </v:group>
            <v:group style="position:absolute;left:9931;top:9184;width:867;height:1092" coordorigin="9931,9184" coordsize="867,1092">
              <v:shape style="position:absolute;left:9931;top:9184;width:867;height:1092" coordorigin="9931,9184" coordsize="867,1092" path="m9931,10276l10797,10276,10797,9184,9931,9184,9931,10276xe" filled="true" fillcolor="#ffffff" stroked="false">
                <v:path arrowok="t"/>
                <v:fill type="solid"/>
              </v:shape>
            </v:group>
            <v:group style="position:absolute;left:9952;top:8790;width:821;height:395" coordorigin="9952,8790" coordsize="821,395">
              <v:shape style="position:absolute;left:9952;top:8790;width:821;height:395" coordorigin="9952,8790" coordsize="821,395" path="m9952,9184l10773,9184,10773,8790,9952,8790,9952,9184xe" filled="true" fillcolor="#ffffff" stroked="false">
                <v:path arrowok="t"/>
                <v:fill type="solid"/>
              </v:shape>
            </v:group>
            <w10:wrap type="none"/>
          </v:group>
        </w:pict>
      </w:r>
      <w:r>
        <w:rPr/>
        <w:pict>
          <v:group style="position:absolute;margin-left:496.540009pt;margin-top:709.959961pt;width:42.15pt;height:20.65pt;mso-position-horizontal-relative:page;mso-position-vertical-relative:page;z-index:-1094944" coordorigin="9931,14199" coordsize="843,413">
            <v:group style="position:absolute;left:9942;top:14210;width:2;height:392" coordorigin="9942,14210" coordsize="2,392">
              <v:shape style="position:absolute;left:9942;top:14210;width:2;height:392" coordorigin="9942,14210" coordsize="0,392" path="m9942,14210l9942,14601e" filled="false" stroked="true" strokeweight="1.08pt" strokecolor="#ffffff">
                <v:path arrowok="t"/>
              </v:shape>
            </v:group>
            <v:group style="position:absolute;left:9952;top:14210;width:821;height:392" coordorigin="9952,14210" coordsize="821,392">
              <v:shape style="position:absolute;left:9952;top:14210;width:821;height:392" coordorigin="9952,14210" coordsize="821,392" path="m9952,14601l10773,14601,10773,14210,9952,14210,9952,14601xe" filled="true" fillcolor="#ffffff" stroked="false">
                <v:path arrowok="t"/>
                <v:fill type="solid"/>
              </v:shape>
            </v:group>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675"/>
        <w:gridCol w:w="1049"/>
        <w:gridCol w:w="5067"/>
        <w:gridCol w:w="878"/>
      </w:tblGrid>
      <w:tr>
        <w:trPr>
          <w:trHeight w:val="987" w:hRule="exact"/>
        </w:trPr>
        <w:tc>
          <w:tcPr>
            <w:tcW w:w="2675" w:type="dxa"/>
            <w:tcBorders>
              <w:top w:val="single" w:sz="4" w:space="0" w:color="000000"/>
              <w:left w:val="single" w:sz="4" w:space="0" w:color="000000"/>
              <w:bottom w:val="single" w:sz="4" w:space="0" w:color="000000"/>
              <w:right w:val="single" w:sz="4" w:space="0" w:color="000000"/>
            </w:tcBorders>
          </w:tcPr>
          <w:p>
            <w:pPr/>
          </w:p>
        </w:tc>
        <w:tc>
          <w:tcPr>
            <w:tcW w:w="1049" w:type="dxa"/>
            <w:tcBorders>
              <w:top w:val="single" w:sz="4" w:space="0" w:color="000000"/>
              <w:left w:val="single" w:sz="4" w:space="0" w:color="000000"/>
              <w:bottom w:val="single" w:sz="4" w:space="0" w:color="000000"/>
              <w:right w:val="single" w:sz="4" w:space="0" w:color="000000"/>
            </w:tcBorders>
          </w:tcPr>
          <w:p>
            <w:pPr/>
          </w:p>
        </w:tc>
        <w:tc>
          <w:tcPr>
            <w:tcW w:w="50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23" w:right="469"/>
              <w:jc w:val="left"/>
              <w:rPr>
                <w:rFonts w:ascii="宋体" w:hAnsi="宋体" w:cs="宋体" w:eastAsia="宋体" w:hint="default"/>
                <w:sz w:val="18"/>
                <w:szCs w:val="18"/>
              </w:rPr>
            </w:pPr>
            <w:r>
              <w:rPr>
                <w:rFonts w:ascii="宋体" w:hAnsi="宋体" w:cs="宋体" w:eastAsia="宋体" w:hint="default"/>
                <w:spacing w:val="-5"/>
                <w:sz w:val="18"/>
                <w:szCs w:val="18"/>
              </w:rPr>
              <w:t>法、环等关键要素，可大大提升工程质量、施工安全，节约</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3"/>
                <w:sz w:val="18"/>
                <w:szCs w:val="18"/>
              </w:rPr>
              <w:t>提高施工现场决策能力和管理效率，实现工地的数字化、</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智慧化。</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977" w:lineRule="exact"/>
              <w:ind w:left="2"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9"/>
                <w:sz w:val="20"/>
                <w:szCs w:val="20"/>
              </w:rPr>
              <w:pict>
                <v:group style="width:43.35pt;height:48.9pt;mso-position-horizontal-relative:char;mso-position-vertical-relative:line" coordorigin="0,0" coordsize="867,978">
                  <v:group style="position:absolute;left:0;top:0;width:867;height:978" coordorigin="0,0" coordsize="867,978">
                    <v:shape style="position:absolute;left:0;top:0;width:867;height:978" coordorigin="0,0" coordsize="867,978" path="m0,977l866,977,866,0,0,0,0,977xe" filled="true" fillcolor="#ffffff" stroked="false">
                      <v:path arrowok="t"/>
                      <v:fill type="solid"/>
                    </v:shape>
                  </v:group>
                </v:group>
              </w:pict>
            </w:r>
            <w:r>
              <w:rPr>
                <w:rFonts w:ascii="Times New Roman" w:hAnsi="Times New Roman" w:cs="Times New Roman" w:eastAsia="Times New Roman" w:hint="default"/>
                <w:position w:val="-19"/>
                <w:sz w:val="20"/>
                <w:szCs w:val="20"/>
              </w:rPr>
            </w:r>
          </w:p>
        </w:tc>
      </w:tr>
      <w:tr>
        <w:trPr>
          <w:trHeight w:val="355" w:hRule="exact"/>
        </w:trPr>
        <w:tc>
          <w:tcPr>
            <w:tcW w:w="2675" w:type="dxa"/>
            <w:tcBorders>
              <w:top w:val="single" w:sz="4" w:space="0" w:color="000000"/>
              <w:left w:val="single" w:sz="4" w:space="0" w:color="000000"/>
              <w:bottom w:val="nil" w:sz="6" w:space="0" w:color="auto"/>
              <w:right w:val="single" w:sz="4" w:space="0" w:color="000000"/>
            </w:tcBorders>
          </w:tcPr>
          <w:p>
            <w:pPr/>
          </w:p>
        </w:tc>
        <w:tc>
          <w:tcPr>
            <w:tcW w:w="1049" w:type="dxa"/>
            <w:tcBorders>
              <w:top w:val="single" w:sz="4" w:space="0" w:color="000000"/>
              <w:left w:val="single" w:sz="4" w:space="0" w:color="000000"/>
              <w:bottom w:val="nil" w:sz="6" w:space="0" w:color="auto"/>
              <w:right w:val="single" w:sz="4" w:space="0" w:color="000000"/>
            </w:tcBorders>
          </w:tcPr>
          <w:p>
            <w:pPr/>
          </w:p>
        </w:tc>
        <w:tc>
          <w:tcPr>
            <w:tcW w:w="50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pacing w:val="-2"/>
                <w:sz w:val="18"/>
                <w:szCs w:val="18"/>
              </w:rPr>
              <w:t>微信企业号是微信为企业客户提供的移动服务，旨在提供企业移</w:t>
            </w:r>
          </w:p>
        </w:tc>
        <w:tc>
          <w:tcPr>
            <w:tcW w:w="878"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2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16" w:lineRule="auto"/>
              <w:ind w:left="24" w:right="120"/>
              <w:jc w:val="left"/>
              <w:rPr>
                <w:rFonts w:ascii="Times New Roman" w:hAnsi="Times New Roman" w:cs="Times New Roman" w:eastAsia="Times New Roman" w:hint="default"/>
                <w:sz w:val="18"/>
                <w:szCs w:val="18"/>
              </w:rPr>
            </w:pPr>
            <w:r>
              <w:rPr>
                <w:rFonts w:ascii="宋体" w:hAnsi="宋体" w:cs="宋体" w:eastAsia="宋体" w:hint="default"/>
                <w:sz w:val="18"/>
                <w:szCs w:val="18"/>
              </w:rPr>
              <w:t>基于企业微信的运维管控系统研 发</w:t>
            </w:r>
            <w:r>
              <w:rPr>
                <w:rFonts w:ascii="宋体" w:hAnsi="宋体" w:cs="宋体" w:eastAsia="宋体" w:hint="default"/>
                <w:spacing w:val="-42"/>
                <w:sz w:val="18"/>
                <w:szCs w:val="18"/>
              </w:rPr>
              <w:t> </w:t>
            </w:r>
            <w:r>
              <w:rPr>
                <w:rFonts w:ascii="Times New Roman" w:hAnsi="Times New Roman" w:cs="Times New Roman" w:eastAsia="Times New Roman" w:hint="default"/>
                <w:spacing w:val="-5"/>
                <w:sz w:val="18"/>
                <w:szCs w:val="18"/>
              </w:rPr>
              <w:t>WECHAT-FM</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V1.0</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50" w:right="0"/>
              <w:jc w:val="center"/>
              <w:rPr>
                <w:rFonts w:ascii="Times New Roman" w:hAnsi="Times New Roman" w:cs="Times New Roman" w:eastAsia="Times New Roman" w:hint="default"/>
                <w:sz w:val="18"/>
                <w:szCs w:val="18"/>
              </w:rPr>
            </w:pPr>
            <w:r>
              <w:rPr>
                <w:rFonts w:ascii="Times New Roman"/>
                <w:sz w:val="18"/>
              </w:rPr>
              <w:t>2,504,159.03</w:t>
            </w: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309" w:lineRule="auto" w:before="10"/>
              <w:ind w:left="23" w:right="-7"/>
              <w:jc w:val="both"/>
              <w:rPr>
                <w:rFonts w:ascii="宋体" w:hAnsi="宋体" w:cs="宋体" w:eastAsia="宋体" w:hint="default"/>
                <w:sz w:val="18"/>
                <w:szCs w:val="18"/>
              </w:rPr>
            </w:pPr>
            <w:r>
              <w:rPr>
                <w:rFonts w:ascii="宋体" w:hAnsi="宋体" w:cs="宋体" w:eastAsia="宋体" w:hint="default"/>
                <w:spacing w:val="-3"/>
                <w:sz w:val="18"/>
                <w:szCs w:val="18"/>
              </w:rPr>
              <w:t>动应用入口。它可以帮助企业建立员工、上下游供应链与企业</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IT</w:t>
            </w:r>
            <w:r>
              <w:rPr>
                <w:rFonts w:ascii="Times New Roman" w:hAnsi="Times New Roman" w:cs="Times New Roman" w:eastAsia="Times New Roman" w:hint="default"/>
                <w:spacing w:val="-38"/>
                <w:sz w:val="18"/>
                <w:szCs w:val="18"/>
              </w:rPr>
              <w:t> </w:t>
            </w:r>
            <w:r>
              <w:rPr>
                <w:rFonts w:ascii="宋体" w:hAnsi="宋体" w:cs="宋体" w:eastAsia="宋体" w:hint="default"/>
                <w:spacing w:val="-2"/>
                <w:sz w:val="18"/>
                <w:szCs w:val="18"/>
              </w:rPr>
              <w:t>系统间的连接。利用企业号，企业或第三方服务商可以快速、低</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成本的实现高质量的企业移动轻应用，实现生产、管理、协作、</w:t>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3" w:right="0"/>
              <w:jc w:val="left"/>
              <w:rPr>
                <w:rFonts w:ascii="宋体" w:hAnsi="宋体" w:cs="宋体" w:eastAsia="宋体" w:hint="default"/>
                <w:sz w:val="18"/>
                <w:szCs w:val="18"/>
              </w:rPr>
            </w:pPr>
            <w:r>
              <w:rPr>
                <w:rFonts w:ascii="宋体" w:hAnsi="宋体" w:cs="宋体" w:eastAsia="宋体" w:hint="default"/>
                <w:sz w:val="18"/>
                <w:szCs w:val="18"/>
              </w:rPr>
              <w:t>已完成</w:t>
            </w:r>
          </w:p>
        </w:tc>
      </w:tr>
      <w:tr>
        <w:trPr>
          <w:trHeight w:val="357" w:hRule="exact"/>
        </w:trPr>
        <w:tc>
          <w:tcPr>
            <w:tcW w:w="2675" w:type="dxa"/>
            <w:tcBorders>
              <w:top w:val="nil" w:sz="6" w:space="0" w:color="auto"/>
              <w:left w:val="single" w:sz="4" w:space="0" w:color="000000"/>
              <w:bottom w:val="single" w:sz="4" w:space="0" w:color="000000"/>
              <w:right w:val="single" w:sz="4" w:space="0" w:color="000000"/>
            </w:tcBorders>
          </w:tcPr>
          <w:p>
            <w:pPr/>
          </w:p>
        </w:tc>
        <w:tc>
          <w:tcPr>
            <w:tcW w:w="1049" w:type="dxa"/>
            <w:tcBorders>
              <w:top w:val="nil" w:sz="6" w:space="0" w:color="auto"/>
              <w:left w:val="single" w:sz="4" w:space="0" w:color="000000"/>
              <w:bottom w:val="single" w:sz="4" w:space="0" w:color="000000"/>
              <w:right w:val="single" w:sz="4" w:space="0" w:color="000000"/>
            </w:tcBorders>
          </w:tcPr>
          <w:p>
            <w:pPr/>
          </w:p>
        </w:tc>
        <w:tc>
          <w:tcPr>
            <w:tcW w:w="50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运营的移动化。</w:t>
            </w:r>
          </w:p>
        </w:tc>
        <w:tc>
          <w:tcPr>
            <w:tcW w:w="878" w:type="dxa"/>
            <w:tcBorders>
              <w:top w:val="nil" w:sz="6" w:space="0" w:color="auto"/>
              <w:left w:val="single" w:sz="4" w:space="0" w:color="000000"/>
              <w:bottom w:val="single" w:sz="4" w:space="0" w:color="000000"/>
              <w:right w:val="single" w:sz="4" w:space="0" w:color="000000"/>
            </w:tcBorders>
          </w:tcPr>
          <w:p>
            <w:pPr/>
          </w:p>
        </w:tc>
      </w:tr>
      <w:tr>
        <w:trPr>
          <w:trHeight w:val="355" w:hRule="exact"/>
        </w:trPr>
        <w:tc>
          <w:tcPr>
            <w:tcW w:w="2675" w:type="dxa"/>
            <w:tcBorders>
              <w:top w:val="single" w:sz="4" w:space="0" w:color="000000"/>
              <w:left w:val="single" w:sz="4" w:space="0" w:color="000000"/>
              <w:bottom w:val="nil" w:sz="6" w:space="0" w:color="auto"/>
              <w:right w:val="single" w:sz="4" w:space="0" w:color="000000"/>
            </w:tcBorders>
          </w:tcPr>
          <w:p>
            <w:pPr/>
          </w:p>
        </w:tc>
        <w:tc>
          <w:tcPr>
            <w:tcW w:w="1049" w:type="dxa"/>
            <w:tcBorders>
              <w:top w:val="single" w:sz="4" w:space="0" w:color="000000"/>
              <w:left w:val="single" w:sz="4" w:space="0" w:color="000000"/>
              <w:bottom w:val="nil" w:sz="6" w:space="0" w:color="auto"/>
              <w:right w:val="single" w:sz="4" w:space="0" w:color="000000"/>
            </w:tcBorders>
          </w:tcPr>
          <w:p>
            <w:pPr/>
          </w:p>
        </w:tc>
        <w:tc>
          <w:tcPr>
            <w:tcW w:w="50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智慧园区的综合管控应用平台的开发目标是帮助设立园区级智</w:t>
            </w:r>
          </w:p>
        </w:tc>
        <w:tc>
          <w:tcPr>
            <w:tcW w:w="878" w:type="dxa"/>
            <w:tcBorders>
              <w:top w:val="single" w:sz="4" w:space="0" w:color="000000"/>
              <w:left w:val="single" w:sz="4" w:space="0" w:color="000000"/>
              <w:bottom w:val="nil" w:sz="6" w:space="0" w:color="auto"/>
              <w:right w:val="single" w:sz="4" w:space="0" w:color="000000"/>
            </w:tcBorders>
          </w:tcPr>
          <w:p>
            <w:pPr/>
          </w:p>
        </w:tc>
      </w:tr>
      <w:tr>
        <w:trPr>
          <w:trHeight w:val="629" w:hRule="exact"/>
        </w:trPr>
        <w:tc>
          <w:tcPr>
            <w:tcW w:w="2675"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4" w:right="120"/>
              <w:jc w:val="left"/>
              <w:rPr>
                <w:rFonts w:ascii="Times New Roman" w:hAnsi="Times New Roman" w:cs="Times New Roman" w:eastAsia="Times New Roman" w:hint="default"/>
                <w:sz w:val="18"/>
                <w:szCs w:val="18"/>
              </w:rPr>
            </w:pPr>
            <w:r>
              <w:rPr>
                <w:rFonts w:ascii="宋体" w:hAnsi="宋体" w:cs="宋体" w:eastAsia="宋体" w:hint="default"/>
                <w:sz w:val="18"/>
                <w:szCs w:val="18"/>
              </w:rPr>
              <w:t>智慧园区的综合管控应用平台研 发</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WITPARK </w:t>
            </w:r>
            <w:r>
              <w:rPr>
                <w:rFonts w:ascii="Times New Roman" w:hAnsi="Times New Roman" w:cs="Times New Roman" w:eastAsia="Times New Roman" w:hint="default"/>
                <w:sz w:val="18"/>
                <w:szCs w:val="18"/>
              </w:rPr>
              <w:t>V1.0</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50" w:right="0"/>
              <w:jc w:val="center"/>
              <w:rPr>
                <w:rFonts w:ascii="Times New Roman" w:hAnsi="Times New Roman" w:cs="Times New Roman" w:eastAsia="Times New Roman" w:hint="default"/>
                <w:sz w:val="18"/>
                <w:szCs w:val="18"/>
              </w:rPr>
            </w:pPr>
            <w:r>
              <w:rPr>
                <w:rFonts w:ascii="Times New Roman"/>
                <w:sz w:val="18"/>
              </w:rPr>
              <w:t>6,729,992.57</w:t>
            </w: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3" w:right="20"/>
              <w:jc w:val="left"/>
              <w:rPr>
                <w:rFonts w:ascii="宋体" w:hAnsi="宋体" w:cs="宋体" w:eastAsia="宋体" w:hint="default"/>
                <w:sz w:val="18"/>
                <w:szCs w:val="18"/>
              </w:rPr>
            </w:pPr>
            <w:r>
              <w:rPr>
                <w:rFonts w:ascii="宋体" w:hAnsi="宋体" w:cs="宋体" w:eastAsia="宋体" w:hint="default"/>
                <w:spacing w:val="-2"/>
                <w:sz w:val="18"/>
                <w:szCs w:val="18"/>
              </w:rPr>
              <w:t>能化集成系统总控平台，对园区内各信息通过物联网技术、云计</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算、云存储技术，为用户提供绿色、智慧、生态的园区环境。实</w:t>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已完成</w:t>
            </w:r>
          </w:p>
        </w:tc>
      </w:tr>
      <w:tr>
        <w:trPr>
          <w:trHeight w:val="356" w:hRule="exact"/>
        </w:trPr>
        <w:tc>
          <w:tcPr>
            <w:tcW w:w="2675" w:type="dxa"/>
            <w:tcBorders>
              <w:top w:val="nil" w:sz="6" w:space="0" w:color="auto"/>
              <w:left w:val="single" w:sz="4" w:space="0" w:color="000000"/>
              <w:bottom w:val="single" w:sz="4" w:space="0" w:color="000000"/>
              <w:right w:val="single" w:sz="4" w:space="0" w:color="000000"/>
            </w:tcBorders>
          </w:tcPr>
          <w:p>
            <w:pPr/>
          </w:p>
        </w:tc>
        <w:tc>
          <w:tcPr>
            <w:tcW w:w="1049" w:type="dxa"/>
            <w:tcBorders>
              <w:top w:val="nil" w:sz="6" w:space="0" w:color="auto"/>
              <w:left w:val="single" w:sz="4" w:space="0" w:color="000000"/>
              <w:bottom w:val="single" w:sz="4" w:space="0" w:color="000000"/>
              <w:right w:val="single" w:sz="4" w:space="0" w:color="000000"/>
            </w:tcBorders>
          </w:tcPr>
          <w:p>
            <w:pPr/>
          </w:p>
        </w:tc>
        <w:tc>
          <w:tcPr>
            <w:tcW w:w="50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现数据整合、运营管控、移动物联、增值服务等功能。</w:t>
            </w:r>
          </w:p>
        </w:tc>
        <w:tc>
          <w:tcPr>
            <w:tcW w:w="878" w:type="dxa"/>
            <w:tcBorders>
              <w:top w:val="nil" w:sz="6" w:space="0" w:color="auto"/>
              <w:left w:val="single" w:sz="4" w:space="0" w:color="000000"/>
              <w:bottom w:val="single" w:sz="4" w:space="0" w:color="000000"/>
              <w:right w:val="single" w:sz="4" w:space="0" w:color="000000"/>
            </w:tcBorders>
          </w:tcPr>
          <w:p>
            <w:pPr/>
          </w:p>
        </w:tc>
      </w:tr>
      <w:tr>
        <w:trPr>
          <w:trHeight w:val="360" w:hRule="exact"/>
        </w:trPr>
        <w:tc>
          <w:tcPr>
            <w:tcW w:w="2675" w:type="dxa"/>
            <w:tcBorders>
              <w:top w:val="single" w:sz="4" w:space="0" w:color="000000"/>
              <w:left w:val="single" w:sz="4" w:space="0" w:color="000000"/>
              <w:bottom w:val="nil" w:sz="6" w:space="0" w:color="auto"/>
              <w:right w:val="single" w:sz="4" w:space="0" w:color="000000"/>
            </w:tcBorders>
          </w:tcPr>
          <w:p>
            <w:pPr/>
          </w:p>
        </w:tc>
        <w:tc>
          <w:tcPr>
            <w:tcW w:w="1049" w:type="dxa"/>
            <w:tcBorders>
              <w:top w:val="single" w:sz="4" w:space="0" w:color="000000"/>
              <w:left w:val="single" w:sz="4" w:space="0" w:color="000000"/>
              <w:bottom w:val="nil" w:sz="6" w:space="0" w:color="auto"/>
              <w:right w:val="single" w:sz="4" w:space="0" w:color="000000"/>
            </w:tcBorders>
          </w:tcPr>
          <w:p>
            <w:pPr/>
          </w:p>
        </w:tc>
        <w:tc>
          <w:tcPr>
            <w:tcW w:w="50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pacing w:val="-1"/>
                <w:sz w:val="18"/>
                <w:szCs w:val="18"/>
              </w:rPr>
              <w:t>临床决策支持系统是透过规则引擎（</w:t>
            </w:r>
            <w:r>
              <w:rPr>
                <w:rFonts w:ascii="Times New Roman" w:hAnsi="Times New Roman" w:cs="Times New Roman" w:eastAsia="Times New Roman" w:hint="default"/>
                <w:spacing w:val="-1"/>
                <w:sz w:val="18"/>
                <w:szCs w:val="18"/>
              </w:rPr>
              <w:t>rule</w:t>
            </w:r>
            <w:r>
              <w:rPr>
                <w:rFonts w:ascii="Times New Roman" w:hAnsi="Times New Roman" w:cs="Times New Roman" w:eastAsia="Times New Roman" w:hint="default"/>
                <w:spacing w:val="13"/>
                <w:sz w:val="18"/>
                <w:szCs w:val="18"/>
              </w:rPr>
              <w:t> </w:t>
            </w:r>
            <w:r>
              <w:rPr>
                <w:rFonts w:ascii="Times New Roman" w:hAnsi="Times New Roman" w:cs="Times New Roman" w:eastAsia="Times New Roman" w:hint="default"/>
                <w:spacing w:val="-2"/>
                <w:sz w:val="18"/>
                <w:szCs w:val="18"/>
              </w:rPr>
              <w:t>engine</w:t>
            </w:r>
            <w:r>
              <w:rPr>
                <w:rFonts w:ascii="宋体" w:hAnsi="宋体" w:cs="宋体" w:eastAsia="宋体" w:hint="default"/>
                <w:spacing w:val="-2"/>
                <w:sz w:val="18"/>
                <w:szCs w:val="18"/>
              </w:rPr>
              <w:t>）及规则流（</w:t>
            </w:r>
            <w:r>
              <w:rPr>
                <w:rFonts w:ascii="Times New Roman" w:hAnsi="Times New Roman" w:cs="Times New Roman" w:eastAsia="Times New Roman" w:hint="default"/>
                <w:spacing w:val="-2"/>
                <w:sz w:val="18"/>
                <w:szCs w:val="18"/>
              </w:rPr>
              <w:t>rule</w:t>
            </w:r>
          </w:p>
        </w:tc>
        <w:tc>
          <w:tcPr>
            <w:tcW w:w="878"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2675"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flow</w:t>
            </w:r>
            <w:r>
              <w:rPr>
                <w:rFonts w:ascii="宋体" w:hAnsi="宋体" w:cs="宋体" w:eastAsia="宋体" w:hint="default"/>
                <w:sz w:val="18"/>
                <w:szCs w:val="18"/>
              </w:rPr>
              <w:t>）</w:t>
            </w:r>
            <w:r>
              <w:rPr>
                <w:rFonts w:ascii="宋体" w:hAnsi="宋体" w:cs="宋体" w:eastAsia="宋体" w:hint="default"/>
                <w:spacing w:val="-16"/>
                <w:sz w:val="18"/>
                <w:szCs w:val="18"/>
              </w:rPr>
              <w:t> </w:t>
            </w:r>
            <w:r>
              <w:rPr>
                <w:rFonts w:ascii="宋体" w:hAnsi="宋体" w:cs="宋体" w:eastAsia="宋体" w:hint="default"/>
                <w:spacing w:val="-3"/>
                <w:sz w:val="18"/>
                <w:szCs w:val="18"/>
              </w:rPr>
              <w:t>作为基础的核心，提供一个技术框架，满足业务逻辑的多</w:t>
            </w:r>
          </w:p>
        </w:tc>
        <w:tc>
          <w:tcPr>
            <w:tcW w:w="878" w:type="dxa"/>
            <w:tcBorders>
              <w:top w:val="nil" w:sz="6" w:space="0" w:color="auto"/>
              <w:left w:val="single" w:sz="4" w:space="0" w:color="000000"/>
              <w:bottom w:val="nil" w:sz="6" w:space="0" w:color="auto"/>
              <w:right w:val="single" w:sz="4" w:space="0" w:color="000000"/>
            </w:tcBorders>
          </w:tcPr>
          <w:p>
            <w:pPr/>
          </w:p>
        </w:tc>
      </w:tr>
      <w:tr>
        <w:trPr>
          <w:trHeight w:val="931" w:hRule="exact"/>
        </w:trPr>
        <w:tc>
          <w:tcPr>
            <w:tcW w:w="2675" w:type="dxa"/>
            <w:tcBorders>
              <w:top w:val="nil" w:sz="6" w:space="0" w:color="auto"/>
              <w:left w:val="single" w:sz="4" w:space="0" w:color="000000"/>
              <w:bottom w:val="nil" w:sz="6" w:space="0" w:color="auto"/>
              <w:right w:val="single" w:sz="4" w:space="0" w:color="000000"/>
            </w:tcBorders>
          </w:tcPr>
          <w:p>
            <w:pPr>
              <w:pStyle w:val="TableParagraph"/>
              <w:spacing w:line="316" w:lineRule="auto" w:before="161"/>
              <w:ind w:left="24" w:right="120"/>
              <w:jc w:val="left"/>
              <w:rPr>
                <w:rFonts w:ascii="Times New Roman" w:hAnsi="Times New Roman" w:cs="Times New Roman" w:eastAsia="Times New Roman" w:hint="default"/>
                <w:sz w:val="18"/>
                <w:szCs w:val="18"/>
              </w:rPr>
            </w:pPr>
            <w:r>
              <w:rPr>
                <w:rFonts w:ascii="宋体" w:hAnsi="宋体" w:cs="宋体" w:eastAsia="宋体" w:hint="default"/>
                <w:sz w:val="18"/>
                <w:szCs w:val="18"/>
              </w:rPr>
              <w:t>基于医疗大数据的智能辅助诊疗 系统</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CDSS</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v1.0</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left="50" w:right="0"/>
              <w:jc w:val="center"/>
              <w:rPr>
                <w:rFonts w:ascii="Times New Roman" w:hAnsi="Times New Roman" w:cs="Times New Roman" w:eastAsia="Times New Roman" w:hint="default"/>
                <w:sz w:val="18"/>
                <w:szCs w:val="18"/>
              </w:rPr>
            </w:pPr>
            <w:r>
              <w:rPr>
                <w:rFonts w:ascii="Times New Roman"/>
                <w:sz w:val="18"/>
              </w:rPr>
              <w:t>2,212,549.69</w:t>
            </w: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316" w:lineRule="auto" w:before="5"/>
              <w:ind w:left="23" w:right="20"/>
              <w:jc w:val="both"/>
              <w:rPr>
                <w:rFonts w:ascii="宋体" w:hAnsi="宋体" w:cs="宋体" w:eastAsia="宋体" w:hint="default"/>
                <w:sz w:val="18"/>
                <w:szCs w:val="18"/>
              </w:rPr>
            </w:pPr>
            <w:r>
              <w:rPr>
                <w:rFonts w:ascii="宋体" w:hAnsi="宋体" w:cs="宋体" w:eastAsia="宋体" w:hint="default"/>
                <w:spacing w:val="-2"/>
                <w:sz w:val="18"/>
                <w:szCs w:val="18"/>
              </w:rPr>
              <w:t>变性及数据知识点的不断补充；具体的知识来源采用现有权威的</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临床指南的数据资料，以及现有信息系统中历史数据资料，整理</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后导入到医院知识体系，形成一套自给自足的临床决策支持体</w:t>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23" w:right="0"/>
              <w:jc w:val="left"/>
              <w:rPr>
                <w:rFonts w:ascii="宋体" w:hAnsi="宋体" w:cs="宋体" w:eastAsia="宋体" w:hint="default"/>
                <w:sz w:val="18"/>
                <w:szCs w:val="18"/>
              </w:rPr>
            </w:pPr>
            <w:r>
              <w:rPr>
                <w:rFonts w:ascii="宋体" w:hAnsi="宋体" w:cs="宋体" w:eastAsia="宋体" w:hint="default"/>
                <w:sz w:val="18"/>
                <w:szCs w:val="18"/>
              </w:rPr>
              <w:t>已完成</w:t>
            </w:r>
          </w:p>
        </w:tc>
      </w:tr>
      <w:tr>
        <w:trPr>
          <w:trHeight w:val="317" w:hRule="exact"/>
        </w:trPr>
        <w:tc>
          <w:tcPr>
            <w:tcW w:w="2675"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系。临床决策支持</w:t>
            </w:r>
            <w:r>
              <w:rPr>
                <w:rFonts w:ascii="Times New Roman" w:hAnsi="Times New Roman" w:cs="Times New Roman" w:eastAsia="Times New Roman" w:hint="default"/>
                <w:sz w:val="18"/>
                <w:szCs w:val="18"/>
              </w:rPr>
              <w:t>/</w:t>
            </w:r>
            <w:r>
              <w:rPr>
                <w:rFonts w:ascii="宋体" w:hAnsi="宋体" w:cs="宋体" w:eastAsia="宋体" w:hint="default"/>
                <w:sz w:val="18"/>
                <w:szCs w:val="18"/>
              </w:rPr>
              <w:t>规则引擎</w:t>
            </w:r>
            <w:r>
              <w:rPr>
                <w:rFonts w:ascii="Times New Roman" w:hAnsi="Times New Roman" w:cs="Times New Roman" w:eastAsia="Times New Roman" w:hint="default"/>
                <w:sz w:val="18"/>
                <w:szCs w:val="18"/>
              </w:rPr>
              <w:t>(CDS)</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对冲突检测，实现医嘱录入</w:t>
            </w:r>
          </w:p>
        </w:tc>
        <w:tc>
          <w:tcPr>
            <w:tcW w:w="878" w:type="dxa"/>
            <w:tcBorders>
              <w:top w:val="nil" w:sz="6" w:space="0" w:color="auto"/>
              <w:left w:val="single" w:sz="4" w:space="0" w:color="000000"/>
              <w:bottom w:val="nil" w:sz="6" w:space="0" w:color="auto"/>
              <w:right w:val="single" w:sz="4" w:space="0" w:color="000000"/>
            </w:tcBorders>
          </w:tcPr>
          <w:p>
            <w:pPr/>
          </w:p>
        </w:tc>
      </w:tr>
      <w:tr>
        <w:trPr>
          <w:trHeight w:val="353" w:hRule="exact"/>
        </w:trPr>
        <w:tc>
          <w:tcPr>
            <w:tcW w:w="2675" w:type="dxa"/>
            <w:tcBorders>
              <w:top w:val="nil" w:sz="6" w:space="0" w:color="auto"/>
              <w:left w:val="single" w:sz="4" w:space="0" w:color="000000"/>
              <w:bottom w:val="single" w:sz="4" w:space="0" w:color="000000"/>
              <w:right w:val="single" w:sz="4" w:space="0" w:color="000000"/>
            </w:tcBorders>
          </w:tcPr>
          <w:p>
            <w:pPr/>
          </w:p>
        </w:tc>
        <w:tc>
          <w:tcPr>
            <w:tcW w:w="1049" w:type="dxa"/>
            <w:tcBorders>
              <w:top w:val="nil" w:sz="6" w:space="0" w:color="auto"/>
              <w:left w:val="single" w:sz="4" w:space="0" w:color="000000"/>
              <w:bottom w:val="single" w:sz="4" w:space="0" w:color="000000"/>
              <w:right w:val="single" w:sz="4" w:space="0" w:color="000000"/>
            </w:tcBorders>
          </w:tcPr>
          <w:p>
            <w:pPr/>
          </w:p>
        </w:tc>
        <w:tc>
          <w:tcPr>
            <w:tcW w:w="50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时的错误检查，依据循证医学，能够提供变异性及依循性</w:t>
            </w:r>
          </w:p>
        </w:tc>
        <w:tc>
          <w:tcPr>
            <w:tcW w:w="878" w:type="dxa"/>
            <w:tcBorders>
              <w:top w:val="nil" w:sz="6" w:space="0" w:color="auto"/>
              <w:left w:val="single" w:sz="4" w:space="0" w:color="000000"/>
              <w:bottom w:val="single" w:sz="4" w:space="0" w:color="000000"/>
              <w:right w:val="single" w:sz="4" w:space="0" w:color="000000"/>
            </w:tcBorders>
          </w:tcPr>
          <w:p>
            <w:pPr/>
          </w:p>
        </w:tc>
      </w:tr>
      <w:tr>
        <w:trPr>
          <w:trHeight w:val="360" w:hRule="exact"/>
        </w:trPr>
        <w:tc>
          <w:tcPr>
            <w:tcW w:w="2675" w:type="dxa"/>
            <w:tcBorders>
              <w:top w:val="single" w:sz="4" w:space="0" w:color="000000"/>
              <w:left w:val="single" w:sz="4" w:space="0" w:color="000000"/>
              <w:bottom w:val="nil" w:sz="6" w:space="0" w:color="auto"/>
              <w:right w:val="single" w:sz="4" w:space="0" w:color="000000"/>
            </w:tcBorders>
          </w:tcPr>
          <w:p>
            <w:pPr/>
          </w:p>
        </w:tc>
        <w:tc>
          <w:tcPr>
            <w:tcW w:w="1049" w:type="dxa"/>
            <w:tcBorders>
              <w:top w:val="single" w:sz="4" w:space="0" w:color="000000"/>
              <w:left w:val="single" w:sz="4" w:space="0" w:color="000000"/>
              <w:bottom w:val="nil" w:sz="6" w:space="0" w:color="auto"/>
              <w:right w:val="single" w:sz="4" w:space="0" w:color="000000"/>
            </w:tcBorders>
          </w:tcPr>
          <w:p>
            <w:pPr/>
          </w:p>
        </w:tc>
        <w:tc>
          <w:tcPr>
            <w:tcW w:w="50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采用目前主流</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BI</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工具，且遵循以下的技术架构</w:t>
            </w:r>
            <w:r>
              <w:rPr>
                <w:rFonts w:ascii="Times New Roman" w:hAnsi="Times New Roman" w:cs="Times New Roman" w:eastAsia="Times New Roman" w:hint="default"/>
                <w:sz w:val="18"/>
                <w:szCs w:val="18"/>
              </w:rPr>
              <w:t>:</w:t>
            </w:r>
            <w:r>
              <w:rPr>
                <w:rFonts w:ascii="宋体" w:hAnsi="宋体" w:cs="宋体" w:eastAsia="宋体" w:hint="default"/>
                <w:sz w:val="18"/>
                <w:szCs w:val="18"/>
              </w:rPr>
              <w:t>数据提取、数据</w:t>
            </w:r>
          </w:p>
        </w:tc>
        <w:tc>
          <w:tcPr>
            <w:tcW w:w="878"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2675"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建模及数据分析展现等三大部分</w:t>
            </w:r>
            <w:r>
              <w:rPr>
                <w:rFonts w:ascii="宋体" w:hAnsi="宋体" w:cs="宋体" w:eastAsia="宋体" w:hint="default"/>
                <w:spacing w:val="-74"/>
                <w:sz w:val="18"/>
                <w:szCs w:val="18"/>
              </w:rPr>
              <w:t>；</w:t>
            </w:r>
            <w:r>
              <w:rPr>
                <w:rFonts w:ascii="Times New Roman" w:hAnsi="Times New Roman" w:cs="Times New Roman" w:eastAsia="Times New Roman" w:hint="default"/>
                <w:spacing w:val="-1"/>
                <w:sz w:val="18"/>
                <w:szCs w:val="18"/>
              </w:rPr>
              <w:t>B</w:t>
            </w:r>
            <w:r>
              <w:rPr>
                <w:rFonts w:ascii="Times New Roman" w:hAnsi="Times New Roman" w:cs="Times New Roman" w:eastAsia="Times New Roman" w:hint="default"/>
                <w:sz w:val="18"/>
                <w:szCs w:val="18"/>
              </w:rPr>
              <w:t>I </w:t>
            </w:r>
            <w:r>
              <w:rPr>
                <w:rFonts w:ascii="宋体" w:hAnsi="宋体" w:cs="宋体" w:eastAsia="宋体" w:hint="default"/>
                <w:sz w:val="18"/>
                <w:szCs w:val="18"/>
              </w:rPr>
              <w:t>数据的提取与数据建模主要</w:t>
            </w:r>
          </w:p>
        </w:tc>
        <w:tc>
          <w:tcPr>
            <w:tcW w:w="87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675"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由信息技术人员负责，数据分析与展现则是提供</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BI </w:t>
            </w:r>
            <w:r>
              <w:rPr>
                <w:rFonts w:ascii="宋体" w:hAnsi="宋体" w:cs="宋体" w:eastAsia="宋体" w:hint="default"/>
                <w:sz w:val="18"/>
                <w:szCs w:val="18"/>
              </w:rPr>
              <w:t>工具由临床</w:t>
            </w:r>
          </w:p>
        </w:tc>
        <w:tc>
          <w:tcPr>
            <w:tcW w:w="878" w:type="dxa"/>
            <w:tcBorders>
              <w:top w:val="nil" w:sz="6" w:space="0" w:color="auto"/>
              <w:left w:val="single" w:sz="4" w:space="0" w:color="000000"/>
              <w:bottom w:val="nil" w:sz="6" w:space="0" w:color="auto"/>
              <w:right w:val="single" w:sz="4" w:space="0" w:color="000000"/>
            </w:tcBorders>
          </w:tcPr>
          <w:p>
            <w:pPr/>
          </w:p>
        </w:tc>
      </w:tr>
      <w:tr>
        <w:trPr>
          <w:trHeight w:val="624" w:hRule="exact"/>
        </w:trPr>
        <w:tc>
          <w:tcPr>
            <w:tcW w:w="2675" w:type="dxa"/>
            <w:tcBorders>
              <w:top w:val="nil" w:sz="6" w:space="0" w:color="auto"/>
              <w:left w:val="single" w:sz="4" w:space="0" w:color="000000"/>
              <w:bottom w:val="nil" w:sz="6" w:space="0" w:color="auto"/>
              <w:right w:val="single" w:sz="4" w:space="0" w:color="000000"/>
            </w:tcBorders>
          </w:tcPr>
          <w:p>
            <w:pPr>
              <w:pStyle w:val="TableParagraph"/>
              <w:spacing w:line="319" w:lineRule="auto" w:before="5"/>
              <w:ind w:left="24" w:right="120"/>
              <w:jc w:val="left"/>
              <w:rPr>
                <w:rFonts w:ascii="Times New Roman" w:hAnsi="Times New Roman" w:cs="Times New Roman" w:eastAsia="Times New Roman" w:hint="default"/>
                <w:sz w:val="18"/>
                <w:szCs w:val="18"/>
              </w:rPr>
            </w:pPr>
            <w:r>
              <w:rPr>
                <w:rFonts w:ascii="宋体" w:hAnsi="宋体" w:cs="宋体" w:eastAsia="宋体" w:hint="default"/>
                <w:sz w:val="18"/>
                <w:szCs w:val="18"/>
              </w:rPr>
              <w:t>达实智能医院运营管理辅决策支 持系统</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BI</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v1.0</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50" w:right="0"/>
              <w:jc w:val="center"/>
              <w:rPr>
                <w:rFonts w:ascii="Times New Roman" w:hAnsi="Times New Roman" w:cs="Times New Roman" w:eastAsia="Times New Roman" w:hint="default"/>
                <w:sz w:val="18"/>
                <w:szCs w:val="18"/>
              </w:rPr>
            </w:pPr>
            <w:r>
              <w:rPr>
                <w:rFonts w:ascii="Times New Roman"/>
                <w:sz w:val="18"/>
              </w:rPr>
              <w:t>2,281,548.05</w:t>
            </w: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319" w:lineRule="auto" w:before="5"/>
              <w:ind w:left="23" w:right="20"/>
              <w:jc w:val="left"/>
              <w:rPr>
                <w:rFonts w:ascii="宋体" w:hAnsi="宋体" w:cs="宋体" w:eastAsia="宋体" w:hint="default"/>
                <w:sz w:val="18"/>
                <w:szCs w:val="18"/>
              </w:rPr>
            </w:pPr>
            <w:r>
              <w:rPr>
                <w:rFonts w:ascii="宋体" w:hAnsi="宋体" w:cs="宋体" w:eastAsia="宋体" w:hint="default"/>
                <w:spacing w:val="-2"/>
                <w:sz w:val="18"/>
                <w:szCs w:val="18"/>
              </w:rPr>
              <w:t>业务人员自助式完成应用与信息发布。根据医院管理的需要建立</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多维数据分析模型</w:t>
            </w:r>
            <w:r>
              <w:rPr>
                <w:rFonts w:ascii="Times New Roman" w:hAnsi="Times New Roman" w:cs="Times New Roman" w:eastAsia="Times New Roman" w:hint="default"/>
                <w:sz w:val="18"/>
                <w:szCs w:val="18"/>
              </w:rPr>
              <w:t>,</w:t>
            </w:r>
            <w:r>
              <w:rPr>
                <w:rFonts w:ascii="宋体" w:hAnsi="宋体" w:cs="宋体" w:eastAsia="宋体" w:hint="default"/>
                <w:sz w:val="18"/>
                <w:szCs w:val="18"/>
              </w:rPr>
              <w:t>从不同角度、不同层面对信息数据进行分析</w:t>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196" w:lineRule="exact" w:before="162"/>
              <w:ind w:left="23" w:right="0"/>
              <w:jc w:val="left"/>
              <w:rPr>
                <w:rFonts w:ascii="宋体" w:hAnsi="宋体" w:cs="宋体" w:eastAsia="宋体" w:hint="default"/>
                <w:sz w:val="18"/>
                <w:szCs w:val="18"/>
              </w:rPr>
            </w:pPr>
            <w:r>
              <w:rPr>
                <w:rFonts w:ascii="宋体" w:hAnsi="宋体" w:cs="宋体" w:eastAsia="宋体" w:hint="default"/>
                <w:sz w:val="18"/>
                <w:szCs w:val="18"/>
              </w:rPr>
              <w:t>已完成</w:t>
            </w:r>
          </w:p>
          <w:p>
            <w:pPr>
              <w:pStyle w:val="TableParagraph"/>
              <w:spacing w:line="196" w:lineRule="exact"/>
              <w:ind w:left="-138" w:right="0"/>
              <w:jc w:val="left"/>
              <w:rPr>
                <w:rFonts w:ascii="宋体" w:hAnsi="宋体" w:cs="宋体" w:eastAsia="宋体" w:hint="default"/>
                <w:sz w:val="18"/>
                <w:szCs w:val="18"/>
              </w:rPr>
            </w:pPr>
            <w:r>
              <w:rPr>
                <w:rFonts w:ascii="宋体" w:hAnsi="宋体" w:cs="宋体" w:eastAsia="宋体" w:hint="default"/>
                <w:sz w:val="18"/>
                <w:szCs w:val="18"/>
              </w:rPr>
              <w:t>。</w:t>
            </w:r>
          </w:p>
        </w:tc>
      </w:tr>
      <w:tr>
        <w:trPr>
          <w:trHeight w:val="312" w:hRule="exact"/>
        </w:trPr>
        <w:tc>
          <w:tcPr>
            <w:tcW w:w="2675"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分析模型架构由维度和量值组成</w:t>
            </w:r>
            <w:r>
              <w:rPr>
                <w:rFonts w:ascii="Times New Roman" w:hAnsi="Times New Roman" w:cs="Times New Roman" w:eastAsia="Times New Roman" w:hint="default"/>
                <w:sz w:val="18"/>
                <w:szCs w:val="18"/>
              </w:rPr>
              <w:t>,</w:t>
            </w:r>
            <w:r>
              <w:rPr>
                <w:rFonts w:ascii="宋体" w:hAnsi="宋体" w:cs="宋体" w:eastAsia="宋体" w:hint="default"/>
                <w:sz w:val="18"/>
                <w:szCs w:val="18"/>
              </w:rPr>
              <w:t>维度代表数据分析的不同角度</w:t>
            </w:r>
            <w:r>
              <w:rPr>
                <w:rFonts w:ascii="Times New Roman" w:hAnsi="Times New Roman" w:cs="Times New Roman" w:eastAsia="Times New Roman" w:hint="default"/>
                <w:sz w:val="18"/>
                <w:szCs w:val="18"/>
              </w:rPr>
              <w:t>,</w:t>
            </w:r>
          </w:p>
        </w:tc>
        <w:tc>
          <w:tcPr>
            <w:tcW w:w="87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675"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pacing w:val="-2"/>
                <w:sz w:val="18"/>
                <w:szCs w:val="18"/>
              </w:rPr>
              <w:t>量值是数值资料。不同维度进行排列组合，交叉分析，能够挖掘</w:t>
            </w:r>
          </w:p>
        </w:tc>
        <w:tc>
          <w:tcPr>
            <w:tcW w:w="878" w:type="dxa"/>
            <w:tcBorders>
              <w:top w:val="nil" w:sz="6" w:space="0" w:color="auto"/>
              <w:left w:val="single" w:sz="4" w:space="0" w:color="000000"/>
              <w:bottom w:val="nil" w:sz="6" w:space="0" w:color="auto"/>
              <w:right w:val="single" w:sz="4" w:space="0" w:color="000000"/>
            </w:tcBorders>
          </w:tcPr>
          <w:p>
            <w:pPr/>
          </w:p>
        </w:tc>
      </w:tr>
      <w:tr>
        <w:trPr>
          <w:trHeight w:val="360" w:hRule="exact"/>
        </w:trPr>
        <w:tc>
          <w:tcPr>
            <w:tcW w:w="2675" w:type="dxa"/>
            <w:tcBorders>
              <w:top w:val="nil" w:sz="6" w:space="0" w:color="auto"/>
              <w:left w:val="single" w:sz="4" w:space="0" w:color="000000"/>
              <w:bottom w:val="single" w:sz="4" w:space="0" w:color="000000"/>
              <w:right w:val="single" w:sz="4" w:space="0" w:color="000000"/>
            </w:tcBorders>
          </w:tcPr>
          <w:p>
            <w:pPr/>
          </w:p>
        </w:tc>
        <w:tc>
          <w:tcPr>
            <w:tcW w:w="1049" w:type="dxa"/>
            <w:tcBorders>
              <w:top w:val="nil" w:sz="6" w:space="0" w:color="auto"/>
              <w:left w:val="single" w:sz="4" w:space="0" w:color="000000"/>
              <w:bottom w:val="single" w:sz="4" w:space="0" w:color="000000"/>
              <w:right w:val="single" w:sz="4" w:space="0" w:color="000000"/>
            </w:tcBorders>
          </w:tcPr>
          <w:p>
            <w:pPr/>
          </w:p>
        </w:tc>
        <w:tc>
          <w:tcPr>
            <w:tcW w:w="50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出深藏于数据背后的信息。</w:t>
            </w:r>
          </w:p>
        </w:tc>
        <w:tc>
          <w:tcPr>
            <w:tcW w:w="878" w:type="dxa"/>
            <w:tcBorders>
              <w:top w:val="nil" w:sz="6" w:space="0" w:color="auto"/>
              <w:left w:val="single" w:sz="4" w:space="0" w:color="000000"/>
              <w:bottom w:val="single" w:sz="4" w:space="0" w:color="000000"/>
              <w:right w:val="single" w:sz="4" w:space="0" w:color="000000"/>
            </w:tcBorders>
          </w:tcPr>
          <w:p>
            <w:pPr/>
          </w:p>
        </w:tc>
      </w:tr>
      <w:tr>
        <w:trPr>
          <w:trHeight w:val="360" w:hRule="exact"/>
        </w:trPr>
        <w:tc>
          <w:tcPr>
            <w:tcW w:w="2675" w:type="dxa"/>
            <w:tcBorders>
              <w:top w:val="single" w:sz="4" w:space="0" w:color="000000"/>
              <w:left w:val="single" w:sz="4" w:space="0" w:color="000000"/>
              <w:bottom w:val="nil" w:sz="6" w:space="0" w:color="auto"/>
              <w:right w:val="single" w:sz="4" w:space="0" w:color="000000"/>
            </w:tcBorders>
          </w:tcPr>
          <w:p>
            <w:pPr/>
          </w:p>
        </w:tc>
        <w:tc>
          <w:tcPr>
            <w:tcW w:w="1049" w:type="dxa"/>
            <w:tcBorders>
              <w:top w:val="single" w:sz="4" w:space="0" w:color="000000"/>
              <w:left w:val="single" w:sz="4" w:space="0" w:color="000000"/>
              <w:bottom w:val="nil" w:sz="6" w:space="0" w:color="auto"/>
              <w:right w:val="single" w:sz="4" w:space="0" w:color="000000"/>
            </w:tcBorders>
          </w:tcPr>
          <w:p>
            <w:pPr/>
          </w:p>
        </w:tc>
        <w:tc>
          <w:tcPr>
            <w:tcW w:w="50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移动诊疗平台使信息的传递和交流冲破了时间和空间的限制，</w:t>
            </w:r>
          </w:p>
        </w:tc>
        <w:tc>
          <w:tcPr>
            <w:tcW w:w="878" w:type="dxa"/>
            <w:tcBorders>
              <w:top w:val="single" w:sz="4" w:space="0" w:color="000000"/>
              <w:left w:val="single" w:sz="4" w:space="0" w:color="000000"/>
              <w:bottom w:val="nil" w:sz="6" w:space="0" w:color="auto"/>
              <w:right w:val="single" w:sz="4" w:space="0" w:color="000000"/>
            </w:tcBorders>
          </w:tcPr>
          <w:p>
            <w:pPr/>
          </w:p>
        </w:tc>
      </w:tr>
      <w:tr>
        <w:trPr>
          <w:trHeight w:val="307" w:hRule="exact"/>
        </w:trPr>
        <w:tc>
          <w:tcPr>
            <w:tcW w:w="2675"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pacing w:val="-2"/>
                <w:sz w:val="18"/>
                <w:szCs w:val="18"/>
              </w:rPr>
              <w:t>不仅实现对患者服务的快捷化、准确化和多样化，还大大提升了</w:t>
            </w:r>
          </w:p>
        </w:tc>
        <w:tc>
          <w:tcPr>
            <w:tcW w:w="878" w:type="dxa"/>
            <w:tcBorders>
              <w:top w:val="nil" w:sz="6" w:space="0" w:color="auto"/>
              <w:left w:val="single" w:sz="4" w:space="0" w:color="000000"/>
              <w:bottom w:val="nil" w:sz="6" w:space="0" w:color="auto"/>
              <w:right w:val="single" w:sz="4" w:space="0" w:color="000000"/>
            </w:tcBorders>
          </w:tcPr>
          <w:p>
            <w:pPr/>
          </w:p>
        </w:tc>
      </w:tr>
      <w:tr>
        <w:trPr>
          <w:trHeight w:val="624" w:hRule="exact"/>
        </w:trPr>
        <w:tc>
          <w:tcPr>
            <w:tcW w:w="2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基于健康云的移动诊疗平台 </w:t>
            </w:r>
            <w:r>
              <w:rPr>
                <w:rFonts w:ascii="Times New Roman" w:hAnsi="Times New Roman" w:cs="Times New Roman" w:eastAsia="Times New Roman" w:hint="default"/>
                <w:sz w:val="18"/>
                <w:szCs w:val="18"/>
              </w:rPr>
              <w:t>v1.0</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50" w:right="0"/>
              <w:jc w:val="center"/>
              <w:rPr>
                <w:rFonts w:ascii="Times New Roman" w:hAnsi="Times New Roman" w:cs="Times New Roman" w:eastAsia="Times New Roman" w:hint="default"/>
                <w:sz w:val="18"/>
                <w:szCs w:val="18"/>
              </w:rPr>
            </w:pPr>
            <w:r>
              <w:rPr>
                <w:rFonts w:ascii="Times New Roman"/>
                <w:sz w:val="18"/>
              </w:rPr>
              <w:t>2,658,983.36</w:t>
            </w: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3" w:right="20"/>
              <w:jc w:val="left"/>
              <w:rPr>
                <w:rFonts w:ascii="宋体" w:hAnsi="宋体" w:cs="宋体" w:eastAsia="宋体" w:hint="default"/>
                <w:sz w:val="18"/>
                <w:szCs w:val="18"/>
              </w:rPr>
            </w:pPr>
            <w:r>
              <w:rPr>
                <w:rFonts w:ascii="宋体" w:hAnsi="宋体" w:cs="宋体" w:eastAsia="宋体" w:hint="default"/>
                <w:spacing w:val="-2"/>
                <w:sz w:val="18"/>
                <w:szCs w:val="18"/>
              </w:rPr>
              <w:t>医院服务质量，使医患互动更加便捷，对促进医患关系的和谐发</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展有着非常重要的作用。移动诊疗平台负责电子病历数据、电子</w:t>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已完成</w:t>
            </w:r>
          </w:p>
        </w:tc>
      </w:tr>
      <w:tr>
        <w:trPr>
          <w:trHeight w:val="312" w:hRule="exact"/>
        </w:trPr>
        <w:tc>
          <w:tcPr>
            <w:tcW w:w="2675"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健康档案数据、影像数据、远程医疗数据整合，实现远程单学科</w:t>
            </w:r>
          </w:p>
        </w:tc>
        <w:tc>
          <w:tcPr>
            <w:tcW w:w="878"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2675" w:type="dxa"/>
            <w:tcBorders>
              <w:top w:val="nil" w:sz="6" w:space="0" w:color="auto"/>
              <w:left w:val="single" w:sz="4" w:space="0" w:color="000000"/>
              <w:bottom w:val="single" w:sz="4" w:space="0" w:color="000000"/>
              <w:right w:val="single" w:sz="4" w:space="0" w:color="000000"/>
            </w:tcBorders>
          </w:tcPr>
          <w:p>
            <w:pPr/>
          </w:p>
        </w:tc>
        <w:tc>
          <w:tcPr>
            <w:tcW w:w="1049" w:type="dxa"/>
            <w:tcBorders>
              <w:top w:val="nil" w:sz="6" w:space="0" w:color="auto"/>
              <w:left w:val="single" w:sz="4" w:space="0" w:color="000000"/>
              <w:bottom w:val="single" w:sz="4" w:space="0" w:color="000000"/>
              <w:right w:val="single" w:sz="4" w:space="0" w:color="000000"/>
            </w:tcBorders>
          </w:tcPr>
          <w:p>
            <w:pPr/>
          </w:p>
        </w:tc>
        <w:tc>
          <w:tcPr>
            <w:tcW w:w="50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会诊</w:t>
            </w:r>
            <w:r>
              <w:rPr>
                <w:rFonts w:ascii="Times New Roman" w:hAnsi="Times New Roman" w:cs="Times New Roman" w:eastAsia="Times New Roman" w:hint="default"/>
                <w:sz w:val="18"/>
                <w:szCs w:val="18"/>
              </w:rPr>
              <w:t>;</w:t>
            </w:r>
            <w:r>
              <w:rPr>
                <w:rFonts w:ascii="宋体" w:hAnsi="宋体" w:cs="宋体" w:eastAsia="宋体" w:hint="default"/>
                <w:sz w:val="18"/>
                <w:szCs w:val="18"/>
              </w:rPr>
              <w:t>远程多学科会诊</w:t>
            </w:r>
            <w:r>
              <w:rPr>
                <w:rFonts w:ascii="Times New Roman" w:hAnsi="Times New Roman" w:cs="Times New Roman" w:eastAsia="Times New Roman" w:hint="default"/>
                <w:sz w:val="18"/>
                <w:szCs w:val="18"/>
              </w:rPr>
              <w:t>;</w:t>
            </w:r>
            <w:r>
              <w:rPr>
                <w:rFonts w:ascii="宋体" w:hAnsi="宋体" w:cs="宋体" w:eastAsia="宋体" w:hint="default"/>
                <w:sz w:val="18"/>
                <w:szCs w:val="18"/>
              </w:rPr>
              <w:t>同步远程病理会诊</w:t>
            </w:r>
            <w:r>
              <w:rPr>
                <w:rFonts w:ascii="Times New Roman" w:hAnsi="Times New Roman" w:cs="Times New Roman" w:eastAsia="Times New Roman" w:hint="default"/>
                <w:sz w:val="18"/>
                <w:szCs w:val="18"/>
              </w:rPr>
              <w:t>;</w:t>
            </w:r>
            <w:r>
              <w:rPr>
                <w:rFonts w:ascii="宋体" w:hAnsi="宋体" w:cs="宋体" w:eastAsia="宋体" w:hint="default"/>
                <w:sz w:val="18"/>
                <w:szCs w:val="18"/>
              </w:rPr>
              <w:t>远程心电会诊等服务。</w:t>
            </w:r>
          </w:p>
        </w:tc>
        <w:tc>
          <w:tcPr>
            <w:tcW w:w="878" w:type="dxa"/>
            <w:tcBorders>
              <w:top w:val="nil" w:sz="6" w:space="0" w:color="auto"/>
              <w:left w:val="single" w:sz="4" w:space="0" w:color="000000"/>
              <w:bottom w:val="single" w:sz="4" w:space="0" w:color="000000"/>
              <w:right w:val="single" w:sz="4" w:space="0" w:color="000000"/>
            </w:tcBorders>
          </w:tcPr>
          <w:p>
            <w:pPr/>
          </w:p>
        </w:tc>
      </w:tr>
      <w:tr>
        <w:trPr>
          <w:trHeight w:val="356" w:hRule="exact"/>
        </w:trPr>
        <w:tc>
          <w:tcPr>
            <w:tcW w:w="2675" w:type="dxa"/>
            <w:tcBorders>
              <w:top w:val="single" w:sz="4" w:space="0" w:color="000000"/>
              <w:left w:val="single" w:sz="4" w:space="0" w:color="000000"/>
              <w:bottom w:val="nil" w:sz="6" w:space="0" w:color="auto"/>
              <w:right w:val="single" w:sz="4" w:space="0" w:color="000000"/>
            </w:tcBorders>
          </w:tcPr>
          <w:p>
            <w:pPr/>
          </w:p>
        </w:tc>
        <w:tc>
          <w:tcPr>
            <w:tcW w:w="1049" w:type="dxa"/>
            <w:tcBorders>
              <w:top w:val="single" w:sz="4" w:space="0" w:color="000000"/>
              <w:left w:val="single" w:sz="4" w:space="0" w:color="000000"/>
              <w:bottom w:val="nil" w:sz="6" w:space="0" w:color="auto"/>
              <w:right w:val="single" w:sz="4" w:space="0" w:color="000000"/>
            </w:tcBorders>
          </w:tcPr>
          <w:p>
            <w:pPr/>
          </w:p>
        </w:tc>
        <w:tc>
          <w:tcPr>
            <w:tcW w:w="50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本项目的通过建立基于物联网大数据的智慧能源监控系统，全</w:t>
            </w:r>
          </w:p>
        </w:tc>
        <w:tc>
          <w:tcPr>
            <w:tcW w:w="878" w:type="dxa"/>
            <w:tcBorders>
              <w:top w:val="single" w:sz="4" w:space="0" w:color="000000"/>
              <w:left w:val="single" w:sz="4" w:space="0" w:color="000000"/>
              <w:bottom w:val="nil" w:sz="6" w:space="0" w:color="auto"/>
              <w:right w:val="single" w:sz="4" w:space="0" w:color="000000"/>
            </w:tcBorders>
          </w:tcPr>
          <w:p>
            <w:pPr/>
          </w:p>
        </w:tc>
      </w:tr>
      <w:tr>
        <w:trPr>
          <w:trHeight w:val="624" w:hRule="exact"/>
        </w:trPr>
        <w:tc>
          <w:tcPr>
            <w:tcW w:w="2675"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4" w:right="120"/>
              <w:jc w:val="left"/>
              <w:rPr>
                <w:rFonts w:ascii="宋体" w:hAnsi="宋体" w:cs="宋体" w:eastAsia="宋体" w:hint="default"/>
                <w:sz w:val="18"/>
                <w:szCs w:val="18"/>
              </w:rPr>
            </w:pPr>
            <w:r>
              <w:rPr>
                <w:rFonts w:ascii="宋体" w:hAnsi="宋体" w:cs="宋体" w:eastAsia="宋体" w:hint="default"/>
                <w:sz w:val="18"/>
                <w:szCs w:val="18"/>
              </w:rPr>
              <w:t>基于物联网大数据的智慧能源监 控系统关键技术研发</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50" w:right="0"/>
              <w:jc w:val="center"/>
              <w:rPr>
                <w:rFonts w:ascii="Times New Roman" w:hAnsi="Times New Roman" w:cs="Times New Roman" w:eastAsia="Times New Roman" w:hint="default"/>
                <w:sz w:val="18"/>
                <w:szCs w:val="18"/>
              </w:rPr>
            </w:pPr>
            <w:r>
              <w:rPr>
                <w:rFonts w:ascii="Times New Roman"/>
                <w:sz w:val="18"/>
              </w:rPr>
              <w:t>4,450,621.25</w:t>
            </w: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3" w:right="20"/>
              <w:jc w:val="left"/>
              <w:rPr>
                <w:rFonts w:ascii="宋体" w:hAnsi="宋体" w:cs="宋体" w:eastAsia="宋体" w:hint="default"/>
                <w:sz w:val="18"/>
                <w:szCs w:val="18"/>
              </w:rPr>
            </w:pPr>
            <w:r>
              <w:rPr>
                <w:rFonts w:ascii="宋体" w:hAnsi="宋体" w:cs="宋体" w:eastAsia="宋体" w:hint="default"/>
                <w:spacing w:val="-2"/>
                <w:sz w:val="18"/>
                <w:szCs w:val="18"/>
              </w:rPr>
              <w:t>面、准确、实时地掌握建筑耗能信息，以评估建筑能耗现状，确</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定节能潜力和方向，定制具体节能方案，以及实施有效的节能措</w:t>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开发中</w:t>
            </w:r>
          </w:p>
        </w:tc>
      </w:tr>
      <w:tr>
        <w:trPr>
          <w:trHeight w:val="360" w:hRule="exact"/>
        </w:trPr>
        <w:tc>
          <w:tcPr>
            <w:tcW w:w="2675" w:type="dxa"/>
            <w:tcBorders>
              <w:top w:val="nil" w:sz="6" w:space="0" w:color="auto"/>
              <w:left w:val="single" w:sz="4" w:space="0" w:color="000000"/>
              <w:bottom w:val="single" w:sz="4" w:space="0" w:color="000000"/>
              <w:right w:val="single" w:sz="4" w:space="0" w:color="000000"/>
            </w:tcBorders>
          </w:tcPr>
          <w:p>
            <w:pPr/>
          </w:p>
        </w:tc>
        <w:tc>
          <w:tcPr>
            <w:tcW w:w="1049" w:type="dxa"/>
            <w:tcBorders>
              <w:top w:val="nil" w:sz="6" w:space="0" w:color="auto"/>
              <w:left w:val="single" w:sz="4" w:space="0" w:color="000000"/>
              <w:bottom w:val="single" w:sz="4" w:space="0" w:color="000000"/>
              <w:right w:val="single" w:sz="4" w:space="0" w:color="000000"/>
            </w:tcBorders>
          </w:tcPr>
          <w:p>
            <w:pPr/>
          </w:p>
        </w:tc>
        <w:tc>
          <w:tcPr>
            <w:tcW w:w="50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施。</w:t>
            </w:r>
          </w:p>
        </w:tc>
        <w:tc>
          <w:tcPr>
            <w:tcW w:w="878" w:type="dxa"/>
            <w:tcBorders>
              <w:top w:val="nil" w:sz="6" w:space="0" w:color="auto"/>
              <w:left w:val="single" w:sz="4" w:space="0" w:color="000000"/>
              <w:bottom w:val="single" w:sz="4" w:space="0" w:color="000000"/>
              <w:right w:val="single" w:sz="4" w:space="0" w:color="000000"/>
            </w:tcBorders>
          </w:tcPr>
          <w:p>
            <w:pPr/>
          </w:p>
        </w:tc>
      </w:tr>
      <w:tr>
        <w:trPr>
          <w:trHeight w:val="360" w:hRule="exact"/>
        </w:trPr>
        <w:tc>
          <w:tcPr>
            <w:tcW w:w="2675" w:type="dxa"/>
            <w:tcBorders>
              <w:top w:val="single" w:sz="4" w:space="0" w:color="000000"/>
              <w:left w:val="single" w:sz="4" w:space="0" w:color="000000"/>
              <w:bottom w:val="nil" w:sz="6" w:space="0" w:color="auto"/>
              <w:right w:val="single" w:sz="4" w:space="0" w:color="000000"/>
            </w:tcBorders>
          </w:tcPr>
          <w:p>
            <w:pPr/>
          </w:p>
        </w:tc>
        <w:tc>
          <w:tcPr>
            <w:tcW w:w="1049" w:type="dxa"/>
            <w:tcBorders>
              <w:top w:val="single" w:sz="4" w:space="0" w:color="000000"/>
              <w:left w:val="single" w:sz="4" w:space="0" w:color="000000"/>
              <w:bottom w:val="nil" w:sz="6" w:space="0" w:color="auto"/>
              <w:right w:val="single" w:sz="4" w:space="0" w:color="000000"/>
            </w:tcBorders>
          </w:tcPr>
          <w:p>
            <w:pPr/>
          </w:p>
        </w:tc>
        <w:tc>
          <w:tcPr>
            <w:tcW w:w="50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达实智能建筑管理系统从软件的架构和运行平台等方面的全方</w:t>
            </w:r>
          </w:p>
        </w:tc>
        <w:tc>
          <w:tcPr>
            <w:tcW w:w="878"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2675"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left="24" w:right="0"/>
              <w:jc w:val="left"/>
              <w:rPr>
                <w:rFonts w:ascii="宋体" w:hAnsi="宋体" w:cs="宋体" w:eastAsia="宋体" w:hint="default"/>
                <w:sz w:val="18"/>
                <w:szCs w:val="18"/>
              </w:rPr>
            </w:pPr>
            <w:r>
              <w:rPr>
                <w:rFonts w:ascii="宋体" w:hAnsi="宋体" w:cs="宋体" w:eastAsia="宋体" w:hint="default"/>
                <w:sz w:val="18"/>
                <w:szCs w:val="18"/>
              </w:rPr>
              <w:t>达实智能建筑管理系统</w:t>
            </w:r>
          </w:p>
          <w:p>
            <w:pPr>
              <w:pStyle w:val="TableParagraph"/>
              <w:spacing w:line="240" w:lineRule="auto" w:before="76"/>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IndasIBMSV400R001C00)</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left="50" w:right="0"/>
              <w:jc w:val="center"/>
              <w:rPr>
                <w:rFonts w:ascii="Times New Roman" w:hAnsi="Times New Roman" w:cs="Times New Roman" w:eastAsia="Times New Roman" w:hint="default"/>
                <w:sz w:val="18"/>
                <w:szCs w:val="18"/>
              </w:rPr>
            </w:pPr>
            <w:r>
              <w:rPr>
                <w:rFonts w:ascii="Times New Roman"/>
                <w:sz w:val="18"/>
              </w:rPr>
              <w:t>1,355,066.57</w:t>
            </w: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300" w:lineRule="auto" w:before="5"/>
              <w:ind w:left="23" w:right="-34"/>
              <w:jc w:val="left"/>
              <w:rPr>
                <w:rFonts w:ascii="宋体" w:hAnsi="宋体" w:cs="宋体" w:eastAsia="宋体" w:hint="default"/>
                <w:sz w:val="18"/>
                <w:szCs w:val="18"/>
              </w:rPr>
            </w:pPr>
            <w:r>
              <w:rPr>
                <w:rFonts w:ascii="宋体" w:hAnsi="宋体" w:cs="宋体" w:eastAsia="宋体" w:hint="default"/>
                <w:sz w:val="18"/>
                <w:szCs w:val="18"/>
              </w:rPr>
              <w:t>位升级，分别是（</w:t>
            </w:r>
            <w:r>
              <w:rPr>
                <w:rFonts w:ascii="Times New Roman" w:hAnsi="Times New Roman" w:cs="Times New Roman" w:eastAsia="Times New Roman" w:hint="default"/>
                <w:sz w:val="18"/>
                <w:szCs w:val="18"/>
              </w:rPr>
              <w:t>1</w:t>
            </w:r>
            <w:r>
              <w:rPr>
                <w:rFonts w:ascii="宋体" w:hAnsi="宋体" w:cs="宋体" w:eastAsia="宋体" w:hint="default"/>
                <w:sz w:val="18"/>
                <w:szCs w:val="18"/>
              </w:rPr>
              <w:t>）升级能源管理分析系统功能，由单能源数 </w:t>
            </w:r>
            <w:r>
              <w:rPr>
                <w:rFonts w:ascii="宋体" w:hAnsi="宋体" w:cs="宋体" w:eastAsia="宋体" w:hint="default"/>
                <w:spacing w:val="-4"/>
                <w:sz w:val="18"/>
                <w:szCs w:val="18"/>
              </w:rPr>
              <w:t>据分析，升级为多能源、多维度、多建筑分析；（</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）优化</w:t>
            </w:r>
            <w:r>
              <w:rPr>
                <w:rFonts w:ascii="宋体" w:hAnsi="宋体" w:cs="宋体" w:eastAsia="宋体" w:hint="default"/>
                <w:spacing w:val="-36"/>
                <w:sz w:val="18"/>
                <w:szCs w:val="18"/>
              </w:rPr>
              <w:t> </w:t>
            </w:r>
            <w:r>
              <w:rPr>
                <w:rFonts w:ascii="Times New Roman" w:hAnsi="Times New Roman" w:cs="Times New Roman" w:eastAsia="Times New Roman" w:hint="default"/>
                <w:spacing w:val="-10"/>
                <w:w w:val="99"/>
                <w:sz w:val="18"/>
                <w:szCs w:val="18"/>
              </w:rPr>
              <w:t>BMS</w:t>
            </w:r>
            <w:r>
              <w:rPr>
                <w:rFonts w:ascii="宋体" w:hAnsi="宋体" w:cs="宋体" w:eastAsia="宋体" w:hint="default"/>
                <w:spacing w:val="-10"/>
                <w:w w:val="99"/>
                <w:sz w:val="18"/>
                <w:szCs w:val="18"/>
              </w:rPr>
              <w:t>、</w:t>
            </w:r>
            <w:r>
              <w:rPr>
                <w:rFonts w:ascii="宋体" w:hAnsi="宋体" w:cs="宋体" w:eastAsia="宋体" w:hint="default"/>
                <w:spacing w:val="-87"/>
                <w:w w:val="99"/>
                <w:sz w:val="18"/>
                <w:szCs w:val="18"/>
              </w:rPr>
              <w:t> </w:t>
            </w:r>
            <w:r>
              <w:rPr>
                <w:rFonts w:ascii="Times New Roman" w:hAnsi="Times New Roman" w:cs="Times New Roman" w:eastAsia="Times New Roman" w:hint="default"/>
                <w:w w:val="99"/>
                <w:sz w:val="18"/>
                <w:szCs w:val="18"/>
              </w:rPr>
              <w:t>SMS</w:t>
            </w:r>
            <w:r>
              <w:rPr>
                <w:rFonts w:ascii="Times New Roman" w:hAnsi="Times New Roman" w:cs="Times New Roman" w:eastAsia="Times New Roman" w:hint="default"/>
                <w:spacing w:val="19"/>
                <w:w w:val="99"/>
                <w:sz w:val="18"/>
                <w:szCs w:val="18"/>
              </w:rPr>
              <w:t> </w:t>
            </w:r>
            <w:r>
              <w:rPr>
                <w:rFonts w:ascii="宋体" w:hAnsi="宋体" w:cs="宋体" w:eastAsia="宋体" w:hint="default"/>
                <w:spacing w:val="-7"/>
                <w:sz w:val="18"/>
                <w:szCs w:val="18"/>
              </w:rPr>
              <w:t>集成系统功能；（</w:t>
            </w:r>
            <w:r>
              <w:rPr>
                <w:rFonts w:ascii="Times New Roman" w:hAnsi="Times New Roman" w:cs="Times New Roman" w:eastAsia="Times New Roman" w:hint="default"/>
                <w:spacing w:val="-7"/>
                <w:sz w:val="18"/>
                <w:szCs w:val="18"/>
              </w:rPr>
              <w:t>3</w:t>
            </w:r>
            <w:r>
              <w:rPr>
                <w:rFonts w:ascii="宋体" w:hAnsi="宋体" w:cs="宋体" w:eastAsia="宋体" w:hint="default"/>
                <w:spacing w:val="-7"/>
                <w:sz w:val="18"/>
                <w:szCs w:val="18"/>
              </w:rPr>
              <w:t>）优化模式管理、报警管理、联动管理功</w:t>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23" w:right="0"/>
              <w:jc w:val="left"/>
              <w:rPr>
                <w:rFonts w:ascii="宋体" w:hAnsi="宋体" w:cs="宋体" w:eastAsia="宋体" w:hint="default"/>
                <w:sz w:val="18"/>
                <w:szCs w:val="18"/>
              </w:rPr>
            </w:pPr>
            <w:r>
              <w:rPr>
                <w:rFonts w:ascii="宋体" w:hAnsi="宋体" w:cs="宋体" w:eastAsia="宋体" w:hint="default"/>
                <w:sz w:val="18"/>
                <w:szCs w:val="18"/>
              </w:rPr>
              <w:t>已完成</w:t>
            </w:r>
          </w:p>
        </w:tc>
      </w:tr>
      <w:tr>
        <w:trPr>
          <w:trHeight w:val="353" w:hRule="exact"/>
        </w:trPr>
        <w:tc>
          <w:tcPr>
            <w:tcW w:w="2675" w:type="dxa"/>
            <w:tcBorders>
              <w:top w:val="nil" w:sz="6" w:space="0" w:color="auto"/>
              <w:left w:val="single" w:sz="4" w:space="0" w:color="000000"/>
              <w:bottom w:val="single" w:sz="4" w:space="0" w:color="000000"/>
              <w:right w:val="single" w:sz="4" w:space="0" w:color="000000"/>
            </w:tcBorders>
          </w:tcPr>
          <w:p>
            <w:pPr/>
          </w:p>
        </w:tc>
        <w:tc>
          <w:tcPr>
            <w:tcW w:w="1049" w:type="dxa"/>
            <w:tcBorders>
              <w:top w:val="nil" w:sz="6" w:space="0" w:color="auto"/>
              <w:left w:val="single" w:sz="4" w:space="0" w:color="000000"/>
              <w:bottom w:val="single" w:sz="4" w:space="0" w:color="000000"/>
              <w:right w:val="single" w:sz="4" w:space="0" w:color="000000"/>
            </w:tcBorders>
          </w:tcPr>
          <w:p>
            <w:pPr/>
          </w:p>
        </w:tc>
        <w:tc>
          <w:tcPr>
            <w:tcW w:w="50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能</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4</w:t>
            </w:r>
            <w:r>
              <w:rPr>
                <w:rFonts w:ascii="宋体" w:hAnsi="宋体" w:cs="宋体" w:eastAsia="宋体" w:hint="default"/>
                <w:sz w:val="18"/>
                <w:szCs w:val="18"/>
              </w:rPr>
              <w:t>）支持配置项目中需要的</w:t>
            </w:r>
            <w:r>
              <w:rPr>
                <w:rFonts w:ascii="宋体" w:hAnsi="宋体" w:cs="宋体" w:eastAsia="宋体" w:hint="default"/>
                <w:spacing w:val="-44"/>
                <w:sz w:val="18"/>
                <w:szCs w:val="18"/>
              </w:rPr>
              <w:t> </w:t>
            </w:r>
            <w:r>
              <w:rPr>
                <w:rFonts w:ascii="Times New Roman" w:hAnsi="Times New Roman" w:cs="Times New Roman" w:eastAsia="Times New Roman" w:hint="default"/>
                <w:w w:val="99"/>
                <w:sz w:val="18"/>
                <w:szCs w:val="18"/>
              </w:rPr>
              <w:t>OEM</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属性。</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sz w:val="18"/>
                <w:szCs w:val="18"/>
              </w:rPr>
            </w:r>
          </w:p>
        </w:tc>
        <w:tc>
          <w:tcPr>
            <w:tcW w:w="878"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454.25pt;margin-top:268.72998pt;width:85.65pt;height:70.2pt;mso-position-horizontal-relative:page;mso-position-vertical-relative:page;z-index:-1094872"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pStyle w:val="BodyText"/>
                    <w:spacing w:line="240" w:lineRule="auto" w:before="154"/>
                    <w:ind w:left="0" w:right="0"/>
                    <w:jc w:val="left"/>
                  </w:pPr>
                  <w:r>
                    <w:rPr/>
                    <w:t>振动数据、</w:t>
                  </w:r>
                </w:p>
              </w:txbxContent>
            </v:textbox>
            <w10:wrap type="none"/>
          </v:shape>
        </w:pict>
      </w:r>
      <w:r>
        <w:rPr/>
        <w:pict>
          <v:shape style="position:absolute;margin-left:472.27301pt;margin-top:358.48999pt;width:67.6pt;height:70.2pt;mso-position-horizontal-relative:page;mso-position-vertical-relative:page;z-index:-1094848"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1"/>
                    <w:rPr>
                      <w:rFonts w:ascii="Times New Roman" w:hAnsi="Times New Roman" w:cs="Times New Roman" w:eastAsia="Times New Roman" w:hint="default"/>
                      <w:sz w:val="20"/>
                      <w:szCs w:val="20"/>
                    </w:rPr>
                  </w:pPr>
                </w:p>
                <w:p>
                  <w:pPr>
                    <w:pStyle w:val="BodyText"/>
                    <w:spacing w:line="240" w:lineRule="auto"/>
                    <w:ind w:left="0" w:right="0"/>
                    <w:jc w:val="left"/>
                  </w:pPr>
                  <w:r>
                    <w:rPr/>
                    <w:t>周报、</w:t>
                  </w:r>
                </w:p>
              </w:txbxContent>
            </v:textbox>
            <w10:wrap type="none"/>
          </v:shape>
        </w:pict>
      </w:r>
      <w:r>
        <w:rPr/>
        <w:pict>
          <v:group style="position:absolute;margin-left:496.540009pt;margin-top:459.969971pt;width:42.15pt;height:20.65pt;mso-position-horizontal-relative:page;mso-position-vertical-relative:page;z-index:-1094824" coordorigin="9931,9199" coordsize="843,413">
            <v:group style="position:absolute;left:9942;top:9210;width:2;height:392" coordorigin="9942,9210" coordsize="2,392">
              <v:shape style="position:absolute;left:9942;top:9210;width:2;height:392" coordorigin="9942,9210" coordsize="0,392" path="m9942,9210l9942,9601e" filled="false" stroked="true" strokeweight="1.08pt" strokecolor="#ffffff">
                <v:path arrowok="t"/>
              </v:shape>
            </v:group>
            <v:group style="position:absolute;left:9952;top:9210;width:821;height:392" coordorigin="9952,9210" coordsize="821,392">
              <v:shape style="position:absolute;left:9952;top:9210;width:821;height:392" coordorigin="9952,9210" coordsize="821,392" path="m9952,9601l10773,9601,10773,9210,9952,9210,9952,9601xe" filled="true" fillcolor="#ffffff" stroked="false">
                <v:path arrowok="t"/>
                <v:fill type="solid"/>
              </v:shape>
            </v:group>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675"/>
        <w:gridCol w:w="1049"/>
        <w:gridCol w:w="5067"/>
        <w:gridCol w:w="878"/>
      </w:tblGrid>
      <w:tr>
        <w:trPr>
          <w:trHeight w:val="356" w:hRule="exact"/>
        </w:trPr>
        <w:tc>
          <w:tcPr>
            <w:tcW w:w="2675" w:type="dxa"/>
            <w:tcBorders>
              <w:top w:val="single" w:sz="4" w:space="0" w:color="000000"/>
              <w:left w:val="single" w:sz="4" w:space="0" w:color="000000"/>
              <w:bottom w:val="nil" w:sz="6" w:space="0" w:color="auto"/>
              <w:right w:val="single" w:sz="4" w:space="0" w:color="000000"/>
            </w:tcBorders>
          </w:tcPr>
          <w:p>
            <w:pPr/>
          </w:p>
        </w:tc>
        <w:tc>
          <w:tcPr>
            <w:tcW w:w="1049" w:type="dxa"/>
            <w:tcBorders>
              <w:top w:val="single" w:sz="4" w:space="0" w:color="000000"/>
              <w:left w:val="single" w:sz="4" w:space="0" w:color="000000"/>
              <w:bottom w:val="nil" w:sz="6" w:space="0" w:color="auto"/>
              <w:right w:val="single" w:sz="4" w:space="0" w:color="000000"/>
            </w:tcBorders>
          </w:tcPr>
          <w:p>
            <w:pPr/>
          </w:p>
        </w:tc>
        <w:tc>
          <w:tcPr>
            <w:tcW w:w="50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7"/>
              <w:jc w:val="left"/>
              <w:rPr>
                <w:rFonts w:ascii="宋体" w:hAnsi="宋体" w:cs="宋体" w:eastAsia="宋体" w:hint="default"/>
                <w:sz w:val="18"/>
                <w:szCs w:val="18"/>
              </w:rPr>
            </w:pPr>
            <w:r>
              <w:rPr>
                <w:rFonts w:ascii="宋体" w:hAnsi="宋体" w:cs="宋体" w:eastAsia="宋体" w:hint="default"/>
                <w:sz w:val="18"/>
                <w:szCs w:val="18"/>
              </w:rPr>
              <w:t>本项目通过收集健康状况评估信息，如中央空调的规格、历史、</w:t>
            </w:r>
          </w:p>
        </w:tc>
        <w:tc>
          <w:tcPr>
            <w:tcW w:w="878"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267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316" w:lineRule="auto"/>
              <w:ind w:left="24" w:right="120"/>
              <w:jc w:val="left"/>
              <w:rPr>
                <w:rFonts w:ascii="宋体" w:hAnsi="宋体" w:cs="宋体" w:eastAsia="宋体" w:hint="default"/>
                <w:sz w:val="18"/>
                <w:szCs w:val="18"/>
              </w:rPr>
            </w:pPr>
            <w:r>
              <w:rPr>
                <w:rFonts w:ascii="宋体" w:hAnsi="宋体" w:cs="宋体" w:eastAsia="宋体" w:hint="default"/>
                <w:sz w:val="18"/>
                <w:szCs w:val="18"/>
              </w:rPr>
              <w:t>基于多源信息融合的中央空调制 冷系统设备健康状况评估</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right="19"/>
              <w:jc w:val="right"/>
              <w:rPr>
                <w:rFonts w:ascii="Times New Roman" w:hAnsi="Times New Roman" w:cs="Times New Roman" w:eastAsia="Times New Roman" w:hint="default"/>
                <w:sz w:val="18"/>
                <w:szCs w:val="18"/>
              </w:rPr>
            </w:pPr>
            <w:r>
              <w:rPr>
                <w:rFonts w:ascii="Times New Roman"/>
                <w:spacing w:val="-1"/>
                <w:sz w:val="18"/>
              </w:rPr>
              <w:t>460,741.57</w:t>
            </w: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3" w:right="20"/>
              <w:jc w:val="both"/>
              <w:rPr>
                <w:rFonts w:ascii="宋体" w:hAnsi="宋体" w:cs="宋体" w:eastAsia="宋体" w:hint="default"/>
                <w:sz w:val="18"/>
                <w:szCs w:val="18"/>
              </w:rPr>
            </w:pPr>
            <w:r>
              <w:rPr>
                <w:rFonts w:ascii="宋体" w:hAnsi="宋体" w:cs="宋体" w:eastAsia="宋体" w:hint="default"/>
                <w:spacing w:val="-2"/>
                <w:sz w:val="18"/>
                <w:szCs w:val="18"/>
              </w:rPr>
              <w:t>故障、维护和运行等信息，并采用合适的数学模型分析处理这些</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数据信息，用定性或定量的指标来表征设备的运行状态，并根据</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评估结果，结合与同类设备的比较，提前制定相应的检修维护方</w:t>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3" w:right="0"/>
              <w:jc w:val="left"/>
              <w:rPr>
                <w:rFonts w:ascii="宋体" w:hAnsi="宋体" w:cs="宋体" w:eastAsia="宋体" w:hint="default"/>
                <w:sz w:val="18"/>
                <w:szCs w:val="18"/>
              </w:rPr>
            </w:pPr>
            <w:r>
              <w:rPr>
                <w:rFonts w:ascii="宋体" w:hAnsi="宋体" w:cs="宋体" w:eastAsia="宋体" w:hint="default"/>
                <w:sz w:val="18"/>
                <w:szCs w:val="18"/>
              </w:rPr>
              <w:t>开发中</w:t>
            </w:r>
          </w:p>
        </w:tc>
      </w:tr>
      <w:tr>
        <w:trPr>
          <w:trHeight w:val="357" w:hRule="exact"/>
        </w:trPr>
        <w:tc>
          <w:tcPr>
            <w:tcW w:w="2675" w:type="dxa"/>
            <w:tcBorders>
              <w:top w:val="nil" w:sz="6" w:space="0" w:color="auto"/>
              <w:left w:val="single" w:sz="4" w:space="0" w:color="000000"/>
              <w:bottom w:val="single" w:sz="4" w:space="0" w:color="000000"/>
              <w:right w:val="single" w:sz="4" w:space="0" w:color="000000"/>
            </w:tcBorders>
          </w:tcPr>
          <w:p>
            <w:pPr/>
          </w:p>
        </w:tc>
        <w:tc>
          <w:tcPr>
            <w:tcW w:w="1049" w:type="dxa"/>
            <w:tcBorders>
              <w:top w:val="nil" w:sz="6" w:space="0" w:color="auto"/>
              <w:left w:val="single" w:sz="4" w:space="0" w:color="000000"/>
              <w:bottom w:val="single" w:sz="4" w:space="0" w:color="000000"/>
              <w:right w:val="single" w:sz="4" w:space="0" w:color="000000"/>
            </w:tcBorders>
          </w:tcPr>
          <w:p>
            <w:pPr/>
          </w:p>
        </w:tc>
        <w:tc>
          <w:tcPr>
            <w:tcW w:w="50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案。</w:t>
            </w:r>
          </w:p>
        </w:tc>
        <w:tc>
          <w:tcPr>
            <w:tcW w:w="878" w:type="dxa"/>
            <w:tcBorders>
              <w:top w:val="nil" w:sz="6" w:space="0" w:color="auto"/>
              <w:left w:val="single" w:sz="4" w:space="0" w:color="000000"/>
              <w:bottom w:val="single" w:sz="4" w:space="0" w:color="000000"/>
              <w:right w:val="single" w:sz="4" w:space="0" w:color="000000"/>
            </w:tcBorders>
          </w:tcPr>
          <w:p>
            <w:pPr/>
          </w:p>
        </w:tc>
      </w:tr>
      <w:tr>
        <w:trPr>
          <w:trHeight w:val="361" w:hRule="exact"/>
        </w:trPr>
        <w:tc>
          <w:tcPr>
            <w:tcW w:w="2675" w:type="dxa"/>
            <w:tcBorders>
              <w:top w:val="single" w:sz="4" w:space="0" w:color="000000"/>
              <w:left w:val="single" w:sz="4" w:space="0" w:color="000000"/>
              <w:bottom w:val="nil" w:sz="6" w:space="0" w:color="auto"/>
              <w:right w:val="single" w:sz="4" w:space="0" w:color="000000"/>
            </w:tcBorders>
          </w:tcPr>
          <w:p>
            <w:pPr/>
          </w:p>
        </w:tc>
        <w:tc>
          <w:tcPr>
            <w:tcW w:w="1049" w:type="dxa"/>
            <w:tcBorders>
              <w:top w:val="single" w:sz="4" w:space="0" w:color="000000"/>
              <w:left w:val="single" w:sz="4" w:space="0" w:color="000000"/>
              <w:bottom w:val="nil" w:sz="6" w:space="0" w:color="auto"/>
              <w:right w:val="single" w:sz="4" w:space="0" w:color="000000"/>
            </w:tcBorders>
          </w:tcPr>
          <w:p>
            <w:pPr/>
          </w:p>
        </w:tc>
        <w:tc>
          <w:tcPr>
            <w:tcW w:w="50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城市轨道交通多线路中心及互联网支付管理平台系统，在自动</w:t>
            </w:r>
          </w:p>
        </w:tc>
        <w:tc>
          <w:tcPr>
            <w:tcW w:w="878" w:type="dxa"/>
            <w:tcBorders>
              <w:top w:val="single" w:sz="4" w:space="0" w:color="000000"/>
              <w:left w:val="single" w:sz="4" w:space="0" w:color="000000"/>
              <w:bottom w:val="nil" w:sz="6" w:space="0" w:color="auto"/>
              <w:right w:val="single" w:sz="4" w:space="0" w:color="000000"/>
            </w:tcBorders>
          </w:tcPr>
          <w:p>
            <w:pPr/>
          </w:p>
        </w:tc>
      </w:tr>
      <w:tr>
        <w:trPr>
          <w:trHeight w:val="311" w:hRule="exact"/>
        </w:trPr>
        <w:tc>
          <w:tcPr>
            <w:tcW w:w="2675"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8"/>
              <w:jc w:val="left"/>
              <w:rPr>
                <w:rFonts w:ascii="宋体" w:hAnsi="宋体" w:cs="宋体" w:eastAsia="宋体" w:hint="default"/>
                <w:sz w:val="18"/>
                <w:szCs w:val="18"/>
              </w:rPr>
            </w:pPr>
            <w:r>
              <w:rPr>
                <w:rFonts w:ascii="宋体" w:hAnsi="宋体" w:cs="宋体" w:eastAsia="宋体" w:hint="default"/>
                <w:sz w:val="18"/>
                <w:szCs w:val="18"/>
              </w:rPr>
              <w:t>售检票系统的车站计算机系统（</w:t>
            </w:r>
            <w:r>
              <w:rPr>
                <w:rFonts w:ascii="Times New Roman" w:hAnsi="Times New Roman" w:cs="Times New Roman" w:eastAsia="Times New Roman" w:hint="default"/>
                <w:w w:val="99"/>
                <w:sz w:val="18"/>
                <w:szCs w:val="18"/>
              </w:rPr>
              <w:t>S</w:t>
            </w:r>
            <w:r>
              <w:rPr>
                <w:rFonts w:ascii="Times New Roman" w:hAnsi="Times New Roman" w:cs="Times New Roman" w:eastAsia="Times New Roman" w:hint="default"/>
                <w:spacing w:val="-1"/>
                <w:w w:val="99"/>
                <w:sz w:val="18"/>
                <w:szCs w:val="18"/>
              </w:rPr>
              <w:t>C</w:t>
            </w:r>
            <w:r>
              <w:rPr>
                <w:rFonts w:ascii="宋体" w:hAnsi="宋体" w:cs="宋体" w:eastAsia="宋体" w:hint="default"/>
                <w:spacing w:val="-92"/>
                <w:sz w:val="18"/>
                <w:szCs w:val="18"/>
              </w:rPr>
              <w:t>）</w:t>
            </w:r>
            <w:r>
              <w:rPr>
                <w:rFonts w:ascii="宋体" w:hAnsi="宋体" w:cs="宋体" w:eastAsia="宋体" w:hint="default"/>
                <w:sz w:val="18"/>
                <w:szCs w:val="18"/>
              </w:rPr>
              <w:t>，以及线路中心系统（</w:t>
            </w:r>
            <w:r>
              <w:rPr>
                <w:rFonts w:ascii="Times New Roman" w:hAnsi="Times New Roman" w:cs="Times New Roman" w:eastAsia="Times New Roman" w:hint="default"/>
                <w:sz w:val="18"/>
                <w:szCs w:val="18"/>
              </w:rPr>
              <w:t>L</w:t>
            </w:r>
            <w:r>
              <w:rPr>
                <w:rFonts w:ascii="Times New Roman" w:hAnsi="Times New Roman" w:cs="Times New Roman" w:eastAsia="Times New Roman" w:hint="default"/>
                <w:spacing w:val="-1"/>
                <w:sz w:val="18"/>
                <w:szCs w:val="18"/>
              </w:rPr>
              <w:t>C</w:t>
            </w:r>
            <w:r>
              <w:rPr>
                <w:rFonts w:ascii="宋体" w:hAnsi="宋体" w:cs="宋体" w:eastAsia="宋体" w:hint="default"/>
                <w:sz w:val="18"/>
                <w:szCs w:val="18"/>
              </w:rPr>
              <w:t>）</w:t>
            </w:r>
          </w:p>
        </w:tc>
        <w:tc>
          <w:tcPr>
            <w:tcW w:w="878" w:type="dxa"/>
            <w:tcBorders>
              <w:top w:val="nil" w:sz="6" w:space="0" w:color="auto"/>
              <w:left w:val="single" w:sz="4" w:space="0" w:color="000000"/>
              <w:bottom w:val="nil" w:sz="6" w:space="0" w:color="auto"/>
              <w:right w:val="single" w:sz="4" w:space="0" w:color="000000"/>
            </w:tcBorders>
          </w:tcPr>
          <w:p>
            <w:pPr/>
          </w:p>
        </w:tc>
      </w:tr>
      <w:tr>
        <w:trPr>
          <w:trHeight w:val="936" w:hRule="exact"/>
        </w:trPr>
        <w:tc>
          <w:tcPr>
            <w:tcW w:w="2675"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314" w:lineRule="auto"/>
              <w:ind w:left="24" w:right="120"/>
              <w:jc w:val="left"/>
              <w:rPr>
                <w:rFonts w:ascii="宋体" w:hAnsi="宋体" w:cs="宋体" w:eastAsia="宋体" w:hint="default"/>
                <w:sz w:val="18"/>
                <w:szCs w:val="18"/>
              </w:rPr>
            </w:pPr>
            <w:r>
              <w:rPr>
                <w:rFonts w:ascii="宋体" w:hAnsi="宋体" w:cs="宋体" w:eastAsia="宋体" w:hint="default"/>
                <w:sz w:val="18"/>
                <w:szCs w:val="18"/>
              </w:rPr>
              <w:t>城市轨道交通多线路中心及互联 网支付管理平台</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19"/>
              <w:jc w:val="right"/>
              <w:rPr>
                <w:rFonts w:ascii="Times New Roman" w:hAnsi="Times New Roman" w:cs="Times New Roman" w:eastAsia="Times New Roman" w:hint="default"/>
                <w:sz w:val="18"/>
                <w:szCs w:val="18"/>
              </w:rPr>
            </w:pPr>
            <w:r>
              <w:rPr>
                <w:rFonts w:ascii="Times New Roman"/>
                <w:spacing w:val="-1"/>
                <w:sz w:val="18"/>
              </w:rPr>
              <w:t>348,983.14</w:t>
            </w: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300" w:lineRule="auto" w:before="5"/>
              <w:ind w:left="23" w:right="18"/>
              <w:jc w:val="left"/>
              <w:rPr>
                <w:rFonts w:ascii="Times New Roman" w:hAnsi="Times New Roman" w:cs="Times New Roman" w:eastAsia="Times New Roman" w:hint="default"/>
                <w:sz w:val="18"/>
                <w:szCs w:val="18"/>
              </w:rPr>
            </w:pPr>
            <w:r>
              <w:rPr>
                <w:rFonts w:ascii="宋体" w:hAnsi="宋体" w:cs="宋体" w:eastAsia="宋体" w:hint="default"/>
                <w:spacing w:val="-7"/>
                <w:sz w:val="18"/>
                <w:szCs w:val="18"/>
              </w:rPr>
              <w:t>的业务基础上，开发基于互联网支付的多线路中心平台（</w:t>
            </w:r>
            <w:r>
              <w:rPr>
                <w:rFonts w:ascii="Times New Roman" w:hAnsi="Times New Roman" w:cs="Times New Roman" w:eastAsia="Times New Roman" w:hint="default"/>
                <w:spacing w:val="-7"/>
                <w:sz w:val="18"/>
                <w:szCs w:val="18"/>
              </w:rPr>
              <w:t>CLC</w:t>
            </w:r>
            <w:r>
              <w:rPr>
                <w:rFonts w:ascii="宋体" w:hAnsi="宋体" w:cs="宋体" w:eastAsia="宋体" w:hint="default"/>
                <w:spacing w:val="-7"/>
                <w:sz w:val="18"/>
                <w:szCs w:val="18"/>
              </w:rPr>
              <w:t>）。</w:t>
            </w:r>
            <w:r>
              <w:rPr>
                <w:rFonts w:ascii="宋体" w:hAnsi="宋体" w:cs="宋体" w:eastAsia="宋体" w:hint="default"/>
                <w:spacing w:val="-84"/>
                <w:sz w:val="18"/>
                <w:szCs w:val="18"/>
              </w:rPr>
              <w:t> </w:t>
            </w:r>
            <w:r>
              <w:rPr>
                <w:rFonts w:ascii="宋体" w:hAnsi="宋体" w:cs="宋体" w:eastAsia="宋体" w:hint="default"/>
                <w:sz w:val="18"/>
                <w:szCs w:val="18"/>
              </w:rPr>
              <w:t>该平台系统通过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J2EE</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开发平台，采用</w:t>
            </w:r>
            <w:r>
              <w:rPr>
                <w:rFonts w:ascii="宋体" w:hAnsi="宋体" w:cs="宋体" w:eastAsia="宋体" w:hint="default"/>
                <w:spacing w:val="-46"/>
                <w:sz w:val="18"/>
                <w:szCs w:val="18"/>
              </w:rPr>
              <w:t> </w:t>
            </w:r>
            <w:r>
              <w:rPr>
                <w:rFonts w:ascii="Times New Roman" w:hAnsi="Times New Roman" w:cs="Times New Roman" w:eastAsia="Times New Roman" w:hint="default"/>
                <w:spacing w:val="-12"/>
                <w:sz w:val="18"/>
                <w:szCs w:val="18"/>
              </w:rPr>
              <w:t>JAVA</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开发语言，</w:t>
            </w:r>
            <w:r>
              <w:rPr>
                <w:rFonts w:ascii="Times New Roman" w:hAnsi="Times New Roman" w:cs="Times New Roman" w:eastAsia="Times New Roman" w:hint="default"/>
                <w:sz w:val="18"/>
                <w:szCs w:val="18"/>
              </w:rPr>
              <w:t>Oracle </w:t>
            </w:r>
            <w:r>
              <w:rPr>
                <w:rFonts w:ascii="宋体" w:hAnsi="宋体" w:cs="宋体" w:eastAsia="宋体" w:hint="default"/>
                <w:sz w:val="18"/>
                <w:szCs w:val="18"/>
              </w:rPr>
              <w:t>数据库，以及成熟的</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Spring</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框架，开发新一代跨平台先进的</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B/S</w:t>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3" w:right="0"/>
              <w:jc w:val="left"/>
              <w:rPr>
                <w:rFonts w:ascii="宋体" w:hAnsi="宋体" w:cs="宋体" w:eastAsia="宋体" w:hint="default"/>
                <w:sz w:val="18"/>
                <w:szCs w:val="18"/>
              </w:rPr>
            </w:pPr>
            <w:r>
              <w:rPr>
                <w:rFonts w:ascii="宋体" w:hAnsi="宋体" w:cs="宋体" w:eastAsia="宋体" w:hint="default"/>
                <w:sz w:val="18"/>
                <w:szCs w:val="18"/>
              </w:rPr>
              <w:t>已完成</w:t>
            </w:r>
          </w:p>
        </w:tc>
      </w:tr>
      <w:tr>
        <w:trPr>
          <w:trHeight w:val="312" w:hRule="exact"/>
        </w:trPr>
        <w:tc>
          <w:tcPr>
            <w:tcW w:w="2675"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架构的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AFC</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系统。主要包括线中心系统、支付管理系统、车站</w:t>
            </w:r>
          </w:p>
        </w:tc>
        <w:tc>
          <w:tcPr>
            <w:tcW w:w="878" w:type="dxa"/>
            <w:tcBorders>
              <w:top w:val="nil" w:sz="6" w:space="0" w:color="auto"/>
              <w:left w:val="single" w:sz="4" w:space="0" w:color="000000"/>
              <w:bottom w:val="nil" w:sz="6" w:space="0" w:color="auto"/>
              <w:right w:val="single" w:sz="4" w:space="0" w:color="000000"/>
            </w:tcBorders>
          </w:tcPr>
          <w:p>
            <w:pPr/>
          </w:p>
        </w:tc>
      </w:tr>
      <w:tr>
        <w:trPr>
          <w:trHeight w:val="356" w:hRule="exact"/>
        </w:trPr>
        <w:tc>
          <w:tcPr>
            <w:tcW w:w="2675" w:type="dxa"/>
            <w:tcBorders>
              <w:top w:val="nil" w:sz="6" w:space="0" w:color="auto"/>
              <w:left w:val="single" w:sz="4" w:space="0" w:color="000000"/>
              <w:bottom w:val="single" w:sz="4" w:space="0" w:color="000000"/>
              <w:right w:val="single" w:sz="4" w:space="0" w:color="000000"/>
            </w:tcBorders>
          </w:tcPr>
          <w:p>
            <w:pPr/>
          </w:p>
        </w:tc>
        <w:tc>
          <w:tcPr>
            <w:tcW w:w="1049" w:type="dxa"/>
            <w:tcBorders>
              <w:top w:val="nil" w:sz="6" w:space="0" w:color="auto"/>
              <w:left w:val="single" w:sz="4" w:space="0" w:color="000000"/>
              <w:bottom w:val="single" w:sz="4" w:space="0" w:color="000000"/>
              <w:right w:val="single" w:sz="4" w:space="0" w:color="000000"/>
            </w:tcBorders>
          </w:tcPr>
          <w:p>
            <w:pPr/>
          </w:p>
        </w:tc>
        <w:tc>
          <w:tcPr>
            <w:tcW w:w="50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管理系统、手机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APP </w:t>
            </w:r>
            <w:r>
              <w:rPr>
                <w:rFonts w:ascii="宋体" w:hAnsi="宋体" w:cs="宋体" w:eastAsia="宋体" w:hint="default"/>
                <w:sz w:val="18"/>
                <w:szCs w:val="18"/>
              </w:rPr>
              <w:t>应用软件等。</w:t>
            </w:r>
          </w:p>
        </w:tc>
        <w:tc>
          <w:tcPr>
            <w:tcW w:w="878" w:type="dxa"/>
            <w:tcBorders>
              <w:top w:val="nil" w:sz="6" w:space="0" w:color="auto"/>
              <w:left w:val="single" w:sz="4" w:space="0" w:color="000000"/>
              <w:bottom w:val="single" w:sz="4" w:space="0" w:color="000000"/>
              <w:right w:val="single" w:sz="4" w:space="0" w:color="000000"/>
            </w:tcBorders>
          </w:tcPr>
          <w:p>
            <w:pPr/>
          </w:p>
        </w:tc>
      </w:tr>
      <w:tr>
        <w:trPr>
          <w:trHeight w:val="355" w:hRule="exact"/>
        </w:trPr>
        <w:tc>
          <w:tcPr>
            <w:tcW w:w="2675" w:type="dxa"/>
            <w:tcBorders>
              <w:top w:val="single" w:sz="4" w:space="0" w:color="000000"/>
              <w:left w:val="single" w:sz="4" w:space="0" w:color="000000"/>
              <w:bottom w:val="nil" w:sz="6" w:space="0" w:color="auto"/>
              <w:right w:val="single" w:sz="4" w:space="0" w:color="000000"/>
            </w:tcBorders>
          </w:tcPr>
          <w:p>
            <w:pPr/>
          </w:p>
        </w:tc>
        <w:tc>
          <w:tcPr>
            <w:tcW w:w="1049" w:type="dxa"/>
            <w:tcBorders>
              <w:top w:val="single" w:sz="4" w:space="0" w:color="000000"/>
              <w:left w:val="single" w:sz="4" w:space="0" w:color="000000"/>
              <w:bottom w:val="nil" w:sz="6" w:space="0" w:color="auto"/>
              <w:right w:val="single" w:sz="4" w:space="0" w:color="000000"/>
            </w:tcBorders>
          </w:tcPr>
          <w:p>
            <w:pPr/>
          </w:p>
        </w:tc>
        <w:tc>
          <w:tcPr>
            <w:tcW w:w="50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城市轨道交通智慧运维设备健康管理平台系统，立足于现有的</w:t>
            </w:r>
          </w:p>
        </w:tc>
        <w:tc>
          <w:tcPr>
            <w:tcW w:w="878" w:type="dxa"/>
            <w:vMerge w:val="restart"/>
            <w:tcBorders>
              <w:top w:val="single" w:sz="4" w:space="0" w:color="000000"/>
              <w:left w:val="single" w:sz="4" w:space="0" w:color="000000"/>
              <w:right w:val="single" w:sz="4" w:space="0" w:color="000000"/>
            </w:tcBorders>
          </w:tcPr>
          <w:p>
            <w:pPr>
              <w:pStyle w:val="TableParagraph"/>
              <w:spacing w:line="1404" w:lineRule="exact"/>
              <w:ind w:left="2"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7"/>
                <w:sz w:val="20"/>
                <w:szCs w:val="20"/>
              </w:rPr>
              <w:pict>
                <v:group style="width:43.35pt;height:70.2pt;mso-position-horizontal-relative:char;mso-position-vertical-relative:line" coordorigin="0,0" coordsize="867,1404">
                  <v:group style="position:absolute;left:0;top:0;width:867;height:1404" coordorigin="0,0" coordsize="867,1404">
                    <v:shape style="position:absolute;left:0;top:0;width:867;height:1404" coordorigin="0,0" coordsize="867,1404" path="m0,1404l866,1404,866,0,0,0,0,1404xe" filled="true" fillcolor="#ffffff" stroked="false">
                      <v:path arrowok="t"/>
                      <v:fill type="solid"/>
                    </v:shape>
                  </v:group>
                </v:group>
              </w:pict>
            </w:r>
            <w:r>
              <w:rPr>
                <w:rFonts w:ascii="Times New Roman" w:hAnsi="Times New Roman" w:cs="Times New Roman" w:eastAsia="Times New Roman" w:hint="default"/>
                <w:position w:val="-27"/>
                <w:sz w:val="20"/>
                <w:szCs w:val="20"/>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0"/>
              <w:ind w:right="0"/>
              <w:jc w:val="left"/>
              <w:rPr>
                <w:rFonts w:ascii="Times New Roman" w:hAnsi="Times New Roman" w:cs="Times New Roman" w:eastAsia="Times New Roman" w:hint="default"/>
                <w:sz w:val="14"/>
                <w:szCs w:val="14"/>
              </w:rPr>
            </w:pPr>
          </w:p>
          <w:p>
            <w:pPr>
              <w:pStyle w:val="TableParagraph"/>
              <w:spacing w:line="1404" w:lineRule="exact"/>
              <w:ind w:left="2"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7"/>
                <w:sz w:val="20"/>
                <w:szCs w:val="20"/>
              </w:rPr>
              <w:pict>
                <v:group style="width:43.35pt;height:70.2pt;mso-position-horizontal-relative:char;mso-position-vertical-relative:line" coordorigin="0,0" coordsize="867,1404">
                  <v:group style="position:absolute;left:0;top:0;width:867;height:1404" coordorigin="0,0" coordsize="867,1404">
                    <v:shape style="position:absolute;left:0;top:0;width:867;height:1404" coordorigin="0,0" coordsize="867,1404" path="m0,1404l866,1404,866,0,0,0,0,1404xe" filled="true" fillcolor="#ffffff" stroked="false">
                      <v:path arrowok="t"/>
                      <v:fill type="solid"/>
                    </v:shape>
                  </v:group>
                </v:group>
              </w:pict>
            </w:r>
            <w:r>
              <w:rPr>
                <w:rFonts w:ascii="Times New Roman" w:hAnsi="Times New Roman" w:cs="Times New Roman" w:eastAsia="Times New Roman" w:hint="default"/>
                <w:position w:val="-27"/>
                <w:sz w:val="20"/>
                <w:szCs w:val="20"/>
              </w:rPr>
            </w:r>
          </w:p>
        </w:tc>
      </w:tr>
      <w:tr>
        <w:trPr>
          <w:trHeight w:val="317" w:hRule="exact"/>
        </w:trPr>
        <w:tc>
          <w:tcPr>
            <w:tcW w:w="2675"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AIS </w:t>
            </w:r>
            <w:r>
              <w:rPr>
                <w:rFonts w:ascii="宋体" w:hAnsi="宋体" w:cs="宋体" w:eastAsia="宋体" w:hint="default"/>
                <w:spacing w:val="-8"/>
                <w:sz w:val="18"/>
                <w:szCs w:val="18"/>
              </w:rPr>
              <w:t>系统、</w:t>
            </w:r>
            <w:r>
              <w:rPr>
                <w:rFonts w:ascii="Times New Roman" w:hAnsi="Times New Roman" w:cs="Times New Roman" w:eastAsia="Times New Roman" w:hint="default"/>
                <w:spacing w:val="-8"/>
                <w:sz w:val="18"/>
                <w:szCs w:val="18"/>
              </w:rPr>
              <w:t>BAS</w:t>
            </w:r>
            <w:r>
              <w:rPr>
                <w:rFonts w:ascii="Times New Roman" w:hAnsi="Times New Roman" w:cs="Times New Roman" w:eastAsia="Times New Roman" w:hint="default"/>
                <w:spacing w:val="8"/>
                <w:sz w:val="18"/>
                <w:szCs w:val="18"/>
              </w:rPr>
              <w:t> </w:t>
            </w:r>
            <w:r>
              <w:rPr>
                <w:rFonts w:ascii="宋体" w:hAnsi="宋体" w:cs="宋体" w:eastAsia="宋体" w:hint="default"/>
                <w:spacing w:val="-3"/>
                <w:sz w:val="18"/>
                <w:szCs w:val="18"/>
              </w:rPr>
              <w:t>系统等现有系统数据，以及电流数据、</w:t>
            </w:r>
          </w:p>
        </w:tc>
        <w:tc>
          <w:tcPr>
            <w:tcW w:w="878" w:type="dxa"/>
            <w:vMerge/>
            <w:tcBorders>
              <w:left w:val="single" w:sz="4" w:space="0" w:color="000000"/>
              <w:right w:val="single" w:sz="4" w:space="0" w:color="000000"/>
            </w:tcBorders>
          </w:tcPr>
          <w:p>
            <w:pPr/>
          </w:p>
        </w:tc>
      </w:tr>
      <w:tr>
        <w:trPr>
          <w:trHeight w:val="312" w:hRule="exact"/>
        </w:trPr>
        <w:tc>
          <w:tcPr>
            <w:tcW w:w="2675"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轴温数据及视频数据等，建立设备健康模型（</w:t>
            </w:r>
            <w:r>
              <w:rPr>
                <w:rFonts w:ascii="Times New Roman" w:hAnsi="Times New Roman" w:cs="Times New Roman" w:eastAsia="Times New Roman" w:hint="default"/>
                <w:spacing w:val="2"/>
                <w:w w:val="99"/>
                <w:sz w:val="18"/>
                <w:szCs w:val="18"/>
              </w:rPr>
              <w:t>P</w:t>
            </w:r>
            <w:r>
              <w:rPr>
                <w:rFonts w:ascii="Times New Roman" w:hAnsi="Times New Roman" w:cs="Times New Roman" w:eastAsia="Times New Roman" w:hint="default"/>
                <w:w w:val="99"/>
                <w:sz w:val="18"/>
                <w:szCs w:val="18"/>
              </w:rPr>
              <w:t>H</w:t>
            </w:r>
            <w:r>
              <w:rPr>
                <w:rFonts w:ascii="Times New Roman" w:hAnsi="Times New Roman" w:cs="Times New Roman" w:eastAsia="Times New Roman" w:hint="default"/>
                <w:spacing w:val="1"/>
                <w:w w:val="99"/>
                <w:sz w:val="18"/>
                <w:szCs w:val="18"/>
              </w:rPr>
              <w:t>M</w:t>
            </w:r>
            <w:r>
              <w:rPr>
                <w:rFonts w:ascii="宋体" w:hAnsi="宋体" w:cs="宋体" w:eastAsia="宋体" w:hint="default"/>
                <w:spacing w:val="-92"/>
                <w:sz w:val="18"/>
                <w:szCs w:val="18"/>
              </w:rPr>
              <w:t>）</w:t>
            </w:r>
            <w:r>
              <w:rPr>
                <w:rFonts w:ascii="宋体" w:hAnsi="宋体" w:cs="宋体" w:eastAsia="宋体" w:hint="default"/>
                <w:sz w:val="18"/>
                <w:szCs w:val="18"/>
              </w:rPr>
              <w:t>，分</w:t>
            </w:r>
            <w:r>
              <w:rPr>
                <w:rFonts w:ascii="宋体" w:hAnsi="宋体" w:cs="宋体" w:eastAsia="宋体" w:hint="default"/>
                <w:spacing w:val="-3"/>
                <w:sz w:val="18"/>
                <w:szCs w:val="18"/>
              </w:rPr>
              <w:t>析</w:t>
            </w:r>
            <w:r>
              <w:rPr>
                <w:rFonts w:ascii="宋体" w:hAnsi="宋体" w:cs="宋体" w:eastAsia="宋体" w:hint="default"/>
                <w:sz w:val="18"/>
                <w:szCs w:val="18"/>
              </w:rPr>
              <w:t>计算</w:t>
            </w:r>
          </w:p>
        </w:tc>
        <w:tc>
          <w:tcPr>
            <w:tcW w:w="878" w:type="dxa"/>
            <w:vMerge/>
            <w:tcBorders>
              <w:left w:val="single" w:sz="4" w:space="0" w:color="000000"/>
              <w:right w:val="single" w:sz="4" w:space="0" w:color="000000"/>
            </w:tcBorders>
          </w:tcPr>
          <w:p>
            <w:pPr/>
          </w:p>
        </w:tc>
      </w:tr>
      <w:tr>
        <w:trPr>
          <w:trHeight w:val="307" w:hRule="exact"/>
        </w:trPr>
        <w:tc>
          <w:tcPr>
            <w:tcW w:w="2675"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pacing w:val="-2"/>
                <w:sz w:val="18"/>
                <w:szCs w:val="18"/>
              </w:rPr>
              <w:t>出设备的健康度，从而计算出设备保养维修计划、以及寿命趋势</w:t>
            </w:r>
          </w:p>
        </w:tc>
        <w:tc>
          <w:tcPr>
            <w:tcW w:w="878" w:type="dxa"/>
            <w:vMerge/>
            <w:tcBorders>
              <w:left w:val="single" w:sz="4" w:space="0" w:color="000000"/>
              <w:right w:val="single" w:sz="4" w:space="0" w:color="000000"/>
            </w:tcBorders>
          </w:tcPr>
          <w:p>
            <w:pPr/>
          </w:p>
        </w:tc>
      </w:tr>
      <w:tr>
        <w:trPr>
          <w:trHeight w:val="629" w:hRule="exact"/>
        </w:trPr>
        <w:tc>
          <w:tcPr>
            <w:tcW w:w="2675"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4" w:right="118"/>
              <w:jc w:val="left"/>
              <w:rPr>
                <w:rFonts w:ascii="宋体" w:hAnsi="宋体" w:cs="宋体" w:eastAsia="宋体" w:hint="default"/>
                <w:sz w:val="18"/>
                <w:szCs w:val="18"/>
              </w:rPr>
            </w:pPr>
            <w:r>
              <w:rPr>
                <w:rFonts w:ascii="宋体" w:hAnsi="宋体" w:cs="宋体" w:eastAsia="宋体" w:hint="default"/>
                <w:sz w:val="18"/>
                <w:szCs w:val="18"/>
              </w:rPr>
              <w:t>城市轨道交通智慧运维设备健康 管理平台系统</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301,646.93</w:t>
            </w: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300" w:lineRule="auto" w:before="10"/>
              <w:ind w:left="23" w:right="19"/>
              <w:jc w:val="left"/>
              <w:rPr>
                <w:rFonts w:ascii="宋体" w:hAnsi="宋体" w:cs="宋体" w:eastAsia="宋体" w:hint="default"/>
                <w:sz w:val="18"/>
                <w:szCs w:val="18"/>
              </w:rPr>
            </w:pPr>
            <w:r>
              <w:rPr>
                <w:rFonts w:ascii="宋体" w:hAnsi="宋体" w:cs="宋体" w:eastAsia="宋体" w:hint="default"/>
                <w:sz w:val="18"/>
                <w:szCs w:val="18"/>
              </w:rPr>
              <w:t>等。该系统通过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J2EE</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开发平台，采用</w:t>
            </w:r>
            <w:r>
              <w:rPr>
                <w:rFonts w:ascii="宋体" w:hAnsi="宋体" w:cs="宋体" w:eastAsia="宋体" w:hint="default"/>
                <w:spacing w:val="-46"/>
                <w:sz w:val="18"/>
                <w:szCs w:val="18"/>
              </w:rPr>
              <w:t> </w:t>
            </w:r>
            <w:r>
              <w:rPr>
                <w:rFonts w:ascii="Times New Roman" w:hAnsi="Times New Roman" w:cs="Times New Roman" w:eastAsia="Times New Roman" w:hint="default"/>
                <w:spacing w:val="-12"/>
                <w:sz w:val="18"/>
                <w:szCs w:val="18"/>
              </w:rPr>
              <w:t>JAVA</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开发语言，</w:t>
            </w:r>
            <w:r>
              <w:rPr>
                <w:rFonts w:ascii="Times New Roman" w:hAnsi="Times New Roman" w:cs="Times New Roman" w:eastAsia="Times New Roman" w:hint="default"/>
                <w:sz w:val="18"/>
                <w:szCs w:val="18"/>
              </w:rPr>
              <w:t>Oracle </w:t>
            </w:r>
            <w:r>
              <w:rPr>
                <w:rFonts w:ascii="宋体" w:hAnsi="宋体" w:cs="宋体" w:eastAsia="宋体" w:hint="default"/>
                <w:spacing w:val="-4"/>
                <w:sz w:val="18"/>
                <w:szCs w:val="18"/>
              </w:rPr>
              <w:t>数据库，以及成熟的</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Spring</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框架，开发跨平台先进的</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B/S</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架构智</w:t>
            </w:r>
          </w:p>
        </w:tc>
        <w:tc>
          <w:tcPr>
            <w:tcW w:w="878" w:type="dxa"/>
            <w:vMerge/>
            <w:tcBorders>
              <w:left w:val="single" w:sz="4" w:space="0" w:color="000000"/>
              <w:right w:val="single" w:sz="4" w:space="0" w:color="000000"/>
            </w:tcBorders>
          </w:tcPr>
          <w:p>
            <w:pPr/>
          </w:p>
        </w:tc>
      </w:tr>
      <w:tr>
        <w:trPr>
          <w:trHeight w:val="307" w:hRule="exact"/>
        </w:trPr>
        <w:tc>
          <w:tcPr>
            <w:tcW w:w="2675"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pacing w:val="-2"/>
                <w:sz w:val="18"/>
                <w:szCs w:val="18"/>
              </w:rPr>
              <w:t>慧系统。通过监测运行设备的轴承温度、振动数据、电流数据等</w:t>
            </w:r>
          </w:p>
        </w:tc>
        <w:tc>
          <w:tcPr>
            <w:tcW w:w="878" w:type="dxa"/>
            <w:vMerge/>
            <w:tcBorders>
              <w:left w:val="single" w:sz="4" w:space="0" w:color="000000"/>
              <w:right w:val="single" w:sz="4" w:space="0" w:color="000000"/>
            </w:tcBorders>
          </w:tcPr>
          <w:p>
            <w:pPr/>
          </w:p>
        </w:tc>
      </w:tr>
      <w:tr>
        <w:trPr>
          <w:trHeight w:val="312" w:hRule="exact"/>
        </w:trPr>
        <w:tc>
          <w:tcPr>
            <w:tcW w:w="2675"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5"/>
                <w:sz w:val="18"/>
                <w:szCs w:val="18"/>
              </w:rPr>
              <w:t>信息，建立设备健康模型，对其进行分析，对比形成报表（</w:t>
            </w:r>
          </w:p>
        </w:tc>
        <w:tc>
          <w:tcPr>
            <w:tcW w:w="878" w:type="dxa"/>
            <w:vMerge/>
            <w:tcBorders>
              <w:left w:val="single" w:sz="4" w:space="0" w:color="000000"/>
              <w:right w:val="single" w:sz="4" w:space="0" w:color="000000"/>
            </w:tcBorders>
          </w:tcPr>
          <w:p>
            <w:pPr/>
          </w:p>
        </w:tc>
      </w:tr>
      <w:tr>
        <w:trPr>
          <w:trHeight w:val="312" w:hRule="exact"/>
        </w:trPr>
        <w:tc>
          <w:tcPr>
            <w:tcW w:w="2675"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月报、季报、年报</w:t>
            </w:r>
            <w:r>
              <w:rPr>
                <w:rFonts w:ascii="宋体" w:hAnsi="宋体" w:cs="宋体" w:eastAsia="宋体" w:hint="default"/>
                <w:spacing w:val="-92"/>
                <w:sz w:val="18"/>
                <w:szCs w:val="18"/>
              </w:rPr>
              <w:t>）</w:t>
            </w:r>
            <w:r>
              <w:rPr>
                <w:rFonts w:ascii="宋体" w:hAnsi="宋体" w:cs="宋体" w:eastAsia="宋体" w:hint="default"/>
                <w:sz w:val="18"/>
                <w:szCs w:val="18"/>
              </w:rPr>
              <w:t>、趋势图</w:t>
            </w:r>
            <w:r>
              <w:rPr>
                <w:rFonts w:ascii="宋体" w:hAnsi="宋体" w:cs="宋体" w:eastAsia="宋体" w:hint="default"/>
                <w:spacing w:val="2"/>
                <w:sz w:val="18"/>
                <w:szCs w:val="18"/>
              </w:rPr>
              <w:t>，</w:t>
            </w:r>
            <w:r>
              <w:rPr>
                <w:rFonts w:ascii="宋体" w:hAnsi="宋体" w:cs="宋体" w:eastAsia="宋体" w:hint="default"/>
                <w:sz w:val="18"/>
                <w:szCs w:val="18"/>
              </w:rPr>
              <w:t>设备故障预警、告警，自动派发</w:t>
            </w:r>
          </w:p>
        </w:tc>
        <w:tc>
          <w:tcPr>
            <w:tcW w:w="878" w:type="dxa"/>
            <w:vMerge/>
            <w:tcBorders>
              <w:left w:val="single" w:sz="4" w:space="0" w:color="000000"/>
              <w:right w:val="single" w:sz="4" w:space="0" w:color="000000"/>
            </w:tcBorders>
          </w:tcPr>
          <w:p>
            <w:pPr/>
          </w:p>
        </w:tc>
      </w:tr>
      <w:tr>
        <w:trPr>
          <w:trHeight w:val="357" w:hRule="exact"/>
        </w:trPr>
        <w:tc>
          <w:tcPr>
            <w:tcW w:w="2675" w:type="dxa"/>
            <w:tcBorders>
              <w:top w:val="nil" w:sz="6" w:space="0" w:color="auto"/>
              <w:left w:val="single" w:sz="4" w:space="0" w:color="000000"/>
              <w:bottom w:val="single" w:sz="4" w:space="0" w:color="000000"/>
              <w:right w:val="single" w:sz="4" w:space="0" w:color="000000"/>
            </w:tcBorders>
          </w:tcPr>
          <w:p>
            <w:pPr/>
          </w:p>
        </w:tc>
        <w:tc>
          <w:tcPr>
            <w:tcW w:w="1049" w:type="dxa"/>
            <w:tcBorders>
              <w:top w:val="nil" w:sz="6" w:space="0" w:color="auto"/>
              <w:left w:val="single" w:sz="4" w:space="0" w:color="000000"/>
              <w:bottom w:val="single" w:sz="4" w:space="0" w:color="000000"/>
              <w:right w:val="single" w:sz="4" w:space="0" w:color="000000"/>
            </w:tcBorders>
          </w:tcPr>
          <w:p>
            <w:pPr/>
          </w:p>
        </w:tc>
        <w:tc>
          <w:tcPr>
            <w:tcW w:w="50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工单等；实现远程上传，建立</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PC </w:t>
            </w:r>
            <w:r>
              <w:rPr>
                <w:rFonts w:ascii="宋体" w:hAnsi="宋体" w:cs="宋体" w:eastAsia="宋体" w:hint="default"/>
                <w:sz w:val="18"/>
                <w:szCs w:val="18"/>
              </w:rPr>
              <w:t>端、移动端平台，实时管理。</w:t>
            </w:r>
          </w:p>
        </w:tc>
        <w:tc>
          <w:tcPr>
            <w:tcW w:w="878" w:type="dxa"/>
            <w:vMerge/>
            <w:tcBorders>
              <w:left w:val="single" w:sz="4" w:space="0" w:color="000000"/>
              <w:bottom w:val="single" w:sz="4" w:space="0" w:color="000000"/>
              <w:right w:val="single" w:sz="4" w:space="0" w:color="000000"/>
            </w:tcBorders>
          </w:tcPr>
          <w:p>
            <w:pPr/>
          </w:p>
        </w:tc>
      </w:tr>
      <w:tr>
        <w:trPr>
          <w:trHeight w:val="357" w:hRule="exact"/>
        </w:trPr>
        <w:tc>
          <w:tcPr>
            <w:tcW w:w="2675" w:type="dxa"/>
            <w:tcBorders>
              <w:top w:val="single" w:sz="4" w:space="0" w:color="000000"/>
              <w:left w:val="single" w:sz="4" w:space="0" w:color="000000"/>
              <w:bottom w:val="nil" w:sz="6" w:space="0" w:color="auto"/>
              <w:right w:val="single" w:sz="4" w:space="0" w:color="000000"/>
            </w:tcBorders>
          </w:tcPr>
          <w:p>
            <w:pPr/>
          </w:p>
        </w:tc>
        <w:tc>
          <w:tcPr>
            <w:tcW w:w="1049" w:type="dxa"/>
            <w:tcBorders>
              <w:top w:val="single" w:sz="4" w:space="0" w:color="000000"/>
              <w:left w:val="single" w:sz="4" w:space="0" w:color="000000"/>
              <w:bottom w:val="nil" w:sz="6" w:space="0" w:color="auto"/>
              <w:right w:val="single" w:sz="4" w:space="0" w:color="000000"/>
            </w:tcBorders>
          </w:tcPr>
          <w:p>
            <w:pPr/>
          </w:p>
        </w:tc>
        <w:tc>
          <w:tcPr>
            <w:tcW w:w="50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pacing w:val="-2"/>
                <w:sz w:val="18"/>
                <w:szCs w:val="18"/>
              </w:rPr>
              <w:t>主要是围绕居民健康档案开展区域业务协同，实现以人为核心的</w:t>
            </w:r>
          </w:p>
        </w:tc>
        <w:tc>
          <w:tcPr>
            <w:tcW w:w="878" w:type="dxa"/>
            <w:tcBorders>
              <w:top w:val="single" w:sz="4" w:space="0" w:color="000000"/>
              <w:left w:val="single" w:sz="4" w:space="0" w:color="000000"/>
              <w:bottom w:val="nil" w:sz="6" w:space="0" w:color="auto"/>
              <w:right w:val="single" w:sz="4" w:space="0" w:color="000000"/>
            </w:tcBorders>
          </w:tcPr>
          <w:p>
            <w:pPr/>
          </w:p>
        </w:tc>
      </w:tr>
      <w:tr>
        <w:trPr>
          <w:trHeight w:val="311" w:hRule="exact"/>
        </w:trPr>
        <w:tc>
          <w:tcPr>
            <w:tcW w:w="2675"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pacing w:val="-2"/>
                <w:sz w:val="18"/>
                <w:szCs w:val="18"/>
              </w:rPr>
              <w:t>多条线业务联动。平台提供编排服务和业务规则服务等基础支撑</w:t>
            </w:r>
          </w:p>
        </w:tc>
        <w:tc>
          <w:tcPr>
            <w:tcW w:w="878"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2675"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统一协同平台</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9"/>
              <w:jc w:val="right"/>
              <w:rPr>
                <w:rFonts w:ascii="Times New Roman" w:hAnsi="Times New Roman" w:cs="Times New Roman" w:eastAsia="Times New Roman" w:hint="default"/>
                <w:sz w:val="18"/>
                <w:szCs w:val="18"/>
              </w:rPr>
            </w:pPr>
            <w:r>
              <w:rPr>
                <w:rFonts w:ascii="Times New Roman"/>
                <w:spacing w:val="-1"/>
                <w:sz w:val="18"/>
              </w:rPr>
              <w:t>355,475.12</w:t>
            </w: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34"/>
              <w:jc w:val="left"/>
              <w:rPr>
                <w:rFonts w:ascii="宋体" w:hAnsi="宋体" w:cs="宋体" w:eastAsia="宋体" w:hint="default"/>
                <w:sz w:val="18"/>
                <w:szCs w:val="18"/>
              </w:rPr>
            </w:pPr>
            <w:r>
              <w:rPr>
                <w:rFonts w:ascii="宋体" w:hAnsi="宋体" w:cs="宋体" w:eastAsia="宋体" w:hint="default"/>
                <w:spacing w:val="-6"/>
                <w:sz w:val="18"/>
                <w:szCs w:val="18"/>
              </w:rPr>
              <w:t>功能，实现事件驱动的自动化业务流程处理。通过企业服务总线、</w:t>
            </w:r>
            <w:r>
              <w:rPr>
                <w:rFonts w:ascii="宋体" w:hAnsi="宋体" w:cs="宋体" w:eastAsia="宋体" w:hint="default"/>
                <w:sz w:val="18"/>
                <w:szCs w:val="18"/>
              </w:rPr>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开发中</w:t>
            </w:r>
          </w:p>
        </w:tc>
      </w:tr>
      <w:tr>
        <w:trPr>
          <w:trHeight w:val="306" w:hRule="exact"/>
        </w:trPr>
        <w:tc>
          <w:tcPr>
            <w:tcW w:w="2675"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single" w:sz="4" w:space="0" w:color="000000"/>
            </w:tcBorders>
          </w:tcPr>
          <w:p>
            <w:pP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宋体" w:hAnsi="宋体" w:cs="宋体" w:eastAsia="宋体" w:hint="default"/>
                <w:sz w:val="18"/>
                <w:szCs w:val="18"/>
              </w:rPr>
            </w:pPr>
            <w:r>
              <w:rPr>
                <w:rFonts w:ascii="宋体" w:hAnsi="宋体" w:cs="宋体" w:eastAsia="宋体" w:hint="default"/>
                <w:spacing w:val="-2"/>
                <w:sz w:val="18"/>
                <w:szCs w:val="18"/>
              </w:rPr>
              <w:t>业务流程管理、业务规则管理、事件管理等机制，实现业务协同</w:t>
            </w:r>
          </w:p>
        </w:tc>
        <w:tc>
          <w:tcPr>
            <w:tcW w:w="878" w:type="dxa"/>
            <w:tcBorders>
              <w:top w:val="nil" w:sz="6" w:space="0" w:color="auto"/>
              <w:left w:val="single" w:sz="4" w:space="0" w:color="000000"/>
              <w:bottom w:val="nil" w:sz="6" w:space="0" w:color="auto"/>
              <w:right w:val="single" w:sz="4" w:space="0" w:color="000000"/>
            </w:tcBorders>
          </w:tcPr>
          <w:p>
            <w:pPr/>
          </w:p>
        </w:tc>
      </w:tr>
      <w:tr>
        <w:trPr>
          <w:trHeight w:val="360" w:hRule="exact"/>
        </w:trPr>
        <w:tc>
          <w:tcPr>
            <w:tcW w:w="2675" w:type="dxa"/>
            <w:tcBorders>
              <w:top w:val="nil" w:sz="6" w:space="0" w:color="auto"/>
              <w:left w:val="single" w:sz="4" w:space="0" w:color="000000"/>
              <w:bottom w:val="single" w:sz="4" w:space="0" w:color="000000"/>
              <w:right w:val="single" w:sz="4" w:space="0" w:color="000000"/>
            </w:tcBorders>
          </w:tcPr>
          <w:p>
            <w:pPr/>
          </w:p>
        </w:tc>
        <w:tc>
          <w:tcPr>
            <w:tcW w:w="1049" w:type="dxa"/>
            <w:tcBorders>
              <w:top w:val="nil" w:sz="6" w:space="0" w:color="auto"/>
              <w:left w:val="single" w:sz="4" w:space="0" w:color="000000"/>
              <w:bottom w:val="single" w:sz="4" w:space="0" w:color="000000"/>
              <w:right w:val="single" w:sz="4" w:space="0" w:color="000000"/>
            </w:tcBorders>
          </w:tcPr>
          <w:p>
            <w:pPr/>
          </w:p>
        </w:tc>
        <w:tc>
          <w:tcPr>
            <w:tcW w:w="50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服务</w:t>
            </w:r>
          </w:p>
        </w:tc>
        <w:tc>
          <w:tcPr>
            <w:tcW w:w="878" w:type="dxa"/>
            <w:tcBorders>
              <w:top w:val="nil" w:sz="6" w:space="0" w:color="auto"/>
              <w:left w:val="single" w:sz="4" w:space="0" w:color="000000"/>
              <w:bottom w:val="single" w:sz="4" w:space="0" w:color="000000"/>
              <w:right w:val="single" w:sz="4" w:space="0" w:color="000000"/>
            </w:tcBorders>
          </w:tcPr>
          <w:p>
            <w:pPr/>
          </w:p>
        </w:tc>
      </w:tr>
      <w:tr>
        <w:trPr>
          <w:trHeight w:val="355" w:hRule="exact"/>
        </w:trPr>
        <w:tc>
          <w:tcPr>
            <w:tcW w:w="2675" w:type="dxa"/>
            <w:tcBorders>
              <w:top w:val="single" w:sz="4" w:space="0" w:color="000000"/>
              <w:left w:val="single" w:sz="4" w:space="0" w:color="000000"/>
              <w:bottom w:val="nil" w:sz="6" w:space="0" w:color="auto"/>
              <w:right w:val="single" w:sz="4" w:space="0" w:color="000000"/>
            </w:tcBorders>
          </w:tcPr>
          <w:p>
            <w:pPr/>
          </w:p>
        </w:tc>
        <w:tc>
          <w:tcPr>
            <w:tcW w:w="1049" w:type="dxa"/>
            <w:tcBorders>
              <w:top w:val="single" w:sz="4" w:space="0" w:color="000000"/>
              <w:left w:val="single" w:sz="4" w:space="0" w:color="000000"/>
              <w:bottom w:val="nil" w:sz="6" w:space="0" w:color="auto"/>
              <w:right w:val="single" w:sz="4" w:space="0" w:color="000000"/>
            </w:tcBorders>
          </w:tcPr>
          <w:p>
            <w:pPr/>
          </w:p>
        </w:tc>
        <w:tc>
          <w:tcPr>
            <w:tcW w:w="50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pacing w:val="-2"/>
                <w:sz w:val="18"/>
                <w:szCs w:val="18"/>
              </w:rPr>
              <w:t>本项目建立基于边缘计算的轨道交通节能控制系统，对整个地铁</w:t>
            </w:r>
          </w:p>
        </w:tc>
        <w:tc>
          <w:tcPr>
            <w:tcW w:w="878" w:type="dxa"/>
            <w:tcBorders>
              <w:top w:val="single" w:sz="4" w:space="0" w:color="000000"/>
              <w:left w:val="single" w:sz="4" w:space="0" w:color="000000"/>
              <w:bottom w:val="nil" w:sz="6" w:space="0" w:color="auto"/>
              <w:right w:val="single" w:sz="4" w:space="0" w:color="000000"/>
            </w:tcBorders>
          </w:tcPr>
          <w:p>
            <w:pPr/>
          </w:p>
        </w:tc>
      </w:tr>
      <w:tr>
        <w:trPr>
          <w:trHeight w:val="624" w:hRule="exact"/>
        </w:trPr>
        <w:tc>
          <w:tcPr>
            <w:tcW w:w="2675"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4" w:right="120"/>
              <w:jc w:val="left"/>
              <w:rPr>
                <w:rFonts w:ascii="宋体" w:hAnsi="宋体" w:cs="宋体" w:eastAsia="宋体" w:hint="default"/>
                <w:sz w:val="18"/>
                <w:szCs w:val="18"/>
              </w:rPr>
            </w:pPr>
            <w:r>
              <w:rPr>
                <w:rFonts w:ascii="宋体" w:hAnsi="宋体" w:cs="宋体" w:eastAsia="宋体" w:hint="default"/>
                <w:sz w:val="18"/>
                <w:szCs w:val="18"/>
              </w:rPr>
              <w:t>基于边缘计算的轨道交通节能控 制系统</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249,424.29</w:t>
            </w: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3" w:right="20"/>
              <w:jc w:val="left"/>
              <w:rPr>
                <w:rFonts w:ascii="宋体" w:hAnsi="宋体" w:cs="宋体" w:eastAsia="宋体" w:hint="default"/>
                <w:sz w:val="18"/>
                <w:szCs w:val="18"/>
              </w:rPr>
            </w:pPr>
            <w:r>
              <w:rPr>
                <w:rFonts w:ascii="宋体" w:hAnsi="宋体" w:cs="宋体" w:eastAsia="宋体" w:hint="default"/>
                <w:spacing w:val="-2"/>
                <w:sz w:val="18"/>
                <w:szCs w:val="18"/>
              </w:rPr>
              <w:t>站能耗系统运行信息进行全面的采集和综合分析处理，对空调末</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端设备、空调机组及冷热源设备进行整体优化控制，实现三者的</w:t>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开发中</w:t>
            </w:r>
          </w:p>
        </w:tc>
      </w:tr>
      <w:tr>
        <w:trPr>
          <w:trHeight w:val="357" w:hRule="exact"/>
        </w:trPr>
        <w:tc>
          <w:tcPr>
            <w:tcW w:w="2675" w:type="dxa"/>
            <w:tcBorders>
              <w:top w:val="nil" w:sz="6" w:space="0" w:color="auto"/>
              <w:left w:val="single" w:sz="4" w:space="0" w:color="000000"/>
              <w:bottom w:val="single" w:sz="4" w:space="0" w:color="000000"/>
              <w:right w:val="single" w:sz="4" w:space="0" w:color="000000"/>
            </w:tcBorders>
          </w:tcPr>
          <w:p>
            <w:pPr/>
          </w:p>
        </w:tc>
        <w:tc>
          <w:tcPr>
            <w:tcW w:w="1049" w:type="dxa"/>
            <w:tcBorders>
              <w:top w:val="nil" w:sz="6" w:space="0" w:color="auto"/>
              <w:left w:val="single" w:sz="4" w:space="0" w:color="000000"/>
              <w:bottom w:val="single" w:sz="4" w:space="0" w:color="000000"/>
              <w:right w:val="single" w:sz="4" w:space="0" w:color="000000"/>
            </w:tcBorders>
          </w:tcPr>
          <w:p>
            <w:pPr/>
          </w:p>
        </w:tc>
        <w:tc>
          <w:tcPr>
            <w:tcW w:w="50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协调运行，最大限度地降低地铁能耗系统的能耗。</w:t>
            </w:r>
          </w:p>
        </w:tc>
        <w:tc>
          <w:tcPr>
            <w:tcW w:w="878"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2675" w:type="dxa"/>
            <w:tcBorders>
              <w:top w:val="single" w:sz="4" w:space="0" w:color="000000"/>
              <w:left w:val="single" w:sz="4" w:space="0" w:color="000000"/>
              <w:bottom w:val="nil" w:sz="6" w:space="0" w:color="auto"/>
              <w:right w:val="single" w:sz="4" w:space="0" w:color="000000"/>
            </w:tcBorders>
          </w:tcPr>
          <w:p>
            <w:pPr/>
          </w:p>
        </w:tc>
        <w:tc>
          <w:tcPr>
            <w:tcW w:w="1049" w:type="dxa"/>
            <w:tcBorders>
              <w:top w:val="single" w:sz="4" w:space="0" w:color="000000"/>
              <w:left w:val="single" w:sz="4" w:space="0" w:color="000000"/>
              <w:bottom w:val="nil" w:sz="6" w:space="0" w:color="auto"/>
              <w:right w:val="single" w:sz="4" w:space="0" w:color="000000"/>
            </w:tcBorders>
          </w:tcPr>
          <w:p>
            <w:pPr/>
          </w:p>
        </w:tc>
        <w:tc>
          <w:tcPr>
            <w:tcW w:w="50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pacing w:val="-2"/>
                <w:sz w:val="18"/>
                <w:szCs w:val="18"/>
              </w:rPr>
              <w:t>本项目基于中央空调运行过程中积累的大量运行数据，对空调系</w:t>
            </w:r>
          </w:p>
        </w:tc>
        <w:tc>
          <w:tcPr>
            <w:tcW w:w="878" w:type="dxa"/>
            <w:tcBorders>
              <w:top w:val="single" w:sz="4" w:space="0" w:color="000000"/>
              <w:left w:val="single" w:sz="4" w:space="0" w:color="000000"/>
              <w:bottom w:val="nil" w:sz="6" w:space="0" w:color="auto"/>
              <w:right w:val="single" w:sz="4" w:space="0" w:color="000000"/>
            </w:tcBorders>
          </w:tcPr>
          <w:p>
            <w:pPr/>
          </w:p>
        </w:tc>
      </w:tr>
      <w:tr>
        <w:trPr>
          <w:trHeight w:val="623" w:hRule="exact"/>
        </w:trPr>
        <w:tc>
          <w:tcPr>
            <w:tcW w:w="2675" w:type="dxa"/>
            <w:tcBorders>
              <w:top w:val="nil" w:sz="6" w:space="0" w:color="auto"/>
              <w:left w:val="single" w:sz="4" w:space="0" w:color="000000"/>
              <w:bottom w:val="nil" w:sz="6" w:space="0" w:color="auto"/>
              <w:right w:val="single" w:sz="4" w:space="0" w:color="000000"/>
            </w:tcBorders>
          </w:tcPr>
          <w:p>
            <w:pPr>
              <w:pStyle w:val="TableParagraph"/>
              <w:spacing w:line="314" w:lineRule="auto" w:before="11"/>
              <w:ind w:left="24" w:right="120"/>
              <w:jc w:val="left"/>
              <w:rPr>
                <w:rFonts w:ascii="宋体" w:hAnsi="宋体" w:cs="宋体" w:eastAsia="宋体" w:hint="default"/>
                <w:sz w:val="18"/>
                <w:szCs w:val="18"/>
              </w:rPr>
            </w:pPr>
            <w:r>
              <w:rPr>
                <w:rFonts w:ascii="宋体" w:hAnsi="宋体" w:cs="宋体" w:eastAsia="宋体" w:hint="default"/>
                <w:sz w:val="18"/>
                <w:szCs w:val="18"/>
              </w:rPr>
              <w:t>基于强化学习的中央空调制冷系 统优化控制平台</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1,191,727.38</w:t>
            </w: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316" w:lineRule="auto" w:before="9"/>
              <w:ind w:left="23" w:right="-7"/>
              <w:jc w:val="left"/>
              <w:rPr>
                <w:rFonts w:ascii="宋体" w:hAnsi="宋体" w:cs="宋体" w:eastAsia="宋体" w:hint="default"/>
                <w:sz w:val="18"/>
                <w:szCs w:val="18"/>
              </w:rPr>
            </w:pPr>
            <w:r>
              <w:rPr>
                <w:rFonts w:ascii="宋体" w:hAnsi="宋体" w:cs="宋体" w:eastAsia="宋体" w:hint="default"/>
                <w:sz w:val="18"/>
                <w:szCs w:val="18"/>
              </w:rPr>
              <w:t>统的监测和运行数据进行分析，挖掘空调系统自身运行的特性。 </w:t>
            </w:r>
            <w:r>
              <w:rPr>
                <w:rFonts w:ascii="宋体" w:hAnsi="宋体" w:cs="宋体" w:eastAsia="宋体" w:hint="default"/>
                <w:spacing w:val="-2"/>
                <w:sz w:val="18"/>
                <w:szCs w:val="18"/>
              </w:rPr>
              <w:t>通过深度强化学习技术，为中央空调制冷系统提供更好的控制策</w:t>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开发中</w:t>
            </w:r>
          </w:p>
        </w:tc>
      </w:tr>
      <w:tr>
        <w:trPr>
          <w:trHeight w:val="360" w:hRule="exact"/>
        </w:trPr>
        <w:tc>
          <w:tcPr>
            <w:tcW w:w="2675" w:type="dxa"/>
            <w:tcBorders>
              <w:top w:val="nil" w:sz="6" w:space="0" w:color="auto"/>
              <w:left w:val="single" w:sz="4" w:space="0" w:color="000000"/>
              <w:bottom w:val="single" w:sz="4" w:space="0" w:color="000000"/>
              <w:right w:val="single" w:sz="4" w:space="0" w:color="000000"/>
            </w:tcBorders>
          </w:tcPr>
          <w:p>
            <w:pPr/>
          </w:p>
        </w:tc>
        <w:tc>
          <w:tcPr>
            <w:tcW w:w="1049" w:type="dxa"/>
            <w:tcBorders>
              <w:top w:val="nil" w:sz="6" w:space="0" w:color="auto"/>
              <w:left w:val="single" w:sz="4" w:space="0" w:color="000000"/>
              <w:bottom w:val="single" w:sz="4" w:space="0" w:color="000000"/>
              <w:right w:val="single" w:sz="4" w:space="0" w:color="000000"/>
            </w:tcBorders>
          </w:tcPr>
          <w:p>
            <w:pPr/>
          </w:p>
        </w:tc>
        <w:tc>
          <w:tcPr>
            <w:tcW w:w="50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略，从而实现空调系统的节能，减少能源消耗。</w:t>
            </w:r>
          </w:p>
        </w:tc>
        <w:tc>
          <w:tcPr>
            <w:tcW w:w="878" w:type="dxa"/>
            <w:tcBorders>
              <w:top w:val="nil" w:sz="6" w:space="0" w:color="auto"/>
              <w:left w:val="single" w:sz="4" w:space="0" w:color="000000"/>
              <w:bottom w:val="single" w:sz="4" w:space="0" w:color="000000"/>
              <w:right w:val="single" w:sz="4" w:space="0" w:color="000000"/>
            </w:tcBorders>
          </w:tcPr>
          <w:p>
            <w:pPr/>
          </w:p>
        </w:tc>
      </w:tr>
      <w:tr>
        <w:trPr>
          <w:trHeight w:val="360" w:hRule="exact"/>
        </w:trPr>
        <w:tc>
          <w:tcPr>
            <w:tcW w:w="2675" w:type="dxa"/>
            <w:tcBorders>
              <w:top w:val="single" w:sz="4" w:space="0" w:color="000000"/>
              <w:left w:val="single" w:sz="4" w:space="0" w:color="000000"/>
              <w:bottom w:val="nil" w:sz="6" w:space="0" w:color="auto"/>
              <w:right w:val="single" w:sz="4" w:space="0" w:color="000000"/>
            </w:tcBorders>
          </w:tcPr>
          <w:p>
            <w:pPr/>
          </w:p>
        </w:tc>
        <w:tc>
          <w:tcPr>
            <w:tcW w:w="1049" w:type="dxa"/>
            <w:tcBorders>
              <w:top w:val="single" w:sz="4" w:space="0" w:color="000000"/>
              <w:left w:val="single" w:sz="4" w:space="0" w:color="000000"/>
              <w:bottom w:val="nil" w:sz="6" w:space="0" w:color="auto"/>
              <w:right w:val="single" w:sz="4" w:space="0" w:color="000000"/>
            </w:tcBorders>
          </w:tcPr>
          <w:p>
            <w:pPr/>
          </w:p>
        </w:tc>
        <w:tc>
          <w:tcPr>
            <w:tcW w:w="50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本项目在</w:t>
            </w:r>
            <w:r>
              <w:rPr>
                <w:rFonts w:ascii="Times New Roman" w:hAnsi="Times New Roman" w:cs="Times New Roman" w:eastAsia="Times New Roman" w:hint="default"/>
                <w:sz w:val="18"/>
                <w:szCs w:val="18"/>
              </w:rPr>
              <w:t>"</w:t>
            </w:r>
            <w:r>
              <w:rPr>
                <w:rFonts w:ascii="宋体" w:hAnsi="宋体" w:cs="宋体" w:eastAsia="宋体" w:hint="default"/>
                <w:sz w:val="18"/>
                <w:szCs w:val="18"/>
              </w:rPr>
              <w:t>云边端</w:t>
            </w:r>
            <w:r>
              <w:rPr>
                <w:rFonts w:ascii="Times New Roman" w:hAnsi="Times New Roman" w:cs="Times New Roman" w:eastAsia="Times New Roman" w:hint="default"/>
                <w:sz w:val="18"/>
                <w:szCs w:val="18"/>
              </w:rPr>
              <w:t>"</w:t>
            </w:r>
            <w:r>
              <w:rPr>
                <w:rFonts w:ascii="宋体" w:hAnsi="宋体" w:cs="宋体" w:eastAsia="宋体" w:hint="default"/>
                <w:sz w:val="18"/>
                <w:szCs w:val="18"/>
              </w:rPr>
              <w:t>协同计算体系框架上部署新型的能耗管理及故</w:t>
            </w:r>
          </w:p>
        </w:tc>
        <w:tc>
          <w:tcPr>
            <w:tcW w:w="878"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2675" w:type="dxa"/>
            <w:tcBorders>
              <w:top w:val="nil" w:sz="6" w:space="0" w:color="auto"/>
              <w:left w:val="single" w:sz="4" w:space="0" w:color="000000"/>
              <w:bottom w:val="nil" w:sz="6" w:space="0" w:color="auto"/>
              <w:right w:val="single" w:sz="4" w:space="0" w:color="000000"/>
            </w:tcBorders>
          </w:tcPr>
          <w:p>
            <w:pPr>
              <w:pStyle w:val="TableParagraph"/>
              <w:spacing w:line="300" w:lineRule="auto" w:before="161"/>
              <w:ind w:left="24" w:right="152"/>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云边端</w:t>
            </w:r>
            <w:r>
              <w:rPr>
                <w:rFonts w:ascii="Times New Roman" w:hAnsi="Times New Roman" w:cs="Times New Roman" w:eastAsia="Times New Roman" w:hint="default"/>
                <w:sz w:val="18"/>
                <w:szCs w:val="18"/>
              </w:rPr>
              <w:t>"</w:t>
            </w:r>
            <w:r>
              <w:rPr>
                <w:rFonts w:ascii="宋体" w:hAnsi="宋体" w:cs="宋体" w:eastAsia="宋体" w:hint="default"/>
                <w:sz w:val="18"/>
                <w:szCs w:val="18"/>
              </w:rPr>
              <w:t>协同计算体系下的能耗 管理及故障诊断平台</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right="19"/>
              <w:jc w:val="right"/>
              <w:rPr>
                <w:rFonts w:ascii="Times New Roman" w:hAnsi="Times New Roman" w:cs="Times New Roman" w:eastAsia="Times New Roman" w:hint="default"/>
                <w:sz w:val="18"/>
                <w:szCs w:val="18"/>
              </w:rPr>
            </w:pPr>
            <w:r>
              <w:rPr>
                <w:rFonts w:ascii="Times New Roman"/>
                <w:spacing w:val="-1"/>
                <w:sz w:val="18"/>
              </w:rPr>
              <w:t>713,639.13</w:t>
            </w:r>
          </w:p>
        </w:tc>
        <w:tc>
          <w:tcPr>
            <w:tcW w:w="5067" w:type="dxa"/>
            <w:tcBorders>
              <w:top w:val="nil" w:sz="6" w:space="0" w:color="auto"/>
              <w:left w:val="single" w:sz="4" w:space="0" w:color="000000"/>
              <w:bottom w:val="nil" w:sz="6" w:space="0" w:color="auto"/>
              <w:right w:val="single" w:sz="4" w:space="0" w:color="000000"/>
            </w:tcBorders>
          </w:tcPr>
          <w:p>
            <w:pPr>
              <w:pStyle w:val="TableParagraph"/>
              <w:spacing w:line="316" w:lineRule="auto" w:before="5"/>
              <w:ind w:left="23" w:right="-7"/>
              <w:jc w:val="both"/>
              <w:rPr>
                <w:rFonts w:ascii="宋体" w:hAnsi="宋体" w:cs="宋体" w:eastAsia="宋体" w:hint="default"/>
                <w:sz w:val="18"/>
                <w:szCs w:val="18"/>
              </w:rPr>
            </w:pPr>
            <w:r>
              <w:rPr>
                <w:rFonts w:ascii="宋体" w:hAnsi="宋体" w:cs="宋体" w:eastAsia="宋体" w:hint="default"/>
                <w:spacing w:val="-2"/>
                <w:sz w:val="18"/>
                <w:szCs w:val="18"/>
              </w:rPr>
              <w:t>障诊断平台，利用云平台的强大算力以及边缘控制器的快速能力</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实时掌握系统运行情况、及时快速的对系统设备故障进行诊断， 采取相应的运维管理措施</w:t>
            </w:r>
            <w:r>
              <w:rPr>
                <w:rFonts w:ascii="Times New Roman" w:hAnsi="Times New Roman" w:cs="Times New Roman" w:eastAsia="Times New Roman" w:hint="default"/>
                <w:sz w:val="18"/>
                <w:szCs w:val="18"/>
              </w:rPr>
              <w:t>,</w:t>
            </w:r>
            <w:r>
              <w:rPr>
                <w:rFonts w:ascii="宋体" w:hAnsi="宋体" w:cs="宋体" w:eastAsia="宋体" w:hint="default"/>
                <w:sz w:val="18"/>
                <w:szCs w:val="18"/>
              </w:rPr>
              <w:t>使能源系统尽可能运行在最佳状态</w:t>
            </w:r>
            <w:r>
              <w:rPr>
                <w:rFonts w:ascii="Times New Roman" w:hAnsi="Times New Roman" w:cs="Times New Roman" w:eastAsia="Times New Roman" w:hint="default"/>
                <w:sz w:val="18"/>
                <w:szCs w:val="18"/>
              </w:rPr>
              <w:t>,</w:t>
            </w:r>
            <w:r>
              <w:rPr>
                <w:rFonts w:ascii="宋体" w:hAnsi="宋体" w:cs="宋体" w:eastAsia="宋体" w:hint="default"/>
                <w:sz w:val="18"/>
                <w:szCs w:val="18"/>
              </w:rPr>
              <w:t>并</w:t>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23" w:right="0"/>
              <w:jc w:val="left"/>
              <w:rPr>
                <w:rFonts w:ascii="宋体" w:hAnsi="宋体" w:cs="宋体" w:eastAsia="宋体" w:hint="default"/>
                <w:sz w:val="18"/>
                <w:szCs w:val="18"/>
              </w:rPr>
            </w:pPr>
            <w:r>
              <w:rPr>
                <w:rFonts w:ascii="宋体" w:hAnsi="宋体" w:cs="宋体" w:eastAsia="宋体" w:hint="default"/>
                <w:sz w:val="18"/>
                <w:szCs w:val="18"/>
              </w:rPr>
              <w:t>开发中</w:t>
            </w:r>
          </w:p>
        </w:tc>
      </w:tr>
      <w:tr>
        <w:trPr>
          <w:trHeight w:val="353" w:hRule="exact"/>
        </w:trPr>
        <w:tc>
          <w:tcPr>
            <w:tcW w:w="2675" w:type="dxa"/>
            <w:tcBorders>
              <w:top w:val="nil" w:sz="6" w:space="0" w:color="auto"/>
              <w:left w:val="single" w:sz="4" w:space="0" w:color="000000"/>
              <w:bottom w:val="single" w:sz="4" w:space="0" w:color="000000"/>
              <w:right w:val="single" w:sz="4" w:space="0" w:color="000000"/>
            </w:tcBorders>
          </w:tcPr>
          <w:p>
            <w:pPr/>
          </w:p>
        </w:tc>
        <w:tc>
          <w:tcPr>
            <w:tcW w:w="1049" w:type="dxa"/>
            <w:tcBorders>
              <w:top w:val="nil" w:sz="6" w:space="0" w:color="auto"/>
              <w:left w:val="single" w:sz="4" w:space="0" w:color="000000"/>
              <w:bottom w:val="single" w:sz="4" w:space="0" w:color="000000"/>
              <w:right w:val="single" w:sz="4" w:space="0" w:color="000000"/>
            </w:tcBorders>
          </w:tcPr>
          <w:p>
            <w:pPr/>
          </w:p>
        </w:tc>
        <w:tc>
          <w:tcPr>
            <w:tcW w:w="50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将事故的影响降到最低。</w:t>
            </w:r>
          </w:p>
        </w:tc>
        <w:tc>
          <w:tcPr>
            <w:tcW w:w="878" w:type="dxa"/>
            <w:tcBorders>
              <w:top w:val="nil" w:sz="6" w:space="0" w:color="auto"/>
              <w:left w:val="single" w:sz="4" w:space="0" w:color="000000"/>
              <w:bottom w:val="single" w:sz="4" w:space="0" w:color="000000"/>
              <w:right w:val="single" w:sz="4" w:space="0" w:color="000000"/>
            </w:tcBorders>
          </w:tcPr>
          <w:p>
            <w:pPr/>
          </w:p>
        </w:tc>
      </w:tr>
      <w:tr>
        <w:trPr>
          <w:trHeight w:val="715" w:hRule="exact"/>
        </w:trPr>
        <w:tc>
          <w:tcPr>
            <w:tcW w:w="267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20"/>
              <w:jc w:val="left"/>
              <w:rPr>
                <w:rFonts w:ascii="宋体" w:hAnsi="宋体" w:cs="宋体" w:eastAsia="宋体" w:hint="default"/>
                <w:sz w:val="18"/>
                <w:szCs w:val="18"/>
              </w:rPr>
            </w:pPr>
            <w:r>
              <w:rPr>
                <w:rFonts w:ascii="宋体" w:hAnsi="宋体" w:cs="宋体" w:eastAsia="宋体" w:hint="default"/>
                <w:sz w:val="18"/>
                <w:szCs w:val="18"/>
              </w:rPr>
              <w:t>基于医疗大数据的医学诊断知识 图谱构建系统</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669,331.09</w:t>
            </w:r>
          </w:p>
        </w:tc>
        <w:tc>
          <w:tcPr>
            <w:tcW w:w="506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70"/>
              <w:ind w:left="23" w:right="-7"/>
              <w:jc w:val="left"/>
              <w:rPr>
                <w:rFonts w:ascii="宋体" w:hAnsi="宋体" w:cs="宋体" w:eastAsia="宋体" w:hint="default"/>
                <w:sz w:val="18"/>
                <w:szCs w:val="18"/>
              </w:rPr>
            </w:pPr>
            <w:r>
              <w:rPr>
                <w:rFonts w:ascii="宋体" w:hAnsi="宋体" w:cs="宋体" w:eastAsia="宋体" w:hint="default"/>
                <w:sz w:val="18"/>
                <w:szCs w:val="18"/>
              </w:rPr>
              <w:t>本项目通过建立一套基于医疗大数据</w:t>
            </w:r>
            <w:r>
              <w:rPr>
                <w:rFonts w:ascii="Times New Roman" w:hAnsi="Times New Roman" w:cs="Times New Roman" w:eastAsia="Times New Roman" w:hint="default"/>
                <w:sz w:val="18"/>
                <w:szCs w:val="18"/>
              </w:rPr>
              <w:t>(MBD)</w:t>
            </w:r>
            <w:r>
              <w:rPr>
                <w:rFonts w:ascii="宋体" w:hAnsi="宋体" w:cs="宋体" w:eastAsia="宋体" w:hint="default"/>
                <w:sz w:val="18"/>
                <w:szCs w:val="18"/>
              </w:rPr>
              <w:t>的医学诊断图谱系 统，利用知识图谱将各种琐碎、零散的医疗信息知识相互连接，</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已完成</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481.355011pt;margin-top:529.389954pt;width:58.55pt;height:46.8pt;mso-position-horizontal-relative:page;mso-position-vertical-relative:page;z-index:-1094776"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20"/>
                    <w:ind w:left="0" w:right="0"/>
                    <w:jc w:val="left"/>
                  </w:pPr>
                  <w:r>
                    <w:rPr/>
                    <w:t>作。</w:t>
                  </w:r>
                </w:p>
              </w:txbxContent>
            </v:textbox>
            <w10:wrap type="none"/>
          </v:shape>
        </w:pict>
      </w: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675"/>
        <w:gridCol w:w="1049"/>
        <w:gridCol w:w="5067"/>
        <w:gridCol w:w="878"/>
      </w:tblGrid>
      <w:tr>
        <w:trPr>
          <w:trHeight w:val="1923" w:hRule="exact"/>
        </w:trPr>
        <w:tc>
          <w:tcPr>
            <w:tcW w:w="2675" w:type="dxa"/>
            <w:tcBorders>
              <w:top w:val="single" w:sz="4" w:space="0" w:color="000000"/>
              <w:left w:val="single" w:sz="4" w:space="0" w:color="000000"/>
              <w:bottom w:val="single" w:sz="4" w:space="0" w:color="000000"/>
              <w:right w:val="single" w:sz="4" w:space="0" w:color="000000"/>
            </w:tcBorders>
          </w:tcPr>
          <w:p>
            <w:pPr/>
          </w:p>
        </w:tc>
        <w:tc>
          <w:tcPr>
            <w:tcW w:w="1049" w:type="dxa"/>
            <w:tcBorders>
              <w:top w:val="single" w:sz="4" w:space="0" w:color="000000"/>
              <w:left w:val="single" w:sz="4" w:space="0" w:color="000000"/>
              <w:bottom w:val="single" w:sz="4" w:space="0" w:color="000000"/>
              <w:right w:val="single" w:sz="4" w:space="0" w:color="000000"/>
            </w:tcBorders>
          </w:tcPr>
          <w:p>
            <w:pPr/>
          </w:p>
        </w:tc>
        <w:tc>
          <w:tcPr>
            <w:tcW w:w="50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20"/>
              <w:jc w:val="both"/>
              <w:rPr>
                <w:rFonts w:ascii="宋体" w:hAnsi="宋体" w:cs="宋体" w:eastAsia="宋体" w:hint="default"/>
                <w:sz w:val="18"/>
                <w:szCs w:val="18"/>
              </w:rPr>
            </w:pPr>
            <w:r>
              <w:rPr>
                <w:rFonts w:ascii="宋体" w:hAnsi="宋体" w:cs="宋体" w:eastAsia="宋体" w:hint="default"/>
                <w:spacing w:val="-2"/>
                <w:sz w:val="18"/>
                <w:szCs w:val="18"/>
              </w:rPr>
              <w:t>以支持综合型知识检索问答、辅助决策和智能医疗诊断。精准医</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学知识与大数据相结合，能够利用庞大的全人类对疾病的理解和</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医生的经验形成知识库，让医生能够通过大数据的信息系统直接</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根据病人的个体实际情况来对他们进行针对性的诊断和治疗，辅</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助医生的诊疗过程，使得普通医生也能够像最好的资深医生一样</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为病人提供高质量的诊疗服务。</w:t>
            </w:r>
          </w:p>
        </w:tc>
        <w:tc>
          <w:tcPr>
            <w:tcW w:w="878"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2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达实智能</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BIM </w:t>
            </w:r>
            <w:r>
              <w:rPr>
                <w:rFonts w:ascii="宋体" w:hAnsi="宋体" w:cs="宋体" w:eastAsia="宋体" w:hint="default"/>
                <w:sz w:val="18"/>
                <w:szCs w:val="18"/>
              </w:rPr>
              <w:t>运维管理系统</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317,190.15</w:t>
            </w:r>
          </w:p>
        </w:tc>
        <w:tc>
          <w:tcPr>
            <w:tcW w:w="5067"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20"/>
              <w:jc w:val="left"/>
              <w:rPr>
                <w:rFonts w:ascii="宋体" w:hAnsi="宋体" w:cs="宋体" w:eastAsia="宋体" w:hint="default"/>
                <w:sz w:val="18"/>
                <w:szCs w:val="18"/>
              </w:rPr>
            </w:pPr>
            <w:r>
              <w:rPr>
                <w:rFonts w:ascii="宋体" w:hAnsi="宋体" w:cs="宋体" w:eastAsia="宋体" w:hint="default"/>
                <w:sz w:val="18"/>
                <w:szCs w:val="18"/>
              </w:rPr>
              <w:t>达实智能</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BIM</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运维管理系统建立基于物联网数据的智能运维系 </w:t>
            </w:r>
            <w:r>
              <w:rPr>
                <w:rFonts w:ascii="宋体" w:hAnsi="宋体" w:cs="宋体" w:eastAsia="宋体" w:hint="default"/>
                <w:spacing w:val="-2"/>
                <w:sz w:val="18"/>
                <w:szCs w:val="18"/>
              </w:rPr>
              <w:t>统，全面掌握建筑土建、机电系统信息，用以对建筑实施全方位</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的运维管理。</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已完成</w:t>
            </w:r>
          </w:p>
        </w:tc>
      </w:tr>
      <w:tr>
        <w:trPr>
          <w:trHeight w:val="1964" w:hRule="exact"/>
        </w:trPr>
        <w:tc>
          <w:tcPr>
            <w:tcW w:w="2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达实智能建筑管理系统</w:t>
            </w:r>
          </w:p>
          <w:p>
            <w:pPr>
              <w:pStyle w:val="TableParagraph"/>
              <w:spacing w:line="240" w:lineRule="auto" w:before="77"/>
              <w:ind w:left="2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IndasIBMSV400R002C00</w:t>
            </w:r>
            <w:r>
              <w:rPr>
                <w:rFonts w:ascii="宋体" w:hAnsi="宋体" w:cs="宋体" w:eastAsia="宋体" w:hint="default"/>
                <w:sz w:val="18"/>
                <w:szCs w:val="18"/>
              </w:rPr>
              <w:t>）</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1,336,829.35</w:t>
            </w:r>
          </w:p>
        </w:tc>
        <w:tc>
          <w:tcPr>
            <w:tcW w:w="50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20"/>
              <w:jc w:val="both"/>
              <w:rPr>
                <w:rFonts w:ascii="宋体" w:hAnsi="宋体" w:cs="宋体" w:eastAsia="宋体" w:hint="default"/>
                <w:sz w:val="18"/>
                <w:szCs w:val="18"/>
              </w:rPr>
            </w:pPr>
            <w:r>
              <w:rPr>
                <w:rFonts w:ascii="宋体" w:hAnsi="宋体" w:cs="宋体" w:eastAsia="宋体" w:hint="default"/>
                <w:spacing w:val="-2"/>
                <w:sz w:val="18"/>
                <w:szCs w:val="18"/>
              </w:rPr>
              <w:t>本项目是由达实智能自主研发的，基于实时数据库的智能楼宇集</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成系统，综合运用现代计算机网络技术、通信技术对建筑内所有</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建筑设备进行统一、有效的监控和管理，协调各子系统间的相互</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关系和联动反应，提高建筑的综合使用功能和物业管理效率，确</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保建筑内所有设备处于高效、节能、最佳运行状态，为客户提供</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一个安全、舒适、快捷的工作环境。</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已完成</w:t>
            </w:r>
          </w:p>
        </w:tc>
      </w:tr>
      <w:tr>
        <w:trPr>
          <w:trHeight w:val="2897" w:hRule="exact"/>
        </w:trPr>
        <w:tc>
          <w:tcPr>
            <w:tcW w:w="2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病案首页管理系统 </w:t>
            </w:r>
            <w:r>
              <w:rPr>
                <w:rFonts w:ascii="Times New Roman" w:hAnsi="Times New Roman" w:cs="Times New Roman" w:eastAsia="Times New Roman" w:hint="default"/>
                <w:sz w:val="18"/>
                <w:szCs w:val="18"/>
              </w:rPr>
              <w:t>v1.0</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787,177.38</w:t>
            </w:r>
          </w:p>
        </w:tc>
        <w:tc>
          <w:tcPr>
            <w:tcW w:w="50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
              <w:jc w:val="left"/>
              <w:rPr>
                <w:rFonts w:ascii="宋体" w:hAnsi="宋体" w:cs="宋体" w:eastAsia="宋体" w:hint="default"/>
                <w:sz w:val="18"/>
                <w:szCs w:val="18"/>
              </w:rPr>
            </w:pPr>
            <w:r>
              <w:rPr>
                <w:rFonts w:ascii="宋体" w:hAnsi="宋体" w:cs="宋体" w:eastAsia="宋体" w:hint="default"/>
                <w:spacing w:val="-2"/>
                <w:sz w:val="18"/>
                <w:szCs w:val="18"/>
              </w:rPr>
              <w:t>病案首页管理系统主要完成病案统计的各类数据整理，完成病案</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首页的录入、维护，与住院部、门诊相互关联，数据共享，完成</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动态统计，实时反映病区床位的动态变化。通过数据资源共享， </w:t>
            </w:r>
            <w:r>
              <w:rPr>
                <w:rFonts w:ascii="宋体" w:hAnsi="宋体" w:cs="宋体" w:eastAsia="宋体" w:hint="default"/>
                <w:spacing w:val="-2"/>
                <w:sz w:val="18"/>
                <w:szCs w:val="18"/>
              </w:rPr>
              <w:t>住院病案首页的产生实现从住院病区到病案室流水作业，由病案</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室最后确认归档；这种联机处理方式将大大减少病案编辑工作 </w:t>
            </w:r>
            <w:r>
              <w:rPr>
                <w:rFonts w:ascii="宋体" w:hAnsi="宋体" w:cs="宋体" w:eastAsia="宋体" w:hint="default"/>
                <w:spacing w:val="-2"/>
                <w:sz w:val="18"/>
                <w:szCs w:val="18"/>
              </w:rPr>
              <w:t>量，同时也支持病案单机处理，其强大的数据检索查询功能可满</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足医生临床、科研和教学对病案的检索要求，具有较高的科研价</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值，同时可以对病案的借阅和归还进行全面的管理，极大地提高</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了病案室的工作效率。</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开发中</w:t>
            </w:r>
          </w:p>
        </w:tc>
      </w:tr>
      <w:tr>
        <w:trPr>
          <w:trHeight w:val="2275" w:hRule="exact"/>
        </w:trPr>
        <w:tc>
          <w:tcPr>
            <w:tcW w:w="2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移动护理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APP</w:t>
            </w:r>
            <w:r>
              <w:rPr>
                <w:rFonts w:ascii="Times New Roman" w:hAnsi="Times New Roman" w:cs="Times New Roman" w:eastAsia="Times New Roman" w:hint="default"/>
                <w:spacing w:val="-8"/>
                <w:sz w:val="18"/>
                <w:szCs w:val="18"/>
              </w:rPr>
              <w:t> </w:t>
            </w:r>
            <w:r>
              <w:rPr>
                <w:rFonts w:ascii="Times New Roman" w:hAnsi="Times New Roman" w:cs="Times New Roman" w:eastAsia="Times New Roman" w:hint="default"/>
                <w:sz w:val="18"/>
                <w:szCs w:val="18"/>
              </w:rPr>
              <w:t>v1.0</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1,317,351.57</w:t>
            </w:r>
          </w:p>
        </w:tc>
        <w:tc>
          <w:tcPr>
            <w:tcW w:w="5067"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49"/>
              <w:ind w:left="23" w:right="17"/>
              <w:jc w:val="left"/>
              <w:rPr>
                <w:rFonts w:ascii="宋体" w:hAnsi="宋体" w:cs="宋体" w:eastAsia="宋体" w:hint="default"/>
                <w:sz w:val="18"/>
                <w:szCs w:val="18"/>
              </w:rPr>
            </w:pPr>
            <w:r>
              <w:rPr>
                <w:rFonts w:ascii="Times New Roman" w:hAnsi="Times New Roman" w:cs="Times New Roman" w:eastAsia="Times New Roman" w:hint="default"/>
                <w:spacing w:val="-4"/>
                <w:w w:val="99"/>
                <w:sz w:val="18"/>
                <w:szCs w:val="18"/>
              </w:rPr>
              <w:t>"</w:t>
            </w:r>
            <w:r>
              <w:rPr>
                <w:rFonts w:ascii="宋体" w:hAnsi="宋体" w:cs="宋体" w:eastAsia="宋体" w:hint="default"/>
                <w:spacing w:val="-4"/>
                <w:w w:val="99"/>
                <w:sz w:val="18"/>
                <w:szCs w:val="18"/>
              </w:rPr>
              <w:t>移动护理系统是指以无线网络为依托，无缝对接医院</w:t>
            </w:r>
            <w:r>
              <w:rPr>
                <w:rFonts w:ascii="宋体" w:hAnsi="宋体" w:cs="宋体" w:eastAsia="宋体" w:hint="default"/>
                <w:spacing w:val="19"/>
                <w:w w:val="99"/>
                <w:sz w:val="18"/>
                <w:szCs w:val="18"/>
              </w:rPr>
              <w:t> </w:t>
            </w:r>
            <w:r>
              <w:rPr>
                <w:rFonts w:ascii="Times New Roman" w:hAnsi="Times New Roman" w:cs="Times New Roman" w:eastAsia="Times New Roman" w:hint="default"/>
                <w:spacing w:val="-11"/>
                <w:w w:val="99"/>
                <w:sz w:val="18"/>
                <w:szCs w:val="18"/>
              </w:rPr>
              <w:t>HIS</w:t>
            </w:r>
            <w:r>
              <w:rPr>
                <w:rFonts w:ascii="宋体" w:hAnsi="宋体" w:cs="宋体" w:eastAsia="宋体" w:hint="default"/>
                <w:spacing w:val="-11"/>
                <w:w w:val="99"/>
                <w:sz w:val="18"/>
                <w:szCs w:val="18"/>
              </w:rPr>
              <w:t>、</w:t>
            </w:r>
            <w:r>
              <w:rPr>
                <w:rFonts w:ascii="Times New Roman" w:hAnsi="Times New Roman" w:cs="Times New Roman" w:eastAsia="Times New Roman" w:hint="default"/>
                <w:spacing w:val="-11"/>
                <w:w w:val="99"/>
                <w:sz w:val="18"/>
                <w:szCs w:val="18"/>
              </w:rPr>
              <w:t>EMR</w:t>
            </w:r>
            <w:r>
              <w:rPr>
                <w:rFonts w:ascii="Times New Roman" w:hAnsi="Times New Roman" w:cs="Times New Roman" w:eastAsia="Times New Roman" w:hint="default"/>
                <w:spacing w:val="-43"/>
                <w:w w:val="99"/>
                <w:sz w:val="18"/>
                <w:szCs w:val="18"/>
              </w:rPr>
              <w:t> </w:t>
            </w:r>
            <w:r>
              <w:rPr>
                <w:rFonts w:ascii="Times New Roman" w:hAnsi="Times New Roman" w:cs="Times New Roman" w:eastAsia="Times New Roman" w:hint="default"/>
                <w:spacing w:val="-43"/>
                <w:w w:val="99"/>
                <w:sz w:val="18"/>
                <w:szCs w:val="18"/>
              </w:rPr>
            </w:r>
            <w:r>
              <w:rPr>
                <w:rFonts w:ascii="宋体" w:hAnsi="宋体" w:cs="宋体" w:eastAsia="宋体" w:hint="default"/>
                <w:spacing w:val="-3"/>
                <w:sz w:val="18"/>
                <w:szCs w:val="18"/>
              </w:rPr>
              <w:t>信息资源，使用掌上电脑（</w:t>
            </w:r>
            <w:r>
              <w:rPr>
                <w:rFonts w:ascii="Times New Roman" w:hAnsi="Times New Roman" w:cs="Times New Roman" w:eastAsia="Times New Roman" w:hint="default"/>
                <w:spacing w:val="-3"/>
                <w:sz w:val="18"/>
                <w:szCs w:val="18"/>
              </w:rPr>
              <w:t>PDA</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实现护理人员在病床边实时输</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入生命体征和护理信息，可快速检索病案信息病人基本信息、医</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3"/>
                <w:sz w:val="18"/>
                <w:szCs w:val="18"/>
              </w:rPr>
              <w:t>嘱信息和护理信息。移动护理系统还可以将条码</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二维条码标识技</w:t>
            </w:r>
            <w:r>
              <w:rPr>
                <w:rFonts w:ascii="宋体" w:hAnsi="宋体" w:cs="宋体" w:eastAsia="宋体" w:hint="default"/>
                <w:spacing w:val="-83"/>
                <w:sz w:val="18"/>
                <w:szCs w:val="18"/>
              </w:rPr>
              <w:t> </w:t>
            </w:r>
            <w:r>
              <w:rPr>
                <w:rFonts w:ascii="宋体" w:hAnsi="宋体" w:cs="宋体" w:eastAsia="宋体" w:hint="default"/>
                <w:sz w:val="18"/>
                <w:szCs w:val="18"/>
              </w:rPr>
              <w:t>术应用于病人腕带、药品、检验标本采集容器等，通过</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PDA</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扫 </w:t>
            </w:r>
            <w:r>
              <w:rPr>
                <w:rFonts w:ascii="宋体" w:hAnsi="宋体" w:cs="宋体" w:eastAsia="宋体" w:hint="default"/>
                <w:spacing w:val="-3"/>
                <w:sz w:val="18"/>
                <w:szCs w:val="18"/>
              </w:rPr>
              <w:t>描腕带、药品、检验标本容器上的条码</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二维码信息，以帮助护理</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5"/>
                <w:sz w:val="18"/>
                <w:szCs w:val="18"/>
              </w:rPr>
              <w:t>人员快速准确地完成口服药、输液、输血、化验采集等护理工</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23" w:right="0"/>
              <w:jc w:val="left"/>
              <w:rPr>
                <w:rFonts w:ascii="宋体" w:hAnsi="宋体" w:cs="宋体" w:eastAsia="宋体" w:hint="default"/>
                <w:sz w:val="18"/>
                <w:szCs w:val="18"/>
              </w:rPr>
            </w:pPr>
            <w:r>
              <w:rPr>
                <w:rFonts w:ascii="宋体" w:hAnsi="宋体" w:cs="宋体" w:eastAsia="宋体" w:hint="default"/>
                <w:sz w:val="18"/>
                <w:szCs w:val="18"/>
              </w:rPr>
              <w:t>开发中</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5"/>
                <w:szCs w:val="15"/>
              </w:rPr>
            </w:pPr>
          </w:p>
          <w:p>
            <w:pPr>
              <w:pStyle w:val="TableParagraph"/>
              <w:spacing w:line="936" w:lineRule="exact"/>
              <w:ind w:left="2"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8"/>
                <w:sz w:val="20"/>
                <w:szCs w:val="20"/>
              </w:rPr>
              <w:pict>
                <v:group style="width:43.35pt;height:46.8pt;mso-position-horizontal-relative:char;mso-position-vertical-relative:line" coordorigin="0,0" coordsize="867,936">
                  <v:group style="position:absolute;left:0;top:0;width:867;height:936" coordorigin="0,0" coordsize="867,936">
                    <v:shape style="position:absolute;left:0;top:0;width:867;height:936" coordorigin="0,0" coordsize="867,936" path="m0,936l866,936,866,0,0,0,0,936xe" filled="true" fillcolor="#ffffff" stroked="false">
                      <v:path arrowok="t"/>
                      <v:fill type="solid"/>
                    </v:shape>
                  </v:group>
                </v:group>
              </w:pict>
            </w:r>
            <w:r>
              <w:rPr>
                <w:rFonts w:ascii="Times New Roman" w:hAnsi="Times New Roman" w:cs="Times New Roman" w:eastAsia="Times New Roman" w:hint="default"/>
                <w:position w:val="-18"/>
                <w:sz w:val="20"/>
                <w:szCs w:val="20"/>
              </w:rPr>
            </w:r>
          </w:p>
        </w:tc>
      </w:tr>
      <w:tr>
        <w:trPr>
          <w:trHeight w:val="2585" w:hRule="exact"/>
        </w:trPr>
        <w:tc>
          <w:tcPr>
            <w:tcW w:w="2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临床数据中心</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CDR</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v1.0</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9"/>
              <w:ind w:right="19"/>
              <w:jc w:val="right"/>
              <w:rPr>
                <w:rFonts w:ascii="Times New Roman" w:hAnsi="Times New Roman" w:cs="Times New Roman" w:eastAsia="Times New Roman" w:hint="default"/>
                <w:sz w:val="18"/>
                <w:szCs w:val="18"/>
              </w:rPr>
            </w:pPr>
            <w:r>
              <w:rPr>
                <w:rFonts w:ascii="Times New Roman"/>
                <w:spacing w:val="-1"/>
                <w:sz w:val="18"/>
              </w:rPr>
              <w:t>886,841.21</w:t>
            </w:r>
          </w:p>
        </w:tc>
        <w:tc>
          <w:tcPr>
            <w:tcW w:w="506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3" w:right="20"/>
              <w:jc w:val="left"/>
              <w:rPr>
                <w:rFonts w:ascii="宋体" w:hAnsi="宋体" w:cs="宋体" w:eastAsia="宋体" w:hint="default"/>
                <w:sz w:val="18"/>
                <w:szCs w:val="18"/>
              </w:rPr>
            </w:pPr>
            <w:r>
              <w:rPr>
                <w:rFonts w:ascii="宋体" w:hAnsi="宋体" w:cs="宋体" w:eastAsia="宋体" w:hint="default"/>
                <w:spacing w:val="-2"/>
                <w:sz w:val="18"/>
                <w:szCs w:val="18"/>
              </w:rPr>
              <w:t>临床数据中心的建立就是将原有系统的数据进行分析和梳理，基</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HL7 FHIR</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并参考卫生部基于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CDR</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的电子病历等相关标准构 </w:t>
            </w:r>
            <w:r>
              <w:rPr>
                <w:rFonts w:ascii="宋体" w:hAnsi="宋体" w:cs="宋体" w:eastAsia="宋体" w:hint="default"/>
                <w:spacing w:val="-2"/>
                <w:sz w:val="18"/>
                <w:szCs w:val="18"/>
              </w:rPr>
              <w:t>建临床数据中心的数据模型，采用成熟的数据库技术实现业务数</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据的采集和聚合，临床数据中心平台立足于医院已有的信息系统</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基础之上，将封闭在多套孤立信息系统中的数据汇集在一起，将</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封闭在多套孤立信息系统中的数据释放出来，实现全院临床业务</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数据的物理集中，并将其转变成各种有价值的信息，以帮助医院</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实现持续的质量改进和服务创新。</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3" w:right="0"/>
              <w:jc w:val="left"/>
              <w:rPr>
                <w:rFonts w:ascii="宋体" w:hAnsi="宋体" w:cs="宋体" w:eastAsia="宋体" w:hint="default"/>
                <w:sz w:val="18"/>
                <w:szCs w:val="18"/>
              </w:rPr>
            </w:pPr>
            <w:r>
              <w:rPr>
                <w:rFonts w:ascii="宋体" w:hAnsi="宋体" w:cs="宋体" w:eastAsia="宋体" w:hint="default"/>
                <w:sz w:val="18"/>
                <w:szCs w:val="18"/>
              </w:rPr>
              <w:t>开发中</w:t>
            </w:r>
          </w:p>
        </w:tc>
      </w:tr>
    </w:tbl>
    <w:p>
      <w:pPr>
        <w:pStyle w:val="BodyText"/>
        <w:spacing w:line="451" w:lineRule="auto" w:before="87"/>
        <w:ind w:left="573" w:right="1153"/>
        <w:jc w:val="left"/>
      </w:pPr>
      <w:r>
        <w:rPr/>
        <w:t>研发投入资本化的依据：详见第十二节财务报告之五、重要会计政策及会计估计之</w:t>
      </w:r>
      <w:r>
        <w:rPr>
          <w:rFonts w:ascii="Times New Roman" w:hAnsi="Times New Roman" w:cs="Times New Roman" w:eastAsia="Times New Roman" w:hint="default"/>
        </w:rPr>
        <w:t>22</w:t>
      </w:r>
      <w:r>
        <w:rPr/>
        <w:t>、无形资产。 相关内部控制的内容和执行情况：公司高度重视研发工作，以市场为导向，根据发展战略和技术进步要求，严格规范</w:t>
      </w:r>
    </w:p>
    <w:p>
      <w:pPr>
        <w:spacing w:after="0" w:line="451"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477" w:lineRule="auto"/>
        <w:ind w:right="0"/>
        <w:jc w:val="left"/>
      </w:pPr>
      <w:r>
        <w:rPr>
          <w:spacing w:val="-4"/>
        </w:rPr>
        <w:t>研发业务关键控制环节，有效降低研发风险、保证研发质量，提高了研发工作的效率和效益，不断提高公司的自主创新能力。</w:t>
      </w:r>
      <w:r>
        <w:rPr>
          <w:spacing w:val="-46"/>
        </w:rPr>
        <w:t> </w:t>
      </w:r>
      <w:r>
        <w:rPr>
          <w:spacing w:val="-46"/>
        </w:rPr>
      </w:r>
      <w:r>
        <w:rPr/>
        <w:t>研发投入资本化率大幅变动的原因及其合理性说明</w:t>
      </w:r>
    </w:p>
    <w:p>
      <w:pPr>
        <w:pStyle w:val="BodyText"/>
        <w:spacing w:line="240" w:lineRule="auto" w:before="95"/>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3"/>
          <w:szCs w:val="13"/>
        </w:rPr>
      </w:pPr>
    </w:p>
    <w:p>
      <w:pPr>
        <w:pStyle w:val="Heading4"/>
        <w:spacing w:line="240" w:lineRule="auto"/>
        <w:ind w:right="1133"/>
        <w:jc w:val="left"/>
        <w:rPr>
          <w:b w:val="0"/>
          <w:bCs w:val="0"/>
        </w:rPr>
      </w:pPr>
      <w:bookmarkStart w:name="5、现金流" w:id="39"/>
      <w:bookmarkEnd w:id="39"/>
      <w:r>
        <w:rPr>
          <w:b w:val="0"/>
          <w:bCs w:val="0"/>
        </w:rPr>
      </w:r>
      <w:r>
        <w:rPr>
          <w:rFonts w:ascii="Times New Roman" w:hAnsi="Times New Roman" w:cs="Times New Roman" w:eastAsia="Times New Roman" w:hint="default"/>
        </w:rPr>
        <w:t>5</w:t>
      </w:r>
      <w:r>
        <w:rPr/>
        <w:t>、现金流</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672"/>
        <w:gridCol w:w="2100"/>
        <w:gridCol w:w="2393"/>
        <w:gridCol w:w="2393"/>
      </w:tblGrid>
      <w:tr>
        <w:trPr>
          <w:trHeight w:val="401" w:hRule="exact"/>
        </w:trPr>
        <w:tc>
          <w:tcPr>
            <w:tcW w:w="26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3" w:hRule="exact"/>
        </w:trPr>
        <w:tc>
          <w:tcPr>
            <w:tcW w:w="26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1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2,634,412,244.52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2,143,725,603.53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22.89%</w:t>
            </w:r>
          </w:p>
        </w:tc>
      </w:tr>
      <w:tr>
        <w:trPr>
          <w:trHeight w:val="401" w:hRule="exact"/>
        </w:trPr>
        <w:tc>
          <w:tcPr>
            <w:tcW w:w="26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1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2,160,443,936.52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2,334,700,622.05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-7.46%</w:t>
            </w:r>
          </w:p>
        </w:tc>
      </w:tr>
      <w:tr>
        <w:trPr>
          <w:trHeight w:val="403" w:hRule="exact"/>
        </w:trPr>
        <w:tc>
          <w:tcPr>
            <w:tcW w:w="26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1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473,968,308.00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-190,975,018.52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348.18%</w:t>
            </w:r>
          </w:p>
        </w:tc>
      </w:tr>
      <w:tr>
        <w:trPr>
          <w:trHeight w:val="401" w:hRule="exact"/>
        </w:trPr>
        <w:tc>
          <w:tcPr>
            <w:tcW w:w="26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1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1,258,600,626.05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906,912,544.31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38.78%</w:t>
            </w:r>
          </w:p>
        </w:tc>
      </w:tr>
      <w:tr>
        <w:trPr>
          <w:trHeight w:val="403" w:hRule="exact"/>
        </w:trPr>
        <w:tc>
          <w:tcPr>
            <w:tcW w:w="26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1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1,559,487,916.09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1,557,074,967.12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0.15%</w:t>
            </w:r>
          </w:p>
        </w:tc>
      </w:tr>
      <w:tr>
        <w:trPr>
          <w:trHeight w:val="401" w:hRule="exact"/>
        </w:trPr>
        <w:tc>
          <w:tcPr>
            <w:tcW w:w="26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21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-300,887,290.04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-650,162,422.81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53.72%</w:t>
            </w:r>
          </w:p>
        </w:tc>
      </w:tr>
      <w:tr>
        <w:trPr>
          <w:trHeight w:val="403" w:hRule="exact"/>
        </w:trPr>
        <w:tc>
          <w:tcPr>
            <w:tcW w:w="26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1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1,088,325,368.36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1,525,950,059.52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-28.68%</w:t>
            </w:r>
          </w:p>
        </w:tc>
      </w:tr>
      <w:tr>
        <w:trPr>
          <w:trHeight w:val="401" w:hRule="exact"/>
        </w:trPr>
        <w:tc>
          <w:tcPr>
            <w:tcW w:w="26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1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1,172,041,805.12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527,507,986.78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122.18%</w:t>
            </w:r>
          </w:p>
        </w:tc>
      </w:tr>
      <w:tr>
        <w:trPr>
          <w:trHeight w:val="403" w:hRule="exact"/>
        </w:trPr>
        <w:tc>
          <w:tcPr>
            <w:tcW w:w="26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21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-83,716,436.76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998,442,072.74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-108.38%</w:t>
            </w:r>
          </w:p>
        </w:tc>
      </w:tr>
      <w:tr>
        <w:trPr>
          <w:trHeight w:val="403" w:hRule="exact"/>
        </w:trPr>
        <w:tc>
          <w:tcPr>
            <w:tcW w:w="26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1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89,351,252.60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157,507,159.55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-43.27%</w:t>
            </w:r>
          </w:p>
        </w:tc>
      </w:tr>
    </w:tbl>
    <w:p>
      <w:pPr>
        <w:pStyle w:val="BodyText"/>
        <w:spacing w:line="240" w:lineRule="auto" w:before="49"/>
        <w:ind w:right="1133"/>
        <w:jc w:val="left"/>
      </w:pPr>
      <w:r>
        <w:rPr/>
        <w:t>相关数据同比发生重大变动的主要影响因素说明</w:t>
      </w:r>
    </w:p>
    <w:p>
      <w:pPr>
        <w:pStyle w:val="BodyText"/>
        <w:spacing w:line="240" w:lineRule="auto" w:before="115"/>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3"/>
        <w:rPr>
          <w:rFonts w:ascii="宋体" w:hAnsi="宋体" w:cs="宋体" w:eastAsia="宋体" w:hint="default"/>
          <w:sz w:val="13"/>
          <w:szCs w:val="13"/>
        </w:rPr>
      </w:pPr>
    </w:p>
    <w:p>
      <w:pPr>
        <w:pStyle w:val="BodyText"/>
        <w:spacing w:line="463" w:lineRule="auto"/>
        <w:ind w:right="1134" w:firstLine="420"/>
        <w:jc w:val="both"/>
      </w:pPr>
      <w:r>
        <w:rPr>
          <w:rFonts w:ascii="Times New Roman" w:hAnsi="Times New Roman" w:cs="Times New Roman" w:eastAsia="Times New Roman" w:hint="default"/>
        </w:rPr>
        <w:t>1</w:t>
      </w:r>
      <w:r>
        <w:rPr/>
        <w:t>、经营活动产生的现金流量净额较上期增加</w:t>
      </w:r>
      <w:r>
        <w:rPr>
          <w:rFonts w:ascii="Times New Roman" w:hAnsi="Times New Roman" w:cs="Times New Roman" w:eastAsia="Times New Roman" w:hint="default"/>
        </w:rPr>
        <w:t>348.18%</w:t>
      </w:r>
      <w:r>
        <w:rPr/>
        <w:t>，主要原因是本报告期公司加强收款力度，同时部分大项目集中 </w:t>
      </w:r>
      <w:r>
        <w:rPr>
          <w:spacing w:val="-2"/>
        </w:rPr>
        <w:t>进入收款期，母公司及子公司达实租赁、达实信息、达实物联网同比收款金额增加；优化采购付款方式，同期采购付现金额</w:t>
      </w:r>
      <w:r>
        <w:rPr>
          <w:spacing w:val="-67"/>
        </w:rPr>
        <w:t> </w:t>
      </w:r>
      <w:r>
        <w:rPr>
          <w:spacing w:val="-67"/>
        </w:rPr>
      </w:r>
      <w:r>
        <w:rPr/>
        <w:t>下降所致。</w:t>
      </w:r>
    </w:p>
    <w:p>
      <w:pPr>
        <w:pStyle w:val="BodyText"/>
        <w:spacing w:line="240" w:lineRule="auto" w:before="65"/>
        <w:ind w:left="573" w:right="0"/>
        <w:jc w:val="left"/>
      </w:pPr>
      <w:r>
        <w:rPr>
          <w:rFonts w:ascii="Times New Roman" w:hAnsi="Times New Roman" w:cs="Times New Roman" w:eastAsia="Times New Roman" w:hint="default"/>
          <w:spacing w:val="1"/>
        </w:rPr>
        <w:t>2</w:t>
      </w:r>
      <w:r>
        <w:rPr>
          <w:spacing w:val="-80"/>
        </w:rPr>
        <w:t>、</w:t>
      </w:r>
      <w:r>
        <w:rPr/>
        <w:t>投资活动产生的现金流量净额较上期增加</w:t>
      </w:r>
      <w:r>
        <w:rPr>
          <w:rFonts w:ascii="Times New Roman" w:hAnsi="Times New Roman" w:cs="Times New Roman" w:eastAsia="Times New Roman" w:hint="default"/>
          <w:spacing w:val="1"/>
        </w:rPr>
        <w:t>53</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1"/>
        </w:rPr>
        <w:t>72</w:t>
      </w:r>
      <w:r>
        <w:rPr>
          <w:rFonts w:ascii="Times New Roman" w:hAnsi="Times New Roman" w:cs="Times New Roman" w:eastAsia="Times New Roman" w:hint="default"/>
          <w:spacing w:val="-1"/>
        </w:rPr>
        <w:t>%</w:t>
      </w:r>
      <w:r>
        <w:rPr>
          <w:spacing w:val="-80"/>
        </w:rPr>
        <w:t>，</w:t>
      </w:r>
      <w:r>
        <w:rPr/>
        <w:t>主要原因是本报告期子公司达实租赁收回融资保理本金增加所致。</w:t>
      </w:r>
    </w:p>
    <w:p>
      <w:pPr>
        <w:spacing w:line="240" w:lineRule="auto" w:before="9"/>
        <w:rPr>
          <w:rFonts w:ascii="宋体" w:hAnsi="宋体" w:cs="宋体" w:eastAsia="宋体" w:hint="default"/>
          <w:sz w:val="16"/>
          <w:szCs w:val="16"/>
        </w:rPr>
      </w:pPr>
    </w:p>
    <w:p>
      <w:pPr>
        <w:pStyle w:val="BodyText"/>
        <w:spacing w:line="451" w:lineRule="auto"/>
        <w:ind w:right="1044" w:firstLine="420"/>
        <w:jc w:val="both"/>
      </w:pPr>
      <w:r>
        <w:rPr>
          <w:rFonts w:ascii="Times New Roman" w:hAnsi="Times New Roman" w:cs="Times New Roman" w:eastAsia="Times New Roman" w:hint="default"/>
        </w:rPr>
        <w:t>3</w:t>
      </w:r>
      <w:r>
        <w:rPr/>
        <w:t>、筹资活动产生的现金流量净额较上期减少</w:t>
      </w:r>
      <w:r>
        <w:rPr>
          <w:rFonts w:ascii="Times New Roman" w:hAnsi="Times New Roman" w:cs="Times New Roman" w:eastAsia="Times New Roman" w:hint="default"/>
        </w:rPr>
        <w:t>108.38%</w:t>
      </w:r>
      <w:r>
        <w:rPr/>
        <w:t>，主要原因是上年度母公司在项目投入期补充流动性银行借款增 </w:t>
      </w:r>
      <w:r>
        <w:rPr>
          <w:spacing w:val="-4"/>
        </w:rPr>
        <w:t>加、子公司达实信息达实大厦改扩建项目银行借款增加；本报告期母公司及子公司久信医疗回款较多偿还到期银行借款所致。</w:t>
      </w:r>
    </w:p>
    <w:p>
      <w:pPr>
        <w:pStyle w:val="BodyText"/>
        <w:spacing w:line="240" w:lineRule="auto" w:before="112"/>
        <w:ind w:right="1133"/>
        <w:jc w:val="left"/>
      </w:pPr>
      <w:r>
        <w:rPr/>
        <w:t>报告期内公司经营活动产生的现金净流量与本年度净利润存在重大差异的原因说明</w:t>
      </w:r>
    </w:p>
    <w:p>
      <w:pPr>
        <w:spacing w:line="240" w:lineRule="auto" w:before="12"/>
        <w:rPr>
          <w:rFonts w:ascii="宋体" w:hAnsi="宋体" w:cs="宋体" w:eastAsia="宋体" w:hint="default"/>
          <w:sz w:val="20"/>
          <w:szCs w:val="20"/>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9"/>
        <w:rPr>
          <w:rFonts w:ascii="宋体" w:hAnsi="宋体" w:cs="宋体" w:eastAsia="宋体" w:hint="default"/>
          <w:sz w:val="19"/>
          <w:szCs w:val="19"/>
        </w:rPr>
      </w:pPr>
    </w:p>
    <w:p>
      <w:pPr>
        <w:pStyle w:val="BodyText"/>
        <w:spacing w:line="240" w:lineRule="auto"/>
        <w:ind w:left="573" w:right="1133"/>
        <w:jc w:val="left"/>
      </w:pPr>
      <w:r>
        <w:rPr/>
        <w:t>报告期内公司经营活动产生的现金净流量与本年度净利润存在重大差异，主要是公司在本年度计提商誉减值损失</w:t>
      </w:r>
    </w:p>
    <w:p>
      <w:pPr>
        <w:spacing w:line="240" w:lineRule="auto" w:before="10"/>
        <w:rPr>
          <w:rFonts w:ascii="宋体" w:hAnsi="宋体" w:cs="宋体" w:eastAsia="宋体" w:hint="default"/>
          <w:sz w:val="17"/>
          <w:szCs w:val="17"/>
        </w:rPr>
      </w:pPr>
    </w:p>
    <w:p>
      <w:pPr>
        <w:pStyle w:val="BodyText"/>
        <w:spacing w:line="240" w:lineRule="auto"/>
        <w:ind w:right="1133"/>
        <w:jc w:val="left"/>
      </w:pPr>
      <w:r>
        <w:rPr>
          <w:rFonts w:ascii="Times New Roman" w:hAnsi="Times New Roman" w:cs="Times New Roman" w:eastAsia="Times New Roman" w:hint="default"/>
        </w:rPr>
        <w:t>472,994,820.21</w:t>
      </w:r>
      <w:r>
        <w:rPr>
          <w:rFonts w:ascii="Times New Roman" w:hAnsi="Times New Roman" w:cs="Times New Roman" w:eastAsia="Times New Roman" w:hint="default"/>
          <w:spacing w:val="22"/>
        </w:rPr>
        <w:t> </w:t>
      </w:r>
      <w:r>
        <w:rPr/>
        <w:t>元所致，详细情况详见第十二节财务报告之七合并财务报表项目注释、</w:t>
      </w:r>
      <w:r>
        <w:rPr>
          <w:rFonts w:ascii="Times New Roman" w:hAnsi="Times New Roman" w:cs="Times New Roman" w:eastAsia="Times New Roman" w:hint="default"/>
        </w:rPr>
        <w:t>18</w:t>
      </w:r>
      <w:r>
        <w:rPr/>
        <w:t>商誉。</w:t>
      </w:r>
    </w:p>
    <w:p>
      <w:pPr>
        <w:spacing w:line="240" w:lineRule="auto" w:before="0"/>
        <w:rPr>
          <w:rFonts w:ascii="宋体" w:hAnsi="宋体" w:cs="宋体" w:eastAsia="宋体" w:hint="default"/>
          <w:sz w:val="18"/>
          <w:szCs w:val="18"/>
        </w:rPr>
      </w:pPr>
    </w:p>
    <w:p>
      <w:pPr>
        <w:pStyle w:val="Heading2"/>
        <w:spacing w:line="240" w:lineRule="auto" w:before="158"/>
        <w:ind w:right="1133"/>
        <w:jc w:val="left"/>
        <w:rPr>
          <w:b w:val="0"/>
          <w:bCs w:val="0"/>
        </w:rPr>
      </w:pPr>
      <w:bookmarkStart w:name="三、非主营业务分析" w:id="40"/>
      <w:bookmarkEnd w:id="40"/>
      <w:r>
        <w:rPr>
          <w:b w:val="0"/>
          <w:bCs w:val="0"/>
        </w:rPr>
      </w:r>
      <w:r>
        <w:rPr/>
        <w:t>三、非主营业务分析</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after="0" w:line="240" w:lineRule="auto"/>
        <w:jc w:val="left"/>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left="0" w:right="1131"/>
        <w:jc w:val="right"/>
      </w:pPr>
      <w:r>
        <w:rPr/>
        <w:t>单位：元</w:t>
      </w:r>
    </w:p>
    <w:p>
      <w:pPr>
        <w:spacing w:line="240" w:lineRule="auto" w:before="5"/>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24"/>
        <w:gridCol w:w="1916"/>
        <w:gridCol w:w="1622"/>
        <w:gridCol w:w="2254"/>
        <w:gridCol w:w="2254"/>
      </w:tblGrid>
      <w:tr>
        <w:trPr>
          <w:trHeight w:val="401" w:hRule="exact"/>
        </w:trPr>
        <w:tc>
          <w:tcPr>
            <w:tcW w:w="152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占利润总额比例</w:t>
            </w:r>
          </w:p>
        </w:tc>
        <w:tc>
          <w:tcPr>
            <w:tcW w:w="2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81" w:right="0"/>
              <w:jc w:val="left"/>
              <w:rPr>
                <w:rFonts w:ascii="宋体" w:hAnsi="宋体" w:cs="宋体" w:eastAsia="宋体" w:hint="default"/>
                <w:sz w:val="18"/>
                <w:szCs w:val="18"/>
              </w:rPr>
            </w:pPr>
            <w:r>
              <w:rPr>
                <w:rFonts w:ascii="宋体" w:hAnsi="宋体" w:cs="宋体" w:eastAsia="宋体" w:hint="default"/>
                <w:sz w:val="18"/>
                <w:szCs w:val="18"/>
              </w:rPr>
              <w:t>形成原因说明</w:t>
            </w:r>
          </w:p>
        </w:tc>
        <w:tc>
          <w:tcPr>
            <w:tcW w:w="2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03" w:right="0"/>
              <w:jc w:val="left"/>
              <w:rPr>
                <w:rFonts w:ascii="宋体" w:hAnsi="宋体" w:cs="宋体" w:eastAsia="宋体" w:hint="default"/>
                <w:sz w:val="18"/>
                <w:szCs w:val="18"/>
              </w:rPr>
            </w:pPr>
            <w:r>
              <w:rPr>
                <w:rFonts w:ascii="宋体" w:hAnsi="宋体" w:cs="宋体" w:eastAsia="宋体" w:hint="default"/>
                <w:sz w:val="18"/>
                <w:szCs w:val="18"/>
              </w:rPr>
              <w:t>是否具有可持续性</w:t>
            </w:r>
          </w:p>
        </w:tc>
      </w:tr>
      <w:tr>
        <w:trPr>
          <w:trHeight w:val="403" w:hRule="exact"/>
        </w:trPr>
        <w:tc>
          <w:tcPr>
            <w:tcW w:w="15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4,496,289.43</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-1.33%</w:t>
            </w:r>
          </w:p>
        </w:tc>
        <w:tc>
          <w:tcPr>
            <w:tcW w:w="2254" w:type="dxa"/>
            <w:tcBorders>
              <w:top w:val="single" w:sz="4" w:space="0" w:color="000000"/>
              <w:left w:val="single" w:sz="4" w:space="0" w:color="000000"/>
              <w:bottom w:val="single" w:sz="4" w:space="0" w:color="000000"/>
              <w:right w:val="single" w:sz="4" w:space="0" w:color="000000"/>
            </w:tcBorders>
          </w:tcPr>
          <w:p>
            <w:pP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73" w:hRule="exact"/>
        </w:trPr>
        <w:tc>
          <w:tcPr>
            <w:tcW w:w="1524"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51" w:right="0"/>
              <w:jc w:val="left"/>
              <w:rPr>
                <w:rFonts w:ascii="Times New Roman" w:hAnsi="Times New Roman" w:cs="Times New Roman" w:eastAsia="Times New Roman" w:hint="default"/>
                <w:sz w:val="18"/>
                <w:szCs w:val="18"/>
              </w:rPr>
            </w:pPr>
            <w:r>
              <w:rPr>
                <w:rFonts w:ascii="Times New Roman"/>
                <w:sz w:val="18"/>
              </w:rPr>
              <w:t>503,495,776.22</w:t>
            </w:r>
          </w:p>
        </w:tc>
        <w:tc>
          <w:tcPr>
            <w:tcW w:w="162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945" w:right="0"/>
              <w:jc w:val="left"/>
              <w:rPr>
                <w:rFonts w:ascii="Times New Roman" w:hAnsi="Times New Roman" w:cs="Times New Roman" w:eastAsia="Times New Roman" w:hint="default"/>
                <w:sz w:val="18"/>
                <w:szCs w:val="18"/>
              </w:rPr>
            </w:pPr>
            <w:r>
              <w:rPr>
                <w:rFonts w:ascii="Times New Roman"/>
                <w:sz w:val="18"/>
              </w:rPr>
              <w:t>149.10%</w:t>
            </w:r>
          </w:p>
        </w:tc>
        <w:tc>
          <w:tcPr>
            <w:tcW w:w="2254" w:type="dxa"/>
            <w:vMerge w:val="restart"/>
            <w:tcBorders>
              <w:top w:val="single" w:sz="4" w:space="0" w:color="000000"/>
              <w:left w:val="single" w:sz="4" w:space="0" w:color="000000"/>
              <w:right w:val="single" w:sz="4" w:space="0" w:color="000000"/>
            </w:tcBorders>
          </w:tcPr>
          <w:p>
            <w:pPr>
              <w:pStyle w:val="TableParagraph"/>
              <w:spacing w:line="312" w:lineRule="auto" w:before="49"/>
              <w:ind w:left="24" w:right="55"/>
              <w:jc w:val="left"/>
              <w:rPr>
                <w:rFonts w:ascii="宋体" w:hAnsi="宋体" w:cs="宋体" w:eastAsia="宋体" w:hint="default"/>
                <w:sz w:val="18"/>
                <w:szCs w:val="18"/>
              </w:rPr>
            </w:pPr>
            <w:r>
              <w:rPr>
                <w:rFonts w:ascii="宋体" w:hAnsi="宋体" w:cs="宋体" w:eastAsia="宋体" w:hint="default"/>
                <w:sz w:val="18"/>
                <w:szCs w:val="18"/>
              </w:rPr>
              <w:t>主要是本期计提商誉减值 </w:t>
            </w:r>
            <w:r>
              <w:rPr>
                <w:rFonts w:ascii="Times New Roman" w:hAnsi="Times New Roman" w:cs="Times New Roman" w:eastAsia="Times New Roman" w:hint="default"/>
                <w:sz w:val="18"/>
                <w:szCs w:val="18"/>
              </w:rPr>
              <w:t>4.73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亿元所致，详见第十二 节财务报告之七合并财务报 表项目注释、</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商誉</w:t>
            </w:r>
          </w:p>
        </w:tc>
        <w:tc>
          <w:tcPr>
            <w:tcW w:w="225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91" w:hRule="exact"/>
        </w:trPr>
        <w:tc>
          <w:tcPr>
            <w:tcW w:w="152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资产减值</w:t>
            </w:r>
          </w:p>
        </w:tc>
        <w:tc>
          <w:tcPr>
            <w:tcW w:w="1916" w:type="dxa"/>
            <w:vMerge/>
            <w:tcBorders>
              <w:left w:val="single" w:sz="10" w:space="0" w:color="D2D2D2"/>
              <w:right w:val="single" w:sz="4" w:space="0" w:color="000000"/>
            </w:tcBorders>
          </w:tcPr>
          <w:p>
            <w:pPr/>
          </w:p>
        </w:tc>
        <w:tc>
          <w:tcPr>
            <w:tcW w:w="1622" w:type="dxa"/>
            <w:vMerge/>
            <w:tcBorders>
              <w:left w:val="single" w:sz="4" w:space="0" w:color="000000"/>
              <w:right w:val="single" w:sz="4" w:space="0" w:color="000000"/>
            </w:tcBorders>
          </w:tcPr>
          <w:p>
            <w:pPr/>
          </w:p>
        </w:tc>
        <w:tc>
          <w:tcPr>
            <w:tcW w:w="2254" w:type="dxa"/>
            <w:vMerge/>
            <w:tcBorders>
              <w:left w:val="single" w:sz="4" w:space="0" w:color="000000"/>
              <w:right w:val="single" w:sz="4" w:space="0" w:color="000000"/>
            </w:tcBorders>
          </w:tcPr>
          <w:p>
            <w:pPr/>
          </w:p>
        </w:tc>
        <w:tc>
          <w:tcPr>
            <w:tcW w:w="2254" w:type="dxa"/>
            <w:vMerge/>
            <w:tcBorders>
              <w:left w:val="single" w:sz="4" w:space="0" w:color="000000"/>
              <w:right w:val="single" w:sz="4" w:space="0" w:color="000000"/>
            </w:tcBorders>
          </w:tcPr>
          <w:p>
            <w:pPr/>
          </w:p>
        </w:tc>
      </w:tr>
      <w:tr>
        <w:trPr>
          <w:trHeight w:val="473" w:hRule="exact"/>
        </w:trPr>
        <w:tc>
          <w:tcPr>
            <w:tcW w:w="1524"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10" w:space="0" w:color="D2D2D2"/>
              <w:bottom w:val="single" w:sz="4" w:space="0" w:color="000000"/>
              <w:right w:val="single" w:sz="4" w:space="0" w:color="000000"/>
            </w:tcBorders>
          </w:tcPr>
          <w:p>
            <w:pPr/>
          </w:p>
        </w:tc>
        <w:tc>
          <w:tcPr>
            <w:tcW w:w="1622" w:type="dxa"/>
            <w:vMerge/>
            <w:tcBorders>
              <w:left w:val="single" w:sz="4" w:space="0" w:color="000000"/>
              <w:bottom w:val="single" w:sz="4" w:space="0" w:color="000000"/>
              <w:right w:val="single" w:sz="4" w:space="0" w:color="000000"/>
            </w:tcBorders>
          </w:tcPr>
          <w:p>
            <w:pPr/>
          </w:p>
        </w:tc>
        <w:tc>
          <w:tcPr>
            <w:tcW w:w="2254" w:type="dxa"/>
            <w:vMerge/>
            <w:tcBorders>
              <w:left w:val="single" w:sz="4" w:space="0" w:color="000000"/>
              <w:bottom w:val="single" w:sz="4" w:space="0" w:color="000000"/>
              <w:right w:val="single" w:sz="4" w:space="0" w:color="000000"/>
            </w:tcBorders>
          </w:tcPr>
          <w:p>
            <w:pPr/>
          </w:p>
        </w:tc>
        <w:tc>
          <w:tcPr>
            <w:tcW w:w="2254" w:type="dxa"/>
            <w:vMerge/>
            <w:tcBorders>
              <w:left w:val="single" w:sz="4" w:space="0" w:color="000000"/>
              <w:bottom w:val="single" w:sz="4" w:space="0" w:color="000000"/>
              <w:right w:val="single" w:sz="4" w:space="0" w:color="000000"/>
            </w:tcBorders>
          </w:tcPr>
          <w:p>
            <w:pPr/>
          </w:p>
        </w:tc>
      </w:tr>
      <w:tr>
        <w:trPr>
          <w:trHeight w:val="403" w:hRule="exact"/>
        </w:trPr>
        <w:tc>
          <w:tcPr>
            <w:tcW w:w="15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7,229,055.19</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-2.14%</w:t>
            </w:r>
          </w:p>
        </w:tc>
        <w:tc>
          <w:tcPr>
            <w:tcW w:w="2254" w:type="dxa"/>
            <w:tcBorders>
              <w:top w:val="single" w:sz="4" w:space="0" w:color="000000"/>
              <w:left w:val="single" w:sz="4" w:space="0" w:color="000000"/>
              <w:bottom w:val="single" w:sz="4" w:space="0" w:color="000000"/>
              <w:right w:val="single" w:sz="4" w:space="0" w:color="000000"/>
            </w:tcBorders>
          </w:tcPr>
          <w:p>
            <w:pP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5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1,594,386.21</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-0.47%</w:t>
            </w:r>
          </w:p>
        </w:tc>
        <w:tc>
          <w:tcPr>
            <w:tcW w:w="2254" w:type="dxa"/>
            <w:tcBorders>
              <w:top w:val="single" w:sz="4" w:space="0" w:color="000000"/>
              <w:left w:val="single" w:sz="4" w:space="0" w:color="000000"/>
              <w:bottom w:val="single" w:sz="4" w:space="0" w:color="000000"/>
              <w:right w:val="single" w:sz="4" w:space="0" w:color="000000"/>
            </w:tcBorders>
          </w:tcPr>
          <w:p>
            <w:pP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1"/>
        <w:rPr>
          <w:rFonts w:ascii="宋体" w:hAnsi="宋体" w:cs="宋体" w:eastAsia="宋体" w:hint="default"/>
          <w:sz w:val="18"/>
          <w:szCs w:val="18"/>
        </w:rPr>
      </w:pPr>
    </w:p>
    <w:p>
      <w:pPr>
        <w:pStyle w:val="Heading2"/>
        <w:spacing w:line="240" w:lineRule="auto" w:before="26"/>
        <w:ind w:right="1133"/>
        <w:jc w:val="left"/>
        <w:rPr>
          <w:b w:val="0"/>
          <w:bCs w:val="0"/>
        </w:rPr>
      </w:pPr>
      <w:bookmarkStart w:name="四、资产及负债状况分析" w:id="41"/>
      <w:bookmarkEnd w:id="41"/>
      <w:r>
        <w:rPr>
          <w:b w:val="0"/>
          <w:bCs w:val="0"/>
        </w:rPr>
      </w:r>
      <w:r>
        <w:rPr/>
        <w:t>四、资产及负债状况分析</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1133"/>
        <w:jc w:val="left"/>
        <w:rPr>
          <w:b w:val="0"/>
          <w:bCs w:val="0"/>
        </w:rPr>
      </w:pPr>
      <w:bookmarkStart w:name="1、资产构成重大变动情况" w:id="42"/>
      <w:bookmarkEnd w:id="42"/>
      <w:r>
        <w:rPr>
          <w:b w:val="0"/>
          <w:bCs w:val="0"/>
        </w:rPr>
      </w:r>
      <w:r>
        <w:rPr>
          <w:rFonts w:ascii="Times New Roman" w:hAnsi="Times New Roman" w:cs="Times New Roman" w:eastAsia="Times New Roman" w:hint="default"/>
        </w:rPr>
        <w:t>1</w:t>
      </w:r>
      <w:r>
        <w:rPr/>
        <w:t>、资产构成重大变动情况</w:t>
      </w:r>
      <w:r>
        <w:rPr>
          <w:b w:val="0"/>
          <w:bCs w:val="0"/>
        </w:rPr>
      </w:r>
    </w:p>
    <w:p>
      <w:pPr>
        <w:spacing w:line="240" w:lineRule="auto" w:before="10"/>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80" w:top="1060" w:bottom="1160" w:left="980" w:right="0"/>
        </w:sectPr>
      </w:pPr>
    </w:p>
    <w:p>
      <w:pPr>
        <w:pStyle w:val="BodyText"/>
        <w:spacing w:line="240" w:lineRule="auto" w:before="44"/>
        <w:ind w:right="-17"/>
        <w:jc w:val="left"/>
      </w:pPr>
      <w:r>
        <w:rPr/>
        <w:t>公司</w:t>
      </w:r>
      <w:r>
        <w:rPr>
          <w:spacing w:val="-46"/>
        </w:rPr>
        <w:t> </w:t>
      </w:r>
      <w:r>
        <w:rPr>
          <w:rFonts w:ascii="Times New Roman" w:hAnsi="Times New Roman" w:cs="Times New Roman" w:eastAsia="Times New Roman" w:hint="default"/>
        </w:rPr>
        <w:t>2019 </w:t>
      </w:r>
      <w:r>
        <w:rPr/>
        <w:t>年起首次执行新金融工具准则、新收入准则或新租赁准则且调整执行当年年初财务报表相关项目</w:t>
      </w:r>
    </w:p>
    <w:p>
      <w:pPr>
        <w:pStyle w:val="BodyText"/>
        <w:spacing w:line="240" w:lineRule="auto" w:before="103"/>
        <w:ind w:right="-17"/>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060" w:bottom="1160" w:left="980" w:right="0"/>
          <w:cols w:num="2" w:equalWidth="0">
            <w:col w:w="8525" w:space="395"/>
            <w:col w:w="2010"/>
          </w:cols>
        </w:sectPr>
      </w:pP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265"/>
        <w:gridCol w:w="1315"/>
        <w:gridCol w:w="1136"/>
        <w:gridCol w:w="1318"/>
        <w:gridCol w:w="855"/>
        <w:gridCol w:w="670"/>
        <w:gridCol w:w="3099"/>
      </w:tblGrid>
      <w:tr>
        <w:trPr>
          <w:trHeight w:val="206" w:hRule="exact"/>
        </w:trPr>
        <w:tc>
          <w:tcPr>
            <w:tcW w:w="1265" w:type="dxa"/>
            <w:vMerge w:val="restart"/>
            <w:tcBorders>
              <w:top w:val="single" w:sz="4" w:space="0" w:color="000000"/>
              <w:left w:val="single" w:sz="4" w:space="0" w:color="000000"/>
              <w:right w:val="single" w:sz="4" w:space="0" w:color="000000"/>
            </w:tcBorders>
            <w:shd w:val="clear" w:color="auto" w:fill="D2D2D2"/>
          </w:tcPr>
          <w:p>
            <w:pPr/>
          </w:p>
        </w:tc>
        <w:tc>
          <w:tcPr>
            <w:tcW w:w="245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217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6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670" w:type="dxa"/>
            <w:tcBorders>
              <w:top w:val="single" w:sz="4" w:space="0" w:color="000000"/>
              <w:left w:val="single" w:sz="4" w:space="0" w:color="000000"/>
              <w:bottom w:val="nil" w:sz="6" w:space="0" w:color="auto"/>
              <w:right w:val="single" w:sz="4" w:space="0" w:color="000000"/>
            </w:tcBorders>
            <w:shd w:val="clear" w:color="auto" w:fill="D2D2D2"/>
          </w:tcPr>
          <w:p>
            <w:pPr/>
          </w:p>
        </w:tc>
        <w:tc>
          <w:tcPr>
            <w:tcW w:w="3099" w:type="dxa"/>
            <w:vMerge w:val="restart"/>
            <w:tcBorders>
              <w:top w:val="single" w:sz="4" w:space="0" w:color="000000"/>
              <w:left w:val="single" w:sz="4" w:space="0" w:color="000000"/>
              <w:right w:val="single" w:sz="4" w:space="0" w:color="000000"/>
            </w:tcBorders>
            <w:shd w:val="clear" w:color="auto" w:fill="D2D2D2"/>
          </w:tcPr>
          <w:p>
            <w:pPr/>
          </w:p>
        </w:tc>
      </w:tr>
      <w:tr>
        <w:trPr>
          <w:trHeight w:val="176" w:hRule="exact"/>
        </w:trPr>
        <w:tc>
          <w:tcPr>
            <w:tcW w:w="1265" w:type="dxa"/>
            <w:vMerge/>
            <w:tcBorders>
              <w:left w:val="single" w:sz="4" w:space="0" w:color="000000"/>
              <w:bottom w:val="nil" w:sz="6" w:space="0" w:color="auto"/>
              <w:right w:val="single" w:sz="4" w:space="0" w:color="000000"/>
            </w:tcBorders>
            <w:shd w:val="clear" w:color="auto" w:fill="D2D2D2"/>
          </w:tcPr>
          <w:p>
            <w:pPr/>
          </w:p>
        </w:tc>
        <w:tc>
          <w:tcPr>
            <w:tcW w:w="2451" w:type="dxa"/>
            <w:gridSpan w:val="2"/>
            <w:vMerge/>
            <w:tcBorders>
              <w:left w:val="single" w:sz="4" w:space="0" w:color="000000"/>
              <w:bottom w:val="single" w:sz="4" w:space="0" w:color="000000"/>
              <w:right w:val="single" w:sz="4" w:space="0" w:color="000000"/>
            </w:tcBorders>
            <w:shd w:val="clear" w:color="auto" w:fill="D2D2D2"/>
          </w:tcPr>
          <w:p>
            <w:pPr/>
          </w:p>
        </w:tc>
        <w:tc>
          <w:tcPr>
            <w:tcW w:w="2172" w:type="dxa"/>
            <w:gridSpan w:val="2"/>
            <w:vMerge/>
            <w:tcBorders>
              <w:left w:val="single" w:sz="4" w:space="0" w:color="000000"/>
              <w:bottom w:val="single" w:sz="4" w:space="0" w:color="000000"/>
              <w:right w:val="single" w:sz="4" w:space="0" w:color="000000"/>
            </w:tcBorders>
            <w:shd w:val="clear" w:color="auto" w:fill="D2D2D2"/>
          </w:tcPr>
          <w:p>
            <w:pPr/>
          </w:p>
        </w:tc>
        <w:tc>
          <w:tcPr>
            <w:tcW w:w="670"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239" w:right="59" w:hanging="180"/>
              <w:jc w:val="left"/>
              <w:rPr>
                <w:rFonts w:ascii="宋体" w:hAnsi="宋体" w:cs="宋体" w:eastAsia="宋体" w:hint="default"/>
                <w:sz w:val="18"/>
                <w:szCs w:val="18"/>
              </w:rPr>
            </w:pPr>
            <w:r>
              <w:rPr>
                <w:rFonts w:ascii="宋体" w:hAnsi="宋体" w:cs="宋体" w:eastAsia="宋体" w:hint="default"/>
                <w:sz w:val="18"/>
                <w:szCs w:val="18"/>
              </w:rPr>
              <w:t>比重增 减</w:t>
            </w:r>
          </w:p>
        </w:tc>
        <w:tc>
          <w:tcPr>
            <w:tcW w:w="3099" w:type="dxa"/>
            <w:vMerge/>
            <w:tcBorders>
              <w:left w:val="single" w:sz="4" w:space="0" w:color="000000"/>
              <w:bottom w:val="nil" w:sz="6" w:space="0" w:color="auto"/>
              <w:right w:val="single" w:sz="4" w:space="0" w:color="000000"/>
            </w:tcBorders>
            <w:shd w:val="clear" w:color="auto" w:fill="D2D2D2"/>
          </w:tcPr>
          <w:p>
            <w:pPr/>
          </w:p>
        </w:tc>
      </w:tr>
      <w:tr>
        <w:trPr>
          <w:trHeight w:val="181" w:hRule="exact"/>
        </w:trPr>
        <w:tc>
          <w:tcPr>
            <w:tcW w:w="1265" w:type="dxa"/>
            <w:vMerge w:val="restart"/>
            <w:tcBorders>
              <w:top w:val="nil" w:sz="6" w:space="0" w:color="auto"/>
              <w:left w:val="single" w:sz="4" w:space="0" w:color="000000"/>
              <w:right w:val="single" w:sz="4" w:space="0" w:color="000000"/>
            </w:tcBorders>
            <w:shd w:val="clear" w:color="auto" w:fill="D2D2D2"/>
          </w:tcPr>
          <w:p>
            <w:pPr/>
          </w:p>
        </w:tc>
        <w:tc>
          <w:tcPr>
            <w:tcW w:w="1315" w:type="dxa"/>
            <w:tcBorders>
              <w:top w:val="single" w:sz="4" w:space="0" w:color="000000"/>
              <w:left w:val="single" w:sz="4" w:space="0" w:color="000000"/>
              <w:bottom w:val="nil" w:sz="6" w:space="0" w:color="auto"/>
              <w:right w:val="single" w:sz="4" w:space="0" w:color="000000"/>
            </w:tcBorders>
            <w:shd w:val="clear" w:color="auto" w:fill="D2D2D2"/>
          </w:tcPr>
          <w:p>
            <w:pPr/>
          </w:p>
        </w:tc>
        <w:tc>
          <w:tcPr>
            <w:tcW w:w="1136" w:type="dxa"/>
            <w:tcBorders>
              <w:top w:val="single" w:sz="4" w:space="0" w:color="000000"/>
              <w:left w:val="single" w:sz="4" w:space="0" w:color="000000"/>
              <w:bottom w:val="nil" w:sz="6" w:space="0" w:color="auto"/>
              <w:right w:val="single" w:sz="4" w:space="0" w:color="000000"/>
            </w:tcBorders>
            <w:shd w:val="clear" w:color="auto" w:fill="D2D2D2"/>
          </w:tcPr>
          <w:p>
            <w:pPr/>
          </w:p>
        </w:tc>
        <w:tc>
          <w:tcPr>
            <w:tcW w:w="1318" w:type="dxa"/>
            <w:tcBorders>
              <w:top w:val="single" w:sz="4" w:space="0" w:color="000000"/>
              <w:left w:val="single" w:sz="4" w:space="0" w:color="000000"/>
              <w:bottom w:val="nil" w:sz="6" w:space="0" w:color="auto"/>
              <w:right w:val="single" w:sz="4" w:space="0" w:color="000000"/>
            </w:tcBorders>
            <w:shd w:val="clear" w:color="auto" w:fill="D2D2D2"/>
          </w:tcPr>
          <w:p>
            <w:pPr/>
          </w:p>
        </w:tc>
        <w:tc>
          <w:tcPr>
            <w:tcW w:w="85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69"/>
              <w:ind w:left="242" w:right="60" w:hanging="181"/>
              <w:jc w:val="left"/>
              <w:rPr>
                <w:rFonts w:ascii="宋体" w:hAnsi="宋体" w:cs="宋体" w:eastAsia="宋体" w:hint="default"/>
                <w:sz w:val="18"/>
                <w:szCs w:val="18"/>
              </w:rPr>
            </w:pPr>
            <w:r>
              <w:rPr>
                <w:rFonts w:ascii="宋体" w:hAnsi="宋体" w:cs="宋体" w:eastAsia="宋体" w:hint="default"/>
                <w:sz w:val="18"/>
                <w:szCs w:val="18"/>
              </w:rPr>
              <w:t>占总资产 比例</w:t>
            </w:r>
          </w:p>
        </w:tc>
        <w:tc>
          <w:tcPr>
            <w:tcW w:w="670" w:type="dxa"/>
            <w:vMerge/>
            <w:tcBorders>
              <w:left w:val="single" w:sz="4" w:space="0" w:color="000000"/>
              <w:right w:val="single" w:sz="4" w:space="0" w:color="000000"/>
            </w:tcBorders>
            <w:shd w:val="clear" w:color="auto" w:fill="D2D2D2"/>
          </w:tcPr>
          <w:p>
            <w:pPr/>
          </w:p>
        </w:tc>
        <w:tc>
          <w:tcPr>
            <w:tcW w:w="309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8"/>
              <w:ind w:left="1003"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192" w:hRule="exact"/>
        </w:trPr>
        <w:tc>
          <w:tcPr>
            <w:tcW w:w="1265" w:type="dxa"/>
            <w:vMerge/>
            <w:tcBorders>
              <w:left w:val="single" w:sz="4" w:space="0" w:color="000000"/>
              <w:bottom w:val="nil" w:sz="6" w:space="0" w:color="auto"/>
              <w:right w:val="single" w:sz="4" w:space="0" w:color="000000"/>
            </w:tcBorders>
            <w:shd w:val="clear" w:color="auto" w:fill="D2D2D2"/>
          </w:tcPr>
          <w:p>
            <w:pPr/>
          </w:p>
        </w:tc>
        <w:tc>
          <w:tcPr>
            <w:tcW w:w="131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3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占总资产比例</w:t>
            </w:r>
          </w:p>
        </w:tc>
        <w:tc>
          <w:tcPr>
            <w:tcW w:w="131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855" w:type="dxa"/>
            <w:vMerge/>
            <w:tcBorders>
              <w:left w:val="single" w:sz="4" w:space="0" w:color="000000"/>
              <w:right w:val="single" w:sz="4" w:space="0" w:color="000000"/>
            </w:tcBorders>
            <w:shd w:val="clear" w:color="auto" w:fill="D2D2D2"/>
          </w:tcPr>
          <w:p>
            <w:pPr/>
          </w:p>
        </w:tc>
        <w:tc>
          <w:tcPr>
            <w:tcW w:w="670" w:type="dxa"/>
            <w:vMerge/>
            <w:tcBorders>
              <w:left w:val="single" w:sz="4" w:space="0" w:color="000000"/>
              <w:right w:val="single" w:sz="4" w:space="0" w:color="000000"/>
            </w:tcBorders>
            <w:shd w:val="clear" w:color="auto" w:fill="D2D2D2"/>
          </w:tcPr>
          <w:p>
            <w:pPr/>
          </w:p>
        </w:tc>
        <w:tc>
          <w:tcPr>
            <w:tcW w:w="3099" w:type="dxa"/>
            <w:vMerge/>
            <w:tcBorders>
              <w:left w:val="single" w:sz="4" w:space="0" w:color="000000"/>
              <w:bottom w:val="nil" w:sz="6" w:space="0" w:color="auto"/>
              <w:right w:val="single" w:sz="4" w:space="0" w:color="000000"/>
            </w:tcBorders>
            <w:shd w:val="clear" w:color="auto" w:fill="D2D2D2"/>
          </w:tcPr>
          <w:p>
            <w:pPr/>
          </w:p>
        </w:tc>
      </w:tr>
      <w:tr>
        <w:trPr>
          <w:trHeight w:val="178" w:hRule="exact"/>
        </w:trPr>
        <w:tc>
          <w:tcPr>
            <w:tcW w:w="1265" w:type="dxa"/>
            <w:vMerge w:val="restart"/>
            <w:tcBorders>
              <w:top w:val="nil" w:sz="6" w:space="0" w:color="auto"/>
              <w:left w:val="single" w:sz="4" w:space="0" w:color="000000"/>
              <w:right w:val="single" w:sz="4" w:space="0" w:color="000000"/>
            </w:tcBorders>
            <w:shd w:val="clear" w:color="auto" w:fill="D2D2D2"/>
          </w:tcPr>
          <w:p>
            <w:pPr/>
          </w:p>
        </w:tc>
        <w:tc>
          <w:tcPr>
            <w:tcW w:w="1315" w:type="dxa"/>
            <w:vMerge/>
            <w:tcBorders>
              <w:left w:val="single" w:sz="4" w:space="0" w:color="000000"/>
              <w:bottom w:val="nil" w:sz="6" w:space="0" w:color="auto"/>
              <w:right w:val="single" w:sz="4" w:space="0" w:color="000000"/>
            </w:tcBorders>
            <w:shd w:val="clear" w:color="auto" w:fill="D2D2D2"/>
          </w:tcPr>
          <w:p>
            <w:pPr/>
          </w:p>
        </w:tc>
        <w:tc>
          <w:tcPr>
            <w:tcW w:w="1136" w:type="dxa"/>
            <w:vMerge/>
            <w:tcBorders>
              <w:left w:val="single" w:sz="4" w:space="0" w:color="000000"/>
              <w:bottom w:val="nil" w:sz="6" w:space="0" w:color="auto"/>
              <w:right w:val="single" w:sz="4" w:space="0" w:color="000000"/>
            </w:tcBorders>
            <w:shd w:val="clear" w:color="auto" w:fill="D2D2D2"/>
          </w:tcPr>
          <w:p>
            <w:pPr/>
          </w:p>
        </w:tc>
        <w:tc>
          <w:tcPr>
            <w:tcW w:w="1318" w:type="dxa"/>
            <w:vMerge/>
            <w:tcBorders>
              <w:left w:val="single" w:sz="4" w:space="0" w:color="000000"/>
              <w:bottom w:val="nil" w:sz="6" w:space="0" w:color="auto"/>
              <w:right w:val="single" w:sz="4" w:space="0" w:color="000000"/>
            </w:tcBorders>
            <w:shd w:val="clear" w:color="auto" w:fill="D2D2D2"/>
          </w:tcPr>
          <w:p>
            <w:pPr/>
          </w:p>
        </w:tc>
        <w:tc>
          <w:tcPr>
            <w:tcW w:w="855" w:type="dxa"/>
            <w:vMerge/>
            <w:tcBorders>
              <w:left w:val="single" w:sz="4" w:space="0" w:color="000000"/>
              <w:right w:val="single" w:sz="4" w:space="0" w:color="000000"/>
            </w:tcBorders>
            <w:shd w:val="clear" w:color="auto" w:fill="D2D2D2"/>
          </w:tcPr>
          <w:p>
            <w:pPr/>
          </w:p>
        </w:tc>
        <w:tc>
          <w:tcPr>
            <w:tcW w:w="670" w:type="dxa"/>
            <w:vMerge/>
            <w:tcBorders>
              <w:left w:val="single" w:sz="4" w:space="0" w:color="000000"/>
              <w:bottom w:val="nil" w:sz="6" w:space="0" w:color="auto"/>
              <w:right w:val="single" w:sz="4" w:space="0" w:color="000000"/>
            </w:tcBorders>
            <w:shd w:val="clear" w:color="auto" w:fill="D2D2D2"/>
          </w:tcPr>
          <w:p>
            <w:pPr/>
          </w:p>
        </w:tc>
        <w:tc>
          <w:tcPr>
            <w:tcW w:w="3099" w:type="dxa"/>
            <w:vMerge w:val="restart"/>
            <w:tcBorders>
              <w:top w:val="nil" w:sz="6" w:space="0" w:color="auto"/>
              <w:left w:val="single" w:sz="4" w:space="0" w:color="000000"/>
              <w:right w:val="single" w:sz="4" w:space="0" w:color="000000"/>
            </w:tcBorders>
            <w:shd w:val="clear" w:color="auto" w:fill="D2D2D2"/>
          </w:tcPr>
          <w:p>
            <w:pPr/>
          </w:p>
        </w:tc>
      </w:tr>
      <w:tr>
        <w:trPr>
          <w:trHeight w:val="182" w:hRule="exact"/>
        </w:trPr>
        <w:tc>
          <w:tcPr>
            <w:tcW w:w="1265" w:type="dxa"/>
            <w:vMerge/>
            <w:tcBorders>
              <w:left w:val="single" w:sz="4" w:space="0" w:color="000000"/>
              <w:bottom w:val="single" w:sz="4" w:space="0" w:color="000000"/>
              <w:right w:val="single" w:sz="4" w:space="0" w:color="000000"/>
            </w:tcBorders>
            <w:shd w:val="clear" w:color="auto" w:fill="D2D2D2"/>
          </w:tcPr>
          <w:p>
            <w:pPr/>
          </w:p>
        </w:tc>
        <w:tc>
          <w:tcPr>
            <w:tcW w:w="1315" w:type="dxa"/>
            <w:tcBorders>
              <w:top w:val="nil" w:sz="6" w:space="0" w:color="auto"/>
              <w:left w:val="single" w:sz="4" w:space="0" w:color="000000"/>
              <w:bottom w:val="single" w:sz="4" w:space="0" w:color="000000"/>
              <w:right w:val="single" w:sz="4" w:space="0" w:color="000000"/>
            </w:tcBorders>
            <w:shd w:val="clear" w:color="auto" w:fill="D2D2D2"/>
          </w:tcPr>
          <w:p>
            <w:pPr/>
          </w:p>
        </w:tc>
        <w:tc>
          <w:tcPr>
            <w:tcW w:w="1136" w:type="dxa"/>
            <w:tcBorders>
              <w:top w:val="nil" w:sz="6" w:space="0" w:color="auto"/>
              <w:left w:val="single" w:sz="4" w:space="0" w:color="000000"/>
              <w:bottom w:val="single" w:sz="4" w:space="0" w:color="000000"/>
              <w:right w:val="single" w:sz="4" w:space="0" w:color="000000"/>
            </w:tcBorders>
            <w:shd w:val="clear" w:color="auto" w:fill="D2D2D2"/>
          </w:tcPr>
          <w:p>
            <w:pPr/>
          </w:p>
        </w:tc>
        <w:tc>
          <w:tcPr>
            <w:tcW w:w="1318" w:type="dxa"/>
            <w:tcBorders>
              <w:top w:val="nil" w:sz="6" w:space="0" w:color="auto"/>
              <w:left w:val="single" w:sz="4" w:space="0" w:color="000000"/>
              <w:bottom w:val="single" w:sz="4" w:space="0" w:color="000000"/>
              <w:right w:val="single" w:sz="4" w:space="0" w:color="000000"/>
            </w:tcBorders>
            <w:shd w:val="clear" w:color="auto" w:fill="D2D2D2"/>
          </w:tcPr>
          <w:p>
            <w:pPr/>
          </w:p>
        </w:tc>
        <w:tc>
          <w:tcPr>
            <w:tcW w:w="855" w:type="dxa"/>
            <w:vMerge/>
            <w:tcBorders>
              <w:left w:val="single" w:sz="4" w:space="0" w:color="000000"/>
              <w:bottom w:val="single" w:sz="4" w:space="0" w:color="000000"/>
              <w:right w:val="single" w:sz="4" w:space="0" w:color="000000"/>
            </w:tcBorders>
            <w:shd w:val="clear" w:color="auto" w:fill="D2D2D2"/>
          </w:tcPr>
          <w:p>
            <w:pPr/>
          </w:p>
        </w:tc>
        <w:tc>
          <w:tcPr>
            <w:tcW w:w="670" w:type="dxa"/>
            <w:tcBorders>
              <w:top w:val="nil" w:sz="6" w:space="0" w:color="auto"/>
              <w:left w:val="single" w:sz="4" w:space="0" w:color="000000"/>
              <w:bottom w:val="single" w:sz="4" w:space="0" w:color="000000"/>
              <w:right w:val="single" w:sz="4" w:space="0" w:color="000000"/>
            </w:tcBorders>
            <w:shd w:val="clear" w:color="auto" w:fill="D2D2D2"/>
          </w:tcPr>
          <w:p>
            <w:pPr/>
          </w:p>
        </w:tc>
        <w:tc>
          <w:tcPr>
            <w:tcW w:w="3099"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2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31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970,389,828.03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15.06%</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892,377,916.11</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13.19%</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1.87%</w:t>
            </w:r>
          </w:p>
        </w:tc>
        <w:tc>
          <w:tcPr>
            <w:tcW w:w="309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31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1,974,939,542.74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30.66%</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2,138,980,416.13</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31.62%</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-0.96%</w:t>
            </w:r>
          </w:p>
        </w:tc>
        <w:tc>
          <w:tcPr>
            <w:tcW w:w="30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31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507,998,350.11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7.89%</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332,054,359.62</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4.91%</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2.98%</w:t>
            </w:r>
          </w:p>
        </w:tc>
        <w:tc>
          <w:tcPr>
            <w:tcW w:w="3099"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265" w:type="dxa"/>
            <w:tcBorders>
              <w:top w:val="single" w:sz="4" w:space="0" w:color="000000"/>
              <w:left w:val="single" w:sz="4" w:space="0" w:color="000000"/>
              <w:bottom w:val="nil" w:sz="6" w:space="0" w:color="auto"/>
              <w:right w:val="single" w:sz="4" w:space="0" w:color="000000"/>
            </w:tcBorders>
            <w:shd w:val="clear" w:color="auto" w:fill="D2D2D2"/>
          </w:tcPr>
          <w:p>
            <w:pPr/>
          </w:p>
        </w:tc>
        <w:tc>
          <w:tcPr>
            <w:tcW w:w="1315" w:type="dxa"/>
            <w:vMerge w:val="restart"/>
            <w:tcBorders>
              <w:top w:val="single" w:sz="4" w:space="0" w:color="000000"/>
              <w:left w:val="single" w:sz="10"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1" w:right="0"/>
              <w:jc w:val="left"/>
              <w:rPr>
                <w:rFonts w:ascii="Times New Roman" w:hAnsi="Times New Roman" w:cs="Times New Roman" w:eastAsia="Times New Roman" w:hint="default"/>
                <w:sz w:val="18"/>
                <w:szCs w:val="18"/>
              </w:rPr>
            </w:pPr>
            <w:r>
              <w:rPr>
                <w:rFonts w:ascii="Times New Roman"/>
                <w:sz w:val="18"/>
              </w:rPr>
              <w:t>396,402,347.54</w:t>
            </w:r>
          </w:p>
        </w:tc>
        <w:tc>
          <w:tcPr>
            <w:tcW w:w="113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38" w:right="0"/>
              <w:jc w:val="left"/>
              <w:rPr>
                <w:rFonts w:ascii="Times New Roman" w:hAnsi="Times New Roman" w:cs="Times New Roman" w:eastAsia="Times New Roman" w:hint="default"/>
                <w:sz w:val="18"/>
                <w:szCs w:val="18"/>
              </w:rPr>
            </w:pPr>
            <w:r>
              <w:rPr>
                <w:rFonts w:ascii="Times New Roman"/>
                <w:sz w:val="18"/>
              </w:rPr>
              <w:t>6.15%</w:t>
            </w:r>
          </w:p>
        </w:tc>
        <w:tc>
          <w:tcPr>
            <w:tcW w:w="131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9" w:right="0"/>
              <w:jc w:val="left"/>
              <w:rPr>
                <w:rFonts w:ascii="Times New Roman" w:hAnsi="Times New Roman" w:cs="Times New Roman" w:eastAsia="Times New Roman" w:hint="default"/>
                <w:sz w:val="18"/>
                <w:szCs w:val="18"/>
              </w:rPr>
            </w:pPr>
            <w:r>
              <w:rPr>
                <w:rFonts w:ascii="Times New Roman"/>
                <w:sz w:val="18"/>
              </w:rPr>
              <w:t>44,627,022.66</w:t>
            </w:r>
          </w:p>
        </w:tc>
        <w:tc>
          <w:tcPr>
            <w:tcW w:w="85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5" w:right="0"/>
              <w:jc w:val="left"/>
              <w:rPr>
                <w:rFonts w:ascii="Times New Roman" w:hAnsi="Times New Roman" w:cs="Times New Roman" w:eastAsia="Times New Roman" w:hint="default"/>
                <w:sz w:val="18"/>
                <w:szCs w:val="18"/>
              </w:rPr>
            </w:pPr>
            <w:r>
              <w:rPr>
                <w:rFonts w:ascii="Times New Roman"/>
                <w:sz w:val="18"/>
              </w:rPr>
              <w:t>0.66%</w:t>
            </w:r>
          </w:p>
        </w:tc>
        <w:tc>
          <w:tcPr>
            <w:tcW w:w="67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5.49%</w:t>
            </w:r>
          </w:p>
        </w:tc>
        <w:tc>
          <w:tcPr>
            <w:tcW w:w="3099" w:type="dxa"/>
            <w:vMerge w:val="restart"/>
            <w:tcBorders>
              <w:top w:val="single" w:sz="4" w:space="0" w:color="000000"/>
              <w:left w:val="single" w:sz="4" w:space="0" w:color="000000"/>
              <w:right w:val="single" w:sz="4" w:space="0" w:color="000000"/>
            </w:tcBorders>
          </w:tcPr>
          <w:p>
            <w:pPr>
              <w:pStyle w:val="TableParagraph"/>
              <w:spacing w:line="316" w:lineRule="auto" w:before="49"/>
              <w:ind w:left="24" w:right="183"/>
              <w:jc w:val="left"/>
              <w:rPr>
                <w:rFonts w:ascii="宋体" w:hAnsi="宋体" w:cs="宋体" w:eastAsia="宋体" w:hint="default"/>
                <w:sz w:val="18"/>
                <w:szCs w:val="18"/>
              </w:rPr>
            </w:pPr>
            <w:r>
              <w:rPr>
                <w:rFonts w:ascii="宋体" w:hAnsi="宋体" w:cs="宋体" w:eastAsia="宋体" w:hint="default"/>
                <w:sz w:val="18"/>
                <w:szCs w:val="18"/>
              </w:rPr>
              <w:t>主要原因是本报告期达实大厦改扩建 工程完工转固后出租增加所致。</w:t>
            </w:r>
          </w:p>
        </w:tc>
      </w:tr>
      <w:tr>
        <w:trPr>
          <w:trHeight w:val="391" w:hRule="exact"/>
        </w:trPr>
        <w:tc>
          <w:tcPr>
            <w:tcW w:w="126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315" w:type="dxa"/>
            <w:vMerge/>
            <w:tcBorders>
              <w:left w:val="single" w:sz="10" w:space="0" w:color="D2D2D2"/>
              <w:right w:val="single" w:sz="4" w:space="0" w:color="000000"/>
            </w:tcBorders>
          </w:tcPr>
          <w:p>
            <w:pPr/>
          </w:p>
        </w:tc>
        <w:tc>
          <w:tcPr>
            <w:tcW w:w="1136" w:type="dxa"/>
            <w:vMerge/>
            <w:tcBorders>
              <w:left w:val="single" w:sz="4" w:space="0" w:color="000000"/>
              <w:right w:val="single" w:sz="4" w:space="0" w:color="000000"/>
            </w:tcBorders>
          </w:tcPr>
          <w:p>
            <w:pPr/>
          </w:p>
        </w:tc>
        <w:tc>
          <w:tcPr>
            <w:tcW w:w="1318" w:type="dxa"/>
            <w:vMerge/>
            <w:tcBorders>
              <w:left w:val="single" w:sz="4" w:space="0" w:color="000000"/>
              <w:right w:val="single" w:sz="4" w:space="0" w:color="000000"/>
            </w:tcBorders>
          </w:tcPr>
          <w:p>
            <w:pPr/>
          </w:p>
        </w:tc>
        <w:tc>
          <w:tcPr>
            <w:tcW w:w="855" w:type="dxa"/>
            <w:vMerge/>
            <w:tcBorders>
              <w:left w:val="single" w:sz="4" w:space="0" w:color="000000"/>
              <w:right w:val="single" w:sz="4" w:space="0" w:color="000000"/>
            </w:tcBorders>
          </w:tcPr>
          <w:p>
            <w:pPr/>
          </w:p>
        </w:tc>
        <w:tc>
          <w:tcPr>
            <w:tcW w:w="670" w:type="dxa"/>
            <w:vMerge/>
            <w:tcBorders>
              <w:left w:val="single" w:sz="4" w:space="0" w:color="000000"/>
              <w:right w:val="single" w:sz="4" w:space="0" w:color="000000"/>
            </w:tcBorders>
          </w:tcPr>
          <w:p>
            <w:pPr/>
          </w:p>
        </w:tc>
        <w:tc>
          <w:tcPr>
            <w:tcW w:w="3099" w:type="dxa"/>
            <w:vMerge/>
            <w:tcBorders>
              <w:left w:val="single" w:sz="4" w:space="0" w:color="000000"/>
              <w:right w:val="single" w:sz="4" w:space="0" w:color="000000"/>
            </w:tcBorders>
          </w:tcPr>
          <w:p>
            <w:pPr/>
          </w:p>
        </w:tc>
      </w:tr>
      <w:tr>
        <w:trPr>
          <w:trHeight w:val="161" w:hRule="exact"/>
        </w:trPr>
        <w:tc>
          <w:tcPr>
            <w:tcW w:w="1265" w:type="dxa"/>
            <w:tcBorders>
              <w:top w:val="nil" w:sz="6" w:space="0" w:color="auto"/>
              <w:left w:val="single" w:sz="4" w:space="0" w:color="000000"/>
              <w:bottom w:val="single" w:sz="4" w:space="0" w:color="000000"/>
              <w:right w:val="single" w:sz="4" w:space="0" w:color="000000"/>
            </w:tcBorders>
            <w:shd w:val="clear" w:color="auto" w:fill="D2D2D2"/>
          </w:tcPr>
          <w:p>
            <w:pPr/>
          </w:p>
        </w:tc>
        <w:tc>
          <w:tcPr>
            <w:tcW w:w="1315" w:type="dxa"/>
            <w:vMerge/>
            <w:tcBorders>
              <w:left w:val="single" w:sz="10" w:space="0" w:color="D2D2D2"/>
              <w:bottom w:val="single" w:sz="4" w:space="0" w:color="000000"/>
              <w:right w:val="single" w:sz="4" w:space="0" w:color="000000"/>
            </w:tcBorders>
          </w:tcPr>
          <w:p>
            <w:pPr/>
          </w:p>
        </w:tc>
        <w:tc>
          <w:tcPr>
            <w:tcW w:w="1136" w:type="dxa"/>
            <w:vMerge/>
            <w:tcBorders>
              <w:left w:val="single" w:sz="4" w:space="0" w:color="000000"/>
              <w:bottom w:val="single" w:sz="4" w:space="0" w:color="000000"/>
              <w:right w:val="single" w:sz="4" w:space="0" w:color="000000"/>
            </w:tcBorders>
          </w:tcPr>
          <w:p>
            <w:pPr/>
          </w:p>
        </w:tc>
        <w:tc>
          <w:tcPr>
            <w:tcW w:w="1318" w:type="dxa"/>
            <w:vMerge/>
            <w:tcBorders>
              <w:left w:val="single" w:sz="4" w:space="0" w:color="000000"/>
              <w:bottom w:val="single" w:sz="4" w:space="0" w:color="000000"/>
              <w:right w:val="single" w:sz="4" w:space="0" w:color="000000"/>
            </w:tcBorders>
          </w:tcPr>
          <w:p>
            <w:pPr/>
          </w:p>
        </w:tc>
        <w:tc>
          <w:tcPr>
            <w:tcW w:w="855" w:type="dxa"/>
            <w:vMerge/>
            <w:tcBorders>
              <w:left w:val="single" w:sz="4" w:space="0" w:color="000000"/>
              <w:bottom w:val="single" w:sz="4" w:space="0" w:color="000000"/>
              <w:right w:val="single" w:sz="4" w:space="0" w:color="000000"/>
            </w:tcBorders>
          </w:tcPr>
          <w:p>
            <w:pPr/>
          </w:p>
        </w:tc>
        <w:tc>
          <w:tcPr>
            <w:tcW w:w="670" w:type="dxa"/>
            <w:vMerge/>
            <w:tcBorders>
              <w:left w:val="single" w:sz="4" w:space="0" w:color="000000"/>
              <w:bottom w:val="single" w:sz="4" w:space="0" w:color="000000"/>
              <w:right w:val="single" w:sz="4" w:space="0" w:color="000000"/>
            </w:tcBorders>
          </w:tcPr>
          <w:p>
            <w:pPr/>
          </w:p>
        </w:tc>
        <w:tc>
          <w:tcPr>
            <w:tcW w:w="3099" w:type="dxa"/>
            <w:vMerge/>
            <w:tcBorders>
              <w:left w:val="single" w:sz="4" w:space="0" w:color="000000"/>
              <w:bottom w:val="single" w:sz="4" w:space="0" w:color="000000"/>
              <w:right w:val="single" w:sz="4" w:space="0" w:color="000000"/>
            </w:tcBorders>
          </w:tcPr>
          <w:p>
            <w:pPr/>
          </w:p>
        </w:tc>
      </w:tr>
      <w:tr>
        <w:trPr>
          <w:trHeight w:val="403" w:hRule="exact"/>
        </w:trPr>
        <w:tc>
          <w:tcPr>
            <w:tcW w:w="12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31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33,810,569.07</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0.52%</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29,455,567.84</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0.44%</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0.08%</w:t>
            </w:r>
          </w:p>
        </w:tc>
        <w:tc>
          <w:tcPr>
            <w:tcW w:w="3099"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265" w:type="dxa"/>
            <w:tcBorders>
              <w:top w:val="single" w:sz="4" w:space="0" w:color="000000"/>
              <w:left w:val="single" w:sz="4" w:space="0" w:color="000000"/>
              <w:bottom w:val="nil" w:sz="6" w:space="0" w:color="auto"/>
              <w:right w:val="single" w:sz="4" w:space="0" w:color="000000"/>
            </w:tcBorders>
            <w:shd w:val="clear" w:color="auto" w:fill="D2D2D2"/>
          </w:tcPr>
          <w:p>
            <w:pPr/>
          </w:p>
        </w:tc>
        <w:tc>
          <w:tcPr>
            <w:tcW w:w="1315" w:type="dxa"/>
            <w:vMerge w:val="restart"/>
            <w:tcBorders>
              <w:top w:val="single" w:sz="4" w:space="0" w:color="000000"/>
              <w:left w:val="single" w:sz="10"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1" w:right="0"/>
              <w:jc w:val="left"/>
              <w:rPr>
                <w:rFonts w:ascii="Times New Roman" w:hAnsi="Times New Roman" w:cs="Times New Roman" w:eastAsia="Times New Roman" w:hint="default"/>
                <w:sz w:val="18"/>
                <w:szCs w:val="18"/>
              </w:rPr>
            </w:pPr>
            <w:r>
              <w:rPr>
                <w:rFonts w:ascii="Times New Roman"/>
                <w:sz w:val="18"/>
              </w:rPr>
              <w:t>473,645,008.29</w:t>
            </w:r>
          </w:p>
        </w:tc>
        <w:tc>
          <w:tcPr>
            <w:tcW w:w="113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38" w:right="0"/>
              <w:jc w:val="left"/>
              <w:rPr>
                <w:rFonts w:ascii="Times New Roman" w:hAnsi="Times New Roman" w:cs="Times New Roman" w:eastAsia="Times New Roman" w:hint="default"/>
                <w:sz w:val="18"/>
                <w:szCs w:val="18"/>
              </w:rPr>
            </w:pPr>
            <w:r>
              <w:rPr>
                <w:rFonts w:ascii="Times New Roman"/>
                <w:sz w:val="18"/>
              </w:rPr>
              <w:t>7.35%</w:t>
            </w:r>
          </w:p>
        </w:tc>
        <w:tc>
          <w:tcPr>
            <w:tcW w:w="131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162,304,668.60</w:t>
            </w:r>
          </w:p>
        </w:tc>
        <w:tc>
          <w:tcPr>
            <w:tcW w:w="85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5" w:right="0"/>
              <w:jc w:val="left"/>
              <w:rPr>
                <w:rFonts w:ascii="Times New Roman" w:hAnsi="Times New Roman" w:cs="Times New Roman" w:eastAsia="Times New Roman" w:hint="default"/>
                <w:sz w:val="18"/>
                <w:szCs w:val="18"/>
              </w:rPr>
            </w:pPr>
            <w:r>
              <w:rPr>
                <w:rFonts w:ascii="Times New Roman"/>
                <w:sz w:val="18"/>
              </w:rPr>
              <w:t>2.40%</w:t>
            </w:r>
          </w:p>
        </w:tc>
        <w:tc>
          <w:tcPr>
            <w:tcW w:w="67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4.95%</w:t>
            </w:r>
          </w:p>
        </w:tc>
        <w:tc>
          <w:tcPr>
            <w:tcW w:w="3099" w:type="dxa"/>
            <w:vMerge w:val="restart"/>
            <w:tcBorders>
              <w:top w:val="single" w:sz="4" w:space="0" w:color="000000"/>
              <w:left w:val="single" w:sz="4" w:space="0" w:color="000000"/>
              <w:right w:val="single" w:sz="4" w:space="0" w:color="000000"/>
            </w:tcBorders>
          </w:tcPr>
          <w:p>
            <w:pPr>
              <w:pStyle w:val="TableParagraph"/>
              <w:spacing w:line="316" w:lineRule="auto" w:before="49"/>
              <w:ind w:left="24" w:right="183"/>
              <w:jc w:val="left"/>
              <w:rPr>
                <w:rFonts w:ascii="宋体" w:hAnsi="宋体" w:cs="宋体" w:eastAsia="宋体" w:hint="default"/>
                <w:sz w:val="18"/>
                <w:szCs w:val="18"/>
              </w:rPr>
            </w:pPr>
            <w:r>
              <w:rPr>
                <w:rFonts w:ascii="宋体" w:hAnsi="宋体" w:cs="宋体" w:eastAsia="宋体" w:hint="default"/>
                <w:sz w:val="18"/>
                <w:szCs w:val="18"/>
              </w:rPr>
              <w:t>主要原因是本报告期达实大厦改扩建 工程完工转固增加所致。</w:t>
            </w:r>
          </w:p>
        </w:tc>
      </w:tr>
      <w:tr>
        <w:trPr>
          <w:trHeight w:val="391" w:hRule="exact"/>
        </w:trPr>
        <w:tc>
          <w:tcPr>
            <w:tcW w:w="126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315" w:type="dxa"/>
            <w:vMerge/>
            <w:tcBorders>
              <w:left w:val="single" w:sz="10" w:space="0" w:color="D2D2D2"/>
              <w:right w:val="single" w:sz="4" w:space="0" w:color="000000"/>
            </w:tcBorders>
          </w:tcPr>
          <w:p>
            <w:pPr/>
          </w:p>
        </w:tc>
        <w:tc>
          <w:tcPr>
            <w:tcW w:w="1136" w:type="dxa"/>
            <w:vMerge/>
            <w:tcBorders>
              <w:left w:val="single" w:sz="4" w:space="0" w:color="000000"/>
              <w:right w:val="single" w:sz="4" w:space="0" w:color="000000"/>
            </w:tcBorders>
          </w:tcPr>
          <w:p>
            <w:pPr/>
          </w:p>
        </w:tc>
        <w:tc>
          <w:tcPr>
            <w:tcW w:w="1318" w:type="dxa"/>
            <w:vMerge/>
            <w:tcBorders>
              <w:left w:val="single" w:sz="4" w:space="0" w:color="000000"/>
              <w:right w:val="single" w:sz="4" w:space="0" w:color="000000"/>
            </w:tcBorders>
          </w:tcPr>
          <w:p>
            <w:pPr/>
          </w:p>
        </w:tc>
        <w:tc>
          <w:tcPr>
            <w:tcW w:w="855" w:type="dxa"/>
            <w:vMerge/>
            <w:tcBorders>
              <w:left w:val="single" w:sz="4" w:space="0" w:color="000000"/>
              <w:right w:val="single" w:sz="4" w:space="0" w:color="000000"/>
            </w:tcBorders>
          </w:tcPr>
          <w:p>
            <w:pPr/>
          </w:p>
        </w:tc>
        <w:tc>
          <w:tcPr>
            <w:tcW w:w="670" w:type="dxa"/>
            <w:vMerge/>
            <w:tcBorders>
              <w:left w:val="single" w:sz="4" w:space="0" w:color="000000"/>
              <w:right w:val="single" w:sz="4" w:space="0" w:color="000000"/>
            </w:tcBorders>
          </w:tcPr>
          <w:p>
            <w:pPr/>
          </w:p>
        </w:tc>
        <w:tc>
          <w:tcPr>
            <w:tcW w:w="3099" w:type="dxa"/>
            <w:vMerge/>
            <w:tcBorders>
              <w:left w:val="single" w:sz="4" w:space="0" w:color="000000"/>
              <w:right w:val="single" w:sz="4" w:space="0" w:color="000000"/>
            </w:tcBorders>
          </w:tcPr>
          <w:p>
            <w:pPr/>
          </w:p>
        </w:tc>
      </w:tr>
      <w:tr>
        <w:trPr>
          <w:trHeight w:val="161" w:hRule="exact"/>
        </w:trPr>
        <w:tc>
          <w:tcPr>
            <w:tcW w:w="1265" w:type="dxa"/>
            <w:tcBorders>
              <w:top w:val="nil" w:sz="6" w:space="0" w:color="auto"/>
              <w:left w:val="single" w:sz="4" w:space="0" w:color="000000"/>
              <w:bottom w:val="single" w:sz="4" w:space="0" w:color="000000"/>
              <w:right w:val="single" w:sz="4" w:space="0" w:color="000000"/>
            </w:tcBorders>
            <w:shd w:val="clear" w:color="auto" w:fill="D2D2D2"/>
          </w:tcPr>
          <w:p>
            <w:pPr/>
          </w:p>
        </w:tc>
        <w:tc>
          <w:tcPr>
            <w:tcW w:w="1315" w:type="dxa"/>
            <w:vMerge/>
            <w:tcBorders>
              <w:left w:val="single" w:sz="10" w:space="0" w:color="D2D2D2"/>
              <w:bottom w:val="single" w:sz="4" w:space="0" w:color="000000"/>
              <w:right w:val="single" w:sz="4" w:space="0" w:color="000000"/>
            </w:tcBorders>
          </w:tcPr>
          <w:p>
            <w:pPr/>
          </w:p>
        </w:tc>
        <w:tc>
          <w:tcPr>
            <w:tcW w:w="1136" w:type="dxa"/>
            <w:vMerge/>
            <w:tcBorders>
              <w:left w:val="single" w:sz="4" w:space="0" w:color="000000"/>
              <w:bottom w:val="single" w:sz="4" w:space="0" w:color="000000"/>
              <w:right w:val="single" w:sz="4" w:space="0" w:color="000000"/>
            </w:tcBorders>
          </w:tcPr>
          <w:p>
            <w:pPr/>
          </w:p>
        </w:tc>
        <w:tc>
          <w:tcPr>
            <w:tcW w:w="1318" w:type="dxa"/>
            <w:vMerge/>
            <w:tcBorders>
              <w:left w:val="single" w:sz="4" w:space="0" w:color="000000"/>
              <w:bottom w:val="single" w:sz="4" w:space="0" w:color="000000"/>
              <w:right w:val="single" w:sz="4" w:space="0" w:color="000000"/>
            </w:tcBorders>
          </w:tcPr>
          <w:p>
            <w:pPr/>
          </w:p>
        </w:tc>
        <w:tc>
          <w:tcPr>
            <w:tcW w:w="855" w:type="dxa"/>
            <w:vMerge/>
            <w:tcBorders>
              <w:left w:val="single" w:sz="4" w:space="0" w:color="000000"/>
              <w:bottom w:val="single" w:sz="4" w:space="0" w:color="000000"/>
              <w:right w:val="single" w:sz="4" w:space="0" w:color="000000"/>
            </w:tcBorders>
          </w:tcPr>
          <w:p>
            <w:pPr/>
          </w:p>
        </w:tc>
        <w:tc>
          <w:tcPr>
            <w:tcW w:w="670" w:type="dxa"/>
            <w:vMerge/>
            <w:tcBorders>
              <w:left w:val="single" w:sz="4" w:space="0" w:color="000000"/>
              <w:bottom w:val="single" w:sz="4" w:space="0" w:color="000000"/>
              <w:right w:val="single" w:sz="4" w:space="0" w:color="000000"/>
            </w:tcBorders>
          </w:tcPr>
          <w:p>
            <w:pPr/>
          </w:p>
        </w:tc>
        <w:tc>
          <w:tcPr>
            <w:tcW w:w="3099" w:type="dxa"/>
            <w:vMerge/>
            <w:tcBorders>
              <w:left w:val="single" w:sz="4" w:space="0" w:color="000000"/>
              <w:bottom w:val="single" w:sz="4" w:space="0" w:color="000000"/>
              <w:right w:val="single" w:sz="4" w:space="0" w:color="000000"/>
            </w:tcBorders>
          </w:tcPr>
          <w:p>
            <w:pPr/>
          </w:p>
        </w:tc>
      </w:tr>
      <w:tr>
        <w:trPr>
          <w:trHeight w:val="163" w:hRule="exact"/>
        </w:trPr>
        <w:tc>
          <w:tcPr>
            <w:tcW w:w="1265" w:type="dxa"/>
            <w:tcBorders>
              <w:top w:val="single" w:sz="4" w:space="0" w:color="000000"/>
              <w:left w:val="single" w:sz="4" w:space="0" w:color="000000"/>
              <w:bottom w:val="nil" w:sz="6" w:space="0" w:color="auto"/>
              <w:right w:val="single" w:sz="4" w:space="0" w:color="000000"/>
            </w:tcBorders>
            <w:shd w:val="clear" w:color="auto" w:fill="D2D2D2"/>
          </w:tcPr>
          <w:p>
            <w:pPr/>
          </w:p>
        </w:tc>
        <w:tc>
          <w:tcPr>
            <w:tcW w:w="1315" w:type="dxa"/>
            <w:vMerge w:val="restart"/>
            <w:tcBorders>
              <w:top w:val="single" w:sz="4" w:space="0" w:color="000000"/>
              <w:left w:val="single" w:sz="10" w:space="0" w:color="D2D2D2"/>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51" w:right="0"/>
              <w:jc w:val="left"/>
              <w:rPr>
                <w:rFonts w:ascii="Times New Roman" w:hAnsi="Times New Roman" w:cs="Times New Roman" w:eastAsia="Times New Roman" w:hint="default"/>
                <w:sz w:val="18"/>
                <w:szCs w:val="18"/>
              </w:rPr>
            </w:pPr>
            <w:r>
              <w:rPr>
                <w:rFonts w:ascii="Times New Roman"/>
                <w:sz w:val="18"/>
              </w:rPr>
              <w:t>421,605,668.12</w:t>
            </w:r>
          </w:p>
        </w:tc>
        <w:tc>
          <w:tcPr>
            <w:tcW w:w="113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38" w:right="0"/>
              <w:jc w:val="left"/>
              <w:rPr>
                <w:rFonts w:ascii="Times New Roman" w:hAnsi="Times New Roman" w:cs="Times New Roman" w:eastAsia="Times New Roman" w:hint="default"/>
                <w:sz w:val="18"/>
                <w:szCs w:val="18"/>
              </w:rPr>
            </w:pPr>
            <w:r>
              <w:rPr>
                <w:rFonts w:ascii="Times New Roman"/>
                <w:sz w:val="18"/>
              </w:rPr>
              <w:t>6.54%</w:t>
            </w:r>
          </w:p>
        </w:tc>
        <w:tc>
          <w:tcPr>
            <w:tcW w:w="1318"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686,874,782.19</w:t>
            </w:r>
          </w:p>
        </w:tc>
        <w:tc>
          <w:tcPr>
            <w:tcW w:w="855"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66" w:right="0"/>
              <w:jc w:val="left"/>
              <w:rPr>
                <w:rFonts w:ascii="Times New Roman" w:hAnsi="Times New Roman" w:cs="Times New Roman" w:eastAsia="Times New Roman" w:hint="default"/>
                <w:sz w:val="18"/>
                <w:szCs w:val="18"/>
              </w:rPr>
            </w:pPr>
            <w:r>
              <w:rPr>
                <w:rFonts w:ascii="Times New Roman"/>
                <w:sz w:val="18"/>
              </w:rPr>
              <w:t>10.15%</w:t>
            </w:r>
          </w:p>
        </w:tc>
        <w:tc>
          <w:tcPr>
            <w:tcW w:w="67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z w:val="18"/>
              </w:rPr>
              <w:t>-3.61%</w:t>
            </w:r>
          </w:p>
        </w:tc>
        <w:tc>
          <w:tcPr>
            <w:tcW w:w="3099" w:type="dxa"/>
            <w:vMerge w:val="restart"/>
            <w:tcBorders>
              <w:top w:val="single" w:sz="4" w:space="0" w:color="000000"/>
              <w:left w:val="single" w:sz="4" w:space="0" w:color="000000"/>
              <w:right w:val="single" w:sz="4" w:space="0" w:color="000000"/>
            </w:tcBorders>
          </w:tcPr>
          <w:p>
            <w:pPr>
              <w:pStyle w:val="TableParagraph"/>
              <w:spacing w:line="314" w:lineRule="auto" w:before="51"/>
              <w:ind w:left="24" w:right="183"/>
              <w:jc w:val="left"/>
              <w:rPr>
                <w:rFonts w:ascii="宋体" w:hAnsi="宋体" w:cs="宋体" w:eastAsia="宋体" w:hint="default"/>
                <w:sz w:val="18"/>
                <w:szCs w:val="18"/>
              </w:rPr>
            </w:pPr>
            <w:r>
              <w:rPr>
                <w:rFonts w:ascii="宋体" w:hAnsi="宋体" w:cs="宋体" w:eastAsia="宋体" w:hint="default"/>
                <w:sz w:val="18"/>
                <w:szCs w:val="18"/>
              </w:rPr>
              <w:t>主要原因是本报告期达实大厦改扩建 工程完工转固增加所致。</w:t>
            </w:r>
          </w:p>
        </w:tc>
      </w:tr>
      <w:tr>
        <w:trPr>
          <w:trHeight w:val="391" w:hRule="exact"/>
        </w:trPr>
        <w:tc>
          <w:tcPr>
            <w:tcW w:w="126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315" w:type="dxa"/>
            <w:vMerge/>
            <w:tcBorders>
              <w:left w:val="single" w:sz="10" w:space="0" w:color="D2D2D2"/>
              <w:right w:val="single" w:sz="4" w:space="0" w:color="000000"/>
            </w:tcBorders>
          </w:tcPr>
          <w:p>
            <w:pPr/>
          </w:p>
        </w:tc>
        <w:tc>
          <w:tcPr>
            <w:tcW w:w="1136" w:type="dxa"/>
            <w:vMerge/>
            <w:tcBorders>
              <w:left w:val="single" w:sz="4" w:space="0" w:color="000000"/>
              <w:right w:val="single" w:sz="4" w:space="0" w:color="000000"/>
            </w:tcBorders>
          </w:tcPr>
          <w:p>
            <w:pPr/>
          </w:p>
        </w:tc>
        <w:tc>
          <w:tcPr>
            <w:tcW w:w="1318" w:type="dxa"/>
            <w:vMerge/>
            <w:tcBorders>
              <w:left w:val="single" w:sz="4" w:space="0" w:color="000000"/>
              <w:right w:val="single" w:sz="4" w:space="0" w:color="000000"/>
            </w:tcBorders>
          </w:tcPr>
          <w:p>
            <w:pPr/>
          </w:p>
        </w:tc>
        <w:tc>
          <w:tcPr>
            <w:tcW w:w="855" w:type="dxa"/>
            <w:vMerge/>
            <w:tcBorders>
              <w:left w:val="single" w:sz="4" w:space="0" w:color="000000"/>
              <w:right w:val="single" w:sz="4" w:space="0" w:color="000000"/>
            </w:tcBorders>
          </w:tcPr>
          <w:p>
            <w:pPr/>
          </w:p>
        </w:tc>
        <w:tc>
          <w:tcPr>
            <w:tcW w:w="670" w:type="dxa"/>
            <w:vMerge/>
            <w:tcBorders>
              <w:left w:val="single" w:sz="4" w:space="0" w:color="000000"/>
              <w:right w:val="single" w:sz="4" w:space="0" w:color="000000"/>
            </w:tcBorders>
          </w:tcPr>
          <w:p>
            <w:pPr/>
          </w:p>
        </w:tc>
        <w:tc>
          <w:tcPr>
            <w:tcW w:w="3099" w:type="dxa"/>
            <w:vMerge/>
            <w:tcBorders>
              <w:left w:val="single" w:sz="4" w:space="0" w:color="000000"/>
              <w:right w:val="single" w:sz="4" w:space="0" w:color="000000"/>
            </w:tcBorders>
          </w:tcPr>
          <w:p>
            <w:pPr/>
          </w:p>
        </w:tc>
      </w:tr>
      <w:tr>
        <w:trPr>
          <w:trHeight w:val="161" w:hRule="exact"/>
        </w:trPr>
        <w:tc>
          <w:tcPr>
            <w:tcW w:w="1265" w:type="dxa"/>
            <w:tcBorders>
              <w:top w:val="nil" w:sz="6" w:space="0" w:color="auto"/>
              <w:left w:val="single" w:sz="4" w:space="0" w:color="000000"/>
              <w:bottom w:val="single" w:sz="4" w:space="0" w:color="000000"/>
              <w:right w:val="single" w:sz="4" w:space="0" w:color="000000"/>
            </w:tcBorders>
            <w:shd w:val="clear" w:color="auto" w:fill="D2D2D2"/>
          </w:tcPr>
          <w:p>
            <w:pPr/>
          </w:p>
        </w:tc>
        <w:tc>
          <w:tcPr>
            <w:tcW w:w="1315" w:type="dxa"/>
            <w:vMerge/>
            <w:tcBorders>
              <w:left w:val="single" w:sz="10" w:space="0" w:color="D2D2D2"/>
              <w:bottom w:val="single" w:sz="4" w:space="0" w:color="000000"/>
              <w:right w:val="single" w:sz="4" w:space="0" w:color="000000"/>
            </w:tcBorders>
          </w:tcPr>
          <w:p>
            <w:pPr/>
          </w:p>
        </w:tc>
        <w:tc>
          <w:tcPr>
            <w:tcW w:w="1136" w:type="dxa"/>
            <w:vMerge/>
            <w:tcBorders>
              <w:left w:val="single" w:sz="4" w:space="0" w:color="000000"/>
              <w:bottom w:val="single" w:sz="4" w:space="0" w:color="000000"/>
              <w:right w:val="single" w:sz="4" w:space="0" w:color="000000"/>
            </w:tcBorders>
          </w:tcPr>
          <w:p>
            <w:pPr/>
          </w:p>
        </w:tc>
        <w:tc>
          <w:tcPr>
            <w:tcW w:w="1318" w:type="dxa"/>
            <w:vMerge/>
            <w:tcBorders>
              <w:left w:val="single" w:sz="4" w:space="0" w:color="000000"/>
              <w:bottom w:val="single" w:sz="4" w:space="0" w:color="000000"/>
              <w:right w:val="single" w:sz="4" w:space="0" w:color="000000"/>
            </w:tcBorders>
          </w:tcPr>
          <w:p>
            <w:pPr/>
          </w:p>
        </w:tc>
        <w:tc>
          <w:tcPr>
            <w:tcW w:w="855" w:type="dxa"/>
            <w:vMerge/>
            <w:tcBorders>
              <w:left w:val="single" w:sz="4" w:space="0" w:color="000000"/>
              <w:bottom w:val="single" w:sz="4" w:space="0" w:color="000000"/>
              <w:right w:val="single" w:sz="4" w:space="0" w:color="000000"/>
            </w:tcBorders>
          </w:tcPr>
          <w:p>
            <w:pPr/>
          </w:p>
        </w:tc>
        <w:tc>
          <w:tcPr>
            <w:tcW w:w="670" w:type="dxa"/>
            <w:vMerge/>
            <w:tcBorders>
              <w:left w:val="single" w:sz="4" w:space="0" w:color="000000"/>
              <w:bottom w:val="single" w:sz="4" w:space="0" w:color="000000"/>
              <w:right w:val="single" w:sz="4" w:space="0" w:color="000000"/>
            </w:tcBorders>
          </w:tcPr>
          <w:p>
            <w:pPr/>
          </w:p>
        </w:tc>
        <w:tc>
          <w:tcPr>
            <w:tcW w:w="3099" w:type="dxa"/>
            <w:vMerge/>
            <w:tcBorders>
              <w:left w:val="single" w:sz="4" w:space="0" w:color="000000"/>
              <w:bottom w:val="single" w:sz="4" w:space="0" w:color="000000"/>
              <w:right w:val="single" w:sz="4" w:space="0" w:color="000000"/>
            </w:tcBorders>
          </w:tcPr>
          <w:p>
            <w:pPr/>
          </w:p>
        </w:tc>
      </w:tr>
      <w:tr>
        <w:trPr>
          <w:trHeight w:val="161" w:hRule="exact"/>
        </w:trPr>
        <w:tc>
          <w:tcPr>
            <w:tcW w:w="1265" w:type="dxa"/>
            <w:tcBorders>
              <w:top w:val="single" w:sz="4" w:space="0" w:color="000000"/>
              <w:left w:val="single" w:sz="4" w:space="0" w:color="000000"/>
              <w:bottom w:val="nil" w:sz="6" w:space="0" w:color="auto"/>
              <w:right w:val="single" w:sz="4" w:space="0" w:color="000000"/>
            </w:tcBorders>
            <w:shd w:val="clear" w:color="auto" w:fill="D2D2D2"/>
          </w:tcPr>
          <w:p>
            <w:pPr/>
          </w:p>
        </w:tc>
        <w:tc>
          <w:tcPr>
            <w:tcW w:w="1315" w:type="dxa"/>
            <w:vMerge w:val="restart"/>
            <w:tcBorders>
              <w:top w:val="single" w:sz="4" w:space="0" w:color="000000"/>
              <w:left w:val="single" w:sz="10"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1" w:right="0"/>
              <w:jc w:val="left"/>
              <w:rPr>
                <w:rFonts w:ascii="Times New Roman" w:hAnsi="Times New Roman" w:cs="Times New Roman" w:eastAsia="Times New Roman" w:hint="default"/>
                <w:sz w:val="18"/>
                <w:szCs w:val="18"/>
              </w:rPr>
            </w:pPr>
            <w:r>
              <w:rPr>
                <w:rFonts w:ascii="Times New Roman"/>
                <w:sz w:val="18"/>
              </w:rPr>
              <w:t>456,500,000.00</w:t>
            </w:r>
          </w:p>
        </w:tc>
        <w:tc>
          <w:tcPr>
            <w:tcW w:w="113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38" w:right="0"/>
              <w:jc w:val="left"/>
              <w:rPr>
                <w:rFonts w:ascii="Times New Roman" w:hAnsi="Times New Roman" w:cs="Times New Roman" w:eastAsia="Times New Roman" w:hint="default"/>
                <w:sz w:val="18"/>
                <w:szCs w:val="18"/>
              </w:rPr>
            </w:pPr>
            <w:r>
              <w:rPr>
                <w:rFonts w:ascii="Times New Roman"/>
                <w:sz w:val="18"/>
              </w:rPr>
              <w:t>7.09%</w:t>
            </w:r>
          </w:p>
        </w:tc>
        <w:tc>
          <w:tcPr>
            <w:tcW w:w="131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844,127,043.58</w:t>
            </w:r>
          </w:p>
        </w:tc>
        <w:tc>
          <w:tcPr>
            <w:tcW w:w="85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66" w:right="0"/>
              <w:jc w:val="left"/>
              <w:rPr>
                <w:rFonts w:ascii="Times New Roman" w:hAnsi="Times New Roman" w:cs="Times New Roman" w:eastAsia="Times New Roman" w:hint="default"/>
                <w:sz w:val="18"/>
                <w:szCs w:val="18"/>
              </w:rPr>
            </w:pPr>
            <w:r>
              <w:rPr>
                <w:rFonts w:ascii="Times New Roman"/>
                <w:sz w:val="18"/>
              </w:rPr>
              <w:t>12.48%</w:t>
            </w:r>
          </w:p>
        </w:tc>
        <w:tc>
          <w:tcPr>
            <w:tcW w:w="67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z w:val="18"/>
              </w:rPr>
              <w:t>-5.39%</w:t>
            </w:r>
          </w:p>
        </w:tc>
        <w:tc>
          <w:tcPr>
            <w:tcW w:w="3099" w:type="dxa"/>
            <w:vMerge w:val="restart"/>
            <w:tcBorders>
              <w:top w:val="single" w:sz="4" w:space="0" w:color="000000"/>
              <w:left w:val="single" w:sz="4" w:space="0" w:color="000000"/>
              <w:right w:val="single" w:sz="4" w:space="0" w:color="000000"/>
            </w:tcBorders>
          </w:tcPr>
          <w:p>
            <w:pPr>
              <w:pStyle w:val="TableParagraph"/>
              <w:spacing w:line="319" w:lineRule="auto" w:before="49"/>
              <w:ind w:left="24" w:right="183"/>
              <w:jc w:val="left"/>
              <w:rPr>
                <w:rFonts w:ascii="宋体" w:hAnsi="宋体" w:cs="宋体" w:eastAsia="宋体" w:hint="default"/>
                <w:sz w:val="18"/>
                <w:szCs w:val="18"/>
              </w:rPr>
            </w:pPr>
            <w:r>
              <w:rPr>
                <w:rFonts w:ascii="宋体" w:hAnsi="宋体" w:cs="宋体" w:eastAsia="宋体" w:hint="default"/>
                <w:sz w:val="18"/>
                <w:szCs w:val="18"/>
              </w:rPr>
              <w:t>主要原因是本报告期末母公司及子公 司达实租赁银行借款到期偿还所致。</w:t>
            </w:r>
          </w:p>
        </w:tc>
      </w:tr>
      <w:tr>
        <w:trPr>
          <w:trHeight w:val="392" w:hRule="exact"/>
        </w:trPr>
        <w:tc>
          <w:tcPr>
            <w:tcW w:w="126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315" w:type="dxa"/>
            <w:vMerge/>
            <w:tcBorders>
              <w:left w:val="single" w:sz="10" w:space="0" w:color="D2D2D2"/>
              <w:right w:val="single" w:sz="4" w:space="0" w:color="000000"/>
            </w:tcBorders>
          </w:tcPr>
          <w:p>
            <w:pPr/>
          </w:p>
        </w:tc>
        <w:tc>
          <w:tcPr>
            <w:tcW w:w="1136" w:type="dxa"/>
            <w:vMerge/>
            <w:tcBorders>
              <w:left w:val="single" w:sz="4" w:space="0" w:color="000000"/>
              <w:right w:val="single" w:sz="4" w:space="0" w:color="000000"/>
            </w:tcBorders>
          </w:tcPr>
          <w:p>
            <w:pPr/>
          </w:p>
        </w:tc>
        <w:tc>
          <w:tcPr>
            <w:tcW w:w="1318" w:type="dxa"/>
            <w:vMerge/>
            <w:tcBorders>
              <w:left w:val="single" w:sz="4" w:space="0" w:color="000000"/>
              <w:right w:val="single" w:sz="4" w:space="0" w:color="000000"/>
            </w:tcBorders>
          </w:tcPr>
          <w:p>
            <w:pPr/>
          </w:p>
        </w:tc>
        <w:tc>
          <w:tcPr>
            <w:tcW w:w="855" w:type="dxa"/>
            <w:vMerge/>
            <w:tcBorders>
              <w:left w:val="single" w:sz="4" w:space="0" w:color="000000"/>
              <w:right w:val="single" w:sz="4" w:space="0" w:color="000000"/>
            </w:tcBorders>
          </w:tcPr>
          <w:p>
            <w:pPr/>
          </w:p>
        </w:tc>
        <w:tc>
          <w:tcPr>
            <w:tcW w:w="670" w:type="dxa"/>
            <w:vMerge/>
            <w:tcBorders>
              <w:left w:val="single" w:sz="4" w:space="0" w:color="000000"/>
              <w:right w:val="single" w:sz="4" w:space="0" w:color="000000"/>
            </w:tcBorders>
          </w:tcPr>
          <w:p>
            <w:pPr/>
          </w:p>
        </w:tc>
        <w:tc>
          <w:tcPr>
            <w:tcW w:w="3099" w:type="dxa"/>
            <w:vMerge/>
            <w:tcBorders>
              <w:left w:val="single" w:sz="4" w:space="0" w:color="000000"/>
              <w:right w:val="single" w:sz="4" w:space="0" w:color="000000"/>
            </w:tcBorders>
          </w:tcPr>
          <w:p>
            <w:pPr/>
          </w:p>
        </w:tc>
      </w:tr>
      <w:tr>
        <w:trPr>
          <w:trHeight w:val="161" w:hRule="exact"/>
        </w:trPr>
        <w:tc>
          <w:tcPr>
            <w:tcW w:w="1265" w:type="dxa"/>
            <w:tcBorders>
              <w:top w:val="nil" w:sz="6" w:space="0" w:color="auto"/>
              <w:left w:val="single" w:sz="4" w:space="0" w:color="000000"/>
              <w:bottom w:val="single" w:sz="4" w:space="0" w:color="000000"/>
              <w:right w:val="single" w:sz="4" w:space="0" w:color="000000"/>
            </w:tcBorders>
            <w:shd w:val="clear" w:color="auto" w:fill="D2D2D2"/>
          </w:tcPr>
          <w:p>
            <w:pPr/>
          </w:p>
        </w:tc>
        <w:tc>
          <w:tcPr>
            <w:tcW w:w="1315" w:type="dxa"/>
            <w:vMerge/>
            <w:tcBorders>
              <w:left w:val="single" w:sz="10" w:space="0" w:color="D2D2D2"/>
              <w:bottom w:val="single" w:sz="4" w:space="0" w:color="000000"/>
              <w:right w:val="single" w:sz="4" w:space="0" w:color="000000"/>
            </w:tcBorders>
          </w:tcPr>
          <w:p>
            <w:pPr/>
          </w:p>
        </w:tc>
        <w:tc>
          <w:tcPr>
            <w:tcW w:w="1136" w:type="dxa"/>
            <w:vMerge/>
            <w:tcBorders>
              <w:left w:val="single" w:sz="4" w:space="0" w:color="000000"/>
              <w:bottom w:val="single" w:sz="4" w:space="0" w:color="000000"/>
              <w:right w:val="single" w:sz="4" w:space="0" w:color="000000"/>
            </w:tcBorders>
          </w:tcPr>
          <w:p>
            <w:pPr/>
          </w:p>
        </w:tc>
        <w:tc>
          <w:tcPr>
            <w:tcW w:w="1318" w:type="dxa"/>
            <w:vMerge/>
            <w:tcBorders>
              <w:left w:val="single" w:sz="4" w:space="0" w:color="000000"/>
              <w:bottom w:val="single" w:sz="4" w:space="0" w:color="000000"/>
              <w:right w:val="single" w:sz="4" w:space="0" w:color="000000"/>
            </w:tcBorders>
          </w:tcPr>
          <w:p>
            <w:pPr/>
          </w:p>
        </w:tc>
        <w:tc>
          <w:tcPr>
            <w:tcW w:w="855" w:type="dxa"/>
            <w:vMerge/>
            <w:tcBorders>
              <w:left w:val="single" w:sz="4" w:space="0" w:color="000000"/>
              <w:bottom w:val="single" w:sz="4" w:space="0" w:color="000000"/>
              <w:right w:val="single" w:sz="4" w:space="0" w:color="000000"/>
            </w:tcBorders>
          </w:tcPr>
          <w:p>
            <w:pPr/>
          </w:p>
        </w:tc>
        <w:tc>
          <w:tcPr>
            <w:tcW w:w="670" w:type="dxa"/>
            <w:vMerge/>
            <w:tcBorders>
              <w:left w:val="single" w:sz="4" w:space="0" w:color="000000"/>
              <w:bottom w:val="single" w:sz="4" w:space="0" w:color="000000"/>
              <w:right w:val="single" w:sz="4" w:space="0" w:color="000000"/>
            </w:tcBorders>
          </w:tcPr>
          <w:p>
            <w:pPr/>
          </w:p>
        </w:tc>
        <w:tc>
          <w:tcPr>
            <w:tcW w:w="3099" w:type="dxa"/>
            <w:vMerge/>
            <w:tcBorders>
              <w:left w:val="single" w:sz="4" w:space="0" w:color="000000"/>
              <w:bottom w:val="single" w:sz="4" w:space="0" w:color="000000"/>
              <w:right w:val="single" w:sz="4" w:space="0" w:color="000000"/>
            </w:tcBorders>
          </w:tcPr>
          <w:p>
            <w:pPr/>
          </w:p>
        </w:tc>
      </w:tr>
      <w:tr>
        <w:trPr>
          <w:trHeight w:val="163" w:hRule="exact"/>
        </w:trPr>
        <w:tc>
          <w:tcPr>
            <w:tcW w:w="1265" w:type="dxa"/>
            <w:tcBorders>
              <w:top w:val="single" w:sz="4" w:space="0" w:color="000000"/>
              <w:left w:val="single" w:sz="4" w:space="0" w:color="000000"/>
              <w:bottom w:val="nil" w:sz="6" w:space="0" w:color="auto"/>
              <w:right w:val="single" w:sz="4" w:space="0" w:color="000000"/>
            </w:tcBorders>
            <w:shd w:val="clear" w:color="auto" w:fill="D2D2D2"/>
          </w:tcPr>
          <w:p>
            <w:pPr/>
          </w:p>
        </w:tc>
        <w:tc>
          <w:tcPr>
            <w:tcW w:w="1315" w:type="dxa"/>
            <w:vMerge w:val="restart"/>
            <w:tcBorders>
              <w:top w:val="single" w:sz="4" w:space="0" w:color="000000"/>
              <w:left w:val="single" w:sz="10" w:space="0" w:color="D2D2D2"/>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6" w:right="0"/>
              <w:jc w:val="left"/>
              <w:rPr>
                <w:rFonts w:ascii="Times New Roman" w:hAnsi="Times New Roman" w:cs="Times New Roman" w:eastAsia="Times New Roman" w:hint="default"/>
                <w:sz w:val="18"/>
                <w:szCs w:val="18"/>
              </w:rPr>
            </w:pPr>
            <w:r>
              <w:rPr>
                <w:rFonts w:ascii="Times New Roman"/>
                <w:sz w:val="18"/>
              </w:rPr>
              <w:t>1,162,186,823.46</w:t>
            </w:r>
          </w:p>
        </w:tc>
        <w:tc>
          <w:tcPr>
            <w:tcW w:w="113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50" w:right="0"/>
              <w:jc w:val="left"/>
              <w:rPr>
                <w:rFonts w:ascii="Times New Roman" w:hAnsi="Times New Roman" w:cs="Times New Roman" w:eastAsia="Times New Roman" w:hint="default"/>
                <w:sz w:val="18"/>
                <w:szCs w:val="18"/>
              </w:rPr>
            </w:pPr>
            <w:r>
              <w:rPr>
                <w:rFonts w:ascii="Times New Roman"/>
                <w:sz w:val="18"/>
              </w:rPr>
              <w:t>18.04%</w:t>
            </w:r>
          </w:p>
        </w:tc>
        <w:tc>
          <w:tcPr>
            <w:tcW w:w="1318"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860,943,033.42</w:t>
            </w:r>
          </w:p>
        </w:tc>
        <w:tc>
          <w:tcPr>
            <w:tcW w:w="855"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66" w:right="0"/>
              <w:jc w:val="left"/>
              <w:rPr>
                <w:rFonts w:ascii="Times New Roman" w:hAnsi="Times New Roman" w:cs="Times New Roman" w:eastAsia="Times New Roman" w:hint="default"/>
                <w:sz w:val="18"/>
                <w:szCs w:val="18"/>
              </w:rPr>
            </w:pPr>
            <w:r>
              <w:rPr>
                <w:rFonts w:ascii="Times New Roman"/>
                <w:sz w:val="18"/>
              </w:rPr>
              <w:t>12.73%</w:t>
            </w:r>
          </w:p>
        </w:tc>
        <w:tc>
          <w:tcPr>
            <w:tcW w:w="67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5.31%</w:t>
            </w:r>
          </w:p>
        </w:tc>
        <w:tc>
          <w:tcPr>
            <w:tcW w:w="3099" w:type="dxa"/>
            <w:vMerge w:val="restart"/>
            <w:tcBorders>
              <w:top w:val="single" w:sz="4" w:space="0" w:color="000000"/>
              <w:left w:val="single" w:sz="4" w:space="0" w:color="000000"/>
              <w:right w:val="single" w:sz="4" w:space="0" w:color="000000"/>
            </w:tcBorders>
          </w:tcPr>
          <w:p>
            <w:pPr>
              <w:pStyle w:val="TableParagraph"/>
              <w:spacing w:line="314" w:lineRule="auto" w:before="51"/>
              <w:ind w:left="24" w:right="-26"/>
              <w:jc w:val="left"/>
              <w:rPr>
                <w:rFonts w:ascii="宋体" w:hAnsi="宋体" w:cs="宋体" w:eastAsia="宋体" w:hint="default"/>
                <w:sz w:val="18"/>
                <w:szCs w:val="18"/>
              </w:rPr>
            </w:pPr>
            <w:r>
              <w:rPr>
                <w:rFonts w:ascii="宋体" w:hAnsi="宋体" w:cs="宋体" w:eastAsia="宋体" w:hint="default"/>
                <w:sz w:val="18"/>
                <w:szCs w:val="18"/>
              </w:rPr>
              <w:t>主要原因是子公司洪泽湖达实、桃江达 实根据</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PPP</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项目进展，融资放款所致。</w:t>
            </w:r>
          </w:p>
        </w:tc>
      </w:tr>
      <w:tr>
        <w:trPr>
          <w:trHeight w:val="391" w:hRule="exact"/>
        </w:trPr>
        <w:tc>
          <w:tcPr>
            <w:tcW w:w="126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315" w:type="dxa"/>
            <w:vMerge/>
            <w:tcBorders>
              <w:left w:val="single" w:sz="10" w:space="0" w:color="D2D2D2"/>
              <w:right w:val="single" w:sz="4" w:space="0" w:color="000000"/>
            </w:tcBorders>
          </w:tcPr>
          <w:p>
            <w:pPr/>
          </w:p>
        </w:tc>
        <w:tc>
          <w:tcPr>
            <w:tcW w:w="1136" w:type="dxa"/>
            <w:vMerge/>
            <w:tcBorders>
              <w:left w:val="single" w:sz="4" w:space="0" w:color="000000"/>
              <w:right w:val="single" w:sz="4" w:space="0" w:color="000000"/>
            </w:tcBorders>
          </w:tcPr>
          <w:p>
            <w:pPr/>
          </w:p>
        </w:tc>
        <w:tc>
          <w:tcPr>
            <w:tcW w:w="1318" w:type="dxa"/>
            <w:vMerge/>
            <w:tcBorders>
              <w:left w:val="single" w:sz="4" w:space="0" w:color="000000"/>
              <w:right w:val="single" w:sz="4" w:space="0" w:color="000000"/>
            </w:tcBorders>
          </w:tcPr>
          <w:p>
            <w:pPr/>
          </w:p>
        </w:tc>
        <w:tc>
          <w:tcPr>
            <w:tcW w:w="855" w:type="dxa"/>
            <w:vMerge/>
            <w:tcBorders>
              <w:left w:val="single" w:sz="4" w:space="0" w:color="000000"/>
              <w:right w:val="single" w:sz="4" w:space="0" w:color="000000"/>
            </w:tcBorders>
          </w:tcPr>
          <w:p>
            <w:pPr/>
          </w:p>
        </w:tc>
        <w:tc>
          <w:tcPr>
            <w:tcW w:w="670" w:type="dxa"/>
            <w:vMerge/>
            <w:tcBorders>
              <w:left w:val="single" w:sz="4" w:space="0" w:color="000000"/>
              <w:right w:val="single" w:sz="4" w:space="0" w:color="000000"/>
            </w:tcBorders>
          </w:tcPr>
          <w:p>
            <w:pPr/>
          </w:p>
        </w:tc>
        <w:tc>
          <w:tcPr>
            <w:tcW w:w="3099" w:type="dxa"/>
            <w:vMerge/>
            <w:tcBorders>
              <w:left w:val="single" w:sz="4" w:space="0" w:color="000000"/>
              <w:right w:val="single" w:sz="4" w:space="0" w:color="000000"/>
            </w:tcBorders>
          </w:tcPr>
          <w:p>
            <w:pPr/>
          </w:p>
        </w:tc>
      </w:tr>
      <w:tr>
        <w:trPr>
          <w:trHeight w:val="161" w:hRule="exact"/>
        </w:trPr>
        <w:tc>
          <w:tcPr>
            <w:tcW w:w="1265" w:type="dxa"/>
            <w:tcBorders>
              <w:top w:val="nil" w:sz="6" w:space="0" w:color="auto"/>
              <w:left w:val="single" w:sz="4" w:space="0" w:color="000000"/>
              <w:bottom w:val="single" w:sz="4" w:space="0" w:color="000000"/>
              <w:right w:val="single" w:sz="4" w:space="0" w:color="000000"/>
            </w:tcBorders>
            <w:shd w:val="clear" w:color="auto" w:fill="D2D2D2"/>
          </w:tcPr>
          <w:p>
            <w:pPr/>
          </w:p>
        </w:tc>
        <w:tc>
          <w:tcPr>
            <w:tcW w:w="1315" w:type="dxa"/>
            <w:vMerge/>
            <w:tcBorders>
              <w:left w:val="single" w:sz="10" w:space="0" w:color="D2D2D2"/>
              <w:bottom w:val="single" w:sz="4" w:space="0" w:color="000000"/>
              <w:right w:val="single" w:sz="4" w:space="0" w:color="000000"/>
            </w:tcBorders>
          </w:tcPr>
          <w:p>
            <w:pPr/>
          </w:p>
        </w:tc>
        <w:tc>
          <w:tcPr>
            <w:tcW w:w="1136" w:type="dxa"/>
            <w:vMerge/>
            <w:tcBorders>
              <w:left w:val="single" w:sz="4" w:space="0" w:color="000000"/>
              <w:bottom w:val="single" w:sz="4" w:space="0" w:color="000000"/>
              <w:right w:val="single" w:sz="4" w:space="0" w:color="000000"/>
            </w:tcBorders>
          </w:tcPr>
          <w:p>
            <w:pPr/>
          </w:p>
        </w:tc>
        <w:tc>
          <w:tcPr>
            <w:tcW w:w="1318" w:type="dxa"/>
            <w:vMerge/>
            <w:tcBorders>
              <w:left w:val="single" w:sz="4" w:space="0" w:color="000000"/>
              <w:bottom w:val="single" w:sz="4" w:space="0" w:color="000000"/>
              <w:right w:val="single" w:sz="4" w:space="0" w:color="000000"/>
            </w:tcBorders>
          </w:tcPr>
          <w:p>
            <w:pPr/>
          </w:p>
        </w:tc>
        <w:tc>
          <w:tcPr>
            <w:tcW w:w="855" w:type="dxa"/>
            <w:vMerge/>
            <w:tcBorders>
              <w:left w:val="single" w:sz="4" w:space="0" w:color="000000"/>
              <w:bottom w:val="single" w:sz="4" w:space="0" w:color="000000"/>
              <w:right w:val="single" w:sz="4" w:space="0" w:color="000000"/>
            </w:tcBorders>
          </w:tcPr>
          <w:p>
            <w:pPr/>
          </w:p>
        </w:tc>
        <w:tc>
          <w:tcPr>
            <w:tcW w:w="670" w:type="dxa"/>
            <w:vMerge/>
            <w:tcBorders>
              <w:left w:val="single" w:sz="4" w:space="0" w:color="000000"/>
              <w:bottom w:val="single" w:sz="4" w:space="0" w:color="000000"/>
              <w:right w:val="single" w:sz="4" w:space="0" w:color="000000"/>
            </w:tcBorders>
          </w:tcPr>
          <w:p>
            <w:pPr/>
          </w:p>
        </w:tc>
        <w:tc>
          <w:tcPr>
            <w:tcW w:w="3099" w:type="dxa"/>
            <w:vMerge/>
            <w:tcBorders>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以公允价值计量的资产和负债" w:id="43"/>
      <w:bookmarkEnd w:id="43"/>
      <w:r>
        <w:rPr>
          <w:b w:val="0"/>
          <w:bCs w:val="0"/>
        </w:rPr>
      </w:r>
      <w:r>
        <w:rPr>
          <w:rFonts w:ascii="Times New Roman" w:hAnsi="Times New Roman" w:cs="Times New Roman" w:eastAsia="Times New Roman" w:hint="default"/>
        </w:rPr>
        <w:t>2</w:t>
      </w:r>
      <w:r>
        <w:rPr/>
        <w:t>、以公允价值计量的资产和负债</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type w:val="continuous"/>
          <w:pgSz w:w="11910" w:h="16840"/>
          <w:pgMar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1133"/>
        <w:jc w:val="left"/>
        <w:rPr>
          <w:b w:val="0"/>
          <w:bCs w:val="0"/>
        </w:rPr>
      </w:pPr>
      <w:bookmarkStart w:name="3、截至报告期末的资产权利受限情况" w:id="44"/>
      <w:bookmarkEnd w:id="44"/>
      <w:r>
        <w:rPr>
          <w:b w:val="0"/>
          <w:bCs w:val="0"/>
        </w:rPr>
      </w:r>
      <w:r>
        <w:rPr>
          <w:rFonts w:ascii="Times New Roman" w:hAnsi="Times New Roman" w:cs="Times New Roman" w:eastAsia="Times New Roman" w:hint="default"/>
        </w:rPr>
        <w:t>3</w:t>
      </w:r>
      <w:r>
        <w:rPr/>
        <w:t>、截至报告期末的资产权利受限情况</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1133"/>
        <w:jc w:val="left"/>
      </w:pPr>
      <w:r>
        <w:rPr/>
        <w:t>详见本报告第十二节财务报告之七合并财务报表项目注释之</w:t>
      </w:r>
      <w:r>
        <w:rPr>
          <w:spacing w:val="-19"/>
        </w:rPr>
        <w:t> </w:t>
      </w:r>
      <w:r>
        <w:rPr/>
        <w:t>七、</w:t>
      </w:r>
      <w:r>
        <w:rPr>
          <w:rFonts w:ascii="Times New Roman" w:hAnsi="Times New Roman" w:cs="Times New Roman" w:eastAsia="Times New Roman" w:hint="default"/>
        </w:rPr>
        <w:t>57</w:t>
      </w:r>
      <w:r>
        <w:rPr/>
        <w:t>、所有权或使用权收到限制的资产</w:t>
      </w:r>
    </w:p>
    <w:p>
      <w:pPr>
        <w:spacing w:line="240" w:lineRule="auto" w:before="3"/>
        <w:rPr>
          <w:rFonts w:ascii="宋体" w:hAnsi="宋体" w:cs="宋体" w:eastAsia="宋体" w:hint="default"/>
          <w:sz w:val="24"/>
          <w:szCs w:val="24"/>
        </w:rPr>
      </w:pPr>
    </w:p>
    <w:p>
      <w:pPr>
        <w:pStyle w:val="Heading2"/>
        <w:spacing w:line="240" w:lineRule="auto"/>
        <w:ind w:right="1133"/>
        <w:jc w:val="left"/>
        <w:rPr>
          <w:b w:val="0"/>
          <w:bCs w:val="0"/>
        </w:rPr>
      </w:pPr>
      <w:bookmarkStart w:name="五、投资状况分析" w:id="45"/>
      <w:bookmarkEnd w:id="45"/>
      <w:r>
        <w:rPr>
          <w:b w:val="0"/>
          <w:bCs w:val="0"/>
        </w:rPr>
      </w:r>
      <w:r>
        <w:rPr/>
        <w:t>五、投资状况分析</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1133"/>
        <w:jc w:val="left"/>
        <w:rPr>
          <w:b w:val="0"/>
          <w:bCs w:val="0"/>
        </w:rPr>
      </w:pPr>
      <w:bookmarkStart w:name="1、总体情况" w:id="46"/>
      <w:bookmarkEnd w:id="46"/>
      <w:r>
        <w:rPr>
          <w:b w:val="0"/>
          <w:bCs w:val="0"/>
        </w:rPr>
      </w:r>
      <w:r>
        <w:rPr>
          <w:rFonts w:ascii="Times New Roman" w:hAnsi="Times New Roman" w:cs="Times New Roman" w:eastAsia="Times New Roman" w:hint="default"/>
        </w:rPr>
        <w:t>1</w:t>
      </w:r>
      <w:r>
        <w:rPr/>
        <w:t>、总体情况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80" w:right="0"/>
              <w:jc w:val="left"/>
              <w:rPr>
                <w:rFonts w:ascii="宋体" w:hAnsi="宋体" w:cs="宋体" w:eastAsia="宋体" w:hint="default"/>
                <w:sz w:val="18"/>
                <w:szCs w:val="18"/>
              </w:rPr>
            </w:pPr>
            <w:r>
              <w:rPr>
                <w:rFonts w:ascii="宋体" w:hAnsi="宋体" w:cs="宋体" w:eastAsia="宋体" w:hint="default"/>
                <w:sz w:val="18"/>
                <w:szCs w:val="18"/>
              </w:rPr>
              <w:t>报告期投资额（元）</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91"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030" w:right="0"/>
              <w:jc w:val="left"/>
              <w:rPr>
                <w:rFonts w:ascii="Times New Roman" w:hAnsi="Times New Roman" w:cs="Times New Roman" w:eastAsia="Times New Roman" w:hint="default"/>
                <w:sz w:val="18"/>
                <w:szCs w:val="18"/>
              </w:rPr>
            </w:pPr>
            <w:r>
              <w:rPr>
                <w:rFonts w:ascii="Times New Roman"/>
                <w:sz w:val="18"/>
              </w:rPr>
              <w:t>197,000,000.00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033" w:right="0"/>
              <w:jc w:val="left"/>
              <w:rPr>
                <w:rFonts w:ascii="Times New Roman" w:hAnsi="Times New Roman" w:cs="Times New Roman" w:eastAsia="Times New Roman" w:hint="default"/>
                <w:sz w:val="18"/>
                <w:szCs w:val="18"/>
              </w:rPr>
            </w:pPr>
            <w:r>
              <w:rPr>
                <w:rFonts w:ascii="Times New Roman"/>
                <w:sz w:val="18"/>
              </w:rPr>
              <w:t>433,231,700.00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-54.53%</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报告期内获取的重大的股权投资情况" w:id="47"/>
      <w:bookmarkEnd w:id="47"/>
      <w:r>
        <w:rPr>
          <w:b w:val="0"/>
          <w:bCs w:val="0"/>
        </w:rPr>
      </w:r>
      <w:r>
        <w:rPr>
          <w:rFonts w:ascii="Times New Roman" w:hAnsi="Times New Roman" w:cs="Times New Roman" w:eastAsia="Times New Roman" w:hint="default"/>
        </w:rPr>
        <w:t>2</w:t>
      </w:r>
      <w:r>
        <w:rPr/>
        <w:t>、报告期内获取的重大的股权投资情况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1"/>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656"/>
        <w:gridCol w:w="650"/>
        <w:gridCol w:w="622"/>
        <w:gridCol w:w="624"/>
        <w:gridCol w:w="622"/>
        <w:gridCol w:w="622"/>
        <w:gridCol w:w="617"/>
        <w:gridCol w:w="617"/>
        <w:gridCol w:w="620"/>
        <w:gridCol w:w="590"/>
        <w:gridCol w:w="593"/>
        <w:gridCol w:w="694"/>
        <w:gridCol w:w="689"/>
        <w:gridCol w:w="691"/>
        <w:gridCol w:w="667"/>
      </w:tblGrid>
      <w:tr>
        <w:trPr>
          <w:trHeight w:val="2273" w:hRule="exact"/>
        </w:trPr>
        <w:tc>
          <w:tcPr>
            <w:tcW w:w="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316" w:lineRule="auto"/>
              <w:ind w:left="52" w:right="51"/>
              <w:jc w:val="center"/>
              <w:rPr>
                <w:rFonts w:ascii="宋体" w:hAnsi="宋体" w:cs="宋体" w:eastAsia="宋体" w:hint="default"/>
                <w:sz w:val="18"/>
                <w:szCs w:val="18"/>
              </w:rPr>
            </w:pPr>
            <w:r>
              <w:rPr>
                <w:rFonts w:ascii="宋体" w:hAnsi="宋体" w:cs="宋体" w:eastAsia="宋体" w:hint="default"/>
                <w:sz w:val="18"/>
                <w:szCs w:val="18"/>
              </w:rPr>
              <w:t>被投资 公司名 称</w:t>
            </w:r>
          </w:p>
        </w:tc>
        <w:tc>
          <w:tcPr>
            <w:tcW w:w="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2"/>
              <w:ind w:left="230" w:right="48" w:hanging="180"/>
              <w:jc w:val="left"/>
              <w:rPr>
                <w:rFonts w:ascii="宋体" w:hAnsi="宋体" w:cs="宋体" w:eastAsia="宋体" w:hint="default"/>
                <w:sz w:val="18"/>
                <w:szCs w:val="18"/>
              </w:rPr>
            </w:pPr>
            <w:r>
              <w:rPr>
                <w:rFonts w:ascii="宋体" w:hAnsi="宋体" w:cs="宋体" w:eastAsia="宋体" w:hint="default"/>
                <w:sz w:val="18"/>
                <w:szCs w:val="18"/>
              </w:rPr>
              <w:t>主要业 务</w:t>
            </w:r>
          </w:p>
        </w:tc>
        <w:tc>
          <w:tcPr>
            <w:tcW w:w="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2"/>
              <w:ind w:left="215" w:right="35" w:hanging="180"/>
              <w:jc w:val="left"/>
              <w:rPr>
                <w:rFonts w:ascii="宋体" w:hAnsi="宋体" w:cs="宋体" w:eastAsia="宋体" w:hint="default"/>
                <w:sz w:val="18"/>
                <w:szCs w:val="18"/>
              </w:rPr>
            </w:pPr>
            <w:r>
              <w:rPr>
                <w:rFonts w:ascii="宋体" w:hAnsi="宋体" w:cs="宋体" w:eastAsia="宋体" w:hint="default"/>
                <w:sz w:val="18"/>
                <w:szCs w:val="18"/>
              </w:rPr>
              <w:t>投资方 式</w:t>
            </w:r>
          </w:p>
        </w:tc>
        <w:tc>
          <w:tcPr>
            <w:tcW w:w="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2"/>
              <w:ind w:left="215" w:right="36" w:hanging="180"/>
              <w:jc w:val="left"/>
              <w:rPr>
                <w:rFonts w:ascii="宋体" w:hAnsi="宋体" w:cs="宋体" w:eastAsia="宋体" w:hint="default"/>
                <w:sz w:val="18"/>
                <w:szCs w:val="18"/>
              </w:rPr>
            </w:pPr>
            <w:r>
              <w:rPr>
                <w:rFonts w:ascii="宋体" w:hAnsi="宋体" w:cs="宋体" w:eastAsia="宋体" w:hint="default"/>
                <w:sz w:val="18"/>
                <w:szCs w:val="18"/>
              </w:rPr>
              <w:t>投资金 额</w:t>
            </w:r>
          </w:p>
        </w:tc>
        <w:tc>
          <w:tcPr>
            <w:tcW w:w="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2"/>
              <w:ind w:left="216" w:right="34" w:hanging="181"/>
              <w:jc w:val="left"/>
              <w:rPr>
                <w:rFonts w:ascii="宋体" w:hAnsi="宋体" w:cs="宋体" w:eastAsia="宋体" w:hint="default"/>
                <w:sz w:val="18"/>
                <w:szCs w:val="18"/>
              </w:rPr>
            </w:pPr>
            <w:r>
              <w:rPr>
                <w:rFonts w:ascii="宋体" w:hAnsi="宋体" w:cs="宋体" w:eastAsia="宋体" w:hint="default"/>
                <w:sz w:val="18"/>
                <w:szCs w:val="18"/>
              </w:rPr>
              <w:t>持股比 例</w:t>
            </w:r>
          </w:p>
        </w:tc>
        <w:tc>
          <w:tcPr>
            <w:tcW w:w="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2"/>
              <w:ind w:left="215" w:right="35" w:hanging="180"/>
              <w:jc w:val="left"/>
              <w:rPr>
                <w:rFonts w:ascii="宋体" w:hAnsi="宋体" w:cs="宋体" w:eastAsia="宋体" w:hint="default"/>
                <w:sz w:val="18"/>
                <w:szCs w:val="18"/>
              </w:rPr>
            </w:pPr>
            <w:r>
              <w:rPr>
                <w:rFonts w:ascii="宋体" w:hAnsi="宋体" w:cs="宋体" w:eastAsia="宋体" w:hint="default"/>
                <w:sz w:val="18"/>
                <w:szCs w:val="18"/>
              </w:rPr>
              <w:t>资金来 源</w:t>
            </w:r>
          </w:p>
        </w:tc>
        <w:tc>
          <w:tcPr>
            <w:tcW w:w="6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合作方</w:t>
            </w:r>
          </w:p>
        </w:tc>
        <w:tc>
          <w:tcPr>
            <w:tcW w:w="6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2"/>
              <w:ind w:left="213" w:right="31" w:hanging="180"/>
              <w:jc w:val="left"/>
              <w:rPr>
                <w:rFonts w:ascii="宋体" w:hAnsi="宋体" w:cs="宋体" w:eastAsia="宋体" w:hint="default"/>
                <w:sz w:val="18"/>
                <w:szCs w:val="18"/>
              </w:rPr>
            </w:pPr>
            <w:r>
              <w:rPr>
                <w:rFonts w:ascii="宋体" w:hAnsi="宋体" w:cs="宋体" w:eastAsia="宋体" w:hint="default"/>
                <w:sz w:val="18"/>
                <w:szCs w:val="18"/>
              </w:rPr>
              <w:t>投资期 限</w:t>
            </w:r>
          </w:p>
        </w:tc>
        <w:tc>
          <w:tcPr>
            <w:tcW w:w="6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2"/>
              <w:ind w:left="213" w:right="34" w:hanging="181"/>
              <w:jc w:val="left"/>
              <w:rPr>
                <w:rFonts w:ascii="宋体" w:hAnsi="宋体" w:cs="宋体" w:eastAsia="宋体" w:hint="default"/>
                <w:sz w:val="18"/>
                <w:szCs w:val="18"/>
              </w:rPr>
            </w:pPr>
            <w:r>
              <w:rPr>
                <w:rFonts w:ascii="宋体" w:hAnsi="宋体" w:cs="宋体" w:eastAsia="宋体" w:hint="default"/>
                <w:sz w:val="18"/>
                <w:szCs w:val="18"/>
              </w:rPr>
              <w:t>产品类 型</w:t>
            </w:r>
          </w:p>
        </w:tc>
        <w:tc>
          <w:tcPr>
            <w:tcW w:w="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10" w:right="108"/>
              <w:jc w:val="both"/>
              <w:rPr>
                <w:rFonts w:ascii="宋体" w:hAnsi="宋体" w:cs="宋体" w:eastAsia="宋体" w:hint="default"/>
                <w:sz w:val="18"/>
                <w:szCs w:val="18"/>
              </w:rPr>
            </w:pPr>
            <w:r>
              <w:rPr>
                <w:rFonts w:ascii="宋体" w:hAnsi="宋体" w:cs="宋体" w:eastAsia="宋体" w:hint="default"/>
                <w:sz w:val="18"/>
                <w:szCs w:val="18"/>
              </w:rPr>
              <w:t>截至 资产 负债 表日 的进 展情 况</w:t>
            </w:r>
          </w:p>
        </w:tc>
        <w:tc>
          <w:tcPr>
            <w:tcW w:w="5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2"/>
              <w:ind w:left="110" w:right="110"/>
              <w:jc w:val="left"/>
              <w:rPr>
                <w:rFonts w:ascii="宋体" w:hAnsi="宋体" w:cs="宋体" w:eastAsia="宋体" w:hint="default"/>
                <w:sz w:val="18"/>
                <w:szCs w:val="18"/>
              </w:rPr>
            </w:pPr>
            <w:r>
              <w:rPr>
                <w:rFonts w:ascii="宋体" w:hAnsi="宋体" w:cs="宋体" w:eastAsia="宋体" w:hint="default"/>
                <w:sz w:val="18"/>
                <w:szCs w:val="18"/>
              </w:rPr>
              <w:t>预计 收益</w:t>
            </w:r>
          </w:p>
        </w:tc>
        <w:tc>
          <w:tcPr>
            <w:tcW w:w="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2"/>
              <w:ind w:left="71" w:right="71"/>
              <w:jc w:val="left"/>
              <w:rPr>
                <w:rFonts w:ascii="宋体" w:hAnsi="宋体" w:cs="宋体" w:eastAsia="宋体" w:hint="default"/>
                <w:sz w:val="18"/>
                <w:szCs w:val="18"/>
              </w:rPr>
            </w:pPr>
            <w:r>
              <w:rPr>
                <w:rFonts w:ascii="宋体" w:hAnsi="宋体" w:cs="宋体" w:eastAsia="宋体" w:hint="default"/>
                <w:sz w:val="18"/>
                <w:szCs w:val="18"/>
              </w:rPr>
              <w:t>本期投 资盈亏</w:t>
            </w:r>
          </w:p>
        </w:tc>
        <w:tc>
          <w:tcPr>
            <w:tcW w:w="6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2"/>
              <w:ind w:left="250" w:right="68" w:hanging="181"/>
              <w:jc w:val="left"/>
              <w:rPr>
                <w:rFonts w:ascii="宋体" w:hAnsi="宋体" w:cs="宋体" w:eastAsia="宋体" w:hint="default"/>
                <w:sz w:val="18"/>
                <w:szCs w:val="18"/>
              </w:rPr>
            </w:pPr>
            <w:r>
              <w:rPr>
                <w:rFonts w:ascii="宋体" w:hAnsi="宋体" w:cs="宋体" w:eastAsia="宋体" w:hint="default"/>
                <w:sz w:val="18"/>
                <w:szCs w:val="18"/>
              </w:rPr>
              <w:t>是否涉 诉</w:t>
            </w:r>
          </w:p>
        </w:tc>
        <w:tc>
          <w:tcPr>
            <w:tcW w:w="6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316" w:lineRule="auto"/>
              <w:ind w:left="69" w:right="71"/>
              <w:jc w:val="both"/>
              <w:rPr>
                <w:rFonts w:ascii="宋体" w:hAnsi="宋体" w:cs="宋体" w:eastAsia="宋体" w:hint="default"/>
                <w:sz w:val="18"/>
                <w:szCs w:val="18"/>
              </w:rPr>
            </w:pPr>
            <w:r>
              <w:rPr>
                <w:rFonts w:ascii="宋体" w:hAnsi="宋体" w:cs="宋体" w:eastAsia="宋体" w:hint="default"/>
                <w:sz w:val="18"/>
                <w:szCs w:val="18"/>
              </w:rPr>
              <w:t>披露日 期（如 有）</w:t>
            </w:r>
          </w:p>
        </w:tc>
        <w:tc>
          <w:tcPr>
            <w:tcW w:w="6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316" w:lineRule="auto"/>
              <w:ind w:left="60" w:right="55"/>
              <w:jc w:val="both"/>
              <w:rPr>
                <w:rFonts w:ascii="宋体" w:hAnsi="宋体" w:cs="宋体" w:eastAsia="宋体" w:hint="default"/>
                <w:sz w:val="18"/>
                <w:szCs w:val="18"/>
              </w:rPr>
            </w:pPr>
            <w:r>
              <w:rPr>
                <w:rFonts w:ascii="宋体" w:hAnsi="宋体" w:cs="宋体" w:eastAsia="宋体" w:hint="default"/>
                <w:sz w:val="18"/>
                <w:szCs w:val="18"/>
              </w:rPr>
              <w:t>披露索 引（如 有）</w:t>
            </w:r>
          </w:p>
        </w:tc>
      </w:tr>
      <w:tr>
        <w:trPr>
          <w:trHeight w:val="5979" w:hRule="exact"/>
        </w:trPr>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319" w:lineRule="auto"/>
              <w:ind w:left="24" w:right="80"/>
              <w:jc w:val="both"/>
              <w:rPr>
                <w:rFonts w:ascii="宋体" w:hAnsi="宋体" w:cs="宋体" w:eastAsia="宋体" w:hint="default"/>
                <w:sz w:val="18"/>
                <w:szCs w:val="18"/>
              </w:rPr>
            </w:pPr>
            <w:r>
              <w:rPr>
                <w:rFonts w:ascii="宋体" w:hAnsi="宋体" w:cs="宋体" w:eastAsia="宋体" w:hint="default"/>
                <w:sz w:val="18"/>
                <w:szCs w:val="18"/>
              </w:rPr>
              <w:t>淮南达 实智慧 医疗有 限公司</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74"/>
              <w:jc w:val="left"/>
              <w:rPr>
                <w:rFonts w:ascii="宋体" w:hAnsi="宋体" w:cs="宋体" w:eastAsia="宋体" w:hint="default"/>
                <w:sz w:val="18"/>
                <w:szCs w:val="18"/>
              </w:rPr>
            </w:pPr>
            <w:r>
              <w:rPr>
                <w:rFonts w:ascii="宋体" w:hAnsi="宋体" w:cs="宋体" w:eastAsia="宋体" w:hint="default"/>
                <w:sz w:val="18"/>
                <w:szCs w:val="18"/>
              </w:rPr>
              <w:t>健康体 检服 务，医 养一体 化健康 服务， 健康养 生管理 及咨询 服务， 医疗和 健康养 生项目 投资、 建设、 运营。</w:t>
            </w:r>
          </w:p>
          <w:p>
            <w:pPr>
              <w:pStyle w:val="TableParagraph"/>
              <w:spacing w:line="316" w:lineRule="auto" w:before="19"/>
              <w:ind w:left="23" w:right="74"/>
              <w:jc w:val="both"/>
              <w:rPr>
                <w:rFonts w:ascii="宋体" w:hAnsi="宋体" w:cs="宋体" w:eastAsia="宋体" w:hint="default"/>
                <w:sz w:val="18"/>
                <w:szCs w:val="18"/>
              </w:rPr>
            </w:pPr>
            <w:r>
              <w:rPr>
                <w:rFonts w:ascii="宋体" w:hAnsi="宋体" w:cs="宋体" w:eastAsia="宋体" w:hint="default"/>
                <w:sz w:val="18"/>
                <w:szCs w:val="18"/>
              </w:rPr>
              <w:t>（依法 须经批 准的项</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新设</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3"/>
              <w:ind w:left="50" w:right="0"/>
              <w:jc w:val="left"/>
              <w:rPr>
                <w:rFonts w:ascii="Times New Roman" w:hAnsi="Times New Roman" w:cs="Times New Roman" w:eastAsia="Times New Roman" w:hint="default"/>
                <w:sz w:val="18"/>
                <w:szCs w:val="18"/>
              </w:rPr>
            </w:pPr>
            <w:r>
              <w:rPr>
                <w:rFonts w:ascii="Times New Roman"/>
                <w:sz w:val="18"/>
              </w:rPr>
              <w:t>99,000,</w:t>
            </w:r>
          </w:p>
          <w:p>
            <w:pPr>
              <w:pStyle w:val="TableParagraph"/>
              <w:spacing w:line="240" w:lineRule="auto" w:before="105"/>
              <w:ind w:left="95" w:right="0"/>
              <w:jc w:val="left"/>
              <w:rPr>
                <w:rFonts w:ascii="Times New Roman" w:hAnsi="Times New Roman" w:cs="Times New Roman" w:eastAsia="Times New Roman" w:hint="default"/>
                <w:sz w:val="18"/>
                <w:szCs w:val="18"/>
              </w:rPr>
            </w:pPr>
            <w:r>
              <w:rPr>
                <w:rFonts w:ascii="Times New Roman"/>
                <w:sz w:val="18"/>
              </w:rPr>
              <w:t>000.00</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36" w:right="0"/>
              <w:jc w:val="left"/>
              <w:rPr>
                <w:rFonts w:ascii="Times New Roman" w:hAnsi="Times New Roman" w:cs="Times New Roman" w:eastAsia="Times New Roman" w:hint="default"/>
                <w:sz w:val="18"/>
                <w:szCs w:val="18"/>
              </w:rPr>
            </w:pPr>
            <w:r>
              <w:rPr>
                <w:rFonts w:ascii="Times New Roman"/>
                <w:sz w:val="18"/>
              </w:rPr>
              <w:t>99.00%</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319" w:lineRule="auto"/>
              <w:ind w:left="23" w:right="47"/>
              <w:jc w:val="left"/>
              <w:rPr>
                <w:rFonts w:ascii="宋体" w:hAnsi="宋体" w:cs="宋体" w:eastAsia="宋体" w:hint="default"/>
                <w:sz w:val="18"/>
                <w:szCs w:val="18"/>
              </w:rPr>
            </w:pPr>
            <w:r>
              <w:rPr>
                <w:rFonts w:ascii="宋体" w:hAnsi="宋体" w:cs="宋体" w:eastAsia="宋体" w:hint="default"/>
                <w:sz w:val="18"/>
                <w:szCs w:val="18"/>
              </w:rPr>
              <w:t>自有资 金</w:t>
            </w:r>
          </w:p>
        </w:tc>
        <w:tc>
          <w:tcPr>
            <w:tcW w:w="6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319" w:lineRule="auto"/>
              <w:ind w:left="24" w:right="41"/>
              <w:jc w:val="both"/>
              <w:rPr>
                <w:rFonts w:ascii="宋体" w:hAnsi="宋体" w:cs="宋体" w:eastAsia="宋体" w:hint="default"/>
                <w:sz w:val="18"/>
                <w:szCs w:val="18"/>
              </w:rPr>
            </w:pPr>
            <w:r>
              <w:rPr>
                <w:rFonts w:ascii="宋体" w:hAnsi="宋体" w:cs="宋体" w:eastAsia="宋体" w:hint="default"/>
                <w:sz w:val="18"/>
                <w:szCs w:val="18"/>
              </w:rPr>
              <w:t>淮南市 社会发 展投资 有限公 司</w:t>
            </w:r>
          </w:p>
        </w:tc>
        <w:tc>
          <w:tcPr>
            <w:tcW w:w="6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股权</w:t>
            </w:r>
          </w:p>
        </w:tc>
        <w:tc>
          <w:tcPr>
            <w:tcW w:w="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319" w:lineRule="auto"/>
              <w:ind w:left="23" w:right="17"/>
              <w:jc w:val="left"/>
              <w:rPr>
                <w:rFonts w:ascii="宋体" w:hAnsi="宋体" w:cs="宋体" w:eastAsia="宋体" w:hint="default"/>
                <w:sz w:val="18"/>
                <w:szCs w:val="18"/>
              </w:rPr>
            </w:pPr>
            <w:r>
              <w:rPr>
                <w:rFonts w:ascii="宋体" w:hAnsi="宋体" w:cs="宋体" w:eastAsia="宋体" w:hint="default"/>
                <w:sz w:val="18"/>
                <w:szCs w:val="18"/>
              </w:rPr>
              <w:t>已实 际投 入资 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c>
          <w:tcPr>
            <w:tcW w:w="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319" w:lineRule="auto"/>
              <w:ind w:left="379" w:right="23" w:hanging="180"/>
              <w:jc w:val="left"/>
              <w:rPr>
                <w:rFonts w:ascii="宋体" w:hAnsi="宋体" w:cs="宋体" w:eastAsia="宋体" w:hint="default"/>
                <w:sz w:val="18"/>
                <w:szCs w:val="18"/>
              </w:rPr>
            </w:pPr>
            <w:r>
              <w:rPr>
                <w:rFonts w:ascii="宋体" w:hAnsi="宋体" w:cs="宋体" w:eastAsia="宋体" w:hint="default"/>
                <w:sz w:val="18"/>
                <w:szCs w:val="18"/>
              </w:rPr>
              <w:t>不适 用</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19"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3"/>
                <w:szCs w:val="13"/>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28</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46"/>
              <w:ind w:left="24" w:right="19"/>
              <w:jc w:val="left"/>
              <w:rPr>
                <w:rFonts w:ascii="Times New Roman" w:hAnsi="Times New Roman" w:cs="Times New Roman" w:eastAsia="Times New Roman" w:hint="default"/>
                <w:sz w:val="18"/>
                <w:szCs w:val="18"/>
              </w:rPr>
            </w:pPr>
            <w:r>
              <w:rPr>
                <w:rFonts w:ascii="宋体" w:hAnsi="宋体" w:cs="宋体" w:eastAsia="宋体" w:hint="default"/>
                <w:sz w:val="18"/>
                <w:szCs w:val="18"/>
              </w:rPr>
              <w:t>《关于 投资设 立控股 子公司 的公 </w:t>
            </w:r>
            <w:r>
              <w:rPr>
                <w:rFonts w:ascii="宋体" w:hAnsi="宋体" w:cs="宋体" w:eastAsia="宋体" w:hint="default"/>
                <w:spacing w:val="-27"/>
                <w:sz w:val="18"/>
                <w:szCs w:val="18"/>
              </w:rPr>
              <w:t>告》（公</w:t>
            </w:r>
            <w:r>
              <w:rPr>
                <w:rFonts w:ascii="宋体" w:hAnsi="宋体" w:cs="宋体" w:eastAsia="宋体" w:hint="default"/>
                <w:sz w:val="18"/>
                <w:szCs w:val="18"/>
              </w:rPr>
              <w:t> 告编 号： </w:t>
            </w:r>
            <w:r>
              <w:rPr>
                <w:rFonts w:ascii="Times New Roman" w:hAnsi="Times New Roman" w:cs="Times New Roman" w:eastAsia="Times New Roman" w:hint="default"/>
                <w:sz w:val="18"/>
                <w:szCs w:val="18"/>
              </w:rPr>
              <w:t>2019-00</w:t>
            </w:r>
          </w:p>
          <w:p>
            <w:pPr>
              <w:pStyle w:val="TableParagraph"/>
              <w:spacing w:line="312" w:lineRule="auto" w:before="40"/>
              <w:ind w:left="24" w:right="17"/>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7</w:t>
            </w:r>
            <w:r>
              <w:rPr>
                <w:rFonts w:ascii="宋体" w:hAnsi="宋体" w:cs="宋体" w:eastAsia="宋体" w:hint="default"/>
                <w:spacing w:val="-4"/>
                <w:sz w:val="18"/>
                <w:szCs w:val="18"/>
              </w:rPr>
              <w:t>）刊登</w:t>
            </w:r>
            <w:r>
              <w:rPr>
                <w:rFonts w:ascii="宋体" w:hAnsi="宋体" w:cs="宋体" w:eastAsia="宋体" w:hint="default"/>
                <w:sz w:val="18"/>
                <w:szCs w:val="18"/>
              </w:rPr>
              <w:t> 于《证 券时 </w:t>
            </w:r>
            <w:r>
              <w:rPr>
                <w:rFonts w:ascii="宋体" w:hAnsi="宋体" w:cs="宋体" w:eastAsia="宋体" w:hint="default"/>
                <w:spacing w:val="-31"/>
                <w:sz w:val="18"/>
                <w:szCs w:val="18"/>
              </w:rPr>
              <w:t>报》、</w:t>
            </w:r>
          </w:p>
          <w:p>
            <w:pPr>
              <w:pStyle w:val="TableParagraph"/>
              <w:spacing w:line="316" w:lineRule="auto" w:before="22"/>
              <w:ind w:left="24" w:right="91"/>
              <w:jc w:val="left"/>
              <w:rPr>
                <w:rFonts w:ascii="宋体" w:hAnsi="宋体" w:cs="宋体" w:eastAsia="宋体" w:hint="default"/>
                <w:sz w:val="18"/>
                <w:szCs w:val="18"/>
              </w:rPr>
            </w:pPr>
            <w:r>
              <w:rPr>
                <w:rFonts w:ascii="宋体" w:hAnsi="宋体" w:cs="宋体" w:eastAsia="宋体" w:hint="default"/>
                <w:sz w:val="18"/>
                <w:szCs w:val="18"/>
              </w:rPr>
              <w:t>《中国 证券 报》及 巨潮资 讯网。</w:t>
            </w:r>
          </w:p>
        </w:tc>
      </w:tr>
    </w:tbl>
    <w:p>
      <w:pPr>
        <w:spacing w:after="0" w:line="316"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656"/>
        <w:gridCol w:w="650"/>
        <w:gridCol w:w="622"/>
        <w:gridCol w:w="624"/>
        <w:gridCol w:w="622"/>
        <w:gridCol w:w="622"/>
        <w:gridCol w:w="617"/>
        <w:gridCol w:w="617"/>
        <w:gridCol w:w="620"/>
        <w:gridCol w:w="590"/>
        <w:gridCol w:w="593"/>
        <w:gridCol w:w="694"/>
        <w:gridCol w:w="689"/>
        <w:gridCol w:w="691"/>
        <w:gridCol w:w="667"/>
      </w:tblGrid>
      <w:tr>
        <w:trPr>
          <w:trHeight w:val="2235" w:hRule="exact"/>
        </w:trPr>
        <w:tc>
          <w:tcPr>
            <w:tcW w:w="656" w:type="dxa"/>
            <w:tcBorders>
              <w:top w:val="single" w:sz="4" w:space="0" w:color="000000"/>
              <w:left w:val="single" w:sz="4" w:space="0" w:color="000000"/>
              <w:bottom w:val="single" w:sz="4" w:space="0" w:color="000000"/>
              <w:right w:val="single" w:sz="4" w:space="0" w:color="000000"/>
            </w:tcBorders>
          </w:tcPr>
          <w:p>
            <w:pP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74"/>
              <w:jc w:val="left"/>
              <w:rPr>
                <w:rFonts w:ascii="宋体" w:hAnsi="宋体" w:cs="宋体" w:eastAsia="宋体" w:hint="default"/>
                <w:sz w:val="18"/>
                <w:szCs w:val="18"/>
              </w:rPr>
            </w:pPr>
            <w:r>
              <w:rPr>
                <w:rFonts w:ascii="宋体" w:hAnsi="宋体" w:cs="宋体" w:eastAsia="宋体" w:hint="default"/>
                <w:sz w:val="18"/>
                <w:szCs w:val="18"/>
              </w:rPr>
              <w:t>目，经 相关部 门批准 后方可 开展经 营活 动）</w:t>
            </w:r>
          </w:p>
        </w:tc>
        <w:tc>
          <w:tcPr>
            <w:tcW w:w="622"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2" w:type="dxa"/>
            <w:tcBorders>
              <w:top w:val="single" w:sz="4" w:space="0" w:color="000000"/>
              <w:left w:val="single" w:sz="4" w:space="0" w:color="000000"/>
              <w:bottom w:val="single" w:sz="4" w:space="0" w:color="000000"/>
              <w:right w:val="single" w:sz="4" w:space="0" w:color="000000"/>
            </w:tcBorders>
          </w:tcPr>
          <w:p>
            <w:pPr/>
          </w:p>
        </w:tc>
        <w:tc>
          <w:tcPr>
            <w:tcW w:w="622" w:type="dxa"/>
            <w:tcBorders>
              <w:top w:val="single" w:sz="4" w:space="0" w:color="000000"/>
              <w:left w:val="single" w:sz="4" w:space="0" w:color="000000"/>
              <w:bottom w:val="single" w:sz="4" w:space="0" w:color="000000"/>
              <w:right w:val="single" w:sz="4" w:space="0" w:color="000000"/>
            </w:tcBorders>
          </w:tcPr>
          <w:p>
            <w:pPr/>
          </w:p>
        </w:tc>
        <w:tc>
          <w:tcPr>
            <w:tcW w:w="617" w:type="dxa"/>
            <w:tcBorders>
              <w:top w:val="single" w:sz="4" w:space="0" w:color="000000"/>
              <w:left w:val="single" w:sz="4" w:space="0" w:color="000000"/>
              <w:bottom w:val="single" w:sz="4" w:space="0" w:color="000000"/>
              <w:right w:val="single" w:sz="4" w:space="0" w:color="000000"/>
            </w:tcBorders>
          </w:tcPr>
          <w:p>
            <w:pPr/>
          </w:p>
        </w:tc>
        <w:tc>
          <w:tcPr>
            <w:tcW w:w="617"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590" w:type="dxa"/>
            <w:tcBorders>
              <w:top w:val="single" w:sz="4" w:space="0" w:color="000000"/>
              <w:left w:val="single" w:sz="4" w:space="0" w:color="000000"/>
              <w:bottom w:val="single" w:sz="4" w:space="0" w:color="000000"/>
              <w:right w:val="single" w:sz="4" w:space="0" w:color="000000"/>
            </w:tcBorders>
          </w:tcPr>
          <w:p>
            <w:pPr/>
          </w:p>
        </w:tc>
        <w:tc>
          <w:tcPr>
            <w:tcW w:w="593" w:type="dxa"/>
            <w:tcBorders>
              <w:top w:val="single" w:sz="4" w:space="0" w:color="000000"/>
              <w:left w:val="single" w:sz="4" w:space="0" w:color="000000"/>
              <w:bottom w:val="single" w:sz="4" w:space="0" w:color="000000"/>
              <w:right w:val="single" w:sz="4" w:space="0" w:color="000000"/>
            </w:tcBorders>
          </w:tcPr>
          <w:p>
            <w:pPr/>
          </w:p>
        </w:tc>
        <w:tc>
          <w:tcPr>
            <w:tcW w:w="694"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691"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99,000,</w:t>
            </w:r>
          </w:p>
          <w:p>
            <w:pPr>
              <w:pStyle w:val="TableParagraph"/>
              <w:spacing w:line="240" w:lineRule="auto" w:before="105"/>
              <w:ind w:left="95" w:right="0"/>
              <w:jc w:val="left"/>
              <w:rPr>
                <w:rFonts w:ascii="Times New Roman" w:hAnsi="Times New Roman" w:cs="Times New Roman" w:eastAsia="Times New Roman" w:hint="default"/>
                <w:sz w:val="18"/>
                <w:szCs w:val="18"/>
              </w:rPr>
            </w:pPr>
            <w:r>
              <w:rPr>
                <w:rFonts w:ascii="Times New Roman"/>
                <w:sz w:val="18"/>
              </w:rPr>
              <w:t>000.00</w:t>
            </w:r>
          </w:p>
        </w:tc>
        <w:tc>
          <w:tcPr>
            <w:tcW w:w="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w:t>
            </w:r>
          </w:p>
        </w:tc>
        <w:tc>
          <w:tcPr>
            <w:tcW w:w="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6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6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6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5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379" w:right="23" w:hanging="180"/>
              <w:jc w:val="left"/>
              <w:rPr>
                <w:rFonts w:ascii="宋体" w:hAnsi="宋体" w:cs="宋体" w:eastAsia="宋体" w:hint="default"/>
                <w:sz w:val="18"/>
                <w:szCs w:val="18"/>
              </w:rPr>
            </w:pPr>
            <w:r>
              <w:rPr>
                <w:rFonts w:ascii="宋体" w:hAnsi="宋体" w:cs="宋体" w:eastAsia="宋体" w:hint="default"/>
                <w:sz w:val="18"/>
                <w:szCs w:val="18"/>
              </w:rPr>
              <w:t>不适 用</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19"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6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6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6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3、报告期内正在进行的重大的非股权投资情况" w:id="48"/>
      <w:bookmarkEnd w:id="48"/>
      <w:r>
        <w:rPr>
          <w:b w:val="0"/>
          <w:bCs w:val="0"/>
        </w:rPr>
      </w:r>
      <w:r>
        <w:rPr>
          <w:rFonts w:ascii="Times New Roman" w:hAnsi="Times New Roman" w:cs="Times New Roman" w:eastAsia="Times New Roman" w:hint="default"/>
        </w:rPr>
        <w:t>3</w:t>
      </w:r>
      <w:r>
        <w:rPr/>
        <w:t>、报告期内正在进行的重大的非股权投资情况</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left="0" w:right="1131"/>
        <w:jc w:val="right"/>
      </w:pPr>
      <w:r>
        <w:rPr/>
        <w:t>单位：元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732"/>
        <w:gridCol w:w="737"/>
        <w:gridCol w:w="734"/>
        <w:gridCol w:w="737"/>
        <w:gridCol w:w="737"/>
        <w:gridCol w:w="734"/>
        <w:gridCol w:w="737"/>
        <w:gridCol w:w="737"/>
        <w:gridCol w:w="734"/>
        <w:gridCol w:w="737"/>
        <w:gridCol w:w="737"/>
        <w:gridCol w:w="734"/>
        <w:gridCol w:w="737"/>
      </w:tblGrid>
      <w:tr>
        <w:trPr>
          <w:trHeight w:val="1650"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314" w:lineRule="auto"/>
              <w:ind w:left="271" w:right="89" w:hanging="181"/>
              <w:jc w:val="left"/>
              <w:rPr>
                <w:rFonts w:ascii="宋体" w:hAnsi="宋体" w:cs="宋体" w:eastAsia="宋体" w:hint="default"/>
                <w:sz w:val="18"/>
                <w:szCs w:val="18"/>
              </w:rPr>
            </w:pPr>
            <w:r>
              <w:rPr>
                <w:rFonts w:ascii="宋体" w:hAnsi="宋体" w:cs="宋体" w:eastAsia="宋体" w:hint="default"/>
                <w:sz w:val="18"/>
                <w:szCs w:val="18"/>
              </w:rPr>
              <w:t>项目名 称</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314" w:lineRule="auto"/>
              <w:ind w:left="273" w:right="91" w:hanging="180"/>
              <w:jc w:val="left"/>
              <w:rPr>
                <w:rFonts w:ascii="宋体" w:hAnsi="宋体" w:cs="宋体" w:eastAsia="宋体" w:hint="default"/>
                <w:sz w:val="18"/>
                <w:szCs w:val="18"/>
              </w:rPr>
            </w:pPr>
            <w:r>
              <w:rPr>
                <w:rFonts w:ascii="宋体" w:hAnsi="宋体" w:cs="宋体" w:eastAsia="宋体" w:hint="default"/>
                <w:sz w:val="18"/>
                <w:szCs w:val="18"/>
              </w:rPr>
              <w:t>投资方 式</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93" w:right="89"/>
              <w:jc w:val="both"/>
              <w:rPr>
                <w:rFonts w:ascii="宋体" w:hAnsi="宋体" w:cs="宋体" w:eastAsia="宋体" w:hint="default"/>
                <w:sz w:val="18"/>
                <w:szCs w:val="18"/>
              </w:rPr>
            </w:pPr>
            <w:r>
              <w:rPr>
                <w:rFonts w:ascii="宋体" w:hAnsi="宋体" w:cs="宋体" w:eastAsia="宋体" w:hint="default"/>
                <w:sz w:val="18"/>
                <w:szCs w:val="18"/>
              </w:rPr>
              <w:t>是否为 固定资 产投资</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93" w:right="92"/>
              <w:jc w:val="both"/>
              <w:rPr>
                <w:rFonts w:ascii="宋体" w:hAnsi="宋体" w:cs="宋体" w:eastAsia="宋体" w:hint="default"/>
                <w:sz w:val="18"/>
                <w:szCs w:val="18"/>
              </w:rPr>
            </w:pPr>
            <w:r>
              <w:rPr>
                <w:rFonts w:ascii="宋体" w:hAnsi="宋体" w:cs="宋体" w:eastAsia="宋体" w:hint="default"/>
                <w:sz w:val="18"/>
                <w:szCs w:val="18"/>
              </w:rPr>
              <w:t>投资项 目涉及 行业</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93" w:right="91"/>
              <w:jc w:val="both"/>
              <w:rPr>
                <w:rFonts w:ascii="宋体" w:hAnsi="宋体" w:cs="宋体" w:eastAsia="宋体" w:hint="default"/>
                <w:sz w:val="18"/>
                <w:szCs w:val="18"/>
              </w:rPr>
            </w:pPr>
            <w:r>
              <w:rPr>
                <w:rFonts w:ascii="宋体" w:hAnsi="宋体" w:cs="宋体" w:eastAsia="宋体" w:hint="default"/>
                <w:sz w:val="18"/>
                <w:szCs w:val="18"/>
              </w:rPr>
              <w:t>本报告 期投入 金额</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93" w:right="89"/>
              <w:jc w:val="both"/>
              <w:rPr>
                <w:rFonts w:ascii="宋体" w:hAnsi="宋体" w:cs="宋体" w:eastAsia="宋体" w:hint="default"/>
                <w:sz w:val="18"/>
                <w:szCs w:val="18"/>
              </w:rPr>
            </w:pPr>
            <w:r>
              <w:rPr>
                <w:rFonts w:ascii="宋体" w:hAnsi="宋体" w:cs="宋体" w:eastAsia="宋体" w:hint="default"/>
                <w:sz w:val="18"/>
                <w:szCs w:val="18"/>
              </w:rPr>
              <w:t>截至报 告期末 累计实 际投入 金额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314" w:lineRule="auto"/>
              <w:ind w:left="273" w:right="91" w:hanging="180"/>
              <w:jc w:val="left"/>
              <w:rPr>
                <w:rFonts w:ascii="宋体" w:hAnsi="宋体" w:cs="宋体" w:eastAsia="宋体" w:hint="default"/>
                <w:sz w:val="18"/>
                <w:szCs w:val="18"/>
              </w:rPr>
            </w:pPr>
            <w:r>
              <w:rPr>
                <w:rFonts w:ascii="宋体" w:hAnsi="宋体" w:cs="宋体" w:eastAsia="宋体" w:hint="default"/>
                <w:sz w:val="18"/>
                <w:szCs w:val="18"/>
              </w:rPr>
              <w:t>资金来 源</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314" w:lineRule="auto"/>
              <w:ind w:left="273" w:right="91" w:hanging="180"/>
              <w:jc w:val="left"/>
              <w:rPr>
                <w:rFonts w:ascii="宋体" w:hAnsi="宋体" w:cs="宋体" w:eastAsia="宋体" w:hint="default"/>
                <w:sz w:val="18"/>
                <w:szCs w:val="18"/>
              </w:rPr>
            </w:pPr>
            <w:r>
              <w:rPr>
                <w:rFonts w:ascii="宋体" w:hAnsi="宋体" w:cs="宋体" w:eastAsia="宋体" w:hint="default"/>
                <w:sz w:val="18"/>
                <w:szCs w:val="18"/>
              </w:rPr>
              <w:t>项目进 度</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314" w:lineRule="auto"/>
              <w:ind w:left="273" w:right="89" w:hanging="180"/>
              <w:jc w:val="left"/>
              <w:rPr>
                <w:rFonts w:ascii="宋体" w:hAnsi="宋体" w:cs="宋体" w:eastAsia="宋体" w:hint="default"/>
                <w:sz w:val="18"/>
                <w:szCs w:val="18"/>
              </w:rPr>
            </w:pPr>
            <w:r>
              <w:rPr>
                <w:rFonts w:ascii="宋体" w:hAnsi="宋体" w:cs="宋体" w:eastAsia="宋体" w:hint="default"/>
                <w:sz w:val="18"/>
                <w:szCs w:val="18"/>
              </w:rPr>
              <w:t>预计收 益</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93" w:right="91"/>
              <w:jc w:val="center"/>
              <w:rPr>
                <w:rFonts w:ascii="宋体" w:hAnsi="宋体" w:cs="宋体" w:eastAsia="宋体" w:hint="default"/>
                <w:sz w:val="18"/>
                <w:szCs w:val="18"/>
              </w:rPr>
            </w:pPr>
            <w:r>
              <w:rPr>
                <w:rFonts w:ascii="宋体" w:hAnsi="宋体" w:cs="宋体" w:eastAsia="宋体" w:hint="default"/>
                <w:sz w:val="18"/>
                <w:szCs w:val="18"/>
              </w:rPr>
              <w:t>截止报 告期末 累计实 现的收 益</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93" w:right="92"/>
              <w:jc w:val="both"/>
              <w:rPr>
                <w:rFonts w:ascii="宋体" w:hAnsi="宋体" w:cs="宋体" w:eastAsia="宋体" w:hint="default"/>
                <w:sz w:val="18"/>
                <w:szCs w:val="18"/>
              </w:rPr>
            </w:pPr>
            <w:r>
              <w:rPr>
                <w:rFonts w:ascii="宋体" w:hAnsi="宋体" w:cs="宋体" w:eastAsia="宋体" w:hint="default"/>
                <w:sz w:val="18"/>
                <w:szCs w:val="18"/>
              </w:rPr>
              <w:t>未达到 计划进 度和预 计收益 的原因</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93" w:right="89"/>
              <w:jc w:val="both"/>
              <w:rPr>
                <w:rFonts w:ascii="宋体" w:hAnsi="宋体" w:cs="宋体" w:eastAsia="宋体" w:hint="default"/>
                <w:sz w:val="18"/>
                <w:szCs w:val="18"/>
              </w:rPr>
            </w:pPr>
            <w:r>
              <w:rPr>
                <w:rFonts w:ascii="宋体" w:hAnsi="宋体" w:cs="宋体" w:eastAsia="宋体" w:hint="default"/>
                <w:sz w:val="18"/>
                <w:szCs w:val="18"/>
              </w:rPr>
              <w:t>披露日 期（如 有）</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93" w:right="91"/>
              <w:jc w:val="both"/>
              <w:rPr>
                <w:rFonts w:ascii="宋体" w:hAnsi="宋体" w:cs="宋体" w:eastAsia="宋体" w:hint="default"/>
                <w:sz w:val="18"/>
                <w:szCs w:val="18"/>
              </w:rPr>
            </w:pPr>
            <w:r>
              <w:rPr>
                <w:rFonts w:ascii="宋体" w:hAnsi="宋体" w:cs="宋体" w:eastAsia="宋体" w:hint="default"/>
                <w:sz w:val="18"/>
                <w:szCs w:val="18"/>
              </w:rPr>
              <w:t>披露索 引（如 有）</w:t>
            </w:r>
          </w:p>
        </w:tc>
      </w:tr>
      <w:tr>
        <w:trPr>
          <w:trHeight w:val="5394" w:hRule="exact"/>
        </w:trPr>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6"/>
                <w:szCs w:val="26"/>
              </w:rPr>
            </w:pPr>
          </w:p>
          <w:p>
            <w:pPr>
              <w:pStyle w:val="TableParagraph"/>
              <w:spacing w:line="316" w:lineRule="auto"/>
              <w:ind w:left="24" w:right="156"/>
              <w:jc w:val="both"/>
              <w:rPr>
                <w:rFonts w:ascii="宋体" w:hAnsi="宋体" w:cs="宋体" w:eastAsia="宋体" w:hint="default"/>
                <w:sz w:val="18"/>
                <w:szCs w:val="18"/>
              </w:rPr>
            </w:pPr>
            <w:r>
              <w:rPr>
                <w:rFonts w:ascii="宋体" w:hAnsi="宋体" w:cs="宋体" w:eastAsia="宋体" w:hint="default"/>
                <w:sz w:val="18"/>
                <w:szCs w:val="18"/>
              </w:rPr>
              <w:t>达实大 厦改扩 建</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自建</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房地产</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317,772,</w:t>
            </w:r>
          </w:p>
          <w:p>
            <w:pPr>
              <w:pStyle w:val="TableParagraph"/>
              <w:spacing w:line="240" w:lineRule="auto" w:before="105"/>
              <w:ind w:left="185" w:right="0"/>
              <w:jc w:val="center"/>
              <w:rPr>
                <w:rFonts w:ascii="Times New Roman" w:hAnsi="Times New Roman" w:cs="Times New Roman" w:eastAsia="Times New Roman" w:hint="default"/>
                <w:sz w:val="18"/>
                <w:szCs w:val="18"/>
              </w:rPr>
            </w:pPr>
            <w:r>
              <w:rPr>
                <w:rFonts w:ascii="Times New Roman"/>
                <w:sz w:val="18"/>
              </w:rPr>
              <w:t>092.07</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954,309,</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028.77</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4"/>
                <w:szCs w:val="14"/>
              </w:rPr>
            </w:pPr>
          </w:p>
          <w:p>
            <w:pPr>
              <w:pStyle w:val="TableParagraph"/>
              <w:spacing w:line="316" w:lineRule="auto"/>
              <w:ind w:left="23" w:right="22"/>
              <w:jc w:val="left"/>
              <w:rPr>
                <w:rFonts w:ascii="宋体" w:hAnsi="宋体" w:cs="宋体" w:eastAsia="宋体" w:hint="default"/>
                <w:sz w:val="18"/>
                <w:szCs w:val="18"/>
              </w:rPr>
            </w:pPr>
            <w:r>
              <w:rPr>
                <w:rFonts w:ascii="宋体" w:hAnsi="宋体" w:cs="宋体" w:eastAsia="宋体" w:hint="default"/>
                <w:sz w:val="18"/>
                <w:szCs w:val="18"/>
              </w:rPr>
              <w:t>自有资 </w:t>
            </w:r>
            <w:r>
              <w:rPr>
                <w:rFonts w:ascii="宋体" w:hAnsi="宋体" w:cs="宋体" w:eastAsia="宋体" w:hint="default"/>
                <w:spacing w:val="-11"/>
                <w:sz w:val="18"/>
                <w:szCs w:val="18"/>
              </w:rPr>
              <w:t>金、金融</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机构贷 款</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0"/>
              <w:jc w:val="left"/>
              <w:rPr>
                <w:rFonts w:ascii="Times New Roman" w:hAnsi="Times New Roman" w:cs="Times New Roman" w:eastAsia="Times New Roman" w:hint="default"/>
                <w:sz w:val="18"/>
                <w:szCs w:val="18"/>
              </w:rPr>
            </w:pPr>
            <w:r>
              <w:rPr>
                <w:rFonts w:ascii="宋体" w:hAnsi="宋体" w:cs="宋体" w:eastAsia="宋体" w:hint="default"/>
                <w:sz w:val="18"/>
                <w:szCs w:val="18"/>
              </w:rPr>
              <w:t>达实大 厦改扩 建项目 新达实 大厦主 楼已于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3</w:t>
            </w:r>
          </w:p>
          <w:p>
            <w:pPr>
              <w:pStyle w:val="TableParagraph"/>
              <w:spacing w:line="316" w:lineRule="auto"/>
              <w:ind w:left="24" w:right="22"/>
              <w:jc w:val="left"/>
              <w:rPr>
                <w:rFonts w:ascii="宋体" w:hAnsi="宋体" w:cs="宋体" w:eastAsia="宋体" w:hint="default"/>
                <w:sz w:val="18"/>
                <w:szCs w:val="18"/>
              </w:rPr>
            </w:pPr>
            <w:r>
              <w:rPr>
                <w:rFonts w:ascii="宋体" w:hAnsi="宋体" w:cs="宋体" w:eastAsia="宋体" w:hint="default"/>
                <w:sz w:val="18"/>
                <w:szCs w:val="18"/>
              </w:rPr>
              <w:t>月达到 预定可 使用状 </w:t>
            </w:r>
            <w:r>
              <w:rPr>
                <w:rFonts w:ascii="宋体" w:hAnsi="宋体" w:cs="宋体" w:eastAsia="宋体" w:hint="default"/>
                <w:spacing w:val="-11"/>
                <w:sz w:val="18"/>
                <w:szCs w:val="18"/>
              </w:rPr>
              <w:t>态，转入</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固定资 </w:t>
            </w:r>
            <w:r>
              <w:rPr>
                <w:rFonts w:ascii="宋体" w:hAnsi="宋体" w:cs="宋体" w:eastAsia="宋体" w:hint="default"/>
                <w:spacing w:val="-11"/>
                <w:sz w:val="18"/>
                <w:szCs w:val="18"/>
              </w:rPr>
              <w:t>产，达实</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大厦裙 楼改造 尚未完 成。</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9"/>
              <w:jc w:val="right"/>
              <w:rPr>
                <w:rFonts w:ascii="宋体" w:hAnsi="宋体" w:cs="宋体" w:eastAsia="宋体" w:hint="default"/>
                <w:sz w:val="18"/>
                <w:szCs w:val="18"/>
              </w:rPr>
            </w:pPr>
            <w:r>
              <w:rPr>
                <w:rFonts w:ascii="宋体" w:hAnsi="宋体" w:cs="宋体" w:eastAsia="宋体" w:hint="default"/>
                <w:sz w:val="18"/>
                <w:szCs w:val="18"/>
              </w:rPr>
              <w:t>不适用</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44,453,5</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23.68</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316" w:lineRule="auto"/>
              <w:ind w:left="23" w:right="161"/>
              <w:jc w:val="left"/>
              <w:rPr>
                <w:rFonts w:ascii="宋体" w:hAnsi="宋体" w:cs="宋体" w:eastAsia="宋体" w:hint="default"/>
                <w:sz w:val="18"/>
                <w:szCs w:val="18"/>
              </w:rPr>
            </w:pPr>
            <w:r>
              <w:rPr>
                <w:rFonts w:ascii="宋体" w:hAnsi="宋体" w:cs="宋体" w:eastAsia="宋体" w:hint="default"/>
                <w:sz w:val="18"/>
                <w:szCs w:val="18"/>
              </w:rPr>
              <w:t>正常进 行中</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22</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61"/>
              <w:jc w:val="both"/>
              <w:rPr>
                <w:rFonts w:ascii="宋体" w:hAnsi="宋体" w:cs="宋体" w:eastAsia="宋体" w:hint="default"/>
                <w:sz w:val="18"/>
                <w:szCs w:val="18"/>
              </w:rPr>
            </w:pPr>
            <w:r>
              <w:rPr>
                <w:rFonts w:ascii="宋体" w:hAnsi="宋体" w:cs="宋体" w:eastAsia="宋体" w:hint="default"/>
                <w:sz w:val="18"/>
                <w:szCs w:val="18"/>
              </w:rPr>
              <w:t>《关于 全资子 公司物 业改扩 建追加 投资的 公告》</w:t>
            </w:r>
          </w:p>
          <w:p>
            <w:pPr>
              <w:pStyle w:val="TableParagraph"/>
              <w:spacing w:line="338" w:lineRule="auto" w:before="19"/>
              <w:ind w:left="24" w:right="98"/>
              <w:jc w:val="both"/>
              <w:rPr>
                <w:rFonts w:ascii="Times New Roman" w:hAnsi="Times New Roman" w:cs="Times New Roman" w:eastAsia="Times New Roman" w:hint="default"/>
                <w:sz w:val="18"/>
                <w:szCs w:val="18"/>
              </w:rPr>
            </w:pPr>
            <w:r>
              <w:rPr>
                <w:rFonts w:ascii="宋体" w:hAnsi="宋体" w:cs="宋体" w:eastAsia="宋体" w:hint="default"/>
                <w:sz w:val="18"/>
                <w:szCs w:val="18"/>
              </w:rPr>
              <w:t>（公告 编号： </w:t>
            </w:r>
            <w:r>
              <w:rPr>
                <w:rFonts w:ascii="Times New Roman" w:hAnsi="Times New Roman" w:cs="Times New Roman" w:eastAsia="Times New Roman" w:hint="default"/>
                <w:sz w:val="18"/>
                <w:szCs w:val="18"/>
              </w:rPr>
              <w:t>2019-07</w:t>
            </w:r>
          </w:p>
          <w:p>
            <w:pPr>
              <w:pStyle w:val="TableParagraph"/>
              <w:spacing w:line="230" w:lineRule="exact"/>
              <w:ind w:left="24"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）刊登</w:t>
            </w:r>
          </w:p>
          <w:p>
            <w:pPr>
              <w:pStyle w:val="TableParagraph"/>
              <w:spacing w:line="316" w:lineRule="auto" w:before="63"/>
              <w:ind w:left="24" w:right="22"/>
              <w:jc w:val="left"/>
              <w:rPr>
                <w:rFonts w:ascii="宋体" w:hAnsi="宋体" w:cs="宋体" w:eastAsia="宋体" w:hint="default"/>
                <w:sz w:val="18"/>
                <w:szCs w:val="18"/>
              </w:rPr>
            </w:pPr>
            <w:r>
              <w:rPr>
                <w:rFonts w:ascii="宋体" w:hAnsi="宋体" w:cs="宋体" w:eastAsia="宋体" w:hint="default"/>
                <w:spacing w:val="-11"/>
                <w:sz w:val="18"/>
                <w:szCs w:val="18"/>
              </w:rPr>
              <w:t>于《证券</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3"/>
                <w:sz w:val="18"/>
                <w:szCs w:val="18"/>
              </w:rPr>
              <w:t>时报》、</w:t>
            </w:r>
          </w:p>
          <w:p>
            <w:pPr>
              <w:pStyle w:val="TableParagraph"/>
              <w:spacing w:line="319" w:lineRule="auto" w:before="19"/>
              <w:ind w:left="24" w:right="-17"/>
              <w:jc w:val="left"/>
              <w:rPr>
                <w:rFonts w:ascii="宋体" w:hAnsi="宋体" w:cs="宋体" w:eastAsia="宋体" w:hint="default"/>
                <w:sz w:val="18"/>
                <w:szCs w:val="18"/>
              </w:rPr>
            </w:pPr>
            <w:r>
              <w:rPr>
                <w:rFonts w:ascii="宋体" w:hAnsi="宋体" w:cs="宋体" w:eastAsia="宋体" w:hint="default"/>
                <w:sz w:val="18"/>
                <w:szCs w:val="18"/>
              </w:rPr>
              <w:t>《中国 证券报》 及巨潮 资讯网。</w:t>
            </w:r>
          </w:p>
        </w:tc>
      </w:tr>
      <w:tr>
        <w:trPr>
          <w:trHeight w:val="715"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302"/>
              <w:jc w:val="right"/>
              <w:rPr>
                <w:rFonts w:ascii="Times New Roman" w:hAnsi="Times New Roman" w:cs="Times New Roman" w:eastAsia="Times New Roman" w:hint="default"/>
                <w:sz w:val="18"/>
                <w:szCs w:val="18"/>
              </w:rPr>
            </w:pPr>
            <w:r>
              <w:rPr>
                <w:rFonts w:ascii="Times New Roman"/>
                <w:sz w:val="18"/>
              </w:rPr>
              <w:t>--</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8" w:right="0"/>
              <w:jc w:val="center"/>
              <w:rPr>
                <w:rFonts w:ascii="Times New Roman" w:hAnsi="Times New Roman" w:cs="Times New Roman" w:eastAsia="Times New Roman" w:hint="default"/>
                <w:sz w:val="18"/>
                <w:szCs w:val="18"/>
              </w:rPr>
            </w:pPr>
            <w:r>
              <w:rPr>
                <w:rFonts w:ascii="Times New Roman"/>
                <w:sz w:val="18"/>
              </w:rPr>
              <w:t>317,772,</w:t>
            </w:r>
          </w:p>
          <w:p>
            <w:pPr>
              <w:pStyle w:val="TableParagraph"/>
              <w:spacing w:line="240" w:lineRule="auto" w:before="105"/>
              <w:ind w:left="185" w:right="0"/>
              <w:jc w:val="center"/>
              <w:rPr>
                <w:rFonts w:ascii="Times New Roman" w:hAnsi="Times New Roman" w:cs="Times New Roman" w:eastAsia="Times New Roman" w:hint="default"/>
                <w:sz w:val="18"/>
                <w:szCs w:val="18"/>
              </w:rPr>
            </w:pPr>
            <w:r>
              <w:rPr>
                <w:rFonts w:ascii="Times New Roman"/>
                <w:sz w:val="18"/>
              </w:rPr>
              <w:t>092.07</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1" w:right="0"/>
              <w:jc w:val="center"/>
              <w:rPr>
                <w:rFonts w:ascii="Times New Roman" w:hAnsi="Times New Roman" w:cs="Times New Roman" w:eastAsia="Times New Roman" w:hint="default"/>
                <w:sz w:val="18"/>
                <w:szCs w:val="18"/>
              </w:rPr>
            </w:pPr>
            <w:r>
              <w:rPr>
                <w:rFonts w:ascii="Times New Roman"/>
                <w:sz w:val="18"/>
              </w:rPr>
              <w:t>954,309,</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028.77</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9"/>
              <w:jc w:val="right"/>
              <w:rPr>
                <w:rFonts w:ascii="宋体" w:hAnsi="宋体" w:cs="宋体" w:eastAsia="宋体" w:hint="default"/>
                <w:sz w:val="18"/>
                <w:szCs w:val="18"/>
              </w:rPr>
            </w:pPr>
            <w:r>
              <w:rPr>
                <w:rFonts w:ascii="宋体" w:hAnsi="宋体" w:cs="宋体" w:eastAsia="宋体" w:hint="default"/>
                <w:sz w:val="18"/>
                <w:szCs w:val="18"/>
              </w:rPr>
              <w:t>不适用</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44,453,5</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23.68</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4、以公允价值计量的金融资产" w:id="49"/>
      <w:bookmarkEnd w:id="49"/>
      <w:r>
        <w:rPr>
          <w:b w:val="0"/>
          <w:bCs w:val="0"/>
        </w:rPr>
      </w:r>
      <w:r>
        <w:rPr>
          <w:rFonts w:ascii="Times New Roman" w:hAnsi="Times New Roman" w:cs="Times New Roman" w:eastAsia="Times New Roman" w:hint="default"/>
        </w:rPr>
        <w:t>4</w:t>
      </w:r>
      <w:r>
        <w:rPr/>
        <w:t>、以公允价值计量的金融资产</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1133"/>
        <w:jc w:val="left"/>
        <w:rPr>
          <w:b w:val="0"/>
          <w:bCs w:val="0"/>
        </w:rPr>
      </w:pPr>
      <w:bookmarkStart w:name="5、募集资金使用情况" w:id="50"/>
      <w:bookmarkEnd w:id="50"/>
      <w:r>
        <w:rPr>
          <w:b w:val="0"/>
          <w:bCs w:val="0"/>
        </w:rPr>
      </w:r>
      <w:r>
        <w:rPr>
          <w:rFonts w:ascii="Times New Roman" w:hAnsi="Times New Roman" w:cs="Times New Roman" w:eastAsia="Times New Roman" w:hint="default"/>
        </w:rPr>
        <w:t>5</w:t>
      </w:r>
      <w:r>
        <w:rPr/>
        <w:t>、募集资金使用情况</w:t>
      </w:r>
      <w:r>
        <w:rPr>
          <w:b w:val="0"/>
          <w:bCs w:val="0"/>
        </w:rPr>
      </w:r>
    </w:p>
    <w:p>
      <w:pPr>
        <w:spacing w:line="240" w:lineRule="auto" w:before="5"/>
        <w:rPr>
          <w:rFonts w:ascii="宋体" w:hAnsi="宋体" w:cs="宋体" w:eastAsia="宋体" w:hint="default"/>
          <w:b/>
          <w:bCs/>
          <w:sz w:val="26"/>
          <w:szCs w:val="26"/>
        </w:rPr>
      </w:pPr>
    </w:p>
    <w:p>
      <w:pPr>
        <w:pStyle w:val="BodyText"/>
        <w:spacing w:line="338" w:lineRule="auto"/>
        <w:ind w:right="805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公司报告期无募集资金使用情况。</w:t>
      </w:r>
    </w:p>
    <w:p>
      <w:pPr>
        <w:spacing w:line="240" w:lineRule="auto" w:before="8"/>
        <w:rPr>
          <w:rFonts w:ascii="宋体" w:hAnsi="宋体" w:cs="宋体" w:eastAsia="宋体" w:hint="default"/>
          <w:sz w:val="19"/>
          <w:szCs w:val="19"/>
        </w:rPr>
      </w:pPr>
    </w:p>
    <w:p>
      <w:pPr>
        <w:pStyle w:val="Heading2"/>
        <w:spacing w:line="240" w:lineRule="auto"/>
        <w:ind w:right="1133"/>
        <w:jc w:val="left"/>
        <w:rPr>
          <w:b w:val="0"/>
          <w:bCs w:val="0"/>
        </w:rPr>
      </w:pPr>
      <w:bookmarkStart w:name="六、重大资产和股权出售" w:id="51"/>
      <w:bookmarkEnd w:id="51"/>
      <w:r>
        <w:rPr>
          <w:b w:val="0"/>
          <w:bCs w:val="0"/>
        </w:rPr>
      </w:r>
      <w:r>
        <w:rPr/>
        <w:t>六、重大资产和股权出售</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1133"/>
        <w:jc w:val="left"/>
        <w:rPr>
          <w:b w:val="0"/>
          <w:bCs w:val="0"/>
        </w:rPr>
      </w:pPr>
      <w:bookmarkStart w:name="1、出售重大资产情况" w:id="52"/>
      <w:bookmarkEnd w:id="52"/>
      <w:r>
        <w:rPr>
          <w:b w:val="0"/>
          <w:bCs w:val="0"/>
        </w:rPr>
      </w:r>
      <w:r>
        <w:rPr>
          <w:rFonts w:ascii="Times New Roman" w:hAnsi="Times New Roman" w:cs="Times New Roman" w:eastAsia="Times New Roman" w:hint="default"/>
        </w:rPr>
        <w:t>1</w:t>
      </w:r>
      <w:r>
        <w:rPr/>
        <w:t>、出售重大资产情况</w:t>
      </w:r>
      <w:r>
        <w:rPr>
          <w:b w:val="0"/>
          <w:bCs w:val="0"/>
        </w:rPr>
      </w:r>
    </w:p>
    <w:p>
      <w:pPr>
        <w:spacing w:line="240" w:lineRule="auto" w:before="2"/>
        <w:rPr>
          <w:rFonts w:ascii="宋体" w:hAnsi="宋体" w:cs="宋体" w:eastAsia="宋体" w:hint="default"/>
          <w:b/>
          <w:bCs/>
          <w:sz w:val="26"/>
          <w:szCs w:val="26"/>
        </w:rPr>
      </w:pPr>
    </w:p>
    <w:p>
      <w:pPr>
        <w:pStyle w:val="BodyText"/>
        <w:spacing w:line="340" w:lineRule="auto"/>
        <w:ind w:right="84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公司报告期未出售重大资产。</w:t>
      </w:r>
    </w:p>
    <w:p>
      <w:pPr>
        <w:spacing w:line="240" w:lineRule="auto" w:before="6"/>
        <w:rPr>
          <w:rFonts w:ascii="宋体" w:hAnsi="宋体" w:cs="宋体" w:eastAsia="宋体" w:hint="default"/>
          <w:sz w:val="21"/>
          <w:szCs w:val="21"/>
        </w:rPr>
      </w:pPr>
    </w:p>
    <w:p>
      <w:pPr>
        <w:pStyle w:val="Heading4"/>
        <w:spacing w:line="240" w:lineRule="auto"/>
        <w:ind w:right="1133"/>
        <w:jc w:val="left"/>
        <w:rPr>
          <w:b w:val="0"/>
          <w:bCs w:val="0"/>
        </w:rPr>
      </w:pPr>
      <w:bookmarkStart w:name="2、出售重大股权情况" w:id="53"/>
      <w:bookmarkEnd w:id="53"/>
      <w:r>
        <w:rPr>
          <w:b w:val="0"/>
          <w:bCs w:val="0"/>
        </w:rPr>
      </w:r>
      <w:r>
        <w:rPr>
          <w:rFonts w:ascii="Times New Roman" w:hAnsi="Times New Roman" w:cs="Times New Roman" w:eastAsia="Times New Roman" w:hint="default"/>
        </w:rPr>
        <w:t>2</w:t>
      </w:r>
      <w:r>
        <w:rPr/>
        <w:t>、出售重大股权情况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pStyle w:val="Heading2"/>
        <w:spacing w:line="240" w:lineRule="auto"/>
        <w:ind w:right="1133"/>
        <w:jc w:val="left"/>
        <w:rPr>
          <w:b w:val="0"/>
          <w:bCs w:val="0"/>
        </w:rPr>
      </w:pPr>
      <w:bookmarkStart w:name="七、主要控股参股公司分析" w:id="54"/>
      <w:bookmarkEnd w:id="54"/>
      <w:r>
        <w:rPr>
          <w:b w:val="0"/>
          <w:bCs w:val="0"/>
        </w:rPr>
      </w:r>
      <w:r>
        <w:rPr/>
        <w:t>七、主要控股参股公司分析</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5" w:footer="980" w:top="1060" w:bottom="1160" w:left="980" w:right="0"/>
        </w:sectPr>
      </w:pPr>
    </w:p>
    <w:p>
      <w:pPr>
        <w:pStyle w:val="BodyText"/>
        <w:spacing w:line="240" w:lineRule="auto" w:before="44"/>
        <w:ind w:right="-18"/>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right="-18"/>
        <w:jc w:val="left"/>
      </w:pPr>
      <w:r>
        <w:rPr/>
        <w:t>主要子公司及对公司净利润影响达</w:t>
      </w:r>
      <w:r>
        <w:rPr>
          <w:spacing w:val="-44"/>
        </w:rPr>
        <w:t> </w:t>
      </w:r>
      <w:r>
        <w:rPr>
          <w:rFonts w:ascii="Times New Roman" w:hAnsi="Times New Roman" w:cs="Times New Roman" w:eastAsia="Times New Roman" w:hint="default"/>
        </w:rPr>
        <w:t>10%</w:t>
      </w:r>
      <w:r>
        <w:rPr/>
        <w:t>以上的参股公司情况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060" w:bottom="1160" w:left="980" w:right="0"/>
          <w:cols w:num="2" w:equalWidth="0">
            <w:col w:w="4851" w:space="4069"/>
            <w:col w:w="2010"/>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852"/>
        <w:gridCol w:w="850"/>
        <w:gridCol w:w="1150"/>
        <w:gridCol w:w="955"/>
        <w:gridCol w:w="1315"/>
        <w:gridCol w:w="1181"/>
        <w:gridCol w:w="1181"/>
        <w:gridCol w:w="1093"/>
        <w:gridCol w:w="1092"/>
      </w:tblGrid>
      <w:tr>
        <w:trPr>
          <w:trHeight w:val="403" w:hRule="exact"/>
        </w:trPr>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11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8"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9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注册资本</w:t>
            </w:r>
          </w:p>
        </w:tc>
        <w:tc>
          <w:tcPr>
            <w:tcW w:w="13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总资产</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净资产</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0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营业利润</w:t>
            </w:r>
          </w:p>
        </w:tc>
        <w:tc>
          <w:tcPr>
            <w:tcW w:w="10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净利润</w:t>
            </w:r>
          </w:p>
        </w:tc>
      </w:tr>
      <w:tr>
        <w:trPr>
          <w:trHeight w:val="71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72"/>
              <w:jc w:val="center"/>
              <w:rPr>
                <w:rFonts w:ascii="宋体" w:hAnsi="宋体" w:cs="宋体" w:eastAsia="宋体" w:hint="default"/>
                <w:sz w:val="18"/>
                <w:szCs w:val="18"/>
              </w:rPr>
            </w:pPr>
            <w:r>
              <w:rPr>
                <w:rFonts w:ascii="宋体" w:hAnsi="宋体" w:cs="宋体" w:eastAsia="宋体" w:hint="default"/>
                <w:sz w:val="18"/>
                <w:szCs w:val="18"/>
              </w:rPr>
              <w:t>久信医疗</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34"/>
              <w:jc w:val="left"/>
              <w:rPr>
                <w:rFonts w:ascii="宋体" w:hAnsi="宋体" w:cs="宋体" w:eastAsia="宋体" w:hint="default"/>
                <w:sz w:val="18"/>
                <w:szCs w:val="18"/>
              </w:rPr>
            </w:pPr>
            <w:r>
              <w:rPr>
                <w:rFonts w:ascii="宋体" w:hAnsi="宋体" w:cs="宋体" w:eastAsia="宋体" w:hint="default"/>
                <w:sz w:val="18"/>
                <w:szCs w:val="18"/>
              </w:rPr>
              <w:t>数字化手术与 洁净手术室</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160,000,000</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1,207,221,851.13</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557,210,862.58</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628,571,512.52</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37,738,147.84</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31,157,103.74</w:t>
            </w:r>
          </w:p>
        </w:tc>
      </w:tr>
    </w:tbl>
    <w:p>
      <w:pPr>
        <w:pStyle w:val="BodyText"/>
        <w:spacing w:line="240" w:lineRule="auto" w:before="49"/>
        <w:ind w:right="1133"/>
        <w:jc w:val="left"/>
      </w:pPr>
      <w:r>
        <w:rPr/>
        <w:t>报告期内取得和处置子公司的情况</w:t>
      </w:r>
    </w:p>
    <w:p>
      <w:pPr>
        <w:pStyle w:val="BodyText"/>
        <w:spacing w:line="240" w:lineRule="auto" w:before="117"/>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31" w:right="0"/>
              <w:jc w:val="left"/>
              <w:rPr>
                <w:rFonts w:ascii="宋体" w:hAnsi="宋体" w:cs="宋体" w:eastAsia="宋体" w:hint="default"/>
                <w:sz w:val="18"/>
                <w:szCs w:val="18"/>
              </w:rPr>
            </w:pPr>
            <w:r>
              <w:rPr>
                <w:rFonts w:ascii="宋体" w:hAnsi="宋体" w:cs="宋体" w:eastAsia="宋体" w:hint="default"/>
                <w:sz w:val="18"/>
                <w:szCs w:val="18"/>
              </w:rPr>
              <w:t>报告期内取得和处置子公司方式</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19" w:right="0"/>
              <w:jc w:val="left"/>
              <w:rPr>
                <w:rFonts w:ascii="宋体" w:hAnsi="宋体" w:cs="宋体" w:eastAsia="宋体" w:hint="default"/>
                <w:sz w:val="18"/>
                <w:szCs w:val="18"/>
              </w:rPr>
            </w:pPr>
            <w:r>
              <w:rPr>
                <w:rFonts w:ascii="宋体" w:hAnsi="宋体" w:cs="宋体" w:eastAsia="宋体" w:hint="default"/>
                <w:sz w:val="18"/>
                <w:szCs w:val="18"/>
              </w:rPr>
              <w:t>对整体生产经营和业绩的影响</w:t>
            </w:r>
          </w:p>
        </w:tc>
      </w:tr>
      <w:tr>
        <w:trPr>
          <w:trHeight w:val="1649"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淮南达实智慧医疗有限公司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新设立</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94"/>
              <w:jc w:val="both"/>
              <w:rPr>
                <w:rFonts w:ascii="宋体" w:hAnsi="宋体" w:cs="宋体" w:eastAsia="宋体" w:hint="default"/>
                <w:sz w:val="18"/>
                <w:szCs w:val="18"/>
              </w:rPr>
            </w:pPr>
            <w:r>
              <w:rPr>
                <w:rFonts w:ascii="宋体" w:hAnsi="宋体" w:cs="宋体" w:eastAsia="宋体" w:hint="default"/>
                <w:sz w:val="18"/>
                <w:szCs w:val="18"/>
              </w:rPr>
              <w:t>有效巩固公司在淮南地区智慧医疗领域 的竞争地位，对公司全面实施智慧医疗 建设和运营服务的发展战略、扩大公司 区域影响力、实现公司的全国化扩张具 有一定的促进作用。</w:t>
            </w:r>
          </w:p>
        </w:tc>
      </w:tr>
      <w:tr>
        <w:trPr>
          <w:trHeight w:val="1340"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深圳达实物联网技术有限公司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分立</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94"/>
              <w:jc w:val="both"/>
              <w:rPr>
                <w:rFonts w:ascii="宋体" w:hAnsi="宋体" w:cs="宋体" w:eastAsia="宋体" w:hint="default"/>
                <w:sz w:val="18"/>
                <w:szCs w:val="18"/>
              </w:rPr>
            </w:pPr>
            <w:r>
              <w:rPr>
                <w:rFonts w:ascii="宋体" w:hAnsi="宋体" w:cs="宋体" w:eastAsia="宋体" w:hint="default"/>
                <w:sz w:val="18"/>
                <w:szCs w:val="18"/>
              </w:rPr>
              <w:t>本次分立有利于优化公司架构，统筹整 合公司内部资源，发挥各业务单元专业 化、垂直化优势，并实现公司资产的高 效利用，体现资产价值。</w:t>
            </w:r>
          </w:p>
        </w:tc>
      </w:tr>
      <w:tr>
        <w:trPr>
          <w:trHeight w:val="71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青岛达实智慧科技有限公司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新设立</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94"/>
              <w:jc w:val="left"/>
              <w:rPr>
                <w:rFonts w:ascii="宋体" w:hAnsi="宋体" w:cs="宋体" w:eastAsia="宋体" w:hint="default"/>
                <w:sz w:val="18"/>
                <w:szCs w:val="18"/>
              </w:rPr>
            </w:pPr>
            <w:r>
              <w:rPr>
                <w:rFonts w:ascii="宋体" w:hAnsi="宋体" w:cs="宋体" w:eastAsia="宋体" w:hint="default"/>
                <w:sz w:val="18"/>
                <w:szCs w:val="18"/>
              </w:rPr>
              <w:t>有利于加强公司在山东地区的综合业务 开拓能力。</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上海达实自动化工程有限公司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注销</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汕头达实智慧医疗投资发展有限公司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注销</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1133"/>
        <w:jc w:val="left"/>
        <w:rPr>
          <w:b w:val="0"/>
          <w:bCs w:val="0"/>
        </w:rPr>
      </w:pPr>
      <w:bookmarkStart w:name="八、公司控制的结构化主体情况" w:id="55"/>
      <w:bookmarkEnd w:id="55"/>
      <w:r>
        <w:rPr>
          <w:b w:val="0"/>
          <w:bCs w:val="0"/>
        </w:rPr>
      </w:r>
      <w:r>
        <w:rPr/>
        <w:t>八、公司控制的结构化主体情况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24"/>
          <w:szCs w:val="24"/>
        </w:rPr>
      </w:pPr>
    </w:p>
    <w:p>
      <w:pPr>
        <w:pStyle w:val="Heading2"/>
        <w:spacing w:line="240" w:lineRule="auto"/>
        <w:ind w:right="1133"/>
        <w:jc w:val="left"/>
        <w:rPr>
          <w:b w:val="0"/>
          <w:bCs w:val="0"/>
        </w:rPr>
      </w:pPr>
      <w:bookmarkStart w:name="九、公司未来发展的展望" w:id="56"/>
      <w:bookmarkEnd w:id="56"/>
      <w:r>
        <w:rPr>
          <w:b w:val="0"/>
          <w:bCs w:val="0"/>
        </w:rPr>
      </w:r>
      <w:r>
        <w:rPr/>
        <w:t>九、公司未来发展的展望</w:t>
      </w:r>
      <w:r>
        <w:rPr>
          <w:b w:val="0"/>
          <w:bCs w:val="0"/>
        </w:rPr>
      </w:r>
    </w:p>
    <w:p>
      <w:pPr>
        <w:spacing w:line="240" w:lineRule="auto" w:before="7"/>
        <w:rPr>
          <w:rFonts w:ascii="宋体" w:hAnsi="宋体" w:cs="宋体" w:eastAsia="宋体" w:hint="default"/>
          <w:b/>
          <w:bCs/>
          <w:sz w:val="32"/>
          <w:szCs w:val="32"/>
        </w:rPr>
      </w:pPr>
    </w:p>
    <w:p>
      <w:pPr>
        <w:pStyle w:val="BodyText"/>
        <w:spacing w:line="451" w:lineRule="auto"/>
        <w:ind w:right="1189" w:firstLine="420"/>
        <w:jc w:val="both"/>
      </w:pPr>
      <w:r>
        <w:rPr>
          <w:rFonts w:ascii="Times New Roman" w:hAnsi="Times New Roman" w:cs="Times New Roman" w:eastAsia="Times New Roman" w:hint="default"/>
        </w:rPr>
        <w:t>2020</w:t>
      </w:r>
      <w:r>
        <w:rPr>
          <w:rFonts w:ascii="Times New Roman" w:hAnsi="Times New Roman" w:cs="Times New Roman" w:eastAsia="Times New Roman" w:hint="default"/>
          <w:spacing w:val="23"/>
        </w:rPr>
        <w:t> </w:t>
      </w:r>
      <w:r>
        <w:rPr/>
        <w:t>年将迈入</w:t>
      </w:r>
      <w:r>
        <w:rPr>
          <w:rFonts w:ascii="Times New Roman" w:hAnsi="Times New Roman" w:cs="Times New Roman" w:eastAsia="Times New Roman" w:hint="default"/>
        </w:rPr>
        <w:t>5G</w:t>
      </w:r>
      <w:r>
        <w:rPr/>
        <w:t>时代。</w:t>
      </w:r>
      <w:r>
        <w:rPr>
          <w:rFonts w:ascii="Times New Roman" w:hAnsi="Times New Roman" w:cs="Times New Roman" w:eastAsia="Times New Roman" w:hint="default"/>
        </w:rPr>
        <w:t>5G</w:t>
      </w:r>
      <w:r>
        <w:rPr/>
        <w:t>时代的到来，提供万物互联、无所不在的链接。</w:t>
      </w:r>
      <w:r>
        <w:rPr>
          <w:rFonts w:ascii="Times New Roman" w:hAnsi="Times New Roman" w:cs="Times New Roman" w:eastAsia="Times New Roman" w:hint="default"/>
        </w:rPr>
        <w:t>AI</w:t>
      </w:r>
      <w:r>
        <w:rPr/>
        <w:t>、云计算将会为传统行业赋能，智慧城 市产业各细分领域将迎来高速发展期。</w:t>
      </w:r>
    </w:p>
    <w:p>
      <w:pPr>
        <w:pStyle w:val="BodyText"/>
        <w:spacing w:line="451" w:lineRule="auto" w:before="74"/>
        <w:ind w:left="573" w:right="1123" w:hanging="421"/>
        <w:jc w:val="left"/>
      </w:pPr>
      <w:r>
        <w:rPr>
          <w:rFonts w:ascii="宋体" w:hAnsi="宋体" w:cs="宋体" w:eastAsia="宋体" w:hint="default"/>
          <w:b/>
          <w:bCs/>
        </w:rPr>
        <w:t>（一）</w:t>
      </w:r>
      <w:r>
        <w:rPr>
          <w:rFonts w:ascii="Times New Roman" w:hAnsi="Times New Roman" w:cs="Times New Roman" w:eastAsia="Times New Roman" w:hint="default"/>
          <w:b/>
          <w:bCs/>
        </w:rPr>
        <w:t>2020</w:t>
      </w:r>
      <w:r>
        <w:rPr>
          <w:rFonts w:ascii="宋体" w:hAnsi="宋体" w:cs="宋体" w:eastAsia="宋体" w:hint="default"/>
          <w:b/>
          <w:bCs/>
        </w:rPr>
        <w:t>年经营计划</w:t>
      </w:r>
      <w:r>
        <w:rPr>
          <w:rFonts w:ascii="宋体" w:hAnsi="宋体" w:cs="宋体" w:eastAsia="宋体" w:hint="default"/>
          <w:b/>
          <w:bCs/>
          <w:w w:val="99"/>
        </w:rPr>
        <w:t> </w:t>
      </w:r>
      <w:r>
        <w:rPr/>
        <w:t>公司主业聚焦智能物联网，基于自主研发的</w:t>
      </w:r>
      <w:r>
        <w:rPr>
          <w:rFonts w:ascii="Times New Roman" w:hAnsi="Times New Roman" w:cs="Times New Roman" w:eastAsia="Times New Roman" w:hint="default"/>
        </w:rPr>
        <w:t>AIoT</w:t>
      </w:r>
      <w:r>
        <w:rPr/>
        <w:t>智能物联网管控平台和智能终端产品，为旗下智慧交通、数据中心、</w:t>
      </w:r>
    </w:p>
    <w:p>
      <w:pPr>
        <w:pStyle w:val="BodyText"/>
        <w:spacing w:line="477" w:lineRule="auto" w:before="44"/>
        <w:ind w:left="573" w:right="3014" w:hanging="421"/>
        <w:jc w:val="left"/>
      </w:pPr>
      <w:r>
        <w:rPr/>
        <w:t>智慧社区、智慧建筑、智慧医疗、智慧节能等细分业务市场提供定制化智能物联网综合解决方案。 在</w:t>
      </w:r>
      <w:r>
        <w:rPr>
          <w:rFonts w:ascii="Times New Roman" w:hAnsi="Times New Roman" w:cs="Times New Roman" w:eastAsia="Times New Roman" w:hint="default"/>
        </w:rPr>
        <w:t>2020</w:t>
      </w:r>
      <w:r>
        <w:rPr/>
        <w:t>年，公司将通过以下计划增强公司的核心竞争力，实现健康持续发展：</w:t>
      </w:r>
    </w:p>
    <w:p>
      <w:pPr>
        <w:pStyle w:val="Heading6"/>
        <w:spacing w:line="240" w:lineRule="auto" w:before="21"/>
        <w:ind w:right="1133"/>
        <w:jc w:val="left"/>
        <w:rPr>
          <w:b w:val="0"/>
          <w:bCs w:val="0"/>
        </w:rPr>
      </w:pPr>
      <w:r>
        <w:rPr>
          <w:rFonts w:ascii="Times New Roman" w:hAnsi="Times New Roman" w:cs="Times New Roman" w:eastAsia="Times New Roman" w:hint="default"/>
        </w:rPr>
        <w:t>1</w:t>
      </w:r>
      <w:r>
        <w:rPr/>
        <w:t>、创新驱动</w:t>
      </w:r>
      <w:r>
        <w:rPr>
          <w:b w:val="0"/>
          <w:bCs w:val="0"/>
        </w:rPr>
      </w:r>
    </w:p>
    <w:p>
      <w:pPr>
        <w:spacing w:line="240" w:lineRule="auto" w:before="9"/>
        <w:rPr>
          <w:rFonts w:ascii="宋体" w:hAnsi="宋体" w:cs="宋体" w:eastAsia="宋体" w:hint="default"/>
          <w:b/>
          <w:bCs/>
          <w:sz w:val="16"/>
          <w:szCs w:val="16"/>
        </w:rPr>
      </w:pPr>
    </w:p>
    <w:p>
      <w:pPr>
        <w:pStyle w:val="BodyText"/>
        <w:spacing w:line="472" w:lineRule="auto"/>
        <w:ind w:right="1130" w:firstLine="420"/>
        <w:jc w:val="both"/>
      </w:pPr>
      <w:r>
        <w:rPr>
          <w:rFonts w:ascii="Times New Roman" w:hAnsi="Times New Roman" w:cs="Times New Roman" w:eastAsia="Times New Roman" w:hint="default"/>
        </w:rPr>
        <w:t>5G</w:t>
      </w:r>
      <w:r>
        <w:rPr>
          <w:rFonts w:ascii="Times New Roman" w:hAnsi="Times New Roman" w:cs="Times New Roman" w:eastAsia="Times New Roman" w:hint="default"/>
          <w:spacing w:val="40"/>
        </w:rPr>
        <w:t> </w:t>
      </w:r>
      <w:r>
        <w:rPr>
          <w:spacing w:val="-2"/>
        </w:rPr>
        <w:t>时代的到来，提供万物互联、无所不在的链接，</w:t>
      </w:r>
      <w:r>
        <w:rPr>
          <w:rFonts w:ascii="Times New Roman" w:hAnsi="Times New Roman" w:cs="Times New Roman" w:eastAsia="Times New Roman" w:hint="default"/>
          <w:spacing w:val="-2"/>
        </w:rPr>
        <w:t>AI</w:t>
      </w:r>
      <w:r>
        <w:rPr>
          <w:spacing w:val="-2"/>
        </w:rPr>
        <w:t>、云计算为传统行业赋能，智慧城市产业各细分领域将迎来高速</w:t>
      </w:r>
      <w:r>
        <w:rPr/>
        <w:t> </w:t>
      </w:r>
      <w:r>
        <w:rPr>
          <w:spacing w:val="-2"/>
        </w:rPr>
        <w:t>发展期。这是一个重大机遇，公司将在宽带、广域和无线的物联网领域加大研发、创新投入，让创新驱动发展为整个公司长</w:t>
      </w:r>
      <w:r>
        <w:rPr>
          <w:spacing w:val="-66"/>
        </w:rPr>
        <w:t> </w:t>
      </w:r>
      <w:r>
        <w:rPr>
          <w:spacing w:val="-66"/>
        </w:rPr>
      </w:r>
      <w:r>
        <w:rPr>
          <w:spacing w:val="-2"/>
        </w:rPr>
        <w:t>期发展的动力。一方面紧跟国内外技术发展趋势，在组织、人才、激励上，营造有利于技术创新的环境和氛围，突出研发部</w:t>
      </w:r>
      <w:r>
        <w:rPr>
          <w:spacing w:val="-68"/>
        </w:rPr>
        <w:t> </w:t>
      </w:r>
      <w:r>
        <w:rPr>
          <w:spacing w:val="-68"/>
        </w:rPr>
      </w:r>
      <w:r>
        <w:rPr>
          <w:spacing w:val="-2"/>
        </w:rPr>
        <w:t>分的基础支撑作用，切实把握客户需求，积极争取技术新突破；另一方面回归本源，基于自主研发物联网智慧管控平台和智</w:t>
      </w:r>
      <w:r>
        <w:rPr>
          <w:spacing w:val="-64"/>
        </w:rPr>
        <w:t> </w:t>
      </w:r>
      <w:r>
        <w:rPr>
          <w:spacing w:val="-64"/>
        </w:rPr>
      </w:r>
      <w:r>
        <w:rPr>
          <w:spacing w:val="-2"/>
        </w:rPr>
        <w:t>能终端产品提供整体解决方案的建设和运行，打造多维应用场景的规模应用，以人工智能、云计算等前瞻性技术整合前端与</w:t>
      </w:r>
      <w:r>
        <w:rPr>
          <w:spacing w:val="-63"/>
        </w:rPr>
        <w:t> </w:t>
      </w:r>
      <w:r>
        <w:rPr>
          <w:spacing w:val="-63"/>
        </w:rPr>
      </w:r>
      <w:r>
        <w:rPr/>
        <w:t>后端，构建持续闭环迭代的生态体系，为传统行业赋能。</w:t>
      </w:r>
    </w:p>
    <w:p>
      <w:pPr>
        <w:pStyle w:val="Heading6"/>
        <w:spacing w:line="240" w:lineRule="auto" w:before="58"/>
        <w:ind w:right="1133"/>
        <w:jc w:val="left"/>
        <w:rPr>
          <w:b w:val="0"/>
          <w:bCs w:val="0"/>
        </w:rPr>
      </w:pPr>
      <w:r>
        <w:rPr>
          <w:rFonts w:ascii="Times New Roman" w:hAnsi="Times New Roman" w:cs="Times New Roman" w:eastAsia="Times New Roman" w:hint="default"/>
        </w:rPr>
        <w:t>2</w:t>
      </w:r>
      <w:r>
        <w:rPr/>
        <w:t>、业务发展策略</w:t>
      </w:r>
      <w:r>
        <w:rPr>
          <w:b w:val="0"/>
          <w:bCs w:val="0"/>
        </w:rPr>
      </w:r>
    </w:p>
    <w:p>
      <w:pPr>
        <w:spacing w:line="240" w:lineRule="auto" w:before="9"/>
        <w:rPr>
          <w:rFonts w:ascii="宋体" w:hAnsi="宋体" w:cs="宋体" w:eastAsia="宋体" w:hint="default"/>
          <w:b/>
          <w:bCs/>
          <w:sz w:val="16"/>
          <w:szCs w:val="16"/>
        </w:rPr>
      </w:pPr>
    </w:p>
    <w:p>
      <w:pPr>
        <w:pStyle w:val="BodyText"/>
        <w:spacing w:line="472" w:lineRule="auto"/>
        <w:ind w:right="1040" w:firstLine="420"/>
        <w:jc w:val="left"/>
      </w:pPr>
      <w:r>
        <w:rPr>
          <w:spacing w:val="-2"/>
        </w:rPr>
        <w:t>随着</w:t>
      </w:r>
      <w:r>
        <w:rPr>
          <w:rFonts w:ascii="Times New Roman" w:hAnsi="Times New Roman" w:cs="Times New Roman" w:eastAsia="Times New Roman" w:hint="default"/>
          <w:spacing w:val="-2"/>
        </w:rPr>
        <w:t>5G</w:t>
      </w:r>
      <w:r>
        <w:rPr>
          <w:spacing w:val="-2"/>
        </w:rPr>
        <w:t>通讯、物联网、人工智能技术的不断突破，物联网产业生态全面优化，平台化和细分领域应用热度正逐步提升，</w:t>
      </w:r>
      <w:r>
        <w:rPr/>
        <w:t> </w:t>
      </w:r>
      <w:r>
        <w:rPr>
          <w:spacing w:val="-2"/>
        </w:rPr>
        <w:t>为公司发展提供了新的机遇，公司将挖掘智能物联网行业需求，以客户需求为导向，真正关注服务的最终使用者，从而了解</w:t>
      </w:r>
      <w:r>
        <w:rPr>
          <w:spacing w:val="-64"/>
        </w:rPr>
        <w:t> </w:t>
      </w:r>
      <w:r>
        <w:rPr>
          <w:spacing w:val="-64"/>
        </w:rPr>
      </w:r>
      <w:r>
        <w:rPr>
          <w:spacing w:val="-2"/>
        </w:rPr>
        <w:t>其对产品和服务最真实的需求和渴望，通过交付高质量的解决方案，满足最终使用者的需求，进而有利于提升公司合作客户</w:t>
      </w:r>
      <w:r>
        <w:rPr>
          <w:spacing w:val="-63"/>
        </w:rPr>
        <w:t> </w:t>
      </w:r>
      <w:r>
        <w:rPr>
          <w:spacing w:val="-63"/>
        </w:rPr>
      </w:r>
      <w:r>
        <w:rPr>
          <w:spacing w:val="-2"/>
        </w:rPr>
        <w:t>的信任度和满意度，增加客户粘性，基于合作客户和最终用户的信赖，深度挖掘业务空间，形成强有力的战略合作关系，最</w:t>
      </w:r>
      <w:r>
        <w:rPr>
          <w:spacing w:val="-67"/>
        </w:rPr>
        <w:t> </w:t>
      </w:r>
      <w:r>
        <w:rPr>
          <w:spacing w:val="-67"/>
        </w:rPr>
      </w:r>
      <w:r>
        <w:rPr>
          <w:spacing w:val="-2"/>
        </w:rPr>
        <w:t>终使每个员工在为客户和用户的服务的过程中感知自身工作的价值，并获得相应的成就感，以此点燃工作激情，如此循环往</w:t>
      </w:r>
      <w:r>
        <w:rPr>
          <w:spacing w:val="-66"/>
        </w:rPr>
        <w:t> </w:t>
      </w:r>
      <w:r>
        <w:rPr>
          <w:spacing w:val="-66"/>
        </w:rPr>
      </w:r>
      <w:r>
        <w:rPr/>
        <w:t>复，形成正向的运行机制</w:t>
      </w:r>
    </w:p>
    <w:p>
      <w:pPr>
        <w:pStyle w:val="Heading6"/>
        <w:spacing w:line="240" w:lineRule="auto" w:before="58"/>
        <w:ind w:right="1133"/>
        <w:jc w:val="left"/>
        <w:rPr>
          <w:b w:val="0"/>
          <w:bCs w:val="0"/>
        </w:rPr>
      </w:pPr>
      <w:r>
        <w:rPr>
          <w:rFonts w:ascii="Times New Roman" w:hAnsi="Times New Roman" w:cs="Times New Roman" w:eastAsia="Times New Roman" w:hint="default"/>
        </w:rPr>
        <w:t>3</w:t>
      </w:r>
      <w:r>
        <w:rPr/>
        <w:t>、人才资源与激励机制</w:t>
      </w:r>
      <w:r>
        <w:rPr>
          <w:b w:val="0"/>
          <w:bCs w:val="0"/>
        </w:rPr>
      </w:r>
    </w:p>
    <w:p>
      <w:pPr>
        <w:spacing w:line="240" w:lineRule="auto" w:before="9"/>
        <w:rPr>
          <w:rFonts w:ascii="宋体" w:hAnsi="宋体" w:cs="宋体" w:eastAsia="宋体" w:hint="default"/>
          <w:b/>
          <w:bCs/>
          <w:sz w:val="16"/>
          <w:szCs w:val="16"/>
        </w:rPr>
      </w:pPr>
    </w:p>
    <w:p>
      <w:pPr>
        <w:pStyle w:val="BodyText"/>
        <w:spacing w:line="470" w:lineRule="auto"/>
        <w:ind w:right="1131" w:firstLine="420"/>
        <w:jc w:val="both"/>
      </w:pPr>
      <w:r>
        <w:rPr>
          <w:rFonts w:ascii="Times New Roman" w:hAnsi="Times New Roman" w:cs="Times New Roman" w:eastAsia="Times New Roman" w:hint="default"/>
        </w:rPr>
        <w:t>2020</w:t>
      </w:r>
      <w:r>
        <w:rPr/>
        <w:t>年，公司将持续强化人力资源管理，在需求规划、员工选用育留、学习与发展、绩效管理、薪酬福利、劳动关系 </w:t>
      </w:r>
      <w:r>
        <w:rPr>
          <w:spacing w:val="-2"/>
        </w:rPr>
        <w:t>管理等六个方面进行达实智能心力资源建设。加大核心技术人员、业内专家及高端人才的引进力度，把握多技术融合、多场</w:t>
      </w:r>
      <w:r>
        <w:rPr>
          <w:spacing w:val="-64"/>
        </w:rPr>
        <w:t> </w:t>
      </w:r>
      <w:r>
        <w:rPr>
          <w:spacing w:val="-64"/>
        </w:rPr>
      </w:r>
      <w:r>
        <w:rPr>
          <w:spacing w:val="-2"/>
        </w:rPr>
        <w:t>景打造对复合型人才的需求；实现管理人员的年轻化与多元化；推进任职资格体系，加快公司组织架构与人才团队的优化与</w:t>
      </w:r>
      <w:r>
        <w:rPr>
          <w:spacing w:val="-66"/>
        </w:rPr>
        <w:t> </w:t>
      </w:r>
      <w:r>
        <w:rPr>
          <w:spacing w:val="-66"/>
        </w:rPr>
      </w:r>
      <w:r>
        <w:rPr>
          <w:spacing w:val="-2"/>
        </w:rPr>
        <w:t>提升；加强高校优秀毕业生招聘和培养，多举措并举升级公司人才队伍；建立多层次的长效激励机制，对内部的创新业务单</w:t>
      </w:r>
      <w:r>
        <w:rPr>
          <w:spacing w:val="-65"/>
        </w:rPr>
        <w:t> </w:t>
      </w:r>
      <w:r>
        <w:rPr>
          <w:spacing w:val="-65"/>
        </w:rPr>
      </w:r>
      <w:r>
        <w:rPr/>
        <w:t>元予以倾斜，营造积极进取、奋斗为本的企业文化，使人力资源能够满足业务创新及战略的需求。</w:t>
      </w:r>
    </w:p>
    <w:p>
      <w:pPr>
        <w:spacing w:after="0" w:line="470" w:lineRule="auto"/>
        <w:jc w:val="both"/>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spacing w:line="451" w:lineRule="auto" w:before="0"/>
        <w:ind w:left="573" w:right="1153" w:hanging="42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、精细化管理提升经营质量</w:t>
      </w:r>
      <w:r>
        <w:rPr>
          <w:rFonts w:ascii="宋体" w:hAnsi="宋体" w:cs="宋体" w:eastAsia="宋体" w:hint="default"/>
          <w:b/>
          <w:bCs/>
          <w:w w:val="99"/>
          <w:sz w:val="18"/>
          <w:szCs w:val="18"/>
        </w:rPr>
        <w:t> </w:t>
      </w:r>
      <w:r>
        <w:rPr>
          <w:rFonts w:ascii="宋体" w:hAnsi="宋体" w:cs="宋体" w:eastAsia="宋体" w:hint="default"/>
          <w:sz w:val="18"/>
          <w:szCs w:val="18"/>
        </w:rPr>
        <w:t>过往经营过程中暴露的问题，既有宏观环境的客观因素，也有公司在集团化管理中的主观不足。公司管理层不回避问</w:t>
      </w:r>
    </w:p>
    <w:p>
      <w:pPr>
        <w:pStyle w:val="BodyText"/>
        <w:spacing w:line="477" w:lineRule="auto" w:before="74"/>
        <w:ind w:right="1133"/>
        <w:jc w:val="both"/>
      </w:pPr>
      <w:r>
        <w:rPr>
          <w:spacing w:val="-2"/>
        </w:rPr>
        <w:t>题，持续明确发展思路，将发展策略回归到技术驱动，以客户为中心。不单纯的追求规模，而是效率和效益优先。公司一方</w:t>
      </w:r>
      <w:r>
        <w:rPr>
          <w:spacing w:val="-68"/>
        </w:rPr>
        <w:t> </w:t>
      </w:r>
      <w:r>
        <w:rPr>
          <w:spacing w:val="-68"/>
        </w:rPr>
      </w:r>
      <w:r>
        <w:rPr>
          <w:spacing w:val="-2"/>
        </w:rPr>
        <w:t>面将严格财务预算管理，优化资金和资源的配置，管控经营风险，控制负债水平，另一方面，加强项目管控与应收账款的催</w:t>
      </w:r>
      <w:r>
        <w:rPr>
          <w:spacing w:val="-67"/>
        </w:rPr>
        <w:t> </w:t>
      </w:r>
      <w:r>
        <w:rPr>
          <w:spacing w:val="-67"/>
        </w:rPr>
      </w:r>
      <w:r>
        <w:rPr/>
        <w:t>收力度，加快资产周转，提升应收账款的周转率，提升公司的经营活动现金流。</w:t>
      </w:r>
    </w:p>
    <w:p>
      <w:pPr>
        <w:pStyle w:val="BodyText"/>
        <w:spacing w:line="451" w:lineRule="auto" w:before="54"/>
        <w:ind w:left="573" w:right="1123" w:hanging="421"/>
        <w:jc w:val="left"/>
      </w:pPr>
      <w:r>
        <w:rPr>
          <w:rFonts w:ascii="Times New Roman" w:hAnsi="Times New Roman" w:cs="Times New Roman" w:eastAsia="Times New Roman" w:hint="default"/>
          <w:b/>
          <w:bCs/>
        </w:rPr>
        <w:t>5</w:t>
      </w:r>
      <w:r>
        <w:rPr>
          <w:rFonts w:ascii="宋体" w:hAnsi="宋体" w:cs="宋体" w:eastAsia="宋体" w:hint="default"/>
          <w:b/>
          <w:bCs/>
        </w:rPr>
        <w:t>、加强品牌形象建设</w:t>
      </w:r>
      <w:r>
        <w:rPr>
          <w:rFonts w:ascii="宋体" w:hAnsi="宋体" w:cs="宋体" w:eastAsia="宋体" w:hint="default"/>
          <w:b/>
          <w:bCs/>
          <w:w w:val="99"/>
        </w:rPr>
        <w:t> </w:t>
      </w:r>
      <w:r>
        <w:rPr/>
        <w:t>公司依托自主研发的物联网智能管控平台（</w:t>
      </w:r>
      <w:r>
        <w:rPr>
          <w:rFonts w:ascii="Times New Roman" w:hAnsi="Times New Roman" w:cs="Times New Roman" w:eastAsia="Times New Roman" w:hint="default"/>
        </w:rPr>
        <w:t>AIoT</w:t>
      </w:r>
      <w:r>
        <w:rPr/>
        <w:t>）及终端产品，在雄安数字孪生政务园区、遵义智慧医院、淮南健康</w:t>
      </w:r>
    </w:p>
    <w:p>
      <w:pPr>
        <w:pStyle w:val="BodyText"/>
        <w:spacing w:line="468" w:lineRule="auto" w:before="43"/>
        <w:ind w:right="1135"/>
        <w:jc w:val="both"/>
      </w:pPr>
      <w:r>
        <w:rPr/>
        <w:t>医疗大数据平台、宁波新世界智慧社区、工业园</w:t>
      </w:r>
      <w:r>
        <w:rPr>
          <w:rFonts w:ascii="Times New Roman" w:hAnsi="Times New Roman" w:cs="Times New Roman" w:eastAsia="Times New Roman" w:hint="default"/>
        </w:rPr>
        <w:t>/</w:t>
      </w:r>
      <w:r>
        <w:rPr/>
        <w:t>医院能源站等项目中，打造多个细分市场的应用示范案例。</w:t>
      </w:r>
      <w:r>
        <w:rPr>
          <w:rFonts w:ascii="Times New Roman" w:hAnsi="Times New Roman" w:cs="Times New Roman" w:eastAsia="Times New Roman" w:hint="default"/>
        </w:rPr>
        <w:t>2020</w:t>
      </w:r>
      <w:r>
        <w:rPr/>
        <w:t>年，公司 </w:t>
      </w:r>
      <w:r>
        <w:rPr>
          <w:spacing w:val="-2"/>
        </w:rPr>
        <w:t>将不断迭代升级，精心打造细分市场应用案例，以引领行业的发展。加大品牌宣传力度，通过组织及参与用户体验会、行业</w:t>
      </w:r>
      <w:r>
        <w:rPr>
          <w:spacing w:val="-67"/>
        </w:rPr>
        <w:t> </w:t>
      </w:r>
      <w:r>
        <w:rPr>
          <w:spacing w:val="-67"/>
        </w:rPr>
      </w:r>
      <w:r>
        <w:rPr>
          <w:spacing w:val="-2"/>
        </w:rPr>
        <w:t>展会、交流会及政府、专业机构举办的评选活动，结合电视媒体、纸质媒体、网络媒体等主流渠道传递最新的企业信息和产</w:t>
      </w:r>
      <w:r>
        <w:rPr>
          <w:spacing w:val="-67"/>
        </w:rPr>
        <w:t> </w:t>
      </w:r>
      <w:r>
        <w:rPr>
          <w:spacing w:val="-67"/>
        </w:rPr>
      </w:r>
      <w:r>
        <w:rPr/>
        <w:t>品信息，通过传播用户体验和技术交流，向潜在用户传递我们的产品和方案的科技硬实力，从而提升企业品牌形象。</w:t>
      </w:r>
    </w:p>
    <w:p>
      <w:pPr>
        <w:pStyle w:val="Heading6"/>
        <w:spacing w:line="240" w:lineRule="auto" w:before="61"/>
        <w:ind w:right="1133"/>
        <w:jc w:val="left"/>
        <w:rPr>
          <w:b w:val="0"/>
          <w:bCs w:val="0"/>
        </w:rPr>
      </w:pPr>
      <w:r>
        <w:rPr/>
        <w:t>（二）可能面对的风险</w:t>
      </w:r>
      <w:r>
        <w:rPr>
          <w:b w:val="0"/>
          <w:bCs w:val="0"/>
        </w:rPr>
      </w:r>
    </w:p>
    <w:p>
      <w:pPr>
        <w:spacing w:line="240" w:lineRule="auto" w:before="10"/>
        <w:rPr>
          <w:rFonts w:ascii="宋体" w:hAnsi="宋体" w:cs="宋体" w:eastAsia="宋体" w:hint="default"/>
          <w:b/>
          <w:bCs/>
          <w:sz w:val="17"/>
          <w:szCs w:val="17"/>
        </w:rPr>
      </w:pPr>
    </w:p>
    <w:p>
      <w:pPr>
        <w:spacing w:line="451" w:lineRule="auto" w:before="0"/>
        <w:ind w:left="573" w:right="1125" w:hanging="42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、新技术带来的不确定性风险</w:t>
      </w:r>
      <w:r>
        <w:rPr>
          <w:rFonts w:ascii="宋体" w:hAnsi="宋体" w:cs="宋体" w:eastAsia="宋体" w:hint="default"/>
          <w:b/>
          <w:bCs/>
          <w:w w:val="99"/>
          <w:sz w:val="18"/>
          <w:szCs w:val="18"/>
        </w:rPr>
        <w:t> </w:t>
      </w:r>
      <w:r>
        <w:rPr>
          <w:rFonts w:ascii="宋体" w:hAnsi="宋体" w:cs="宋体" w:eastAsia="宋体" w:hint="default"/>
          <w:spacing w:val="-1"/>
          <w:sz w:val="18"/>
          <w:szCs w:val="18"/>
        </w:rPr>
        <w:t>伴随着云计算、大数据、人工智能等新技术不断迭代更新及国家倡导</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互联网</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的战略驱动，项目实施过程中对新型技</w:t>
      </w:r>
    </w:p>
    <w:p>
      <w:pPr>
        <w:pStyle w:val="BodyText"/>
        <w:spacing w:line="477" w:lineRule="auto" w:before="43"/>
        <w:ind w:right="1131"/>
        <w:jc w:val="both"/>
      </w:pPr>
      <w:r>
        <w:rPr>
          <w:spacing w:val="-2"/>
        </w:rPr>
        <w:t>术的需求也越来越高，公司近年来一直加大对技术研发的投入，这些技术最终在项目中取得的效果，具有不确定性风险。公</w:t>
      </w:r>
      <w:r>
        <w:rPr>
          <w:spacing w:val="-64"/>
        </w:rPr>
        <w:t> </w:t>
      </w:r>
      <w:r>
        <w:rPr>
          <w:spacing w:val="-64"/>
        </w:rPr>
      </w:r>
      <w:r>
        <w:rPr>
          <w:spacing w:val="-2"/>
        </w:rPr>
        <w:t>司将在持续加大技术研发投入的同时，加强与高等院校、专业机构等合作，将新技术广泛试点、推广，同时紧跟行业发展趋</w:t>
      </w:r>
      <w:r>
        <w:rPr>
          <w:spacing w:val="-67"/>
        </w:rPr>
        <w:t> </w:t>
      </w:r>
      <w:r>
        <w:rPr>
          <w:spacing w:val="-67"/>
        </w:rPr>
      </w:r>
      <w:r>
        <w:rPr/>
        <w:t>势，加强与客户沟通，根据市场需求及时调整研发方向。</w:t>
      </w:r>
    </w:p>
    <w:p>
      <w:pPr>
        <w:spacing w:line="451" w:lineRule="auto" w:before="54"/>
        <w:ind w:left="573" w:right="1153" w:hanging="42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、公司快速发展带来的管理风险</w:t>
      </w:r>
      <w:r>
        <w:rPr>
          <w:rFonts w:ascii="宋体" w:hAnsi="宋体" w:cs="宋体" w:eastAsia="宋体" w:hint="default"/>
          <w:b/>
          <w:bCs/>
          <w:w w:val="99"/>
          <w:sz w:val="18"/>
          <w:szCs w:val="18"/>
        </w:rPr>
        <w:t> </w:t>
      </w:r>
      <w:r>
        <w:rPr>
          <w:rFonts w:ascii="宋体" w:hAnsi="宋体" w:cs="宋体" w:eastAsia="宋体" w:hint="default"/>
          <w:sz w:val="18"/>
          <w:szCs w:val="18"/>
        </w:rPr>
        <w:t>公司自上市以来，先后进行了多次投资收购及业务聚焦，涉足的业务领域和覆盖市场区域不断增加，销售规模、员工</w:t>
      </w:r>
    </w:p>
    <w:p>
      <w:pPr>
        <w:pStyle w:val="BodyText"/>
        <w:spacing w:line="477" w:lineRule="auto" w:before="74"/>
        <w:ind w:right="1129"/>
        <w:jc w:val="left"/>
        <w:rPr>
          <w:rFonts w:ascii="宋体" w:hAnsi="宋体" w:cs="宋体" w:eastAsia="宋体" w:hint="default"/>
        </w:rPr>
      </w:pPr>
      <w:r>
        <w:rPr>
          <w:spacing w:val="-2"/>
        </w:rPr>
        <w:t>人数快速提升，公司正面临资源整合、市场开拓、研发创新等方面的新挑战，如果不能做好对各分支机构的监督和管控以满</w:t>
      </w:r>
      <w:r>
        <w:rPr>
          <w:spacing w:val="-64"/>
        </w:rPr>
        <w:t> </w:t>
      </w:r>
      <w:r>
        <w:rPr>
          <w:spacing w:val="-64"/>
        </w:rPr>
      </w:r>
      <w:r>
        <w:rPr>
          <w:spacing w:val="-2"/>
        </w:rPr>
        <w:t>足规模增长产生的人员增加和业务整合的需要，将给公司经营带来一定的管理风险。公司将通过实施股权激励及健全内部管</w:t>
      </w:r>
      <w:r>
        <w:rPr>
          <w:spacing w:val="-64"/>
        </w:rPr>
        <w:t> </w:t>
      </w:r>
      <w:r>
        <w:rPr>
          <w:spacing w:val="-64"/>
        </w:rPr>
      </w:r>
      <w:r>
        <w:rPr/>
        <w:t>理机制的方式加强对子公司、分公司及各部门的管理，尽量消除由于规模快速扩大带来的管理风险。 </w:t>
      </w:r>
      <w:r>
        <w:rPr>
          <w:rFonts w:ascii="Times New Roman" w:hAnsi="Times New Roman" w:cs="Times New Roman" w:eastAsia="Times New Roman" w:hint="default"/>
          <w:b/>
          <w:bCs/>
        </w:rPr>
        <w:t>3</w:t>
      </w:r>
      <w:r>
        <w:rPr>
          <w:rFonts w:ascii="宋体" w:hAnsi="宋体" w:cs="宋体" w:eastAsia="宋体" w:hint="default"/>
          <w:b/>
          <w:bCs/>
        </w:rPr>
        <w:t>、收款及经营业绩的季节性波动风险</w:t>
      </w:r>
      <w:r>
        <w:rPr>
          <w:rFonts w:ascii="宋体" w:hAnsi="宋体" w:cs="宋体" w:eastAsia="宋体" w:hint="default"/>
        </w:rPr>
      </w:r>
    </w:p>
    <w:p>
      <w:pPr>
        <w:pStyle w:val="BodyText"/>
        <w:spacing w:line="477" w:lineRule="auto" w:before="22"/>
        <w:ind w:right="1034" w:firstLine="420"/>
        <w:jc w:val="left"/>
      </w:pPr>
      <w:r>
        <w:rPr/>
        <w:t>由于公司客户群体中公立医院、政府机构等占较大比例，其采购一般遵守较为严格的预算管理制度及复杂的流程，部 分项目还需要纳入财政预算、政府采购，客户年度资本开支主要集中在下半年，对公司的项目验收和付款也集中在下半年， 导致公司营业收入、净利润、经营性现金流量呈季节性分布，收款主要集中在下半年，轨道交通等行业整体周期相对较长， </w:t>
      </w:r>
      <w:r>
        <w:rPr>
          <w:spacing w:val="-2"/>
        </w:rPr>
        <w:t>回款较慢，也对公司业绩有一定影响。公司将加大收款考核力度，与客户保持及时有效沟通，减少因人为因素造成的收款时</w:t>
      </w:r>
      <w:r>
        <w:rPr>
          <w:spacing w:val="-65"/>
        </w:rPr>
        <w:t> </w:t>
      </w:r>
      <w:r>
        <w:rPr>
          <w:spacing w:val="-65"/>
        </w:rPr>
      </w:r>
      <w:r>
        <w:rPr>
          <w:spacing w:val="-2"/>
        </w:rPr>
        <w:t>间集中问题，同时在筛选项目阶段，更多倾向与资信良好、实力雄厚，与公司有着长期的合作关系的公司，保障应收账款的</w:t>
      </w:r>
      <w:r>
        <w:rPr>
          <w:spacing w:val="-67"/>
        </w:rPr>
        <w:t> </w:t>
      </w:r>
      <w:r>
        <w:rPr>
          <w:spacing w:val="-67"/>
        </w:rPr>
      </w:r>
      <w:r>
        <w:rPr/>
        <w:t>回收。</w:t>
      </w:r>
    </w:p>
    <w:p>
      <w:pPr>
        <w:pStyle w:val="Heading6"/>
        <w:spacing w:line="240" w:lineRule="auto" w:before="54"/>
        <w:ind w:right="1133"/>
        <w:jc w:val="left"/>
        <w:rPr>
          <w:b w:val="0"/>
          <w:bCs w:val="0"/>
        </w:rPr>
      </w:pPr>
      <w:r>
        <w:rPr>
          <w:rFonts w:ascii="Times New Roman" w:hAnsi="Times New Roman" w:cs="Times New Roman" w:eastAsia="Times New Roman" w:hint="default"/>
        </w:rPr>
        <w:t>4</w:t>
      </w:r>
      <w:r>
        <w:rPr/>
        <w:t>、人才风险</w:t>
      </w:r>
      <w:r>
        <w:rPr>
          <w:b w:val="0"/>
          <w:bCs w:val="0"/>
        </w:rPr>
      </w:r>
    </w:p>
    <w:p>
      <w:pPr>
        <w:spacing w:after="0" w:line="240" w:lineRule="auto"/>
        <w:jc w:val="left"/>
        <w:sectPr>
          <w:pgSz w:w="11910" w:h="16840"/>
          <w:pgMar w:header="745" w:footer="980" w:top="1060" w:bottom="1160" w:left="980" w:right="0"/>
        </w:sect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5"/>
          <w:szCs w:val="15"/>
        </w:rPr>
      </w:pPr>
    </w:p>
    <w:p>
      <w:pPr>
        <w:pStyle w:val="BodyText"/>
        <w:spacing w:line="472" w:lineRule="auto"/>
        <w:ind w:right="1130" w:firstLine="420"/>
        <w:jc w:val="both"/>
      </w:pPr>
      <w:r>
        <w:rPr/>
        <w:t>人力资源是高科技企业生存和发展的重要因素，核心技术与销售人员、优质领导团队是维持和提高公司核心竞争力的 </w:t>
      </w:r>
      <w:r>
        <w:rPr>
          <w:spacing w:val="-2"/>
        </w:rPr>
        <w:t>基石。公司作为高新技术企业，在多年的发展过程中，通过自身培养和外部引进积累了一批技术骨干和业务精英，形成了行</w:t>
      </w:r>
      <w:r>
        <w:rPr>
          <w:spacing w:val="-64"/>
        </w:rPr>
        <w:t> </w:t>
      </w:r>
      <w:r>
        <w:rPr>
          <w:spacing w:val="-64"/>
        </w:rPr>
      </w:r>
      <w:r>
        <w:rPr>
          <w:spacing w:val="-2"/>
        </w:rPr>
        <w:t>之有效的技术研发体系，保障了公司在市场竞争中的领先地位。但随着业务规模的不断扩大、行业竞争的日趋激烈以及行业</w:t>
      </w:r>
      <w:r>
        <w:rPr>
          <w:spacing w:val="-63"/>
        </w:rPr>
        <w:t> </w:t>
      </w:r>
      <w:r>
        <w:rPr>
          <w:spacing w:val="-63"/>
        </w:rPr>
      </w:r>
      <w:r>
        <w:rPr>
          <w:spacing w:val="-2"/>
        </w:rPr>
        <w:t>人力成本的大幅度提高，公司可能在高端人才的吸引和保留、人力资源体系结构优化等方面面临压力和挑战。公司必须持续</w:t>
      </w:r>
      <w:r>
        <w:rPr>
          <w:spacing w:val="-63"/>
        </w:rPr>
        <w:t> </w:t>
      </w:r>
      <w:r>
        <w:rPr>
          <w:spacing w:val="-63"/>
        </w:rPr>
      </w:r>
      <w:r>
        <w:rPr>
          <w:spacing w:val="-2"/>
        </w:rPr>
        <w:t>通过内培外引的方式维持人才积累，夯实高绩效组织建设，打造创新业务团队，强化创新、高绩效文化，以适应公司规模的</w:t>
      </w:r>
      <w:r>
        <w:rPr>
          <w:spacing w:val="-67"/>
        </w:rPr>
        <w:t> </w:t>
      </w:r>
      <w:r>
        <w:rPr>
          <w:spacing w:val="-67"/>
        </w:rPr>
      </w:r>
      <w:r>
        <w:rPr>
          <w:spacing w:val="-2"/>
        </w:rPr>
        <w:t>扩张对技术和管理人才的需求；同时，公司将始终贯彻</w:t>
      </w:r>
      <w:r>
        <w:rPr>
          <w:rFonts w:ascii="Times New Roman" w:hAnsi="Times New Roman" w:cs="Times New Roman" w:eastAsia="Times New Roman" w:hint="default"/>
          <w:spacing w:val="-2"/>
        </w:rPr>
        <w:t>“</w:t>
      </w:r>
      <w:r>
        <w:rPr>
          <w:spacing w:val="-2"/>
        </w:rPr>
        <w:t>达则兼善天下，实则恒心如一</w:t>
      </w:r>
      <w:r>
        <w:rPr>
          <w:rFonts w:ascii="Times New Roman" w:hAnsi="Times New Roman" w:cs="Times New Roman" w:eastAsia="Times New Roman" w:hint="default"/>
          <w:spacing w:val="-2"/>
        </w:rPr>
        <w:t>”</w:t>
      </w:r>
      <w:r>
        <w:rPr>
          <w:spacing w:val="-2"/>
        </w:rPr>
        <w:t>的企业文化，利用有效的激励和奖励</w:t>
      </w:r>
      <w:r>
        <w:rPr>
          <w:spacing w:val="-44"/>
        </w:rPr>
        <w:t> </w:t>
      </w:r>
      <w:r>
        <w:rPr>
          <w:spacing w:val="-44"/>
        </w:rPr>
      </w:r>
      <w:r>
        <w:rPr/>
        <w:t>机制，持续改进员工薪酬体系、福利待遇，广泛吸纳和善用各类人才。</w:t>
      </w:r>
    </w:p>
    <w:p>
      <w:pPr>
        <w:spacing w:line="240" w:lineRule="auto" w:before="10"/>
        <w:rPr>
          <w:rFonts w:ascii="宋体" w:hAnsi="宋体" w:cs="宋体" w:eastAsia="宋体" w:hint="default"/>
          <w:sz w:val="17"/>
          <w:szCs w:val="17"/>
        </w:rPr>
      </w:pPr>
    </w:p>
    <w:p>
      <w:pPr>
        <w:pStyle w:val="Heading2"/>
        <w:spacing w:line="240" w:lineRule="auto"/>
        <w:ind w:right="1133"/>
        <w:jc w:val="left"/>
        <w:rPr>
          <w:b w:val="0"/>
          <w:bCs w:val="0"/>
        </w:rPr>
      </w:pPr>
      <w:bookmarkStart w:name="十、接待调研、沟通、采访等活动" w:id="57"/>
      <w:bookmarkEnd w:id="57"/>
      <w:r>
        <w:rPr>
          <w:b w:val="0"/>
          <w:bCs w:val="0"/>
        </w:rPr>
      </w:r>
      <w:r>
        <w:rPr/>
        <w:t>十、接待调研、沟通、采访等活动</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1133"/>
        <w:jc w:val="left"/>
        <w:rPr>
          <w:b w:val="0"/>
          <w:bCs w:val="0"/>
        </w:rPr>
      </w:pPr>
      <w:bookmarkStart w:name="1、报告期内接待调研、沟通、采访等活动登记表" w:id="58"/>
      <w:bookmarkEnd w:id="58"/>
      <w:r>
        <w:rPr>
          <w:b w:val="0"/>
          <w:bCs w:val="0"/>
        </w:rPr>
      </w: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180"/>
        <w:gridCol w:w="2177"/>
        <w:gridCol w:w="2177"/>
        <w:gridCol w:w="3037"/>
      </w:tblGrid>
      <w:tr>
        <w:trPr>
          <w:trHeight w:val="401" w:hRule="exact"/>
        </w:trPr>
        <w:tc>
          <w:tcPr>
            <w:tcW w:w="2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接待时间</w:t>
            </w:r>
          </w:p>
        </w:tc>
        <w:tc>
          <w:tcPr>
            <w:tcW w:w="2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25" w:right="0"/>
              <w:jc w:val="left"/>
              <w:rPr>
                <w:rFonts w:ascii="宋体" w:hAnsi="宋体" w:cs="宋体" w:eastAsia="宋体" w:hint="default"/>
                <w:sz w:val="18"/>
                <w:szCs w:val="18"/>
              </w:rPr>
            </w:pPr>
            <w:r>
              <w:rPr>
                <w:rFonts w:ascii="宋体" w:hAnsi="宋体" w:cs="宋体" w:eastAsia="宋体" w:hint="default"/>
                <w:sz w:val="18"/>
                <w:szCs w:val="18"/>
              </w:rPr>
              <w:t>接待方式</w:t>
            </w:r>
          </w:p>
        </w:tc>
        <w:tc>
          <w:tcPr>
            <w:tcW w:w="2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44" w:right="0"/>
              <w:jc w:val="left"/>
              <w:rPr>
                <w:rFonts w:ascii="宋体" w:hAnsi="宋体" w:cs="宋体" w:eastAsia="宋体" w:hint="default"/>
                <w:sz w:val="18"/>
                <w:szCs w:val="18"/>
              </w:rPr>
            </w:pPr>
            <w:r>
              <w:rPr>
                <w:rFonts w:ascii="宋体" w:hAnsi="宋体" w:cs="宋体" w:eastAsia="宋体" w:hint="default"/>
                <w:sz w:val="18"/>
                <w:szCs w:val="18"/>
              </w:rPr>
              <w:t>接待对象类型</w:t>
            </w:r>
          </w:p>
        </w:tc>
        <w:tc>
          <w:tcPr>
            <w:tcW w:w="30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03" w:right="0"/>
              <w:jc w:val="left"/>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1027"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3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日投资者关系活动记 </w:t>
            </w:r>
            <w:r>
              <w:rPr>
                <w:rFonts w:ascii="宋体" w:hAnsi="宋体" w:cs="宋体" w:eastAsia="宋体" w:hint="default"/>
                <w:spacing w:val="-6"/>
                <w:sz w:val="18"/>
                <w:szCs w:val="18"/>
              </w:rPr>
              <w:t>录表》，刊登于深圳证券交易所互动易</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平台（</w:t>
            </w:r>
            <w:hyperlink r:id="rId15">
              <w:r>
                <w:rPr>
                  <w:rFonts w:ascii="Times New Roman" w:hAnsi="Times New Roman" w:cs="Times New Roman" w:eastAsia="Times New Roman" w:hint="default"/>
                  <w:sz w:val="18"/>
                  <w:szCs w:val="18"/>
                </w:rPr>
                <w:t>http://irm.cninfo.com.cn</w:t>
              </w:r>
            </w:hyperlink>
            <w:r>
              <w:rPr>
                <w:rFonts w:ascii="宋体" w:hAnsi="宋体" w:cs="宋体" w:eastAsia="宋体" w:hint="default"/>
                <w:sz w:val="18"/>
                <w:szCs w:val="18"/>
              </w:rPr>
              <w:t>）</w:t>
            </w:r>
          </w:p>
        </w:tc>
      </w:tr>
      <w:tr>
        <w:trPr>
          <w:trHeight w:val="1025"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29"/>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日投资者关系活动记 </w:t>
            </w:r>
            <w:r>
              <w:rPr>
                <w:rFonts w:ascii="宋体" w:hAnsi="宋体" w:cs="宋体" w:eastAsia="宋体" w:hint="default"/>
                <w:spacing w:val="-6"/>
                <w:sz w:val="18"/>
                <w:szCs w:val="18"/>
              </w:rPr>
              <w:t>录表》，刊登于深圳证券交易所互动易</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平台（</w:t>
            </w:r>
            <w:hyperlink r:id="rId15">
              <w:r>
                <w:rPr>
                  <w:rFonts w:ascii="Times New Roman" w:hAnsi="Times New Roman" w:cs="Times New Roman" w:eastAsia="Times New Roman" w:hint="default"/>
                  <w:sz w:val="18"/>
                  <w:szCs w:val="18"/>
                </w:rPr>
                <w:t>http://irm.cninfo.com.cn</w:t>
              </w:r>
            </w:hyperlink>
            <w:r>
              <w:rPr>
                <w:rFonts w:ascii="宋体" w:hAnsi="宋体" w:cs="宋体" w:eastAsia="宋体" w:hint="default"/>
                <w:sz w:val="18"/>
                <w:szCs w:val="18"/>
              </w:rPr>
              <w:t>）</w:t>
            </w:r>
          </w:p>
        </w:tc>
      </w:tr>
      <w:tr>
        <w:trPr>
          <w:trHeight w:val="1339"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19"/>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日达实智能投资者关 </w:t>
            </w:r>
            <w:r>
              <w:rPr>
                <w:rFonts w:ascii="宋体" w:hAnsi="宋体" w:cs="宋体" w:eastAsia="宋体" w:hint="default"/>
                <w:spacing w:val="-6"/>
                <w:sz w:val="18"/>
                <w:szCs w:val="18"/>
              </w:rPr>
              <w:t>系活动记录表》，刊登于深圳证券交易</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所互动易平台</w:t>
            </w:r>
          </w:p>
          <w:p>
            <w:pPr>
              <w:pStyle w:val="TableParagraph"/>
              <w:spacing w:line="240" w:lineRule="auto" w:before="24"/>
              <w:ind w:left="23" w:right="0"/>
              <w:jc w:val="both"/>
              <w:rPr>
                <w:rFonts w:ascii="宋体" w:hAnsi="宋体" w:cs="宋体" w:eastAsia="宋体" w:hint="default"/>
                <w:sz w:val="18"/>
                <w:szCs w:val="18"/>
              </w:rPr>
            </w:pPr>
            <w:r>
              <w:rPr>
                <w:rFonts w:ascii="宋体" w:hAnsi="宋体" w:cs="宋体" w:eastAsia="宋体" w:hint="default"/>
                <w:sz w:val="18"/>
                <w:szCs w:val="18"/>
              </w:rPr>
              <w:t>（</w:t>
            </w:r>
            <w:hyperlink r:id="rId15">
              <w:r>
                <w:rPr>
                  <w:rFonts w:ascii="Times New Roman" w:hAnsi="Times New Roman" w:cs="Times New Roman" w:eastAsia="Times New Roman" w:hint="default"/>
                  <w:sz w:val="18"/>
                  <w:szCs w:val="18"/>
                </w:rPr>
                <w:t>http://irm.cninfo.com.cn</w:t>
              </w:r>
            </w:hyperlink>
            <w:r>
              <w:rPr>
                <w:rFonts w:ascii="宋体" w:hAnsi="宋体" w:cs="宋体" w:eastAsia="宋体" w:hint="default"/>
                <w:sz w:val="18"/>
                <w:szCs w:val="18"/>
              </w:rPr>
              <w:t>）</w:t>
            </w:r>
          </w:p>
        </w:tc>
      </w:tr>
      <w:tr>
        <w:trPr>
          <w:trHeight w:val="1025"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3" w:right="-13"/>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002421 </w:t>
            </w:r>
            <w:r>
              <w:rPr>
                <w:rFonts w:ascii="宋体" w:hAnsi="宋体" w:cs="宋体" w:eastAsia="宋体" w:hint="default"/>
                <w:sz w:val="18"/>
                <w:szCs w:val="18"/>
              </w:rPr>
              <w:t>达实智能投资者关系管理档 案</w:t>
            </w:r>
            <w:r>
              <w:rPr>
                <w:rFonts w:ascii="宋体" w:hAnsi="宋体" w:cs="宋体" w:eastAsia="宋体" w:hint="default"/>
                <w:spacing w:val="-41"/>
                <w:sz w:val="18"/>
                <w:szCs w:val="18"/>
              </w:rPr>
              <w:t> </w:t>
            </w:r>
            <w:r>
              <w:rPr>
                <w:rFonts w:ascii="Times New Roman" w:hAnsi="Times New Roman" w:cs="Times New Roman" w:eastAsia="Times New Roman" w:hint="default"/>
                <w:spacing w:val="-7"/>
                <w:sz w:val="18"/>
                <w:szCs w:val="18"/>
              </w:rPr>
              <w:t>20190809</w:t>
            </w:r>
            <w:r>
              <w:rPr>
                <w:rFonts w:ascii="宋体" w:hAnsi="宋体" w:cs="宋体" w:eastAsia="宋体" w:hint="default"/>
                <w:spacing w:val="-7"/>
                <w:sz w:val="18"/>
                <w:szCs w:val="18"/>
              </w:rPr>
              <w:t>》，刊登于深圳证券交易所</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互动易平台（</w:t>
            </w:r>
            <w:hyperlink r:id="rId15">
              <w:r>
                <w:rPr>
                  <w:rFonts w:ascii="Times New Roman" w:hAnsi="Times New Roman" w:cs="Times New Roman" w:eastAsia="Times New Roman" w:hint="default"/>
                  <w:sz w:val="18"/>
                  <w:szCs w:val="18"/>
                </w:rPr>
                <w:t>http://irm.cninfo.com.cn</w:t>
              </w:r>
            </w:hyperlink>
            <w:r>
              <w:rPr>
                <w:rFonts w:ascii="宋体" w:hAnsi="宋体" w:cs="宋体" w:eastAsia="宋体" w:hint="default"/>
                <w:sz w:val="18"/>
                <w:szCs w:val="18"/>
              </w:rPr>
              <w:t>）</w:t>
            </w:r>
          </w:p>
        </w:tc>
      </w:tr>
      <w:tr>
        <w:trPr>
          <w:trHeight w:val="1340"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19"/>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日达实智能投资者 关系活动记录表</w:t>
            </w:r>
            <w:r>
              <w:rPr>
                <w:rFonts w:ascii="宋体" w:hAnsi="宋体" w:cs="宋体" w:eastAsia="宋体" w:hint="default"/>
                <w:spacing w:val="7"/>
                <w:sz w:val="18"/>
                <w:szCs w:val="18"/>
              </w:rPr>
              <w:t> </w:t>
            </w:r>
            <w:r>
              <w:rPr>
                <w:rFonts w:ascii="宋体" w:hAnsi="宋体" w:cs="宋体" w:eastAsia="宋体" w:hint="default"/>
                <w:spacing w:val="-18"/>
                <w:sz w:val="18"/>
                <w:szCs w:val="18"/>
              </w:rPr>
              <w:t>》，刊登于深圳证券交</w:t>
            </w:r>
            <w:r>
              <w:rPr>
                <w:rFonts w:ascii="宋体" w:hAnsi="宋体" w:cs="宋体" w:eastAsia="宋体" w:hint="default"/>
                <w:sz w:val="18"/>
                <w:szCs w:val="18"/>
              </w:rPr>
              <w:t> 易所互动易平台</w:t>
            </w:r>
          </w:p>
          <w:p>
            <w:pPr>
              <w:pStyle w:val="TableParagraph"/>
              <w:spacing w:line="240" w:lineRule="auto" w:before="25"/>
              <w:ind w:left="23" w:right="0"/>
              <w:jc w:val="left"/>
              <w:rPr>
                <w:rFonts w:ascii="宋体" w:hAnsi="宋体" w:cs="宋体" w:eastAsia="宋体" w:hint="default"/>
                <w:sz w:val="18"/>
                <w:szCs w:val="18"/>
              </w:rPr>
            </w:pPr>
            <w:r>
              <w:rPr>
                <w:rFonts w:ascii="宋体" w:hAnsi="宋体" w:cs="宋体" w:eastAsia="宋体" w:hint="default"/>
                <w:sz w:val="18"/>
                <w:szCs w:val="18"/>
              </w:rPr>
              <w:t>（</w:t>
            </w:r>
            <w:hyperlink r:id="rId15">
              <w:r>
                <w:rPr>
                  <w:rFonts w:ascii="Times New Roman" w:hAnsi="Times New Roman" w:cs="Times New Roman" w:eastAsia="Times New Roman" w:hint="default"/>
                  <w:sz w:val="18"/>
                  <w:szCs w:val="18"/>
                </w:rPr>
                <w:t>http://irm.cninfo.com.cn</w:t>
              </w:r>
            </w:hyperlink>
            <w:r>
              <w:rPr>
                <w:rFonts w:ascii="宋体" w:hAnsi="宋体" w:cs="宋体" w:eastAsia="宋体" w:hint="default"/>
                <w:sz w:val="18"/>
                <w:szCs w:val="18"/>
              </w:rPr>
              <w:t>）</w:t>
            </w:r>
          </w:p>
        </w:tc>
      </w:tr>
      <w:tr>
        <w:trPr>
          <w:trHeight w:val="1337"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3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日达实智能投资者 </w:t>
            </w:r>
            <w:r>
              <w:rPr>
                <w:rFonts w:ascii="宋体" w:hAnsi="宋体" w:cs="宋体" w:eastAsia="宋体" w:hint="default"/>
                <w:spacing w:val="-6"/>
                <w:sz w:val="18"/>
                <w:szCs w:val="18"/>
              </w:rPr>
              <w:t>关系活动记录表》，刊登于深圳证券交</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易所互动易平台</w:t>
            </w:r>
          </w:p>
          <w:p>
            <w:pPr>
              <w:pStyle w:val="TableParagraph"/>
              <w:spacing w:line="240" w:lineRule="auto" w:before="24"/>
              <w:ind w:left="23" w:right="0"/>
              <w:jc w:val="both"/>
              <w:rPr>
                <w:rFonts w:ascii="宋体" w:hAnsi="宋体" w:cs="宋体" w:eastAsia="宋体" w:hint="default"/>
                <w:sz w:val="18"/>
                <w:szCs w:val="18"/>
              </w:rPr>
            </w:pPr>
            <w:r>
              <w:rPr>
                <w:rFonts w:ascii="宋体" w:hAnsi="宋体" w:cs="宋体" w:eastAsia="宋体" w:hint="default"/>
                <w:sz w:val="18"/>
                <w:szCs w:val="18"/>
              </w:rPr>
              <w:t>（</w:t>
            </w:r>
            <w:hyperlink r:id="rId15">
              <w:r>
                <w:rPr>
                  <w:rFonts w:ascii="Times New Roman" w:hAnsi="Times New Roman" w:cs="Times New Roman" w:eastAsia="Times New Roman" w:hint="default"/>
                  <w:sz w:val="18"/>
                  <w:szCs w:val="18"/>
                </w:rPr>
                <w:t>http://irm.cninfo.com.cn</w:t>
              </w:r>
            </w:hyperlink>
            <w:r>
              <w:rPr>
                <w:rFonts w:ascii="宋体" w:hAnsi="宋体" w:cs="宋体" w:eastAsia="宋体" w:hint="default"/>
                <w:sz w:val="18"/>
                <w:szCs w:val="18"/>
              </w:rPr>
              <w:t>）</w:t>
            </w:r>
          </w:p>
        </w:tc>
      </w:tr>
    </w:tbl>
    <w:p>
      <w:pPr>
        <w:spacing w:after="0" w:line="240" w:lineRule="auto"/>
        <w:jc w:val="both"/>
        <w:rPr>
          <w:rFonts w:ascii="宋体" w:hAnsi="宋体" w:cs="宋体" w:eastAsia="宋体" w:hint="default"/>
          <w:sz w:val="18"/>
          <w:szCs w:val="18"/>
        </w:rPr>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right="1756"/>
        <w:jc w:val="center"/>
        <w:rPr>
          <w:b w:val="0"/>
          <w:bCs w:val="0"/>
        </w:rPr>
      </w:pPr>
      <w:bookmarkStart w:name="_TOC_250008" w:id="59"/>
      <w:bookmarkStart w:name="第五节重要事项" w:id="60"/>
      <w:r>
        <w:rPr>
          <w:b w:val="0"/>
          <w:bCs w:val="0"/>
        </w:rPr>
      </w:r>
      <w:r>
        <w:rPr/>
        <w:t>第五节重要事项</w:t>
      </w:r>
      <w:bookmarkEnd w:id="59"/>
      <w:r>
        <w:rPr>
          <w:b w:val="0"/>
          <w:bCs w:val="0"/>
        </w:rPr>
      </w:r>
    </w:p>
    <w:p>
      <w:pPr>
        <w:spacing w:line="240" w:lineRule="auto" w:before="2"/>
        <w:rPr>
          <w:rFonts w:ascii="宋体" w:hAnsi="宋体" w:cs="宋体" w:eastAsia="宋体" w:hint="default"/>
          <w:b/>
          <w:bCs/>
          <w:sz w:val="39"/>
          <w:szCs w:val="39"/>
        </w:rPr>
      </w:pPr>
    </w:p>
    <w:p>
      <w:pPr>
        <w:pStyle w:val="Heading2"/>
        <w:spacing w:line="240" w:lineRule="auto"/>
        <w:ind w:right="1133"/>
        <w:jc w:val="left"/>
        <w:rPr>
          <w:b w:val="0"/>
          <w:bCs w:val="0"/>
        </w:rPr>
      </w:pPr>
      <w:bookmarkStart w:name="一、公司普通股利润分配及资本公积金转增股本情况" w:id="61"/>
      <w:bookmarkEnd w:id="61"/>
      <w:r>
        <w:rPr>
          <w:b w:val="0"/>
          <w:bCs w:val="0"/>
        </w:rPr>
      </w:r>
      <w:r>
        <w:rPr/>
        <w:t>一、公司普通股利润分配及资本公积金转增股本情况</w:t>
      </w:r>
      <w:r>
        <w:rPr>
          <w:b w:val="0"/>
          <w:bCs w:val="0"/>
        </w:rPr>
      </w:r>
    </w:p>
    <w:p>
      <w:pPr>
        <w:spacing w:line="240" w:lineRule="auto" w:before="4"/>
        <w:rPr>
          <w:rFonts w:ascii="宋体" w:hAnsi="宋体" w:cs="宋体" w:eastAsia="宋体" w:hint="default"/>
          <w:b/>
          <w:bCs/>
          <w:sz w:val="32"/>
          <w:szCs w:val="32"/>
        </w:rPr>
      </w:pPr>
    </w:p>
    <w:p>
      <w:pPr>
        <w:pStyle w:val="BodyText"/>
        <w:spacing w:line="240" w:lineRule="auto"/>
        <w:ind w:right="1133"/>
        <w:jc w:val="left"/>
      </w:pPr>
      <w:r>
        <w:rPr/>
        <w:t>报告期内普通股利润分配政策，特别是现金分红政策的制定、执行或调整情况</w:t>
      </w:r>
    </w:p>
    <w:p>
      <w:pPr>
        <w:spacing w:line="240" w:lineRule="auto" w:before="12"/>
        <w:rPr>
          <w:rFonts w:ascii="宋体" w:hAnsi="宋体" w:cs="宋体" w:eastAsia="宋体" w:hint="default"/>
          <w:sz w:val="20"/>
          <w:szCs w:val="20"/>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9"/>
        <w:rPr>
          <w:rFonts w:ascii="宋体" w:hAnsi="宋体" w:cs="宋体" w:eastAsia="宋体" w:hint="default"/>
          <w:sz w:val="19"/>
          <w:szCs w:val="19"/>
        </w:rPr>
      </w:pPr>
    </w:p>
    <w:p>
      <w:pPr>
        <w:pStyle w:val="BodyText"/>
        <w:spacing w:line="240" w:lineRule="auto"/>
        <w:ind w:right="1133"/>
        <w:jc w:val="left"/>
      </w:pPr>
      <w:r>
        <w:rPr/>
        <w:t>公司近</w:t>
      </w:r>
      <w:r>
        <w:rPr>
          <w:spacing w:val="-44"/>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年（包括本报告期</w:t>
      </w:r>
      <w:r>
        <w:rPr>
          <w:spacing w:val="-3"/>
        </w:rPr>
        <w:t>）</w:t>
      </w:r>
      <w:r>
        <w:rPr/>
        <w:t>的普通股股利分配方案（预案</w:t>
      </w:r>
      <w:r>
        <w:rPr>
          <w:spacing w:val="-89"/>
        </w:rPr>
        <w:t>）</w:t>
      </w:r>
      <w:r>
        <w:rPr/>
        <w:t>、资本公积金转增股本方案（预案）情况</w:t>
      </w:r>
    </w:p>
    <w:p>
      <w:pPr>
        <w:spacing w:line="240" w:lineRule="auto" w:before="11"/>
        <w:rPr>
          <w:rFonts w:ascii="宋体" w:hAnsi="宋体" w:cs="宋体" w:eastAsia="宋体" w:hint="default"/>
          <w:sz w:val="19"/>
          <w:szCs w:val="19"/>
        </w:rPr>
      </w:pPr>
    </w:p>
    <w:p>
      <w:pPr>
        <w:pStyle w:val="BodyText"/>
        <w:spacing w:line="451" w:lineRule="auto"/>
        <w:ind w:right="1126" w:firstLine="420"/>
        <w:jc w:val="both"/>
      </w:pPr>
      <w:r>
        <w:rPr>
          <w:rFonts w:ascii="Times New Roman" w:hAnsi="Times New Roman" w:cs="Times New Roman" w:eastAsia="Times New Roman" w:hint="default"/>
        </w:rPr>
        <w:t>2017</w:t>
      </w:r>
      <w:r>
        <w:rPr/>
        <w:t>年度分配方案：以公司</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7</w:t>
      </w:r>
      <w:r>
        <w:rPr/>
        <w:t>日总股本</w:t>
      </w:r>
      <w:r>
        <w:rPr>
          <w:rFonts w:ascii="Times New Roman" w:hAnsi="Times New Roman" w:cs="Times New Roman" w:eastAsia="Times New Roman" w:hint="default"/>
        </w:rPr>
        <w:t>1,921,477,551</w:t>
      </w:r>
      <w:r>
        <w:rPr/>
        <w:t>股扣除公司通过回购专户持有的公司股份</w:t>
      </w:r>
      <w:r>
        <w:rPr>
          <w:rFonts w:ascii="Times New Roman" w:hAnsi="Times New Roman" w:cs="Times New Roman" w:eastAsia="Times New Roman" w:hint="default"/>
        </w:rPr>
        <w:t>19,318,322</w:t>
      </w:r>
      <w:r>
        <w:rPr/>
        <w:t>股后 </w:t>
      </w:r>
      <w:r>
        <w:rPr>
          <w:spacing w:val="-2"/>
        </w:rPr>
        <w:t>的总股本</w:t>
      </w:r>
      <w:r>
        <w:rPr>
          <w:rFonts w:ascii="Times New Roman" w:hAnsi="Times New Roman" w:cs="Times New Roman" w:eastAsia="Times New Roman" w:hint="default"/>
          <w:spacing w:val="-2"/>
        </w:rPr>
        <w:t>1,902,159,229</w:t>
      </w:r>
      <w:r>
        <w:rPr>
          <w:spacing w:val="-2"/>
        </w:rPr>
        <w:t>股为基数，向全体股东每</w:t>
      </w:r>
      <w:r>
        <w:rPr>
          <w:rFonts w:ascii="Times New Roman" w:hAnsi="Times New Roman" w:cs="Times New Roman" w:eastAsia="Times New Roman" w:hint="default"/>
          <w:spacing w:val="-2"/>
        </w:rPr>
        <w:t>10</w:t>
      </w:r>
      <w:r>
        <w:rPr>
          <w:spacing w:val="-2"/>
        </w:rPr>
        <w:t>股派</w:t>
      </w:r>
      <w:r>
        <w:rPr>
          <w:rFonts w:ascii="Times New Roman" w:hAnsi="Times New Roman" w:cs="Times New Roman" w:eastAsia="Times New Roman" w:hint="default"/>
          <w:spacing w:val="-2"/>
        </w:rPr>
        <w:t>0.3</w:t>
      </w:r>
      <w:r>
        <w:rPr>
          <w:spacing w:val="-2"/>
        </w:rPr>
        <w:t>元人民币现金（含税），本年度不转增，不送红股，剩余未分配利</w:t>
      </w:r>
      <w:r>
        <w:rPr>
          <w:spacing w:val="-54"/>
        </w:rPr>
        <w:t> </w:t>
      </w:r>
      <w:r>
        <w:rPr>
          <w:spacing w:val="-54"/>
        </w:rPr>
      </w:r>
      <w:r>
        <w:rPr/>
        <w:t>润结转以后年度进行分配。</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8</w:t>
      </w:r>
      <w:r>
        <w:rPr/>
        <w:t>日，该方案得以实施。</w:t>
      </w:r>
    </w:p>
    <w:p>
      <w:pPr>
        <w:pStyle w:val="BodyText"/>
        <w:spacing w:line="240" w:lineRule="auto" w:before="43"/>
        <w:ind w:left="573" w:right="1133"/>
        <w:jc w:val="left"/>
      </w:pPr>
      <w:r>
        <w:rPr>
          <w:rFonts w:ascii="Times New Roman" w:hAnsi="Times New Roman" w:cs="Times New Roman" w:eastAsia="Times New Roman" w:hint="default"/>
        </w:rPr>
        <w:t>2018</w:t>
      </w:r>
      <w:r>
        <w:rPr/>
        <w:t>年度分配方案：</w:t>
      </w:r>
      <w:r>
        <w:rPr>
          <w:rFonts w:ascii="Times New Roman" w:hAnsi="Times New Roman" w:cs="Times New Roman" w:eastAsia="Times New Roman" w:hint="default"/>
        </w:rPr>
        <w:t>2018</w:t>
      </w:r>
      <w:r>
        <w:rPr/>
        <w:t>年度不派发现金红利，不送红股，不以公积金转增股本。</w:t>
      </w:r>
    </w:p>
    <w:p>
      <w:pPr>
        <w:spacing w:line="240" w:lineRule="auto" w:before="9"/>
        <w:rPr>
          <w:rFonts w:ascii="宋体" w:hAnsi="宋体" w:cs="宋体" w:eastAsia="宋体" w:hint="default"/>
          <w:sz w:val="16"/>
          <w:szCs w:val="16"/>
        </w:rPr>
      </w:pPr>
    </w:p>
    <w:p>
      <w:pPr>
        <w:pStyle w:val="BodyText"/>
        <w:spacing w:line="451" w:lineRule="auto"/>
        <w:ind w:right="1122" w:firstLine="420"/>
        <w:jc w:val="both"/>
      </w:pPr>
      <w:r>
        <w:rPr>
          <w:rFonts w:ascii="Times New Roman" w:hAnsi="Times New Roman" w:cs="Times New Roman" w:eastAsia="Times New Roman" w:hint="default"/>
        </w:rPr>
        <w:t>2019</w:t>
      </w:r>
      <w:r>
        <w:rPr/>
        <w:t>年度分配预案：以实施分配方案时股权登记日的总股本为基数，向全体股东每</w:t>
      </w:r>
      <w:r>
        <w:rPr>
          <w:rFonts w:ascii="Times New Roman" w:hAnsi="Times New Roman" w:cs="Times New Roman" w:eastAsia="Times New Roman" w:hint="default"/>
        </w:rPr>
        <w:t>10</w:t>
      </w:r>
      <w:r>
        <w:rPr/>
        <w:t>股派</w:t>
      </w:r>
      <w:r>
        <w:rPr>
          <w:rFonts w:ascii="Times New Roman" w:hAnsi="Times New Roman" w:cs="Times New Roman" w:eastAsia="Times New Roman" w:hint="default"/>
        </w:rPr>
        <w:t>0.3</w:t>
      </w:r>
      <w:r>
        <w:rPr/>
        <w:t>元人民币现金（含税）， 本年度不转增，不送红股，剩余未分配利润结转以后年度进行分配。</w:t>
      </w:r>
    </w:p>
    <w:p>
      <w:pPr>
        <w:pStyle w:val="BodyText"/>
        <w:spacing w:line="240" w:lineRule="auto" w:before="115"/>
        <w:ind w:right="1133"/>
        <w:jc w:val="left"/>
      </w:pPr>
      <w:r>
        <w:rPr/>
        <w:t>公司近三年（包括本报告期）普通股现金分红情况表</w:t>
      </w:r>
    </w:p>
    <w:p>
      <w:pPr>
        <w:spacing w:line="240" w:lineRule="auto" w:before="8"/>
        <w:rPr>
          <w:rFonts w:ascii="宋体" w:hAnsi="宋体" w:cs="宋体" w:eastAsia="宋体" w:hint="default"/>
          <w:sz w:val="14"/>
          <w:szCs w:val="14"/>
        </w:rPr>
      </w:pPr>
    </w:p>
    <w:p>
      <w:pPr>
        <w:pStyle w:val="BodyText"/>
        <w:spacing w:line="240" w:lineRule="auto"/>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708"/>
        <w:gridCol w:w="1092"/>
        <w:gridCol w:w="1582"/>
        <w:gridCol w:w="1174"/>
        <w:gridCol w:w="1349"/>
        <w:gridCol w:w="1211"/>
        <w:gridCol w:w="1250"/>
        <w:gridCol w:w="1291"/>
      </w:tblGrid>
      <w:tr>
        <w:trPr>
          <w:trHeight w:val="161" w:hRule="exact"/>
        </w:trPr>
        <w:tc>
          <w:tcPr>
            <w:tcW w:w="708" w:type="dxa"/>
            <w:vMerge w:val="restart"/>
            <w:tcBorders>
              <w:top w:val="single" w:sz="4" w:space="0" w:color="000000"/>
              <w:left w:val="single" w:sz="4" w:space="0" w:color="000000"/>
              <w:right w:val="single" w:sz="4" w:space="0" w:color="000000"/>
            </w:tcBorders>
            <w:shd w:val="clear" w:color="auto" w:fill="D2D2D2"/>
          </w:tcPr>
          <w:p>
            <w:pPr/>
          </w:p>
        </w:tc>
        <w:tc>
          <w:tcPr>
            <w:tcW w:w="1092" w:type="dxa"/>
            <w:vMerge w:val="restart"/>
            <w:tcBorders>
              <w:top w:val="single" w:sz="4" w:space="0" w:color="000000"/>
              <w:left w:val="single" w:sz="4" w:space="0" w:color="000000"/>
              <w:right w:val="single" w:sz="4" w:space="0" w:color="000000"/>
            </w:tcBorders>
            <w:shd w:val="clear" w:color="auto" w:fill="D2D2D2"/>
          </w:tcPr>
          <w:p>
            <w:pPr/>
          </w:p>
        </w:tc>
        <w:tc>
          <w:tcPr>
            <w:tcW w:w="1582" w:type="dxa"/>
            <w:vMerge w:val="restart"/>
            <w:tcBorders>
              <w:top w:val="single" w:sz="4" w:space="0" w:color="000000"/>
              <w:left w:val="single" w:sz="4" w:space="0" w:color="000000"/>
              <w:right w:val="single" w:sz="4" w:space="0" w:color="000000"/>
            </w:tcBorders>
            <w:shd w:val="clear" w:color="auto" w:fill="D2D2D2"/>
          </w:tcPr>
          <w:p>
            <w:pPr/>
          </w:p>
        </w:tc>
        <w:tc>
          <w:tcPr>
            <w:tcW w:w="1174" w:type="dxa"/>
            <w:tcBorders>
              <w:top w:val="single" w:sz="4" w:space="0" w:color="000000"/>
              <w:left w:val="single" w:sz="4" w:space="0" w:color="000000"/>
              <w:bottom w:val="nil" w:sz="6" w:space="0" w:color="auto"/>
              <w:right w:val="single" w:sz="4" w:space="0" w:color="000000"/>
            </w:tcBorders>
            <w:shd w:val="clear" w:color="auto" w:fill="D2D2D2"/>
          </w:tcPr>
          <w:p>
            <w:pPr/>
          </w:p>
        </w:tc>
        <w:tc>
          <w:tcPr>
            <w:tcW w:w="1349" w:type="dxa"/>
            <w:vMerge w:val="restart"/>
            <w:tcBorders>
              <w:top w:val="single" w:sz="4" w:space="0" w:color="000000"/>
              <w:left w:val="single" w:sz="4" w:space="0" w:color="000000"/>
              <w:right w:val="single" w:sz="4" w:space="0" w:color="000000"/>
            </w:tcBorders>
            <w:shd w:val="clear" w:color="auto" w:fill="D2D2D2"/>
          </w:tcPr>
          <w:p>
            <w:pPr/>
          </w:p>
        </w:tc>
        <w:tc>
          <w:tcPr>
            <w:tcW w:w="1211" w:type="dxa"/>
            <w:tcBorders>
              <w:top w:val="single" w:sz="4" w:space="0" w:color="000000"/>
              <w:left w:val="single" w:sz="4" w:space="0" w:color="000000"/>
              <w:bottom w:val="nil" w:sz="6" w:space="0" w:color="auto"/>
              <w:right w:val="single" w:sz="4" w:space="0" w:color="000000"/>
            </w:tcBorders>
            <w:shd w:val="clear" w:color="auto" w:fill="D2D2D2"/>
          </w:tcPr>
          <w:p>
            <w:pPr/>
          </w:p>
        </w:tc>
        <w:tc>
          <w:tcPr>
            <w:tcW w:w="1250" w:type="dxa"/>
            <w:vMerge w:val="restart"/>
            <w:tcBorders>
              <w:top w:val="single" w:sz="4" w:space="0" w:color="000000"/>
              <w:left w:val="single" w:sz="4" w:space="0" w:color="000000"/>
              <w:right w:val="single" w:sz="4" w:space="0" w:color="000000"/>
            </w:tcBorders>
            <w:shd w:val="clear" w:color="auto" w:fill="D2D2D2"/>
          </w:tcPr>
          <w:p>
            <w:pPr/>
          </w:p>
        </w:tc>
        <w:tc>
          <w:tcPr>
            <w:tcW w:w="12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310" w:lineRule="atLeast" w:before="2"/>
              <w:ind w:left="11" w:right="7"/>
              <w:jc w:val="center"/>
              <w:rPr>
                <w:rFonts w:ascii="宋体" w:hAnsi="宋体" w:cs="宋体" w:eastAsia="宋体" w:hint="default"/>
                <w:sz w:val="18"/>
                <w:szCs w:val="18"/>
              </w:rPr>
            </w:pPr>
            <w:r>
              <w:rPr>
                <w:rFonts w:ascii="宋体" w:hAnsi="宋体" w:cs="宋体" w:eastAsia="宋体" w:hint="default"/>
                <w:sz w:val="18"/>
                <w:szCs w:val="18"/>
              </w:rPr>
              <w:t>（含其他方式） 占合并报表中 归属于上市公</w:t>
            </w:r>
          </w:p>
          <w:p>
            <w:pPr>
              <w:pStyle w:val="TableParagraph"/>
              <w:spacing w:line="116" w:lineRule="exact"/>
              <w:ind w:left="-136"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96" w:lineRule="exact"/>
              <w:ind w:left="100" w:right="0"/>
              <w:jc w:val="left"/>
              <w:rPr>
                <w:rFonts w:ascii="宋体" w:hAnsi="宋体" w:cs="宋体" w:eastAsia="宋体" w:hint="default"/>
                <w:sz w:val="18"/>
                <w:szCs w:val="18"/>
              </w:rPr>
            </w:pPr>
            <w:r>
              <w:rPr>
                <w:rFonts w:ascii="宋体" w:hAnsi="宋体" w:cs="宋体" w:eastAsia="宋体" w:hint="default"/>
                <w:sz w:val="18"/>
                <w:szCs w:val="18"/>
              </w:rPr>
              <w:t>司普通股股东</w:t>
            </w:r>
          </w:p>
          <w:p>
            <w:pPr>
              <w:pStyle w:val="TableParagraph"/>
              <w:spacing w:line="316" w:lineRule="auto" w:before="76"/>
              <w:ind w:left="100" w:right="98"/>
              <w:jc w:val="center"/>
              <w:rPr>
                <w:rFonts w:ascii="宋体" w:hAnsi="宋体" w:cs="宋体" w:eastAsia="宋体" w:hint="default"/>
                <w:sz w:val="18"/>
                <w:szCs w:val="18"/>
              </w:rPr>
            </w:pPr>
            <w:r>
              <w:rPr>
                <w:rFonts w:ascii="宋体" w:hAnsi="宋体" w:cs="宋体" w:eastAsia="宋体" w:hint="default"/>
                <w:sz w:val="18"/>
                <w:szCs w:val="18"/>
              </w:rPr>
              <w:t>的净利润的比 率</w:t>
            </w:r>
          </w:p>
        </w:tc>
      </w:tr>
      <w:tr>
        <w:trPr>
          <w:trHeight w:val="312" w:hRule="exact"/>
        </w:trPr>
        <w:tc>
          <w:tcPr>
            <w:tcW w:w="708" w:type="dxa"/>
            <w:vMerge/>
            <w:tcBorders>
              <w:left w:val="single" w:sz="4" w:space="0" w:color="000000"/>
              <w:right w:val="single" w:sz="4" w:space="0" w:color="000000"/>
            </w:tcBorders>
            <w:shd w:val="clear" w:color="auto" w:fill="D2D2D2"/>
          </w:tcPr>
          <w:p>
            <w:pPr/>
          </w:p>
        </w:tc>
        <w:tc>
          <w:tcPr>
            <w:tcW w:w="1092" w:type="dxa"/>
            <w:vMerge/>
            <w:tcBorders>
              <w:left w:val="single" w:sz="4" w:space="0" w:color="000000"/>
              <w:right w:val="single" w:sz="4" w:space="0" w:color="000000"/>
            </w:tcBorders>
            <w:shd w:val="clear" w:color="auto" w:fill="D2D2D2"/>
          </w:tcPr>
          <w:p>
            <w:pPr/>
          </w:p>
        </w:tc>
        <w:tc>
          <w:tcPr>
            <w:tcW w:w="1582" w:type="dxa"/>
            <w:vMerge/>
            <w:tcBorders>
              <w:left w:val="single" w:sz="4" w:space="0" w:color="000000"/>
              <w:bottom w:val="nil" w:sz="6" w:space="0" w:color="auto"/>
              <w:right w:val="single" w:sz="4" w:space="0" w:color="000000"/>
            </w:tcBorders>
            <w:shd w:val="clear" w:color="auto" w:fill="D2D2D2"/>
          </w:tcPr>
          <w:p>
            <w:pPr/>
          </w:p>
        </w:tc>
        <w:tc>
          <w:tcPr>
            <w:tcW w:w="117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47" w:right="35"/>
              <w:jc w:val="center"/>
              <w:rPr>
                <w:rFonts w:ascii="宋体" w:hAnsi="宋体" w:cs="宋体" w:eastAsia="宋体" w:hint="default"/>
                <w:sz w:val="18"/>
                <w:szCs w:val="18"/>
              </w:rPr>
            </w:pPr>
            <w:r>
              <w:rPr>
                <w:rFonts w:ascii="宋体" w:hAnsi="宋体" w:cs="宋体" w:eastAsia="宋体" w:hint="default"/>
                <w:sz w:val="18"/>
                <w:szCs w:val="18"/>
              </w:rPr>
              <w:t>现金分红金额 占合并报表中 归属于上市公 司普通股股东 的净利润的比 率</w:t>
            </w:r>
          </w:p>
        </w:tc>
        <w:tc>
          <w:tcPr>
            <w:tcW w:w="1349" w:type="dxa"/>
            <w:vMerge/>
            <w:tcBorders>
              <w:left w:val="single" w:sz="4" w:space="0" w:color="000000"/>
              <w:right w:val="single" w:sz="4" w:space="0" w:color="000000"/>
            </w:tcBorders>
            <w:shd w:val="clear" w:color="auto" w:fill="D2D2D2"/>
          </w:tcPr>
          <w:p>
            <w:pPr/>
          </w:p>
        </w:tc>
        <w:tc>
          <w:tcPr>
            <w:tcW w:w="1211"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67" w:right="53"/>
              <w:jc w:val="both"/>
              <w:rPr>
                <w:rFonts w:ascii="宋体" w:hAnsi="宋体" w:cs="宋体" w:eastAsia="宋体" w:hint="default"/>
                <w:sz w:val="18"/>
                <w:szCs w:val="18"/>
              </w:rPr>
            </w:pPr>
            <w:r>
              <w:rPr>
                <w:rFonts w:ascii="宋体" w:hAnsi="宋体" w:cs="宋体" w:eastAsia="宋体" w:hint="default"/>
                <w:sz w:val="18"/>
                <w:szCs w:val="18"/>
              </w:rPr>
              <w:t>以其他方式现 金分红金额占 合并报表中归 属于上市公司 普通股股东的 净利润的比例</w:t>
            </w:r>
          </w:p>
        </w:tc>
        <w:tc>
          <w:tcPr>
            <w:tcW w:w="1250" w:type="dxa"/>
            <w:vMerge/>
            <w:tcBorders>
              <w:left w:val="single" w:sz="4" w:space="0" w:color="000000"/>
              <w:right w:val="single" w:sz="4" w:space="0" w:color="000000"/>
            </w:tcBorders>
            <w:shd w:val="clear" w:color="auto" w:fill="D2D2D2"/>
          </w:tcPr>
          <w:p>
            <w:pPr/>
          </w:p>
        </w:tc>
        <w:tc>
          <w:tcPr>
            <w:tcW w:w="1291" w:type="dxa"/>
            <w:vMerge/>
            <w:tcBorders>
              <w:left w:val="single" w:sz="4" w:space="0" w:color="000000"/>
              <w:right w:val="single" w:sz="4" w:space="0" w:color="000000"/>
            </w:tcBorders>
            <w:shd w:val="clear" w:color="auto" w:fill="D2D2D2"/>
          </w:tcPr>
          <w:p>
            <w:pPr/>
          </w:p>
        </w:tc>
      </w:tr>
      <w:tr>
        <w:trPr>
          <w:trHeight w:val="156" w:hRule="exact"/>
        </w:trPr>
        <w:tc>
          <w:tcPr>
            <w:tcW w:w="708" w:type="dxa"/>
            <w:vMerge/>
            <w:tcBorders>
              <w:left w:val="single" w:sz="4" w:space="0" w:color="000000"/>
              <w:right w:val="single" w:sz="4" w:space="0" w:color="000000"/>
            </w:tcBorders>
            <w:shd w:val="clear" w:color="auto" w:fill="D2D2D2"/>
          </w:tcPr>
          <w:p>
            <w:pPr/>
          </w:p>
        </w:tc>
        <w:tc>
          <w:tcPr>
            <w:tcW w:w="1092" w:type="dxa"/>
            <w:vMerge/>
            <w:tcBorders>
              <w:left w:val="single" w:sz="4" w:space="0" w:color="000000"/>
              <w:right w:val="single" w:sz="4" w:space="0" w:color="000000"/>
            </w:tcBorders>
            <w:shd w:val="clear" w:color="auto" w:fill="D2D2D2"/>
          </w:tcPr>
          <w:p>
            <w:pPr/>
          </w:p>
        </w:tc>
        <w:tc>
          <w:tcPr>
            <w:tcW w:w="1582"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67" w:right="63"/>
              <w:jc w:val="center"/>
              <w:rPr>
                <w:rFonts w:ascii="宋体" w:hAnsi="宋体" w:cs="宋体" w:eastAsia="宋体" w:hint="default"/>
                <w:sz w:val="18"/>
                <w:szCs w:val="18"/>
              </w:rPr>
            </w:pPr>
            <w:r>
              <w:rPr>
                <w:rFonts w:ascii="宋体" w:hAnsi="宋体" w:cs="宋体" w:eastAsia="宋体" w:hint="default"/>
                <w:sz w:val="18"/>
                <w:szCs w:val="18"/>
              </w:rPr>
              <w:t>分红年度合并报表 中归属于上市公司 普通股股东的净利 润</w:t>
            </w:r>
          </w:p>
        </w:tc>
        <w:tc>
          <w:tcPr>
            <w:tcW w:w="1174" w:type="dxa"/>
            <w:vMerge/>
            <w:tcBorders>
              <w:left w:val="single" w:sz="4" w:space="0" w:color="000000"/>
              <w:right w:val="single" w:sz="4" w:space="0" w:color="000000"/>
            </w:tcBorders>
            <w:shd w:val="clear" w:color="auto" w:fill="D2D2D2"/>
          </w:tcPr>
          <w:p>
            <w:pPr/>
          </w:p>
        </w:tc>
        <w:tc>
          <w:tcPr>
            <w:tcW w:w="1349" w:type="dxa"/>
            <w:vMerge/>
            <w:tcBorders>
              <w:left w:val="single" w:sz="4" w:space="0" w:color="000000"/>
              <w:bottom w:val="nil" w:sz="6" w:space="0" w:color="auto"/>
              <w:right w:val="single" w:sz="4" w:space="0" w:color="000000"/>
            </w:tcBorders>
            <w:shd w:val="clear" w:color="auto" w:fill="D2D2D2"/>
          </w:tcPr>
          <w:p>
            <w:pPr/>
          </w:p>
        </w:tc>
        <w:tc>
          <w:tcPr>
            <w:tcW w:w="1211" w:type="dxa"/>
            <w:vMerge/>
            <w:tcBorders>
              <w:left w:val="single" w:sz="4" w:space="0" w:color="000000"/>
              <w:right w:val="single" w:sz="4" w:space="0" w:color="000000"/>
            </w:tcBorders>
            <w:shd w:val="clear" w:color="auto" w:fill="D2D2D2"/>
          </w:tcPr>
          <w:p>
            <w:pPr/>
          </w:p>
        </w:tc>
        <w:tc>
          <w:tcPr>
            <w:tcW w:w="1250" w:type="dxa"/>
            <w:vMerge/>
            <w:tcBorders>
              <w:left w:val="single" w:sz="4" w:space="0" w:color="000000"/>
              <w:right w:val="single" w:sz="4" w:space="0" w:color="000000"/>
            </w:tcBorders>
            <w:shd w:val="clear" w:color="auto" w:fill="D2D2D2"/>
          </w:tcPr>
          <w:p>
            <w:pPr/>
          </w:p>
        </w:tc>
        <w:tc>
          <w:tcPr>
            <w:tcW w:w="1291" w:type="dxa"/>
            <w:vMerge/>
            <w:tcBorders>
              <w:left w:val="single" w:sz="4" w:space="0" w:color="000000"/>
              <w:right w:val="single" w:sz="4" w:space="0" w:color="000000"/>
            </w:tcBorders>
            <w:shd w:val="clear" w:color="auto" w:fill="D2D2D2"/>
          </w:tcPr>
          <w:p>
            <w:pPr/>
          </w:p>
        </w:tc>
      </w:tr>
      <w:tr>
        <w:trPr>
          <w:trHeight w:val="156" w:hRule="exact"/>
        </w:trPr>
        <w:tc>
          <w:tcPr>
            <w:tcW w:w="708" w:type="dxa"/>
            <w:vMerge/>
            <w:tcBorders>
              <w:left w:val="single" w:sz="4" w:space="0" w:color="000000"/>
              <w:bottom w:val="nil" w:sz="6" w:space="0" w:color="auto"/>
              <w:right w:val="single" w:sz="4" w:space="0" w:color="000000"/>
            </w:tcBorders>
            <w:shd w:val="clear" w:color="auto" w:fill="D2D2D2"/>
          </w:tcPr>
          <w:p>
            <w:pPr/>
          </w:p>
        </w:tc>
        <w:tc>
          <w:tcPr>
            <w:tcW w:w="1092" w:type="dxa"/>
            <w:vMerge/>
            <w:tcBorders>
              <w:left w:val="single" w:sz="4" w:space="0" w:color="000000"/>
              <w:bottom w:val="nil" w:sz="6" w:space="0" w:color="auto"/>
              <w:right w:val="single" w:sz="4" w:space="0" w:color="000000"/>
            </w:tcBorders>
            <w:shd w:val="clear" w:color="auto" w:fill="D2D2D2"/>
          </w:tcPr>
          <w:p>
            <w:pPr/>
          </w:p>
        </w:tc>
        <w:tc>
          <w:tcPr>
            <w:tcW w:w="1582" w:type="dxa"/>
            <w:vMerge/>
            <w:tcBorders>
              <w:left w:val="single" w:sz="4" w:space="0" w:color="000000"/>
              <w:right w:val="single" w:sz="4" w:space="0" w:color="000000"/>
            </w:tcBorders>
            <w:shd w:val="clear" w:color="auto" w:fill="D2D2D2"/>
          </w:tcPr>
          <w:p>
            <w:pPr/>
          </w:p>
        </w:tc>
        <w:tc>
          <w:tcPr>
            <w:tcW w:w="1174" w:type="dxa"/>
            <w:vMerge/>
            <w:tcBorders>
              <w:left w:val="single" w:sz="4" w:space="0" w:color="000000"/>
              <w:right w:val="single" w:sz="4" w:space="0" w:color="000000"/>
            </w:tcBorders>
            <w:shd w:val="clear" w:color="auto" w:fill="D2D2D2"/>
          </w:tcPr>
          <w:p>
            <w:pPr/>
          </w:p>
        </w:tc>
        <w:tc>
          <w:tcPr>
            <w:tcW w:w="1349"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45" w:right="33"/>
              <w:jc w:val="center"/>
              <w:rPr>
                <w:rFonts w:ascii="宋体" w:hAnsi="宋体" w:cs="宋体" w:eastAsia="宋体" w:hint="default"/>
                <w:sz w:val="18"/>
                <w:szCs w:val="18"/>
              </w:rPr>
            </w:pPr>
            <w:r>
              <w:rPr>
                <w:rFonts w:ascii="宋体" w:hAnsi="宋体" w:cs="宋体" w:eastAsia="宋体" w:hint="default"/>
                <w:sz w:val="18"/>
                <w:szCs w:val="18"/>
              </w:rPr>
              <w:t>以其他方式（如 回购股份）现金 分红的金额</w:t>
            </w:r>
          </w:p>
        </w:tc>
        <w:tc>
          <w:tcPr>
            <w:tcW w:w="1211" w:type="dxa"/>
            <w:vMerge/>
            <w:tcBorders>
              <w:left w:val="single" w:sz="4" w:space="0" w:color="000000"/>
              <w:right w:val="single" w:sz="4" w:space="0" w:color="000000"/>
            </w:tcBorders>
            <w:shd w:val="clear" w:color="auto" w:fill="D2D2D2"/>
          </w:tcPr>
          <w:p>
            <w:pPr/>
          </w:p>
        </w:tc>
        <w:tc>
          <w:tcPr>
            <w:tcW w:w="1250" w:type="dxa"/>
            <w:vMerge/>
            <w:tcBorders>
              <w:left w:val="single" w:sz="4" w:space="0" w:color="000000"/>
              <w:bottom w:val="nil" w:sz="6" w:space="0" w:color="auto"/>
              <w:right w:val="single" w:sz="4" w:space="0" w:color="000000"/>
            </w:tcBorders>
            <w:shd w:val="clear" w:color="auto" w:fill="D2D2D2"/>
          </w:tcPr>
          <w:p>
            <w:pPr/>
          </w:p>
        </w:tc>
        <w:tc>
          <w:tcPr>
            <w:tcW w:w="1291" w:type="dxa"/>
            <w:vMerge/>
            <w:tcBorders>
              <w:left w:val="single" w:sz="4" w:space="0" w:color="000000"/>
              <w:right w:val="single" w:sz="4" w:space="0" w:color="000000"/>
            </w:tcBorders>
            <w:shd w:val="clear" w:color="auto" w:fill="D2D2D2"/>
          </w:tcPr>
          <w:p>
            <w:pPr/>
          </w:p>
        </w:tc>
      </w:tr>
      <w:tr>
        <w:trPr>
          <w:trHeight w:val="706" w:hRule="exact"/>
        </w:trPr>
        <w:tc>
          <w:tcPr>
            <w:tcW w:w="70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259" w:right="77" w:hanging="181"/>
              <w:jc w:val="left"/>
              <w:rPr>
                <w:rFonts w:ascii="宋体" w:hAnsi="宋体" w:cs="宋体" w:eastAsia="宋体" w:hint="default"/>
                <w:sz w:val="18"/>
                <w:szCs w:val="18"/>
              </w:rPr>
            </w:pPr>
            <w:r>
              <w:rPr>
                <w:rFonts w:ascii="宋体" w:hAnsi="宋体" w:cs="宋体" w:eastAsia="宋体" w:hint="default"/>
                <w:sz w:val="18"/>
                <w:szCs w:val="18"/>
              </w:rPr>
              <w:t>分红年 度</w:t>
            </w:r>
          </w:p>
        </w:tc>
        <w:tc>
          <w:tcPr>
            <w:tcW w:w="10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91" w:right="89"/>
              <w:jc w:val="left"/>
              <w:rPr>
                <w:rFonts w:ascii="宋体" w:hAnsi="宋体" w:cs="宋体" w:eastAsia="宋体" w:hint="default"/>
                <w:sz w:val="18"/>
                <w:szCs w:val="18"/>
              </w:rPr>
            </w:pPr>
            <w:r>
              <w:rPr>
                <w:rFonts w:ascii="宋体" w:hAnsi="宋体" w:cs="宋体" w:eastAsia="宋体" w:hint="default"/>
                <w:sz w:val="18"/>
                <w:szCs w:val="18"/>
              </w:rPr>
              <w:t>现金分红金 额（含税）</w:t>
            </w:r>
          </w:p>
        </w:tc>
        <w:tc>
          <w:tcPr>
            <w:tcW w:w="1582" w:type="dxa"/>
            <w:vMerge/>
            <w:tcBorders>
              <w:left w:val="single" w:sz="4" w:space="0" w:color="000000"/>
              <w:right w:val="single" w:sz="4" w:space="0" w:color="000000"/>
            </w:tcBorders>
            <w:shd w:val="clear" w:color="auto" w:fill="D2D2D2"/>
          </w:tcPr>
          <w:p>
            <w:pPr/>
          </w:p>
        </w:tc>
        <w:tc>
          <w:tcPr>
            <w:tcW w:w="1174" w:type="dxa"/>
            <w:vMerge/>
            <w:tcBorders>
              <w:left w:val="single" w:sz="4" w:space="0" w:color="000000"/>
              <w:right w:val="single" w:sz="4" w:space="0" w:color="000000"/>
            </w:tcBorders>
            <w:shd w:val="clear" w:color="auto" w:fill="D2D2D2"/>
          </w:tcPr>
          <w:p>
            <w:pPr/>
          </w:p>
        </w:tc>
        <w:tc>
          <w:tcPr>
            <w:tcW w:w="1349" w:type="dxa"/>
            <w:vMerge/>
            <w:tcBorders>
              <w:left w:val="single" w:sz="4" w:space="0" w:color="000000"/>
              <w:right w:val="single" w:sz="4" w:space="0" w:color="000000"/>
            </w:tcBorders>
            <w:shd w:val="clear" w:color="auto" w:fill="D2D2D2"/>
          </w:tcPr>
          <w:p>
            <w:pPr/>
          </w:p>
        </w:tc>
        <w:tc>
          <w:tcPr>
            <w:tcW w:w="1211" w:type="dxa"/>
            <w:vMerge/>
            <w:tcBorders>
              <w:left w:val="single" w:sz="4" w:space="0" w:color="000000"/>
              <w:right w:val="single" w:sz="4" w:space="0" w:color="000000"/>
            </w:tcBorders>
            <w:shd w:val="clear" w:color="auto" w:fill="D2D2D2"/>
          </w:tcPr>
          <w:p>
            <w:pPr/>
          </w:p>
        </w:tc>
        <w:tc>
          <w:tcPr>
            <w:tcW w:w="125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80" w:right="0"/>
              <w:jc w:val="left"/>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240" w:lineRule="auto" w:before="76"/>
              <w:ind w:left="34" w:right="0"/>
              <w:jc w:val="left"/>
              <w:rPr>
                <w:rFonts w:ascii="宋体" w:hAnsi="宋体" w:cs="宋体" w:eastAsia="宋体" w:hint="default"/>
                <w:sz w:val="18"/>
                <w:szCs w:val="18"/>
              </w:rPr>
            </w:pPr>
            <w:r>
              <w:rPr>
                <w:rFonts w:ascii="宋体" w:hAnsi="宋体" w:cs="宋体" w:eastAsia="宋体" w:hint="default"/>
                <w:sz w:val="18"/>
                <w:szCs w:val="18"/>
              </w:rPr>
              <w:t>（含其他方式</w:t>
            </w:r>
          </w:p>
        </w:tc>
        <w:tc>
          <w:tcPr>
            <w:tcW w:w="1291" w:type="dxa"/>
            <w:vMerge/>
            <w:tcBorders>
              <w:left w:val="single" w:sz="4" w:space="0" w:color="000000"/>
              <w:right w:val="single" w:sz="4" w:space="0" w:color="000000"/>
            </w:tcBorders>
            <w:shd w:val="clear" w:color="auto" w:fill="D2D2D2"/>
          </w:tcPr>
          <w:p>
            <w:pPr/>
          </w:p>
        </w:tc>
      </w:tr>
      <w:tr>
        <w:trPr>
          <w:trHeight w:val="156" w:hRule="exact"/>
        </w:trPr>
        <w:tc>
          <w:tcPr>
            <w:tcW w:w="708" w:type="dxa"/>
            <w:vMerge w:val="restart"/>
            <w:tcBorders>
              <w:top w:val="nil" w:sz="6" w:space="0" w:color="auto"/>
              <w:left w:val="single" w:sz="4" w:space="0" w:color="000000"/>
              <w:right w:val="single" w:sz="4" w:space="0" w:color="000000"/>
            </w:tcBorders>
            <w:shd w:val="clear" w:color="auto" w:fill="D2D2D2"/>
          </w:tcPr>
          <w:p>
            <w:pPr/>
          </w:p>
        </w:tc>
        <w:tc>
          <w:tcPr>
            <w:tcW w:w="1092" w:type="dxa"/>
            <w:vMerge w:val="restart"/>
            <w:tcBorders>
              <w:top w:val="nil" w:sz="6" w:space="0" w:color="auto"/>
              <w:left w:val="single" w:sz="4" w:space="0" w:color="000000"/>
              <w:right w:val="single" w:sz="4" w:space="0" w:color="000000"/>
            </w:tcBorders>
            <w:shd w:val="clear" w:color="auto" w:fill="D2D2D2"/>
          </w:tcPr>
          <w:p>
            <w:pPr/>
          </w:p>
        </w:tc>
        <w:tc>
          <w:tcPr>
            <w:tcW w:w="1582" w:type="dxa"/>
            <w:vMerge/>
            <w:tcBorders>
              <w:left w:val="single" w:sz="4" w:space="0" w:color="000000"/>
              <w:right w:val="single" w:sz="4" w:space="0" w:color="000000"/>
            </w:tcBorders>
            <w:shd w:val="clear" w:color="auto" w:fill="D2D2D2"/>
          </w:tcPr>
          <w:p>
            <w:pPr/>
          </w:p>
        </w:tc>
        <w:tc>
          <w:tcPr>
            <w:tcW w:w="1174" w:type="dxa"/>
            <w:vMerge/>
            <w:tcBorders>
              <w:left w:val="single" w:sz="4" w:space="0" w:color="000000"/>
              <w:right w:val="single" w:sz="4" w:space="0" w:color="000000"/>
            </w:tcBorders>
            <w:shd w:val="clear" w:color="auto" w:fill="D2D2D2"/>
          </w:tcPr>
          <w:p>
            <w:pPr/>
          </w:p>
        </w:tc>
        <w:tc>
          <w:tcPr>
            <w:tcW w:w="1349" w:type="dxa"/>
            <w:vMerge/>
            <w:tcBorders>
              <w:left w:val="single" w:sz="4" w:space="0" w:color="000000"/>
              <w:bottom w:val="nil" w:sz="6" w:space="0" w:color="auto"/>
              <w:right w:val="single" w:sz="4" w:space="0" w:color="000000"/>
            </w:tcBorders>
            <w:shd w:val="clear" w:color="auto" w:fill="D2D2D2"/>
          </w:tcPr>
          <w:p>
            <w:pPr/>
          </w:p>
        </w:tc>
        <w:tc>
          <w:tcPr>
            <w:tcW w:w="1211" w:type="dxa"/>
            <w:vMerge/>
            <w:tcBorders>
              <w:left w:val="single" w:sz="4" w:space="0" w:color="000000"/>
              <w:right w:val="single" w:sz="4" w:space="0" w:color="000000"/>
            </w:tcBorders>
            <w:shd w:val="clear" w:color="auto" w:fill="D2D2D2"/>
          </w:tcPr>
          <w:p>
            <w:pPr/>
          </w:p>
        </w:tc>
        <w:tc>
          <w:tcPr>
            <w:tcW w:w="1250" w:type="dxa"/>
            <w:vMerge w:val="restart"/>
            <w:tcBorders>
              <w:top w:val="nil" w:sz="6" w:space="0" w:color="auto"/>
              <w:left w:val="single" w:sz="4" w:space="0" w:color="000000"/>
              <w:right w:val="single" w:sz="4" w:space="0" w:color="000000"/>
            </w:tcBorders>
            <w:shd w:val="clear" w:color="auto" w:fill="D2D2D2"/>
          </w:tcPr>
          <w:p>
            <w:pPr/>
          </w:p>
        </w:tc>
        <w:tc>
          <w:tcPr>
            <w:tcW w:w="1291" w:type="dxa"/>
            <w:vMerge/>
            <w:tcBorders>
              <w:left w:val="single" w:sz="4" w:space="0" w:color="000000"/>
              <w:right w:val="single" w:sz="4" w:space="0" w:color="000000"/>
            </w:tcBorders>
            <w:shd w:val="clear" w:color="auto" w:fill="D2D2D2"/>
          </w:tcPr>
          <w:p>
            <w:pPr/>
          </w:p>
        </w:tc>
      </w:tr>
      <w:tr>
        <w:trPr>
          <w:trHeight w:val="156" w:hRule="exact"/>
        </w:trPr>
        <w:tc>
          <w:tcPr>
            <w:tcW w:w="708" w:type="dxa"/>
            <w:vMerge/>
            <w:tcBorders>
              <w:left w:val="single" w:sz="4" w:space="0" w:color="000000"/>
              <w:right w:val="single" w:sz="4" w:space="0" w:color="000000"/>
            </w:tcBorders>
            <w:shd w:val="clear" w:color="auto" w:fill="D2D2D2"/>
          </w:tcPr>
          <w:p>
            <w:pPr/>
          </w:p>
        </w:tc>
        <w:tc>
          <w:tcPr>
            <w:tcW w:w="1092" w:type="dxa"/>
            <w:vMerge/>
            <w:tcBorders>
              <w:left w:val="single" w:sz="4" w:space="0" w:color="000000"/>
              <w:right w:val="single" w:sz="4" w:space="0" w:color="000000"/>
            </w:tcBorders>
            <w:shd w:val="clear" w:color="auto" w:fill="D2D2D2"/>
          </w:tcPr>
          <w:p>
            <w:pPr/>
          </w:p>
        </w:tc>
        <w:tc>
          <w:tcPr>
            <w:tcW w:w="1582" w:type="dxa"/>
            <w:vMerge/>
            <w:tcBorders>
              <w:left w:val="single" w:sz="4" w:space="0" w:color="000000"/>
              <w:bottom w:val="nil" w:sz="6" w:space="0" w:color="auto"/>
              <w:right w:val="single" w:sz="4" w:space="0" w:color="000000"/>
            </w:tcBorders>
            <w:shd w:val="clear" w:color="auto" w:fill="D2D2D2"/>
          </w:tcPr>
          <w:p>
            <w:pPr/>
          </w:p>
        </w:tc>
        <w:tc>
          <w:tcPr>
            <w:tcW w:w="1174" w:type="dxa"/>
            <w:vMerge/>
            <w:tcBorders>
              <w:left w:val="single" w:sz="4" w:space="0" w:color="000000"/>
              <w:right w:val="single" w:sz="4" w:space="0" w:color="000000"/>
            </w:tcBorders>
            <w:shd w:val="clear" w:color="auto" w:fill="D2D2D2"/>
          </w:tcPr>
          <w:p>
            <w:pPr/>
          </w:p>
        </w:tc>
        <w:tc>
          <w:tcPr>
            <w:tcW w:w="1349" w:type="dxa"/>
            <w:vMerge w:val="restart"/>
            <w:tcBorders>
              <w:top w:val="nil" w:sz="6" w:space="0" w:color="auto"/>
              <w:left w:val="single" w:sz="4" w:space="0" w:color="000000"/>
              <w:right w:val="single" w:sz="4" w:space="0" w:color="000000"/>
            </w:tcBorders>
            <w:shd w:val="clear" w:color="auto" w:fill="D2D2D2"/>
          </w:tcPr>
          <w:p>
            <w:pPr/>
          </w:p>
        </w:tc>
        <w:tc>
          <w:tcPr>
            <w:tcW w:w="1211" w:type="dxa"/>
            <w:vMerge/>
            <w:tcBorders>
              <w:left w:val="single" w:sz="4" w:space="0" w:color="000000"/>
              <w:right w:val="single" w:sz="4" w:space="0" w:color="000000"/>
            </w:tcBorders>
            <w:shd w:val="clear" w:color="auto" w:fill="D2D2D2"/>
          </w:tcPr>
          <w:p>
            <w:pPr/>
          </w:p>
        </w:tc>
        <w:tc>
          <w:tcPr>
            <w:tcW w:w="1250" w:type="dxa"/>
            <w:vMerge/>
            <w:tcBorders>
              <w:left w:val="single" w:sz="4" w:space="0" w:color="000000"/>
              <w:right w:val="single" w:sz="4" w:space="0" w:color="000000"/>
            </w:tcBorders>
            <w:shd w:val="clear" w:color="auto" w:fill="D2D2D2"/>
          </w:tcPr>
          <w:p>
            <w:pPr/>
          </w:p>
        </w:tc>
        <w:tc>
          <w:tcPr>
            <w:tcW w:w="1291" w:type="dxa"/>
            <w:vMerge/>
            <w:tcBorders>
              <w:left w:val="single" w:sz="4" w:space="0" w:color="000000"/>
              <w:right w:val="single" w:sz="4" w:space="0" w:color="000000"/>
            </w:tcBorders>
            <w:shd w:val="clear" w:color="auto" w:fill="D2D2D2"/>
          </w:tcPr>
          <w:p>
            <w:pPr/>
          </w:p>
        </w:tc>
      </w:tr>
      <w:tr>
        <w:trPr>
          <w:trHeight w:val="312" w:hRule="exact"/>
        </w:trPr>
        <w:tc>
          <w:tcPr>
            <w:tcW w:w="708" w:type="dxa"/>
            <w:vMerge/>
            <w:tcBorders>
              <w:left w:val="single" w:sz="4" w:space="0" w:color="000000"/>
              <w:right w:val="single" w:sz="4" w:space="0" w:color="000000"/>
            </w:tcBorders>
            <w:shd w:val="clear" w:color="auto" w:fill="D2D2D2"/>
          </w:tcPr>
          <w:p>
            <w:pPr/>
          </w:p>
        </w:tc>
        <w:tc>
          <w:tcPr>
            <w:tcW w:w="1092" w:type="dxa"/>
            <w:vMerge/>
            <w:tcBorders>
              <w:left w:val="single" w:sz="4" w:space="0" w:color="000000"/>
              <w:right w:val="single" w:sz="4" w:space="0" w:color="000000"/>
            </w:tcBorders>
            <w:shd w:val="clear" w:color="auto" w:fill="D2D2D2"/>
          </w:tcPr>
          <w:p>
            <w:pPr/>
          </w:p>
        </w:tc>
        <w:tc>
          <w:tcPr>
            <w:tcW w:w="1582" w:type="dxa"/>
            <w:vMerge w:val="restart"/>
            <w:tcBorders>
              <w:top w:val="nil" w:sz="6" w:space="0" w:color="auto"/>
              <w:left w:val="single" w:sz="4" w:space="0" w:color="000000"/>
              <w:right w:val="single" w:sz="4" w:space="0" w:color="000000"/>
            </w:tcBorders>
            <w:shd w:val="clear" w:color="auto" w:fill="D2D2D2"/>
          </w:tcPr>
          <w:p>
            <w:pPr/>
          </w:p>
        </w:tc>
        <w:tc>
          <w:tcPr>
            <w:tcW w:w="1174" w:type="dxa"/>
            <w:vMerge/>
            <w:tcBorders>
              <w:left w:val="single" w:sz="4" w:space="0" w:color="000000"/>
              <w:bottom w:val="nil" w:sz="6" w:space="0" w:color="auto"/>
              <w:right w:val="single" w:sz="4" w:space="0" w:color="000000"/>
            </w:tcBorders>
            <w:shd w:val="clear" w:color="auto" w:fill="D2D2D2"/>
          </w:tcPr>
          <w:p>
            <w:pPr/>
          </w:p>
        </w:tc>
        <w:tc>
          <w:tcPr>
            <w:tcW w:w="1349" w:type="dxa"/>
            <w:vMerge/>
            <w:tcBorders>
              <w:left w:val="single" w:sz="4" w:space="0" w:color="000000"/>
              <w:right w:val="single" w:sz="4" w:space="0" w:color="000000"/>
            </w:tcBorders>
            <w:shd w:val="clear" w:color="auto" w:fill="D2D2D2"/>
          </w:tcPr>
          <w:p>
            <w:pPr/>
          </w:p>
        </w:tc>
        <w:tc>
          <w:tcPr>
            <w:tcW w:w="1211" w:type="dxa"/>
            <w:vMerge/>
            <w:tcBorders>
              <w:left w:val="single" w:sz="4" w:space="0" w:color="000000"/>
              <w:bottom w:val="nil" w:sz="6" w:space="0" w:color="auto"/>
              <w:right w:val="single" w:sz="4" w:space="0" w:color="000000"/>
            </w:tcBorders>
            <w:shd w:val="clear" w:color="auto" w:fill="D2D2D2"/>
          </w:tcPr>
          <w:p>
            <w:pPr/>
          </w:p>
        </w:tc>
        <w:tc>
          <w:tcPr>
            <w:tcW w:w="1250" w:type="dxa"/>
            <w:vMerge/>
            <w:tcBorders>
              <w:left w:val="single" w:sz="4" w:space="0" w:color="000000"/>
              <w:right w:val="single" w:sz="4" w:space="0" w:color="000000"/>
            </w:tcBorders>
            <w:shd w:val="clear" w:color="auto" w:fill="D2D2D2"/>
          </w:tcPr>
          <w:p>
            <w:pPr/>
          </w:p>
        </w:tc>
        <w:tc>
          <w:tcPr>
            <w:tcW w:w="1291" w:type="dxa"/>
            <w:vMerge/>
            <w:tcBorders>
              <w:left w:val="single" w:sz="4" w:space="0" w:color="000000"/>
              <w:right w:val="single" w:sz="4" w:space="0" w:color="000000"/>
            </w:tcBorders>
            <w:shd w:val="clear" w:color="auto" w:fill="D2D2D2"/>
          </w:tcPr>
          <w:p>
            <w:pPr/>
          </w:p>
        </w:tc>
      </w:tr>
      <w:tr>
        <w:trPr>
          <w:trHeight w:val="161" w:hRule="exact"/>
        </w:trPr>
        <w:tc>
          <w:tcPr>
            <w:tcW w:w="708" w:type="dxa"/>
            <w:vMerge/>
            <w:tcBorders>
              <w:left w:val="single" w:sz="4" w:space="0" w:color="000000"/>
              <w:bottom w:val="single" w:sz="4" w:space="0" w:color="000000"/>
              <w:right w:val="single" w:sz="4" w:space="0" w:color="000000"/>
            </w:tcBorders>
            <w:shd w:val="clear" w:color="auto" w:fill="D2D2D2"/>
          </w:tcPr>
          <w:p>
            <w:pPr/>
          </w:p>
        </w:tc>
        <w:tc>
          <w:tcPr>
            <w:tcW w:w="1092" w:type="dxa"/>
            <w:vMerge/>
            <w:tcBorders>
              <w:left w:val="single" w:sz="4" w:space="0" w:color="000000"/>
              <w:bottom w:val="single" w:sz="4" w:space="0" w:color="000000"/>
              <w:right w:val="single" w:sz="4" w:space="0" w:color="000000"/>
            </w:tcBorders>
            <w:shd w:val="clear" w:color="auto" w:fill="D2D2D2"/>
          </w:tcPr>
          <w:p>
            <w:pPr/>
          </w:p>
        </w:tc>
        <w:tc>
          <w:tcPr>
            <w:tcW w:w="1582" w:type="dxa"/>
            <w:vMerge/>
            <w:tcBorders>
              <w:left w:val="single" w:sz="4" w:space="0" w:color="000000"/>
              <w:bottom w:val="single" w:sz="4" w:space="0" w:color="000000"/>
              <w:right w:val="single" w:sz="4" w:space="0" w:color="000000"/>
            </w:tcBorders>
            <w:shd w:val="clear" w:color="auto" w:fill="D2D2D2"/>
          </w:tcPr>
          <w:p>
            <w:pPr/>
          </w:p>
        </w:tc>
        <w:tc>
          <w:tcPr>
            <w:tcW w:w="1174" w:type="dxa"/>
            <w:tcBorders>
              <w:top w:val="nil" w:sz="6" w:space="0" w:color="auto"/>
              <w:left w:val="single" w:sz="4" w:space="0" w:color="000000"/>
              <w:bottom w:val="single" w:sz="4" w:space="0" w:color="000000"/>
              <w:right w:val="single" w:sz="4" w:space="0" w:color="000000"/>
            </w:tcBorders>
            <w:shd w:val="clear" w:color="auto" w:fill="D2D2D2"/>
          </w:tcPr>
          <w:p>
            <w:pPr/>
          </w:p>
        </w:tc>
        <w:tc>
          <w:tcPr>
            <w:tcW w:w="1349" w:type="dxa"/>
            <w:vMerge/>
            <w:tcBorders>
              <w:left w:val="single" w:sz="4" w:space="0" w:color="000000"/>
              <w:bottom w:val="single" w:sz="4" w:space="0" w:color="000000"/>
              <w:right w:val="single" w:sz="4" w:space="0" w:color="000000"/>
            </w:tcBorders>
            <w:shd w:val="clear" w:color="auto" w:fill="D2D2D2"/>
          </w:tcPr>
          <w:p>
            <w:pPr/>
          </w:p>
        </w:tc>
        <w:tc>
          <w:tcPr>
            <w:tcW w:w="1211" w:type="dxa"/>
            <w:tcBorders>
              <w:top w:val="nil" w:sz="6" w:space="0" w:color="auto"/>
              <w:left w:val="single" w:sz="4" w:space="0" w:color="000000"/>
              <w:bottom w:val="single" w:sz="4" w:space="0" w:color="000000"/>
              <w:right w:val="single" w:sz="4" w:space="0" w:color="000000"/>
            </w:tcBorders>
            <w:shd w:val="clear" w:color="auto" w:fill="D2D2D2"/>
          </w:tcPr>
          <w:p>
            <w:pPr/>
          </w:p>
        </w:tc>
        <w:tc>
          <w:tcPr>
            <w:tcW w:w="1250" w:type="dxa"/>
            <w:vMerge/>
            <w:tcBorders>
              <w:left w:val="single" w:sz="4" w:space="0" w:color="000000"/>
              <w:bottom w:val="single" w:sz="4" w:space="0" w:color="000000"/>
              <w:right w:val="single" w:sz="4" w:space="0" w:color="000000"/>
            </w:tcBorders>
            <w:shd w:val="clear" w:color="auto" w:fill="D2D2D2"/>
          </w:tcPr>
          <w:p>
            <w:pPr/>
          </w:p>
        </w:tc>
        <w:tc>
          <w:tcPr>
            <w:tcW w:w="1291"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6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09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58,051,176.87</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-342,885,845.54</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6"/>
              <w:jc w:val="right"/>
              <w:rPr>
                <w:rFonts w:ascii="Times New Roman" w:hAnsi="Times New Roman" w:cs="Times New Roman" w:eastAsia="Times New Roman" w:hint="default"/>
                <w:sz w:val="18"/>
                <w:szCs w:val="18"/>
              </w:rPr>
            </w:pPr>
            <w:r>
              <w:rPr>
                <w:rFonts w:ascii="Times New Roman"/>
                <w:sz w:val="18"/>
              </w:rPr>
              <w:t>-16.93%</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0.00%</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32"/>
              <w:jc w:val="right"/>
              <w:rPr>
                <w:rFonts w:ascii="Times New Roman" w:hAnsi="Times New Roman" w:cs="Times New Roman" w:eastAsia="Times New Roman" w:hint="default"/>
                <w:sz w:val="18"/>
                <w:szCs w:val="18"/>
              </w:rPr>
            </w:pPr>
            <w:r>
              <w:rPr>
                <w:rFonts w:ascii="Times New Roman"/>
                <w:spacing w:val="-1"/>
                <w:sz w:val="18"/>
              </w:rPr>
              <w:t>58,051,176.87</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6"/>
              <w:jc w:val="right"/>
              <w:rPr>
                <w:rFonts w:ascii="Times New Roman" w:hAnsi="Times New Roman" w:cs="Times New Roman" w:eastAsia="Times New Roman" w:hint="default"/>
                <w:sz w:val="18"/>
                <w:szCs w:val="18"/>
              </w:rPr>
            </w:pPr>
            <w:r>
              <w:rPr>
                <w:rFonts w:ascii="Times New Roman"/>
                <w:sz w:val="18"/>
              </w:rPr>
              <w:t>-16.93%</w:t>
            </w:r>
          </w:p>
        </w:tc>
      </w:tr>
      <w:tr>
        <w:trPr>
          <w:trHeight w:val="403" w:hRule="exact"/>
        </w:trPr>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6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09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216,769,784.07</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0.00%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99,996,178.85</w:t>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5"/>
              <w:jc w:val="right"/>
              <w:rPr>
                <w:rFonts w:ascii="Times New Roman" w:hAnsi="Times New Roman" w:cs="Times New Roman" w:eastAsia="Times New Roman" w:hint="default"/>
                <w:sz w:val="18"/>
                <w:szCs w:val="18"/>
              </w:rPr>
            </w:pPr>
            <w:r>
              <w:rPr>
                <w:rFonts w:ascii="Times New Roman"/>
                <w:sz w:val="18"/>
              </w:rPr>
              <w:t>46.13%</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32"/>
              <w:jc w:val="right"/>
              <w:rPr>
                <w:rFonts w:ascii="Times New Roman" w:hAnsi="Times New Roman" w:cs="Times New Roman" w:eastAsia="Times New Roman" w:hint="default"/>
                <w:sz w:val="18"/>
                <w:szCs w:val="18"/>
              </w:rPr>
            </w:pPr>
            <w:r>
              <w:rPr>
                <w:rFonts w:ascii="Times New Roman"/>
                <w:spacing w:val="-1"/>
                <w:sz w:val="18"/>
              </w:rPr>
              <w:t>99,996,178.85</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6"/>
              <w:jc w:val="right"/>
              <w:rPr>
                <w:rFonts w:ascii="Times New Roman" w:hAnsi="Times New Roman" w:cs="Times New Roman" w:eastAsia="Times New Roman" w:hint="default"/>
                <w:sz w:val="18"/>
                <w:szCs w:val="18"/>
              </w:rPr>
            </w:pPr>
            <w:r>
              <w:rPr>
                <w:rFonts w:ascii="Times New Roman"/>
                <w:sz w:val="18"/>
              </w:rPr>
              <w:t>46.13%</w:t>
            </w:r>
          </w:p>
        </w:tc>
      </w:tr>
      <w:tr>
        <w:trPr>
          <w:trHeight w:val="401" w:hRule="exact"/>
        </w:trPr>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6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09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57,064,776.87</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311,825,825.86</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6"/>
              <w:jc w:val="right"/>
              <w:rPr>
                <w:rFonts w:ascii="Times New Roman" w:hAnsi="Times New Roman" w:cs="Times New Roman" w:eastAsia="Times New Roman" w:hint="default"/>
                <w:sz w:val="18"/>
                <w:szCs w:val="18"/>
              </w:rPr>
            </w:pPr>
            <w:r>
              <w:rPr>
                <w:rFonts w:ascii="Times New Roman"/>
                <w:sz w:val="18"/>
              </w:rPr>
              <w:t>18.30%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0.00%</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32"/>
              <w:jc w:val="right"/>
              <w:rPr>
                <w:rFonts w:ascii="Times New Roman" w:hAnsi="Times New Roman" w:cs="Times New Roman" w:eastAsia="Times New Roman" w:hint="default"/>
                <w:sz w:val="18"/>
                <w:szCs w:val="18"/>
              </w:rPr>
            </w:pPr>
            <w:r>
              <w:rPr>
                <w:rFonts w:ascii="Times New Roman"/>
                <w:spacing w:val="-1"/>
                <w:sz w:val="18"/>
              </w:rPr>
              <w:t>57,064,776.87</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6"/>
              <w:jc w:val="right"/>
              <w:rPr>
                <w:rFonts w:ascii="Times New Roman" w:hAnsi="Times New Roman" w:cs="Times New Roman" w:eastAsia="Times New Roman" w:hint="default"/>
                <w:sz w:val="18"/>
                <w:szCs w:val="18"/>
              </w:rPr>
            </w:pPr>
            <w:r>
              <w:rPr>
                <w:rFonts w:ascii="Times New Roman"/>
                <w:sz w:val="18"/>
              </w:rPr>
              <w:t>18.30%</w:t>
            </w:r>
          </w:p>
        </w:tc>
      </w:tr>
    </w:tbl>
    <w:p>
      <w:pPr>
        <w:pStyle w:val="BodyText"/>
        <w:spacing w:line="240" w:lineRule="auto" w:before="49"/>
        <w:ind w:right="1133"/>
        <w:jc w:val="left"/>
      </w:pPr>
      <w:r>
        <w:rPr/>
        <w:t>公司报告期内盈利且母公司可供普通股股东分配利润为正但未提出普通股现金红利分配预案</w:t>
      </w:r>
    </w:p>
    <w:p>
      <w:pPr>
        <w:pStyle w:val="BodyText"/>
        <w:spacing w:line="240" w:lineRule="auto" w:before="118"/>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24"/>
          <w:szCs w:val="24"/>
        </w:rPr>
      </w:pPr>
    </w:p>
    <w:p>
      <w:pPr>
        <w:pStyle w:val="Heading2"/>
        <w:spacing w:line="240" w:lineRule="auto"/>
        <w:ind w:right="1133"/>
        <w:jc w:val="left"/>
        <w:rPr>
          <w:b w:val="0"/>
          <w:bCs w:val="0"/>
        </w:rPr>
      </w:pPr>
      <w:bookmarkStart w:name="二、本报告期利润分配及资本公积金转增股本情况" w:id="62"/>
      <w:bookmarkEnd w:id="62"/>
      <w:r>
        <w:rPr>
          <w:b w:val="0"/>
          <w:bCs w:val="0"/>
        </w:rPr>
      </w:r>
      <w:r>
        <w:rPr/>
        <w:t>二、本报告期利润分配及资本公积金转增股本情况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tbl>
      <w:tblPr>
        <w:tblW w:w="0" w:type="auto"/>
        <w:jc w:val="left"/>
        <w:tblInd w:w="149" w:type="dxa"/>
        <w:tblLayout w:type="fixed"/>
        <w:tblCellMar>
          <w:top w:w="0" w:type="dxa"/>
          <w:left w:w="0" w:type="dxa"/>
          <w:bottom w:w="0" w:type="dxa"/>
          <w:right w:w="0" w:type="dxa"/>
        </w:tblCellMar>
        <w:tblLook w:val="01E0"/>
      </w:tblPr>
      <w:tblGrid>
        <w:gridCol w:w="3783"/>
        <w:gridCol w:w="5786"/>
      </w:tblGrid>
      <w:tr>
        <w:trPr>
          <w:trHeight w:val="403" w:hRule="exact"/>
        </w:trPr>
        <w:tc>
          <w:tcPr>
            <w:tcW w:w="3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股送红股数（股）</w:t>
            </w:r>
          </w:p>
        </w:tc>
        <w:tc>
          <w:tcPr>
            <w:tcW w:w="578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3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股派息数（元</w:t>
            </w:r>
            <w:r>
              <w:rPr>
                <w:rFonts w:ascii="宋体" w:hAnsi="宋体" w:cs="宋体" w:eastAsia="宋体" w:hint="default"/>
                <w:spacing w:val="-92"/>
                <w:sz w:val="18"/>
                <w:szCs w:val="18"/>
              </w:rPr>
              <w:t>）</w:t>
            </w:r>
            <w:r>
              <w:rPr>
                <w:rFonts w:ascii="宋体" w:hAnsi="宋体" w:cs="宋体" w:eastAsia="宋体" w:hint="default"/>
                <w:sz w:val="18"/>
                <w:szCs w:val="18"/>
              </w:rPr>
              <w:t>（含税）</w:t>
            </w:r>
          </w:p>
        </w:tc>
        <w:tc>
          <w:tcPr>
            <w:tcW w:w="578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0.3</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3773"/>
        <w:gridCol w:w="5786"/>
      </w:tblGrid>
      <w:tr>
        <w:trPr>
          <w:trHeight w:val="402" w:hRule="exact"/>
        </w:trPr>
        <w:tc>
          <w:tcPr>
            <w:tcW w:w="3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股转增数（股）</w:t>
            </w:r>
          </w:p>
        </w:tc>
        <w:tc>
          <w:tcPr>
            <w:tcW w:w="578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578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left="27" w:right="0"/>
              <w:jc w:val="left"/>
              <w:rPr>
                <w:rFonts w:ascii="Times New Roman" w:hAnsi="Times New Roman" w:cs="Times New Roman" w:eastAsia="Times New Roman" w:hint="default"/>
                <w:sz w:val="18"/>
                <w:szCs w:val="18"/>
              </w:rPr>
            </w:pPr>
            <w:r>
              <w:rPr>
                <w:rFonts w:ascii="Times New Roman"/>
                <w:sz w:val="18"/>
              </w:rPr>
              <w:t>1,935,039,229</w:t>
            </w:r>
          </w:p>
        </w:tc>
      </w:tr>
      <w:tr>
        <w:trPr>
          <w:trHeight w:val="402" w:hRule="exact"/>
        </w:trPr>
        <w:tc>
          <w:tcPr>
            <w:tcW w:w="3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现金分红金额（元</w:t>
            </w:r>
            <w:r>
              <w:rPr>
                <w:rFonts w:ascii="宋体" w:hAnsi="宋体" w:cs="宋体" w:eastAsia="宋体" w:hint="default"/>
                <w:spacing w:val="-92"/>
                <w:sz w:val="18"/>
                <w:szCs w:val="18"/>
              </w:rPr>
              <w:t>）</w:t>
            </w:r>
            <w:r>
              <w:rPr>
                <w:rFonts w:ascii="宋体" w:hAnsi="宋体" w:cs="宋体" w:eastAsia="宋体" w:hint="default"/>
                <w:sz w:val="18"/>
                <w:szCs w:val="18"/>
              </w:rPr>
              <w:t>（含税）</w:t>
            </w:r>
          </w:p>
        </w:tc>
        <w:tc>
          <w:tcPr>
            <w:tcW w:w="578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58,051,176.87</w:t>
            </w:r>
          </w:p>
        </w:tc>
      </w:tr>
      <w:tr>
        <w:trPr>
          <w:trHeight w:val="402" w:hRule="exact"/>
        </w:trPr>
        <w:tc>
          <w:tcPr>
            <w:tcW w:w="3773"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50"/>
              <w:ind w:left="12" w:right="-42"/>
              <w:jc w:val="left"/>
              <w:rPr>
                <w:rFonts w:ascii="宋体" w:hAnsi="宋体" w:cs="宋体" w:eastAsia="宋体" w:hint="default"/>
                <w:sz w:val="18"/>
                <w:szCs w:val="18"/>
              </w:rPr>
            </w:pPr>
            <w:r>
              <w:rPr>
                <w:rFonts w:ascii="宋体" w:hAnsi="宋体" w:cs="宋体" w:eastAsia="宋体" w:hint="default"/>
                <w:sz w:val="18"/>
                <w:szCs w:val="18"/>
              </w:rPr>
              <w:t>以其他方式（如回购股份）现金分红金额（元）</w:t>
            </w:r>
          </w:p>
        </w:tc>
        <w:tc>
          <w:tcPr>
            <w:tcW w:w="5786" w:type="dxa"/>
            <w:tcBorders>
              <w:top w:val="single" w:sz="4" w:space="0" w:color="000000"/>
              <w:left w:val="single" w:sz="22"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2" w:hRule="exact"/>
        </w:trPr>
        <w:tc>
          <w:tcPr>
            <w:tcW w:w="3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现金分红总额（含其他方式</w:t>
            </w:r>
            <w:r>
              <w:rPr>
                <w:rFonts w:ascii="宋体" w:hAnsi="宋体" w:cs="宋体" w:eastAsia="宋体" w:hint="default"/>
                <w:spacing w:val="-92"/>
                <w:sz w:val="18"/>
                <w:szCs w:val="18"/>
              </w:rPr>
              <w:t>）</w:t>
            </w:r>
            <w:r>
              <w:rPr>
                <w:rFonts w:ascii="宋体" w:hAnsi="宋体" w:cs="宋体" w:eastAsia="宋体" w:hint="default"/>
                <w:spacing w:val="2"/>
                <w:sz w:val="18"/>
                <w:szCs w:val="18"/>
              </w:rPr>
              <w:t>（</w:t>
            </w:r>
            <w:r>
              <w:rPr>
                <w:rFonts w:ascii="宋体" w:hAnsi="宋体" w:cs="宋体" w:eastAsia="宋体" w:hint="default"/>
                <w:sz w:val="18"/>
                <w:szCs w:val="18"/>
              </w:rPr>
              <w:t>元）</w:t>
            </w:r>
          </w:p>
        </w:tc>
        <w:tc>
          <w:tcPr>
            <w:tcW w:w="578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58,051,176.87</w:t>
            </w:r>
          </w:p>
        </w:tc>
      </w:tr>
      <w:tr>
        <w:trPr>
          <w:trHeight w:val="402" w:hRule="exact"/>
        </w:trPr>
        <w:tc>
          <w:tcPr>
            <w:tcW w:w="3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78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694,249,651.05</w:t>
            </w:r>
          </w:p>
        </w:tc>
      </w:tr>
      <w:tr>
        <w:trPr>
          <w:trHeight w:val="714" w:hRule="exact"/>
        </w:trPr>
        <w:tc>
          <w:tcPr>
            <w:tcW w:w="3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
              <w:jc w:val="left"/>
              <w:rPr>
                <w:rFonts w:ascii="宋体" w:hAnsi="宋体" w:cs="宋体" w:eastAsia="宋体" w:hint="default"/>
                <w:sz w:val="18"/>
                <w:szCs w:val="18"/>
              </w:rPr>
            </w:pPr>
            <w:r>
              <w:rPr>
                <w:rFonts w:ascii="宋体" w:hAnsi="宋体" w:cs="宋体" w:eastAsia="宋体" w:hint="default"/>
                <w:spacing w:val="-2"/>
                <w:sz w:val="18"/>
                <w:szCs w:val="18"/>
              </w:rPr>
              <w:t>现金分红总额（含其他方式）占利润分配总额的</w:t>
            </w:r>
            <w:r>
              <w:rPr>
                <w:rFonts w:ascii="宋体" w:hAnsi="宋体" w:cs="宋体" w:eastAsia="宋体" w:hint="default"/>
                <w:sz w:val="18"/>
                <w:szCs w:val="18"/>
              </w:rPr>
              <w:t> 比例</w:t>
            </w:r>
          </w:p>
        </w:tc>
        <w:tc>
          <w:tcPr>
            <w:tcW w:w="578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100%</w:t>
            </w:r>
          </w:p>
        </w:tc>
      </w:tr>
      <w:tr>
        <w:trPr>
          <w:trHeight w:val="402" w:hRule="exact"/>
        </w:trPr>
        <w:tc>
          <w:tcPr>
            <w:tcW w:w="955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12"/>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403" w:hRule="exact"/>
        </w:trPr>
        <w:tc>
          <w:tcPr>
            <w:tcW w:w="95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2"/>
                <w:sz w:val="18"/>
                <w:szCs w:val="18"/>
              </w:rPr>
              <w:t>公司发展阶段属成长期且有重大资金支出安排的，进行利润分配时，现金分红在本次利润分配中所占比例最低应达到</w:t>
            </w:r>
            <w:r>
              <w:rPr>
                <w:rFonts w:ascii="宋体" w:hAnsi="宋体" w:cs="宋体" w:eastAsia="宋体" w:hint="default"/>
                <w:spacing w:val="-11"/>
                <w:sz w:val="18"/>
                <w:szCs w:val="18"/>
              </w:rPr>
              <w:t> </w:t>
            </w:r>
            <w:r>
              <w:rPr>
                <w:rFonts w:ascii="Times New Roman" w:hAnsi="Times New Roman" w:cs="Times New Roman" w:eastAsia="Times New Roman" w:hint="default"/>
                <w:spacing w:val="-1"/>
                <w:sz w:val="18"/>
                <w:szCs w:val="18"/>
              </w:rPr>
              <w:t>20</w:t>
            </w:r>
            <w:r>
              <w:rPr>
                <w:rFonts w:ascii="宋体" w:hAnsi="宋体" w:cs="宋体" w:eastAsia="宋体" w:hint="default"/>
                <w:spacing w:val="-1"/>
                <w:sz w:val="18"/>
                <w:szCs w:val="18"/>
              </w:rPr>
              <w:t>％</w:t>
            </w:r>
          </w:p>
        </w:tc>
      </w:tr>
      <w:tr>
        <w:trPr>
          <w:trHeight w:val="402" w:hRule="exact"/>
        </w:trPr>
        <w:tc>
          <w:tcPr>
            <w:tcW w:w="955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78"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715" w:hRule="exact"/>
        </w:trPr>
        <w:tc>
          <w:tcPr>
            <w:tcW w:w="9559"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2" w:right="39"/>
              <w:jc w:val="left"/>
              <w:rPr>
                <w:rFonts w:ascii="宋体" w:hAnsi="宋体" w:cs="宋体" w:eastAsia="宋体" w:hint="default"/>
                <w:sz w:val="18"/>
                <w:szCs w:val="18"/>
              </w:rPr>
            </w:pPr>
            <w:r>
              <w:rPr>
                <w:rFonts w:ascii="宋体" w:hAnsi="宋体" w:cs="宋体" w:eastAsia="宋体" w:hint="default"/>
                <w:sz w:val="18"/>
                <w:szCs w:val="18"/>
              </w:rPr>
              <w:t>以未来实施分配方案时股权登记日的总股本为基数，向全体股东每</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pacing w:val="-2"/>
                <w:sz w:val="18"/>
                <w:szCs w:val="18"/>
              </w:rPr>
              <w:t>股派</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pacing w:val="-5"/>
                <w:sz w:val="18"/>
                <w:szCs w:val="18"/>
              </w:rPr>
              <w:t>元人民币现金（含税），本年度不转增，不</w:t>
            </w:r>
            <w:r>
              <w:rPr>
                <w:rFonts w:ascii="宋体" w:hAnsi="宋体" w:cs="宋体" w:eastAsia="宋体" w:hint="default"/>
                <w:sz w:val="18"/>
                <w:szCs w:val="18"/>
              </w:rPr>
              <w:t> 送红股，剩余未分配利润结转以后年度进行分配。</w:t>
            </w:r>
          </w:p>
        </w:tc>
      </w:tr>
    </w:tbl>
    <w:p>
      <w:pPr>
        <w:spacing w:line="240" w:lineRule="auto" w:before="1"/>
        <w:rPr>
          <w:rFonts w:ascii="宋体" w:hAnsi="宋体" w:cs="宋体" w:eastAsia="宋体" w:hint="default"/>
          <w:sz w:val="18"/>
          <w:szCs w:val="18"/>
        </w:rPr>
      </w:pPr>
    </w:p>
    <w:p>
      <w:pPr>
        <w:pStyle w:val="Heading2"/>
        <w:spacing w:line="240" w:lineRule="auto" w:before="26"/>
        <w:ind w:right="1133"/>
        <w:jc w:val="left"/>
        <w:rPr>
          <w:b w:val="0"/>
          <w:bCs w:val="0"/>
        </w:rPr>
      </w:pPr>
      <w:bookmarkStart w:name="三、承诺事项履行情况" w:id="63"/>
      <w:bookmarkEnd w:id="63"/>
      <w:r>
        <w:rPr>
          <w:b w:val="0"/>
          <w:bCs w:val="0"/>
        </w:rPr>
      </w:r>
      <w:r>
        <w:rPr/>
        <w:t>三、承诺事项履行情况</w:t>
      </w:r>
      <w:r>
        <w:rPr>
          <w:b w:val="0"/>
          <w:bCs w:val="0"/>
        </w:rPr>
      </w:r>
    </w:p>
    <w:p>
      <w:pPr>
        <w:spacing w:line="240" w:lineRule="auto" w:before="9"/>
        <w:rPr>
          <w:rFonts w:ascii="宋体" w:hAnsi="宋体" w:cs="宋体" w:eastAsia="宋体" w:hint="default"/>
          <w:b/>
          <w:bCs/>
          <w:sz w:val="24"/>
          <w:szCs w:val="24"/>
        </w:rPr>
      </w:pPr>
    </w:p>
    <w:p>
      <w:pPr>
        <w:pStyle w:val="Heading4"/>
        <w:spacing w:line="259" w:lineRule="auto"/>
        <w:ind w:right="1133"/>
        <w:jc w:val="left"/>
        <w:rPr>
          <w:b w:val="0"/>
          <w:bCs w:val="0"/>
        </w:rPr>
      </w:pPr>
      <w:bookmarkStart w:name="1、公司实际控制人、股东、关联方、收购人以及公司等承诺相关方在报告期内履行完毕及" w:id="64"/>
      <w:bookmarkEnd w:id="64"/>
      <w:r>
        <w:rPr>
          <w:b w:val="0"/>
          <w:bCs w:val="0"/>
        </w:rPr>
      </w:r>
      <w:r>
        <w:rPr>
          <w:rFonts w:ascii="Times New Roman" w:hAnsi="Times New Roman" w:cs="Times New Roman" w:eastAsia="Times New Roman" w:hint="default"/>
        </w:rPr>
        <w:t>1</w:t>
      </w:r>
      <w:r>
        <w:rPr/>
        <w:t>、公司实际控制人、股东、关联方、收购人以及公司等承诺相关方在报告期内履行完毕及截至报告期末</w:t>
      </w:r>
      <w:r>
        <w:rPr>
          <w:spacing w:val="-65"/>
        </w:rPr>
        <w:t> </w:t>
      </w:r>
      <w:r>
        <w:rPr>
          <w:spacing w:val="-65"/>
        </w:rPr>
      </w:r>
      <w:r>
        <w:rPr/>
        <w:t>尚未履行完毕的承诺事项</w:t>
      </w:r>
      <w:r>
        <w:rPr>
          <w:b w:val="0"/>
          <w:bCs w:val="0"/>
        </w:rPr>
      </w:r>
    </w:p>
    <w:p>
      <w:pPr>
        <w:spacing w:line="240" w:lineRule="auto" w:before="1"/>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840"/>
        <w:gridCol w:w="830"/>
        <w:gridCol w:w="926"/>
        <w:gridCol w:w="4904"/>
        <w:gridCol w:w="915"/>
        <w:gridCol w:w="646"/>
        <w:gridCol w:w="595"/>
      </w:tblGrid>
      <w:tr>
        <w:trPr>
          <w:trHeight w:val="161" w:hRule="exact"/>
        </w:trPr>
        <w:tc>
          <w:tcPr>
            <w:tcW w:w="840" w:type="dxa"/>
            <w:tcBorders>
              <w:top w:val="single" w:sz="4" w:space="0" w:color="000000"/>
              <w:left w:val="single" w:sz="4" w:space="0" w:color="000000"/>
              <w:bottom w:val="nil" w:sz="6" w:space="0" w:color="auto"/>
              <w:right w:val="single" w:sz="4" w:space="0" w:color="000000"/>
            </w:tcBorders>
            <w:shd w:val="clear" w:color="auto" w:fill="D2D2D2"/>
          </w:tcPr>
          <w:p>
            <w:pPr/>
          </w:p>
        </w:tc>
        <w:tc>
          <w:tcPr>
            <w:tcW w:w="830" w:type="dxa"/>
            <w:tcBorders>
              <w:top w:val="single" w:sz="4" w:space="0" w:color="000000"/>
              <w:left w:val="single" w:sz="4" w:space="0" w:color="000000"/>
              <w:bottom w:val="nil" w:sz="6" w:space="0" w:color="auto"/>
              <w:right w:val="single" w:sz="4" w:space="0" w:color="000000"/>
            </w:tcBorders>
            <w:shd w:val="clear" w:color="auto" w:fill="D2D2D2"/>
          </w:tcPr>
          <w:p>
            <w:pPr/>
          </w:p>
        </w:tc>
        <w:tc>
          <w:tcPr>
            <w:tcW w:w="926" w:type="dxa"/>
            <w:tcBorders>
              <w:top w:val="single" w:sz="4" w:space="0" w:color="000000"/>
              <w:left w:val="single" w:sz="4" w:space="0" w:color="000000"/>
              <w:bottom w:val="nil" w:sz="6" w:space="0" w:color="auto"/>
              <w:right w:val="single" w:sz="4" w:space="0" w:color="000000"/>
            </w:tcBorders>
            <w:shd w:val="clear" w:color="auto" w:fill="D2D2D2"/>
          </w:tcPr>
          <w:p>
            <w:pPr/>
          </w:p>
        </w:tc>
        <w:tc>
          <w:tcPr>
            <w:tcW w:w="4904" w:type="dxa"/>
            <w:tcBorders>
              <w:top w:val="single" w:sz="4" w:space="0" w:color="000000"/>
              <w:left w:val="single" w:sz="4" w:space="0" w:color="000000"/>
              <w:bottom w:val="nil" w:sz="6" w:space="0" w:color="auto"/>
              <w:right w:val="single" w:sz="4" w:space="0" w:color="000000"/>
            </w:tcBorders>
            <w:shd w:val="clear" w:color="auto" w:fill="D2D2D2"/>
          </w:tcPr>
          <w:p>
            <w:pPr/>
          </w:p>
        </w:tc>
        <w:tc>
          <w:tcPr>
            <w:tcW w:w="915" w:type="dxa"/>
            <w:tcBorders>
              <w:top w:val="single" w:sz="4" w:space="0" w:color="000000"/>
              <w:left w:val="single" w:sz="4" w:space="0" w:color="000000"/>
              <w:bottom w:val="nil" w:sz="6" w:space="0" w:color="auto"/>
              <w:right w:val="single" w:sz="4" w:space="0" w:color="000000"/>
            </w:tcBorders>
            <w:shd w:val="clear" w:color="auto" w:fill="D2D2D2"/>
          </w:tcPr>
          <w:p>
            <w:pPr/>
          </w:p>
        </w:tc>
        <w:tc>
          <w:tcPr>
            <w:tcW w:w="64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228" w:right="47" w:hanging="180"/>
              <w:jc w:val="left"/>
              <w:rPr>
                <w:rFonts w:ascii="宋体" w:hAnsi="宋体" w:cs="宋体" w:eastAsia="宋体" w:hint="default"/>
                <w:sz w:val="18"/>
                <w:szCs w:val="18"/>
              </w:rPr>
            </w:pPr>
            <w:r>
              <w:rPr>
                <w:rFonts w:ascii="宋体" w:hAnsi="宋体" w:cs="宋体" w:eastAsia="宋体" w:hint="default"/>
                <w:sz w:val="18"/>
                <w:szCs w:val="18"/>
              </w:rPr>
              <w:t>承诺期 限</w:t>
            </w:r>
          </w:p>
        </w:tc>
        <w:tc>
          <w:tcPr>
            <w:tcW w:w="59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112" w:right="110"/>
              <w:jc w:val="left"/>
              <w:rPr>
                <w:rFonts w:ascii="宋体" w:hAnsi="宋体" w:cs="宋体" w:eastAsia="宋体" w:hint="default"/>
                <w:sz w:val="18"/>
                <w:szCs w:val="18"/>
              </w:rPr>
            </w:pPr>
            <w:r>
              <w:rPr>
                <w:rFonts w:ascii="宋体" w:hAnsi="宋体" w:cs="宋体" w:eastAsia="宋体" w:hint="default"/>
                <w:sz w:val="18"/>
                <w:szCs w:val="18"/>
              </w:rPr>
              <w:t>履行 情况</w:t>
            </w:r>
          </w:p>
        </w:tc>
      </w:tr>
      <w:tr>
        <w:trPr>
          <w:trHeight w:val="392" w:hRule="exact"/>
        </w:trPr>
        <w:tc>
          <w:tcPr>
            <w:tcW w:w="84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12"/>
              <w:jc w:val="center"/>
              <w:rPr>
                <w:rFonts w:ascii="宋体" w:hAnsi="宋体" w:cs="宋体" w:eastAsia="宋体" w:hint="default"/>
                <w:sz w:val="18"/>
                <w:szCs w:val="18"/>
              </w:rPr>
            </w:pPr>
            <w:r>
              <w:rPr>
                <w:rFonts w:ascii="宋体" w:hAnsi="宋体" w:cs="宋体" w:eastAsia="宋体" w:hint="default"/>
                <w:sz w:val="18"/>
                <w:szCs w:val="18"/>
              </w:rPr>
              <w:t>承诺事由</w:t>
            </w:r>
          </w:p>
        </w:tc>
        <w:tc>
          <w:tcPr>
            <w:tcW w:w="83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41"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92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98"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490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9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93"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646" w:type="dxa"/>
            <w:vMerge/>
            <w:tcBorders>
              <w:left w:val="single" w:sz="4" w:space="0" w:color="000000"/>
              <w:right w:val="single" w:sz="4" w:space="0" w:color="000000"/>
            </w:tcBorders>
            <w:shd w:val="clear" w:color="auto" w:fill="D2D2D2"/>
          </w:tcPr>
          <w:p>
            <w:pPr/>
          </w:p>
        </w:tc>
        <w:tc>
          <w:tcPr>
            <w:tcW w:w="595" w:type="dxa"/>
            <w:vMerge/>
            <w:tcBorders>
              <w:left w:val="single" w:sz="4" w:space="0" w:color="000000"/>
              <w:right w:val="single" w:sz="4" w:space="0" w:color="000000"/>
            </w:tcBorders>
            <w:shd w:val="clear" w:color="auto" w:fill="D2D2D2"/>
          </w:tcPr>
          <w:p>
            <w:pPr/>
          </w:p>
        </w:tc>
      </w:tr>
      <w:tr>
        <w:trPr>
          <w:trHeight w:val="161" w:hRule="exact"/>
        </w:trPr>
        <w:tc>
          <w:tcPr>
            <w:tcW w:w="840" w:type="dxa"/>
            <w:tcBorders>
              <w:top w:val="nil" w:sz="6" w:space="0" w:color="auto"/>
              <w:left w:val="single" w:sz="4" w:space="0" w:color="000000"/>
              <w:bottom w:val="single" w:sz="4" w:space="0" w:color="000000"/>
              <w:right w:val="single" w:sz="4" w:space="0" w:color="000000"/>
            </w:tcBorders>
            <w:shd w:val="clear" w:color="auto" w:fill="D2D2D2"/>
          </w:tcPr>
          <w:p>
            <w:pPr/>
          </w:p>
        </w:tc>
        <w:tc>
          <w:tcPr>
            <w:tcW w:w="830" w:type="dxa"/>
            <w:tcBorders>
              <w:top w:val="nil" w:sz="6" w:space="0" w:color="auto"/>
              <w:left w:val="single" w:sz="4" w:space="0" w:color="000000"/>
              <w:bottom w:val="single" w:sz="4" w:space="0" w:color="000000"/>
              <w:right w:val="single" w:sz="4" w:space="0" w:color="000000"/>
            </w:tcBorders>
            <w:shd w:val="clear" w:color="auto" w:fill="D2D2D2"/>
          </w:tcPr>
          <w:p>
            <w:pPr/>
          </w:p>
        </w:tc>
        <w:tc>
          <w:tcPr>
            <w:tcW w:w="926" w:type="dxa"/>
            <w:tcBorders>
              <w:top w:val="nil" w:sz="6" w:space="0" w:color="auto"/>
              <w:left w:val="single" w:sz="4" w:space="0" w:color="000000"/>
              <w:bottom w:val="single" w:sz="4" w:space="0" w:color="000000"/>
              <w:right w:val="single" w:sz="4" w:space="0" w:color="000000"/>
            </w:tcBorders>
            <w:shd w:val="clear" w:color="auto" w:fill="D2D2D2"/>
          </w:tcPr>
          <w:p>
            <w:pPr/>
          </w:p>
        </w:tc>
        <w:tc>
          <w:tcPr>
            <w:tcW w:w="4904" w:type="dxa"/>
            <w:tcBorders>
              <w:top w:val="nil" w:sz="6" w:space="0" w:color="auto"/>
              <w:left w:val="single" w:sz="4" w:space="0" w:color="000000"/>
              <w:bottom w:val="single" w:sz="4" w:space="0" w:color="000000"/>
              <w:right w:val="single" w:sz="4" w:space="0" w:color="000000"/>
            </w:tcBorders>
            <w:shd w:val="clear" w:color="auto" w:fill="D2D2D2"/>
          </w:tcPr>
          <w:p>
            <w:pPr/>
          </w:p>
        </w:tc>
        <w:tc>
          <w:tcPr>
            <w:tcW w:w="915" w:type="dxa"/>
            <w:tcBorders>
              <w:top w:val="nil" w:sz="6" w:space="0" w:color="auto"/>
              <w:left w:val="single" w:sz="4" w:space="0" w:color="000000"/>
              <w:bottom w:val="single" w:sz="4" w:space="0" w:color="000000"/>
              <w:right w:val="single" w:sz="4" w:space="0" w:color="000000"/>
            </w:tcBorders>
            <w:shd w:val="clear" w:color="auto" w:fill="D2D2D2"/>
          </w:tcPr>
          <w:p>
            <w:pPr/>
          </w:p>
        </w:tc>
        <w:tc>
          <w:tcPr>
            <w:tcW w:w="646" w:type="dxa"/>
            <w:vMerge/>
            <w:tcBorders>
              <w:left w:val="single" w:sz="4" w:space="0" w:color="000000"/>
              <w:bottom w:val="single" w:sz="4" w:space="0" w:color="000000"/>
              <w:right w:val="single" w:sz="4" w:space="0" w:color="000000"/>
            </w:tcBorders>
            <w:shd w:val="clear" w:color="auto" w:fill="D2D2D2"/>
          </w:tcPr>
          <w:p>
            <w:pPr/>
          </w:p>
        </w:tc>
        <w:tc>
          <w:tcPr>
            <w:tcW w:w="595"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8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84"/>
              <w:jc w:val="center"/>
              <w:rPr>
                <w:rFonts w:ascii="宋体" w:hAnsi="宋体" w:cs="宋体" w:eastAsia="宋体" w:hint="default"/>
                <w:sz w:val="18"/>
                <w:szCs w:val="18"/>
              </w:rPr>
            </w:pPr>
            <w:r>
              <w:rPr>
                <w:rFonts w:ascii="宋体" w:hAnsi="宋体" w:cs="宋体" w:eastAsia="宋体" w:hint="default"/>
                <w:sz w:val="18"/>
                <w:szCs w:val="18"/>
              </w:rPr>
              <w:t>股改承诺</w:t>
            </w:r>
          </w:p>
        </w:tc>
        <w:tc>
          <w:tcPr>
            <w:tcW w:w="830" w:type="dxa"/>
            <w:tcBorders>
              <w:top w:val="single" w:sz="4" w:space="0" w:color="000000"/>
              <w:left w:val="single" w:sz="13" w:space="0" w:color="D2D2D2"/>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c>
          <w:tcPr>
            <w:tcW w:w="4904" w:type="dxa"/>
            <w:tcBorders>
              <w:top w:val="single" w:sz="4" w:space="0" w:color="000000"/>
              <w:left w:val="single" w:sz="4" w:space="0" w:color="000000"/>
              <w:bottom w:val="single" w:sz="4" w:space="0" w:color="000000"/>
              <w:right w:val="single" w:sz="4" w:space="0" w:color="000000"/>
            </w:tcBorders>
          </w:tcPr>
          <w:p>
            <w:pPr/>
          </w:p>
        </w:tc>
        <w:tc>
          <w:tcPr>
            <w:tcW w:w="915" w:type="dxa"/>
            <w:tcBorders>
              <w:top w:val="single" w:sz="4" w:space="0" w:color="000000"/>
              <w:left w:val="single" w:sz="4" w:space="0" w:color="000000"/>
              <w:bottom w:val="single" w:sz="4" w:space="0" w:color="000000"/>
              <w:right w:val="single" w:sz="4" w:space="0" w:color="000000"/>
            </w:tcBorders>
          </w:tcPr>
          <w:p>
            <w:pPr/>
          </w:p>
        </w:tc>
        <w:tc>
          <w:tcPr>
            <w:tcW w:w="646" w:type="dxa"/>
            <w:tcBorders>
              <w:top w:val="single" w:sz="4" w:space="0" w:color="000000"/>
              <w:left w:val="single" w:sz="4" w:space="0" w:color="000000"/>
              <w:bottom w:val="single" w:sz="4" w:space="0" w:color="000000"/>
              <w:right w:val="single" w:sz="4" w:space="0" w:color="000000"/>
            </w:tcBorders>
          </w:tcPr>
          <w:p>
            <w:pPr/>
          </w:p>
        </w:tc>
        <w:tc>
          <w:tcPr>
            <w:tcW w:w="595" w:type="dxa"/>
            <w:tcBorders>
              <w:top w:val="single" w:sz="4" w:space="0" w:color="000000"/>
              <w:left w:val="single" w:sz="4" w:space="0" w:color="000000"/>
              <w:bottom w:val="single" w:sz="4" w:space="0" w:color="000000"/>
              <w:right w:val="single" w:sz="4" w:space="0" w:color="000000"/>
            </w:tcBorders>
          </w:tcPr>
          <w:p>
            <w:pPr/>
          </w:p>
        </w:tc>
      </w:tr>
      <w:tr>
        <w:trPr>
          <w:trHeight w:val="1649" w:hRule="exact"/>
        </w:trPr>
        <w:tc>
          <w:tcPr>
            <w:tcW w:w="8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6"/>
              <w:jc w:val="both"/>
              <w:rPr>
                <w:rFonts w:ascii="宋体" w:hAnsi="宋体" w:cs="宋体" w:eastAsia="宋体" w:hint="default"/>
                <w:sz w:val="18"/>
                <w:szCs w:val="18"/>
              </w:rPr>
            </w:pPr>
            <w:r>
              <w:rPr>
                <w:rFonts w:ascii="宋体" w:hAnsi="宋体" w:cs="宋体" w:eastAsia="宋体" w:hint="default"/>
                <w:sz w:val="18"/>
                <w:szCs w:val="18"/>
              </w:rPr>
              <w:t>收购报告 书或权益 变动报告 书中所作 承诺</w:t>
            </w:r>
          </w:p>
        </w:tc>
        <w:tc>
          <w:tcPr>
            <w:tcW w:w="830" w:type="dxa"/>
            <w:tcBorders>
              <w:top w:val="single" w:sz="4" w:space="0" w:color="000000"/>
              <w:left w:val="single" w:sz="13" w:space="0" w:color="D2D2D2"/>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c>
          <w:tcPr>
            <w:tcW w:w="4904" w:type="dxa"/>
            <w:tcBorders>
              <w:top w:val="single" w:sz="4" w:space="0" w:color="000000"/>
              <w:left w:val="single" w:sz="4" w:space="0" w:color="000000"/>
              <w:bottom w:val="single" w:sz="4" w:space="0" w:color="000000"/>
              <w:right w:val="single" w:sz="4" w:space="0" w:color="000000"/>
            </w:tcBorders>
          </w:tcPr>
          <w:p>
            <w:pPr/>
          </w:p>
        </w:tc>
        <w:tc>
          <w:tcPr>
            <w:tcW w:w="915" w:type="dxa"/>
            <w:tcBorders>
              <w:top w:val="single" w:sz="4" w:space="0" w:color="000000"/>
              <w:left w:val="single" w:sz="4" w:space="0" w:color="000000"/>
              <w:bottom w:val="single" w:sz="4" w:space="0" w:color="000000"/>
              <w:right w:val="single" w:sz="4" w:space="0" w:color="000000"/>
            </w:tcBorders>
          </w:tcPr>
          <w:p>
            <w:pPr/>
          </w:p>
        </w:tc>
        <w:tc>
          <w:tcPr>
            <w:tcW w:w="646" w:type="dxa"/>
            <w:tcBorders>
              <w:top w:val="single" w:sz="4" w:space="0" w:color="000000"/>
              <w:left w:val="single" w:sz="4" w:space="0" w:color="000000"/>
              <w:bottom w:val="single" w:sz="4" w:space="0" w:color="000000"/>
              <w:right w:val="single" w:sz="4" w:space="0" w:color="000000"/>
            </w:tcBorders>
          </w:tcPr>
          <w:p>
            <w:pPr/>
          </w:p>
        </w:tc>
        <w:tc>
          <w:tcPr>
            <w:tcW w:w="595" w:type="dxa"/>
            <w:tcBorders>
              <w:top w:val="single" w:sz="4" w:space="0" w:color="000000"/>
              <w:left w:val="single" w:sz="4" w:space="0" w:color="000000"/>
              <w:bottom w:val="single" w:sz="4" w:space="0" w:color="000000"/>
              <w:right w:val="single" w:sz="4" w:space="0" w:color="000000"/>
            </w:tcBorders>
          </w:tcPr>
          <w:p>
            <w:pPr/>
          </w:p>
        </w:tc>
      </w:tr>
      <w:tr>
        <w:trPr>
          <w:trHeight w:val="1390" w:hRule="exact"/>
        </w:trPr>
        <w:tc>
          <w:tcPr>
            <w:tcW w:w="840" w:type="dxa"/>
            <w:tcBorders>
              <w:top w:val="single" w:sz="4" w:space="0" w:color="000000"/>
              <w:left w:val="single" w:sz="4" w:space="0" w:color="000000"/>
              <w:bottom w:val="nil" w:sz="6" w:space="0" w:color="auto"/>
              <w:right w:val="single" w:sz="4" w:space="0" w:color="000000"/>
            </w:tcBorders>
            <w:shd w:val="clear" w:color="auto" w:fill="D2D2D2"/>
          </w:tcPr>
          <w:p>
            <w:pPr/>
          </w:p>
        </w:tc>
        <w:tc>
          <w:tcPr>
            <w:tcW w:w="830"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16" w:right="0"/>
              <w:jc w:val="left"/>
              <w:rPr>
                <w:rFonts w:ascii="宋体" w:hAnsi="宋体" w:cs="宋体" w:eastAsia="宋体" w:hint="default"/>
                <w:sz w:val="18"/>
                <w:szCs w:val="18"/>
              </w:rPr>
            </w:pPr>
            <w:r>
              <w:rPr>
                <w:rFonts w:ascii="宋体" w:hAnsi="宋体" w:cs="宋体" w:eastAsia="宋体" w:hint="default"/>
                <w:sz w:val="18"/>
                <w:szCs w:val="18"/>
              </w:rPr>
              <w:t>房志刚</w:t>
            </w:r>
          </w:p>
        </w:tc>
        <w:tc>
          <w:tcPr>
            <w:tcW w:w="92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3"/>
                <w:szCs w:val="13"/>
              </w:rPr>
            </w:pPr>
          </w:p>
          <w:p>
            <w:pPr>
              <w:pStyle w:val="TableParagraph"/>
              <w:spacing w:line="316" w:lineRule="auto"/>
              <w:ind w:left="24" w:right="21"/>
              <w:jc w:val="left"/>
              <w:rPr>
                <w:rFonts w:ascii="宋体" w:hAnsi="宋体" w:cs="宋体" w:eastAsia="宋体" w:hint="default"/>
                <w:sz w:val="18"/>
                <w:szCs w:val="18"/>
              </w:rPr>
            </w:pPr>
            <w:r>
              <w:rPr>
                <w:rFonts w:ascii="宋体" w:hAnsi="宋体" w:cs="宋体" w:eastAsia="宋体" w:hint="default"/>
                <w:sz w:val="18"/>
                <w:szCs w:val="18"/>
              </w:rPr>
              <w:t>关于同业 </w:t>
            </w:r>
            <w:r>
              <w:rPr>
                <w:rFonts w:ascii="宋体" w:hAnsi="宋体" w:cs="宋体" w:eastAsia="宋体" w:hint="default"/>
                <w:spacing w:val="-7"/>
                <w:sz w:val="18"/>
                <w:szCs w:val="18"/>
              </w:rPr>
              <w:t>竞争、关联</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7"/>
                <w:sz w:val="18"/>
                <w:szCs w:val="18"/>
              </w:rPr>
              <w:t>交易、资金</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占用方面 的承诺</w:t>
            </w:r>
          </w:p>
        </w:tc>
        <w:tc>
          <w:tcPr>
            <w:tcW w:w="4904" w:type="dxa"/>
            <w:vMerge w:val="restart"/>
            <w:tcBorders>
              <w:top w:val="single" w:sz="4" w:space="0" w:color="000000"/>
              <w:left w:val="single" w:sz="4" w:space="0" w:color="000000"/>
              <w:right w:val="single" w:sz="4" w:space="0" w:color="000000"/>
            </w:tcBorders>
          </w:tcPr>
          <w:p>
            <w:pPr>
              <w:pStyle w:val="TableParagraph"/>
              <w:spacing w:line="316" w:lineRule="auto" w:before="51"/>
              <w:ind w:left="23" w:right="18"/>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、避免同业竞争的承诺：本次交易前，房志刚未直接或间接 </w:t>
            </w:r>
            <w:r>
              <w:rPr>
                <w:rFonts w:ascii="宋体" w:hAnsi="宋体" w:cs="宋体" w:eastAsia="宋体" w:hint="default"/>
                <w:spacing w:val="-1"/>
                <w:sz w:val="18"/>
                <w:szCs w:val="18"/>
              </w:rPr>
              <w:t>从事与达实智能及其下属子公司相同或相似的业务。自本承诺</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
                <w:sz w:val="18"/>
                <w:szCs w:val="18"/>
              </w:rPr>
              <w:t>出具日，房志刚将不以任何方式直接或间接新增与达实智能及</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其下属子公司业务相同、相似并构成竞争或可能构成竞争的业</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
                <w:sz w:val="18"/>
                <w:szCs w:val="18"/>
              </w:rPr>
              <w:t>务。房志刚若拟出售与达实智能及其下属子公司经营相关的任</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何其他资产、业务或权益，达实智能均有优先购买的权利。 </w:t>
            </w:r>
            <w:r>
              <w:rPr>
                <w:rFonts w:ascii="宋体" w:hAnsi="宋体" w:cs="宋体" w:eastAsia="宋体" w:hint="default"/>
                <w:spacing w:val="-1"/>
                <w:sz w:val="18"/>
                <w:szCs w:val="18"/>
              </w:rPr>
              <w:t>以上声明、保证及承诺同样适用于房志刚控制的其他企业，房</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志刚将依法促使控制的其他企业按照与房志刚同样的标准遵 </w:t>
            </w:r>
            <w:r>
              <w:rPr>
                <w:rFonts w:ascii="宋体" w:hAnsi="宋体" w:cs="宋体" w:eastAsia="宋体" w:hint="default"/>
                <w:spacing w:val="-1"/>
                <w:sz w:val="18"/>
                <w:szCs w:val="18"/>
              </w:rPr>
              <w:t>守以上声明、保证及承诺。如以上声明、保证及承诺事项与事</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1"/>
                <w:sz w:val="18"/>
                <w:szCs w:val="18"/>
              </w:rPr>
              <w:t>实不符，或者房志刚控制的其他企业违反上述声明、保证及承</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1"/>
                <w:sz w:val="18"/>
                <w:szCs w:val="18"/>
              </w:rPr>
              <w:t>诺事项，因从事与达实智能及其下属子公司竞争性业务所取得</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的收益无偿归达实智能所有。</w:t>
            </w:r>
            <w:r>
              <w:rPr>
                <w:rFonts w:ascii="Times New Roman" w:hAnsi="Times New Roman" w:cs="Times New Roman" w:eastAsia="Times New Roman" w:hint="default"/>
                <w:sz w:val="18"/>
                <w:szCs w:val="18"/>
              </w:rPr>
              <w:t>2</w:t>
            </w:r>
            <w:r>
              <w:rPr>
                <w:rFonts w:ascii="宋体" w:hAnsi="宋体" w:cs="宋体" w:eastAsia="宋体" w:hint="default"/>
                <w:sz w:val="18"/>
                <w:szCs w:val="18"/>
              </w:rPr>
              <w:t>、减少和规范关联交易的承诺</w:t>
            </w:r>
          </w:p>
        </w:tc>
        <w:tc>
          <w:tcPr>
            <w:tcW w:w="91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4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59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9"/>
                <w:szCs w:val="19"/>
              </w:rPr>
            </w:pPr>
          </w:p>
          <w:p>
            <w:pPr>
              <w:pStyle w:val="TableParagraph"/>
              <w:spacing w:line="316" w:lineRule="auto"/>
              <w:ind w:left="23" w:right="199"/>
              <w:jc w:val="both"/>
              <w:rPr>
                <w:rFonts w:ascii="宋体" w:hAnsi="宋体" w:cs="宋体" w:eastAsia="宋体" w:hint="default"/>
                <w:sz w:val="18"/>
                <w:szCs w:val="18"/>
              </w:rPr>
            </w:pPr>
            <w:r>
              <w:rPr>
                <w:rFonts w:ascii="宋体" w:hAnsi="宋体" w:cs="宋体" w:eastAsia="宋体" w:hint="default"/>
                <w:sz w:val="18"/>
                <w:szCs w:val="18"/>
              </w:rPr>
              <w:t>正常 履行 中</w:t>
            </w:r>
          </w:p>
        </w:tc>
      </w:tr>
      <w:tr>
        <w:trPr>
          <w:trHeight w:val="1018" w:hRule="exact"/>
        </w:trPr>
        <w:tc>
          <w:tcPr>
            <w:tcW w:w="84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12" w:right="96"/>
              <w:jc w:val="both"/>
              <w:rPr>
                <w:rFonts w:ascii="宋体" w:hAnsi="宋体" w:cs="宋体" w:eastAsia="宋体" w:hint="default"/>
                <w:sz w:val="18"/>
                <w:szCs w:val="18"/>
              </w:rPr>
            </w:pPr>
            <w:r>
              <w:rPr>
                <w:rFonts w:ascii="宋体" w:hAnsi="宋体" w:cs="宋体" w:eastAsia="宋体" w:hint="default"/>
                <w:sz w:val="18"/>
                <w:szCs w:val="18"/>
              </w:rPr>
              <w:t>资产重组 时所作承 诺</w:t>
            </w:r>
          </w:p>
        </w:tc>
        <w:tc>
          <w:tcPr>
            <w:tcW w:w="830" w:type="dxa"/>
            <w:vMerge/>
            <w:tcBorders>
              <w:left w:val="single" w:sz="10" w:space="0" w:color="D2D2D2"/>
              <w:right w:val="single" w:sz="4" w:space="0" w:color="000000"/>
            </w:tcBorders>
          </w:tcPr>
          <w:p>
            <w:pPr/>
          </w:p>
        </w:tc>
        <w:tc>
          <w:tcPr>
            <w:tcW w:w="926" w:type="dxa"/>
            <w:vMerge/>
            <w:tcBorders>
              <w:left w:val="single" w:sz="4" w:space="0" w:color="000000"/>
              <w:right w:val="single" w:sz="4" w:space="0" w:color="000000"/>
            </w:tcBorders>
          </w:tcPr>
          <w:p>
            <w:pPr/>
          </w:p>
        </w:tc>
        <w:tc>
          <w:tcPr>
            <w:tcW w:w="4904" w:type="dxa"/>
            <w:vMerge/>
            <w:tcBorders>
              <w:left w:val="single" w:sz="4" w:space="0" w:color="000000"/>
              <w:right w:val="single" w:sz="4" w:space="0" w:color="000000"/>
            </w:tcBorders>
          </w:tcPr>
          <w:p>
            <w:pPr/>
          </w:p>
        </w:tc>
        <w:tc>
          <w:tcPr>
            <w:tcW w:w="915" w:type="dxa"/>
            <w:vMerge/>
            <w:tcBorders>
              <w:left w:val="single" w:sz="4" w:space="0" w:color="000000"/>
              <w:right w:val="single" w:sz="4" w:space="0" w:color="000000"/>
            </w:tcBorders>
          </w:tcPr>
          <w:p>
            <w:pPr/>
          </w:p>
        </w:tc>
        <w:tc>
          <w:tcPr>
            <w:tcW w:w="646" w:type="dxa"/>
            <w:vMerge/>
            <w:tcBorders>
              <w:left w:val="single" w:sz="4" w:space="0" w:color="000000"/>
              <w:right w:val="single" w:sz="4" w:space="0" w:color="000000"/>
            </w:tcBorders>
          </w:tcPr>
          <w:p>
            <w:pPr/>
          </w:p>
        </w:tc>
        <w:tc>
          <w:tcPr>
            <w:tcW w:w="595" w:type="dxa"/>
            <w:vMerge/>
            <w:tcBorders>
              <w:left w:val="single" w:sz="4" w:space="0" w:color="000000"/>
              <w:right w:val="single" w:sz="4" w:space="0" w:color="000000"/>
            </w:tcBorders>
          </w:tcPr>
          <w:p>
            <w:pPr/>
          </w:p>
        </w:tc>
      </w:tr>
      <w:tr>
        <w:trPr>
          <w:trHeight w:val="1387" w:hRule="exact"/>
        </w:trPr>
        <w:tc>
          <w:tcPr>
            <w:tcW w:w="840" w:type="dxa"/>
            <w:tcBorders>
              <w:top w:val="nil" w:sz="6" w:space="0" w:color="auto"/>
              <w:left w:val="single" w:sz="4" w:space="0" w:color="000000"/>
              <w:bottom w:val="single" w:sz="4" w:space="0" w:color="000000"/>
              <w:right w:val="single" w:sz="4" w:space="0" w:color="000000"/>
            </w:tcBorders>
            <w:shd w:val="clear" w:color="auto" w:fill="D2D2D2"/>
          </w:tcPr>
          <w:p>
            <w:pPr/>
          </w:p>
        </w:tc>
        <w:tc>
          <w:tcPr>
            <w:tcW w:w="830" w:type="dxa"/>
            <w:vMerge/>
            <w:tcBorders>
              <w:left w:val="single" w:sz="10" w:space="0" w:color="D2D2D2"/>
              <w:bottom w:val="single" w:sz="4" w:space="0" w:color="000000"/>
              <w:right w:val="single" w:sz="4" w:space="0" w:color="000000"/>
            </w:tcBorders>
          </w:tcPr>
          <w:p>
            <w:pPr/>
          </w:p>
        </w:tc>
        <w:tc>
          <w:tcPr>
            <w:tcW w:w="926" w:type="dxa"/>
            <w:vMerge/>
            <w:tcBorders>
              <w:left w:val="single" w:sz="4" w:space="0" w:color="000000"/>
              <w:bottom w:val="single" w:sz="4" w:space="0" w:color="000000"/>
              <w:right w:val="single" w:sz="4" w:space="0" w:color="000000"/>
            </w:tcBorders>
          </w:tcPr>
          <w:p>
            <w:pPr/>
          </w:p>
        </w:tc>
        <w:tc>
          <w:tcPr>
            <w:tcW w:w="4904" w:type="dxa"/>
            <w:vMerge/>
            <w:tcBorders>
              <w:left w:val="single" w:sz="4" w:space="0" w:color="000000"/>
              <w:bottom w:val="single" w:sz="4" w:space="0" w:color="000000"/>
              <w:right w:val="single" w:sz="4" w:space="0" w:color="000000"/>
            </w:tcBorders>
          </w:tcPr>
          <w:p>
            <w:pPr/>
          </w:p>
        </w:tc>
        <w:tc>
          <w:tcPr>
            <w:tcW w:w="915" w:type="dxa"/>
            <w:vMerge/>
            <w:tcBorders>
              <w:left w:val="single" w:sz="4" w:space="0" w:color="000000"/>
              <w:bottom w:val="single" w:sz="4" w:space="0" w:color="000000"/>
              <w:right w:val="single" w:sz="4" w:space="0" w:color="000000"/>
            </w:tcBorders>
          </w:tcPr>
          <w:p>
            <w:pPr/>
          </w:p>
        </w:tc>
        <w:tc>
          <w:tcPr>
            <w:tcW w:w="646" w:type="dxa"/>
            <w:vMerge/>
            <w:tcBorders>
              <w:left w:val="single" w:sz="4" w:space="0" w:color="000000"/>
              <w:bottom w:val="single" w:sz="4" w:space="0" w:color="000000"/>
              <w:right w:val="single" w:sz="4" w:space="0" w:color="000000"/>
            </w:tcBorders>
          </w:tcPr>
          <w:p>
            <w:pPr/>
          </w:p>
        </w:tc>
        <w:tc>
          <w:tcPr>
            <w:tcW w:w="595"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851"/>
        <w:gridCol w:w="830"/>
        <w:gridCol w:w="926"/>
        <w:gridCol w:w="4904"/>
        <w:gridCol w:w="915"/>
        <w:gridCol w:w="646"/>
        <w:gridCol w:w="595"/>
      </w:tblGrid>
      <w:tr>
        <w:trPr>
          <w:trHeight w:val="4107" w:hRule="exact"/>
        </w:trPr>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30"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c>
          <w:tcPr>
            <w:tcW w:w="490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8"/>
              <w:jc w:val="left"/>
              <w:rPr>
                <w:rFonts w:ascii="宋体" w:hAnsi="宋体" w:cs="宋体" w:eastAsia="宋体" w:hint="default"/>
                <w:sz w:val="18"/>
                <w:szCs w:val="18"/>
              </w:rPr>
            </w:pPr>
            <w:r>
              <w:rPr>
                <w:rFonts w:ascii="宋体" w:hAnsi="宋体" w:cs="宋体" w:eastAsia="宋体" w:hint="default"/>
                <w:spacing w:val="-1"/>
                <w:sz w:val="18"/>
                <w:szCs w:val="18"/>
              </w:rPr>
              <w:t>房志刚承诺：本次交易后，本人及本人控制或影响的企业将尽</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
                <w:sz w:val="18"/>
                <w:szCs w:val="18"/>
              </w:rPr>
              <w:t>量避免、减少与达实智能及下属子公司的关联交易；本人及本</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人控制或影响的企业将严格避免向达实智能及其下属子公司 </w:t>
            </w:r>
            <w:r>
              <w:rPr>
                <w:rFonts w:ascii="宋体" w:hAnsi="宋体" w:cs="宋体" w:eastAsia="宋体" w:hint="default"/>
                <w:spacing w:val="-1"/>
                <w:sz w:val="18"/>
                <w:szCs w:val="18"/>
              </w:rPr>
              <w:t>拆借、占用达实智能及其下属子公司资金或采取由达实智能及</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其下属子公司代垫款、代偿债务等方式侵占达实智能资金。 对于本人及本人控制或影响的企业与达实智能及其下属子公 </w:t>
            </w:r>
            <w:r>
              <w:rPr>
                <w:rFonts w:ascii="宋体" w:hAnsi="宋体" w:cs="宋体" w:eastAsia="宋体" w:hint="default"/>
                <w:spacing w:val="-1"/>
                <w:sz w:val="18"/>
                <w:szCs w:val="18"/>
              </w:rPr>
              <w:t>司之间无法避免或者有合理原因而发生的关联交易，均将严格</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
                <w:sz w:val="18"/>
                <w:szCs w:val="18"/>
              </w:rPr>
              <w:t>遵守市场原则，本着平等互利、等价有偿的一般原则，公平合</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1"/>
                <w:sz w:val="18"/>
                <w:szCs w:val="18"/>
              </w:rPr>
              <w:t>理地进行。本人在达实智能权力机构审议涉及本人及本人控制</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
                <w:sz w:val="18"/>
                <w:szCs w:val="18"/>
              </w:rPr>
              <w:t>或影响的企业的关联交易事项时主动依法履行回避义务，且交</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
                <w:sz w:val="18"/>
                <w:szCs w:val="18"/>
              </w:rPr>
              <w:t>易须在有权机构审议通过后方可执行。本人保证不通过关联交</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易取得任何不正当的利益或使达实智能及其下属子公司承担 任何不正当的义务。</w:t>
            </w:r>
          </w:p>
        </w:tc>
        <w:tc>
          <w:tcPr>
            <w:tcW w:w="915" w:type="dxa"/>
            <w:tcBorders>
              <w:top w:val="single" w:sz="4" w:space="0" w:color="000000"/>
              <w:left w:val="single" w:sz="4" w:space="0" w:color="000000"/>
              <w:bottom w:val="single" w:sz="4" w:space="0" w:color="000000"/>
              <w:right w:val="single" w:sz="4" w:space="0" w:color="000000"/>
            </w:tcBorders>
          </w:tcPr>
          <w:p>
            <w:pPr/>
          </w:p>
        </w:tc>
        <w:tc>
          <w:tcPr>
            <w:tcW w:w="646" w:type="dxa"/>
            <w:tcBorders>
              <w:top w:val="single" w:sz="4" w:space="0" w:color="000000"/>
              <w:left w:val="single" w:sz="4" w:space="0" w:color="000000"/>
              <w:bottom w:val="single" w:sz="4" w:space="0" w:color="000000"/>
              <w:right w:val="single" w:sz="4" w:space="0" w:color="000000"/>
            </w:tcBorders>
          </w:tcPr>
          <w:p>
            <w:pPr/>
          </w:p>
        </w:tc>
        <w:tc>
          <w:tcPr>
            <w:tcW w:w="595" w:type="dxa"/>
            <w:tcBorders>
              <w:top w:val="single" w:sz="4" w:space="0" w:color="000000"/>
              <w:left w:val="single" w:sz="4" w:space="0" w:color="000000"/>
              <w:bottom w:val="single" w:sz="4" w:space="0" w:color="000000"/>
              <w:right w:val="single" w:sz="4" w:space="0" w:color="000000"/>
            </w:tcBorders>
          </w:tcPr>
          <w:p>
            <w:pPr/>
          </w:p>
        </w:tc>
      </w:tr>
      <w:tr>
        <w:trPr>
          <w:trHeight w:val="2273" w:hRule="exact"/>
        </w:trPr>
        <w:tc>
          <w:tcPr>
            <w:tcW w:w="85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2" w:right="96"/>
              <w:jc w:val="both"/>
              <w:rPr>
                <w:rFonts w:ascii="宋体" w:hAnsi="宋体" w:cs="宋体" w:eastAsia="宋体" w:hint="default"/>
                <w:sz w:val="18"/>
                <w:szCs w:val="18"/>
              </w:rPr>
            </w:pPr>
            <w:r>
              <w:rPr>
                <w:rFonts w:ascii="宋体" w:hAnsi="宋体" w:cs="宋体" w:eastAsia="宋体" w:hint="default"/>
                <w:sz w:val="18"/>
                <w:szCs w:val="18"/>
              </w:rPr>
              <w:t>首次公开 发行或再 融资时所 作承诺</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24"/>
              <w:jc w:val="left"/>
              <w:rPr>
                <w:rFonts w:ascii="宋体" w:hAnsi="宋体" w:cs="宋体" w:eastAsia="宋体" w:hint="default"/>
                <w:sz w:val="18"/>
                <w:szCs w:val="18"/>
              </w:rPr>
            </w:pPr>
            <w:r>
              <w:rPr>
                <w:rFonts w:ascii="宋体" w:hAnsi="宋体" w:cs="宋体" w:eastAsia="宋体" w:hint="default"/>
                <w:sz w:val="18"/>
                <w:szCs w:val="18"/>
              </w:rPr>
              <w:t>程朋胜</w:t>
            </w:r>
            <w:r>
              <w:rPr>
                <w:rFonts w:ascii="Times New Roman" w:hAnsi="Times New Roman" w:cs="Times New Roman" w:eastAsia="Times New Roman" w:hint="default"/>
                <w:sz w:val="18"/>
                <w:szCs w:val="18"/>
              </w:rPr>
              <w:t>;</w:t>
            </w:r>
            <w:r>
              <w:rPr>
                <w:rFonts w:ascii="宋体" w:hAnsi="宋体" w:cs="宋体" w:eastAsia="宋体" w:hint="default"/>
                <w:sz w:val="18"/>
                <w:szCs w:val="18"/>
              </w:rPr>
              <w:t>黄 天朗</w:t>
            </w:r>
            <w:r>
              <w:rPr>
                <w:rFonts w:ascii="Times New Roman" w:hAnsi="Times New Roman" w:cs="Times New Roman" w:eastAsia="Times New Roman" w:hint="default"/>
                <w:sz w:val="18"/>
                <w:szCs w:val="18"/>
              </w:rPr>
              <w:t>;</w:t>
            </w:r>
            <w:r>
              <w:rPr>
                <w:rFonts w:ascii="宋体" w:hAnsi="宋体" w:cs="宋体" w:eastAsia="宋体" w:hint="default"/>
                <w:sz w:val="18"/>
                <w:szCs w:val="18"/>
              </w:rPr>
              <w:t>刘 磅</w:t>
            </w:r>
            <w:r>
              <w:rPr>
                <w:rFonts w:ascii="Times New Roman" w:hAnsi="Times New Roman" w:cs="Times New Roman" w:eastAsia="Times New Roman" w:hint="default"/>
                <w:sz w:val="18"/>
                <w:szCs w:val="18"/>
              </w:rPr>
              <w:t>;</w:t>
            </w:r>
            <w:r>
              <w:rPr>
                <w:rFonts w:ascii="宋体" w:hAnsi="宋体" w:cs="宋体" w:eastAsia="宋体" w:hint="default"/>
                <w:sz w:val="18"/>
                <w:szCs w:val="18"/>
              </w:rPr>
              <w:t>吕枫</w:t>
            </w:r>
            <w:r>
              <w:rPr>
                <w:rFonts w:ascii="Times New Roman" w:hAnsi="Times New Roman" w:cs="Times New Roman" w:eastAsia="Times New Roman" w:hint="default"/>
                <w:sz w:val="18"/>
                <w:szCs w:val="18"/>
              </w:rPr>
              <w:t>; </w:t>
            </w:r>
            <w:r>
              <w:rPr>
                <w:rFonts w:ascii="宋体" w:hAnsi="宋体" w:cs="宋体" w:eastAsia="宋体" w:hint="default"/>
                <w:sz w:val="18"/>
                <w:szCs w:val="18"/>
              </w:rPr>
              <w:t>深圳市达 实投资发 展有限公 司</w:t>
            </w:r>
            <w:r>
              <w:rPr>
                <w:rFonts w:ascii="Times New Roman" w:hAnsi="Times New Roman" w:cs="Times New Roman" w:eastAsia="Times New Roman" w:hint="default"/>
                <w:sz w:val="18"/>
                <w:szCs w:val="18"/>
              </w:rPr>
              <w:t>;</w:t>
            </w:r>
            <w:r>
              <w:rPr>
                <w:rFonts w:ascii="宋体" w:hAnsi="宋体" w:cs="宋体" w:eastAsia="宋体" w:hint="default"/>
                <w:sz w:val="18"/>
                <w:szCs w:val="18"/>
              </w:rPr>
              <w:t>苏俊锋</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4" w:right="21"/>
              <w:jc w:val="left"/>
              <w:rPr>
                <w:rFonts w:ascii="宋体" w:hAnsi="宋体" w:cs="宋体" w:eastAsia="宋体" w:hint="default"/>
                <w:sz w:val="18"/>
                <w:szCs w:val="18"/>
              </w:rPr>
            </w:pPr>
            <w:r>
              <w:rPr>
                <w:rFonts w:ascii="宋体" w:hAnsi="宋体" w:cs="宋体" w:eastAsia="宋体" w:hint="default"/>
                <w:sz w:val="18"/>
                <w:szCs w:val="18"/>
              </w:rPr>
              <w:t>关于同业 </w:t>
            </w:r>
            <w:r>
              <w:rPr>
                <w:rFonts w:ascii="宋体" w:hAnsi="宋体" w:cs="宋体" w:eastAsia="宋体" w:hint="default"/>
                <w:spacing w:val="-7"/>
                <w:sz w:val="18"/>
                <w:szCs w:val="18"/>
              </w:rPr>
              <w:t>竞争、关联</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7"/>
                <w:sz w:val="18"/>
                <w:szCs w:val="18"/>
              </w:rPr>
              <w:t>交易、资金</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占用方面 的承诺</w:t>
            </w:r>
          </w:p>
        </w:tc>
        <w:tc>
          <w:tcPr>
            <w:tcW w:w="4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2"/>
              <w:ind w:left="23" w:right="20"/>
              <w:jc w:val="left"/>
              <w:rPr>
                <w:rFonts w:ascii="宋体" w:hAnsi="宋体" w:cs="宋体" w:eastAsia="宋体" w:hint="default"/>
                <w:sz w:val="18"/>
                <w:szCs w:val="18"/>
              </w:rPr>
            </w:pPr>
            <w:r>
              <w:rPr>
                <w:rFonts w:ascii="宋体" w:hAnsi="宋体" w:cs="宋体" w:eastAsia="宋体" w:hint="default"/>
                <w:spacing w:val="-1"/>
                <w:sz w:val="18"/>
                <w:szCs w:val="18"/>
              </w:rPr>
              <w:t>避免同业竞争的承诺：不直接或间接从事与公司经营范围相同</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或相类似的业务。</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316" w:lineRule="auto"/>
              <w:ind w:left="23" w:right="199"/>
              <w:jc w:val="both"/>
              <w:rPr>
                <w:rFonts w:ascii="宋体" w:hAnsi="宋体" w:cs="宋体" w:eastAsia="宋体" w:hint="default"/>
                <w:sz w:val="18"/>
                <w:szCs w:val="18"/>
              </w:rPr>
            </w:pPr>
            <w:r>
              <w:rPr>
                <w:rFonts w:ascii="宋体" w:hAnsi="宋体" w:cs="宋体" w:eastAsia="宋体" w:hint="default"/>
                <w:sz w:val="18"/>
                <w:szCs w:val="18"/>
              </w:rPr>
              <w:t>正常 履行 中</w:t>
            </w:r>
          </w:p>
        </w:tc>
      </w:tr>
      <w:tr>
        <w:trPr>
          <w:trHeight w:val="1652" w:hRule="exact"/>
        </w:trPr>
        <w:tc>
          <w:tcPr>
            <w:tcW w:w="851" w:type="dxa"/>
            <w:vMerge/>
            <w:tcBorders>
              <w:left w:val="single" w:sz="4" w:space="0" w:color="000000"/>
              <w:right w:val="single" w:sz="4" w:space="0" w:color="000000"/>
            </w:tcBorders>
            <w:shd w:val="clear" w:color="auto" w:fill="D2D2D2"/>
          </w:tcPr>
          <w:p>
            <w:pP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2" w:lineRule="auto"/>
              <w:ind w:left="23" w:right="24"/>
              <w:jc w:val="both"/>
              <w:rPr>
                <w:rFonts w:ascii="宋体" w:hAnsi="宋体" w:cs="宋体" w:eastAsia="宋体" w:hint="default"/>
                <w:sz w:val="18"/>
                <w:szCs w:val="18"/>
              </w:rPr>
            </w:pPr>
            <w:r>
              <w:rPr>
                <w:rFonts w:ascii="宋体" w:hAnsi="宋体" w:cs="宋体" w:eastAsia="宋体" w:hint="default"/>
                <w:sz w:val="18"/>
                <w:szCs w:val="18"/>
              </w:rPr>
              <w:t>刘磅</w:t>
            </w:r>
            <w:r>
              <w:rPr>
                <w:rFonts w:ascii="Times New Roman" w:hAnsi="Times New Roman" w:cs="Times New Roman" w:eastAsia="Times New Roman" w:hint="default"/>
                <w:sz w:val="18"/>
                <w:szCs w:val="18"/>
              </w:rPr>
              <w:t>;</w:t>
            </w:r>
            <w:r>
              <w:rPr>
                <w:rFonts w:ascii="宋体" w:hAnsi="宋体" w:cs="宋体" w:eastAsia="宋体" w:hint="default"/>
                <w:sz w:val="18"/>
                <w:szCs w:val="18"/>
              </w:rPr>
              <w:t>深圳 市达实投 资发展有 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21"/>
              <w:jc w:val="left"/>
              <w:rPr>
                <w:rFonts w:ascii="宋体" w:hAnsi="宋体" w:cs="宋体" w:eastAsia="宋体" w:hint="default"/>
                <w:sz w:val="18"/>
                <w:szCs w:val="18"/>
              </w:rPr>
            </w:pPr>
            <w:r>
              <w:rPr>
                <w:rFonts w:ascii="宋体" w:hAnsi="宋体" w:cs="宋体" w:eastAsia="宋体" w:hint="default"/>
                <w:sz w:val="18"/>
                <w:szCs w:val="18"/>
              </w:rPr>
              <w:t>关于同业 </w:t>
            </w:r>
            <w:r>
              <w:rPr>
                <w:rFonts w:ascii="宋体" w:hAnsi="宋体" w:cs="宋体" w:eastAsia="宋体" w:hint="default"/>
                <w:spacing w:val="-7"/>
                <w:sz w:val="18"/>
                <w:szCs w:val="18"/>
              </w:rPr>
              <w:t>竞争、关联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7"/>
                <w:sz w:val="18"/>
                <w:szCs w:val="18"/>
              </w:rPr>
              <w:t>交易、资金</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占用方面 的承诺</w:t>
            </w:r>
          </w:p>
        </w:tc>
        <w:tc>
          <w:tcPr>
            <w:tcW w:w="4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5"/>
              <w:ind w:left="23" w:right="20"/>
              <w:jc w:val="both"/>
              <w:rPr>
                <w:rFonts w:ascii="宋体" w:hAnsi="宋体" w:cs="宋体" w:eastAsia="宋体" w:hint="default"/>
                <w:sz w:val="18"/>
                <w:szCs w:val="18"/>
              </w:rPr>
            </w:pPr>
            <w:r>
              <w:rPr>
                <w:rFonts w:ascii="宋体" w:hAnsi="宋体" w:cs="宋体" w:eastAsia="宋体" w:hint="default"/>
                <w:spacing w:val="-1"/>
                <w:sz w:val="18"/>
                <w:szCs w:val="18"/>
              </w:rPr>
              <w:t>关于不占用公司资金的承诺：不以任何方式占用公司的资产和</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
                <w:sz w:val="18"/>
                <w:szCs w:val="18"/>
              </w:rPr>
              <w:t>资源，不以任何直接或者间接的方式从事损害或可能损害公司</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及其他股东利益的行为。</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5"/>
              <w:ind w:left="23" w:right="199"/>
              <w:jc w:val="both"/>
              <w:rPr>
                <w:rFonts w:ascii="宋体" w:hAnsi="宋体" w:cs="宋体" w:eastAsia="宋体" w:hint="default"/>
                <w:sz w:val="18"/>
                <w:szCs w:val="18"/>
              </w:rPr>
            </w:pPr>
            <w:r>
              <w:rPr>
                <w:rFonts w:ascii="宋体" w:hAnsi="宋体" w:cs="宋体" w:eastAsia="宋体" w:hint="default"/>
                <w:sz w:val="18"/>
                <w:szCs w:val="18"/>
              </w:rPr>
              <w:t>正常 履行 中</w:t>
            </w:r>
          </w:p>
        </w:tc>
      </w:tr>
      <w:tr>
        <w:trPr>
          <w:trHeight w:val="1337" w:hRule="exact"/>
        </w:trPr>
        <w:tc>
          <w:tcPr>
            <w:tcW w:w="851" w:type="dxa"/>
            <w:vMerge/>
            <w:tcBorders>
              <w:left w:val="single" w:sz="4" w:space="0" w:color="000000"/>
              <w:bottom w:val="single" w:sz="4" w:space="0" w:color="000000"/>
              <w:right w:val="single" w:sz="4" w:space="0" w:color="000000"/>
            </w:tcBorders>
            <w:shd w:val="clear" w:color="auto" w:fill="D2D2D2"/>
          </w:tcPr>
          <w:p>
            <w:pP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49"/>
              <w:ind w:left="23" w:right="24"/>
              <w:jc w:val="both"/>
              <w:rPr>
                <w:rFonts w:ascii="宋体" w:hAnsi="宋体" w:cs="宋体" w:eastAsia="宋体" w:hint="default"/>
                <w:sz w:val="18"/>
                <w:szCs w:val="18"/>
              </w:rPr>
            </w:pPr>
            <w:r>
              <w:rPr>
                <w:rFonts w:ascii="宋体" w:hAnsi="宋体" w:cs="宋体" w:eastAsia="宋体" w:hint="default"/>
                <w:sz w:val="18"/>
                <w:szCs w:val="18"/>
              </w:rPr>
              <w:t>刘磅</w:t>
            </w:r>
            <w:r>
              <w:rPr>
                <w:rFonts w:ascii="Times New Roman" w:hAnsi="Times New Roman" w:cs="Times New Roman" w:eastAsia="Times New Roman" w:hint="default"/>
                <w:sz w:val="18"/>
                <w:szCs w:val="18"/>
              </w:rPr>
              <w:t>;</w:t>
            </w:r>
            <w:r>
              <w:rPr>
                <w:rFonts w:ascii="宋体" w:hAnsi="宋体" w:cs="宋体" w:eastAsia="宋体" w:hint="default"/>
                <w:sz w:val="18"/>
                <w:szCs w:val="18"/>
              </w:rPr>
              <w:t>深圳 市达实投 资发展有 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4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18"/>
              <w:jc w:val="left"/>
              <w:rPr>
                <w:rFonts w:ascii="宋体" w:hAnsi="宋体" w:cs="宋体" w:eastAsia="宋体" w:hint="default"/>
                <w:sz w:val="18"/>
                <w:szCs w:val="18"/>
              </w:rPr>
            </w:pPr>
            <w:r>
              <w:rPr>
                <w:rFonts w:ascii="宋体" w:hAnsi="宋体" w:cs="宋体" w:eastAsia="宋体" w:hint="default"/>
                <w:sz w:val="18"/>
                <w:szCs w:val="18"/>
              </w:rPr>
              <w:t>关于公司可能由于住房公积金政策变化而导致的处罚或损失 </w:t>
            </w:r>
            <w:r>
              <w:rPr>
                <w:rFonts w:ascii="宋体" w:hAnsi="宋体" w:cs="宋体" w:eastAsia="宋体" w:hint="default"/>
                <w:spacing w:val="-1"/>
                <w:sz w:val="18"/>
                <w:szCs w:val="18"/>
              </w:rPr>
              <w:t>的承诺：将对该等处罚或损失承担连带赔偿责任，以确保公司</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不会因此遭受任何损失。</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199"/>
              <w:jc w:val="both"/>
              <w:rPr>
                <w:rFonts w:ascii="宋体" w:hAnsi="宋体" w:cs="宋体" w:eastAsia="宋体" w:hint="default"/>
                <w:sz w:val="18"/>
                <w:szCs w:val="18"/>
              </w:rPr>
            </w:pPr>
            <w:r>
              <w:rPr>
                <w:rFonts w:ascii="宋体" w:hAnsi="宋体" w:cs="宋体" w:eastAsia="宋体" w:hint="default"/>
                <w:sz w:val="18"/>
                <w:szCs w:val="18"/>
              </w:rPr>
              <w:t>正常 履行 中</w:t>
            </w:r>
          </w:p>
        </w:tc>
      </w:tr>
      <w:tr>
        <w:trPr>
          <w:trHeight w:val="715" w:hRule="exact"/>
        </w:trPr>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96"/>
              <w:jc w:val="left"/>
              <w:rPr>
                <w:rFonts w:ascii="宋体" w:hAnsi="宋体" w:cs="宋体" w:eastAsia="宋体" w:hint="default"/>
                <w:sz w:val="18"/>
                <w:szCs w:val="18"/>
              </w:rPr>
            </w:pPr>
            <w:r>
              <w:rPr>
                <w:rFonts w:ascii="宋体" w:hAnsi="宋体" w:cs="宋体" w:eastAsia="宋体" w:hint="default"/>
                <w:sz w:val="18"/>
                <w:szCs w:val="18"/>
              </w:rPr>
              <w:t>股权激励 承诺</w:t>
            </w:r>
          </w:p>
        </w:tc>
        <w:tc>
          <w:tcPr>
            <w:tcW w:w="830"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
        </w:tc>
        <w:tc>
          <w:tcPr>
            <w:tcW w:w="4904" w:type="dxa"/>
            <w:tcBorders>
              <w:top w:val="single" w:sz="4" w:space="0" w:color="000000"/>
              <w:left w:val="single" w:sz="4" w:space="0" w:color="000000"/>
              <w:bottom w:val="single" w:sz="4" w:space="0" w:color="000000"/>
              <w:right w:val="single" w:sz="4" w:space="0" w:color="000000"/>
            </w:tcBorders>
          </w:tcPr>
          <w:p>
            <w:pPr/>
          </w:p>
        </w:tc>
        <w:tc>
          <w:tcPr>
            <w:tcW w:w="915" w:type="dxa"/>
            <w:tcBorders>
              <w:top w:val="single" w:sz="4" w:space="0" w:color="000000"/>
              <w:left w:val="single" w:sz="4" w:space="0" w:color="000000"/>
              <w:bottom w:val="single" w:sz="4" w:space="0" w:color="000000"/>
              <w:right w:val="single" w:sz="4" w:space="0" w:color="000000"/>
            </w:tcBorders>
          </w:tcPr>
          <w:p>
            <w:pPr/>
          </w:p>
        </w:tc>
        <w:tc>
          <w:tcPr>
            <w:tcW w:w="646" w:type="dxa"/>
            <w:tcBorders>
              <w:top w:val="single" w:sz="4" w:space="0" w:color="000000"/>
              <w:left w:val="single" w:sz="4" w:space="0" w:color="000000"/>
              <w:bottom w:val="single" w:sz="4" w:space="0" w:color="000000"/>
              <w:right w:val="single" w:sz="4" w:space="0" w:color="000000"/>
            </w:tcBorders>
          </w:tcPr>
          <w:p>
            <w:pPr/>
          </w:p>
        </w:tc>
        <w:tc>
          <w:tcPr>
            <w:tcW w:w="595" w:type="dxa"/>
            <w:tcBorders>
              <w:top w:val="single" w:sz="4" w:space="0" w:color="000000"/>
              <w:left w:val="single" w:sz="4" w:space="0" w:color="000000"/>
              <w:bottom w:val="single" w:sz="4" w:space="0" w:color="000000"/>
              <w:right w:val="single" w:sz="4" w:space="0" w:color="000000"/>
            </w:tcBorders>
          </w:tcPr>
          <w:p>
            <w:pPr/>
          </w:p>
        </w:tc>
      </w:tr>
      <w:tr>
        <w:trPr>
          <w:trHeight w:val="1337" w:hRule="exact"/>
        </w:trPr>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2" w:right="96"/>
              <w:jc w:val="both"/>
              <w:rPr>
                <w:rFonts w:ascii="宋体" w:hAnsi="宋体" w:cs="宋体" w:eastAsia="宋体" w:hint="default"/>
                <w:sz w:val="18"/>
                <w:szCs w:val="18"/>
              </w:rPr>
            </w:pPr>
            <w:r>
              <w:rPr>
                <w:rFonts w:ascii="宋体" w:hAnsi="宋体" w:cs="宋体" w:eastAsia="宋体" w:hint="default"/>
                <w:sz w:val="18"/>
                <w:szCs w:val="18"/>
              </w:rPr>
              <w:t>其他对公 司中小股 东所作承 诺</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贾虹</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4" w:right="170"/>
              <w:jc w:val="left"/>
              <w:rPr>
                <w:rFonts w:ascii="宋体" w:hAnsi="宋体" w:cs="宋体" w:eastAsia="宋体" w:hint="default"/>
                <w:sz w:val="18"/>
                <w:szCs w:val="18"/>
              </w:rPr>
            </w:pPr>
            <w:r>
              <w:rPr>
                <w:rFonts w:ascii="宋体" w:hAnsi="宋体" w:cs="宋体" w:eastAsia="宋体" w:hint="default"/>
                <w:sz w:val="18"/>
                <w:szCs w:val="18"/>
              </w:rPr>
              <w:t>股份减持 承诺</w:t>
            </w:r>
          </w:p>
        </w:tc>
        <w:tc>
          <w:tcPr>
            <w:tcW w:w="4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贾虹女士自本承诺出具之</w:t>
            </w:r>
            <w:r>
              <w:rPr>
                <w:rFonts w:ascii="宋体" w:hAnsi="宋体" w:cs="宋体" w:eastAsia="宋体" w:hint="default"/>
                <w:spacing w:val="-80"/>
                <w:sz w:val="18"/>
                <w:szCs w:val="18"/>
              </w:rPr>
              <w:t>日</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80"/>
                <w:sz w:val="18"/>
                <w:szCs w:val="18"/>
              </w:rPr>
              <w:t>）</w:t>
            </w:r>
            <w:r>
              <w:rPr>
                <w:rFonts w:ascii="宋体" w:hAnsi="宋体" w:cs="宋体" w:eastAsia="宋体" w:hint="default"/>
                <w:sz w:val="18"/>
                <w:szCs w:val="18"/>
              </w:rPr>
              <w:t>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r>
              <w:rPr>
                <w:rFonts w:ascii="宋体" w:hAnsi="宋体" w:cs="宋体" w:eastAsia="宋体" w:hint="default"/>
                <w:spacing w:val="-80"/>
                <w:sz w:val="18"/>
                <w:szCs w:val="18"/>
              </w:rPr>
              <w:t>内</w:t>
            </w:r>
            <w:r>
              <w:rPr>
                <w:rFonts w:ascii="宋体" w:hAnsi="宋体" w:cs="宋体" w:eastAsia="宋体" w:hint="default"/>
                <w:sz w:val="18"/>
                <w:szCs w:val="18"/>
              </w:rPr>
              <w:t>（即</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日）不减持其所持有的无限售流通股。</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2020-0</w:t>
            </w:r>
          </w:p>
          <w:p>
            <w:pPr>
              <w:pStyle w:val="TableParagraph"/>
              <w:spacing w:line="240" w:lineRule="auto" w:before="105"/>
              <w:ind w:left="24" w:right="0"/>
              <w:jc w:val="left"/>
              <w:rPr>
                <w:rFonts w:ascii="Times New Roman" w:hAnsi="Times New Roman" w:cs="Times New Roman" w:eastAsia="Times New Roman" w:hint="default"/>
                <w:sz w:val="18"/>
                <w:szCs w:val="18"/>
              </w:rPr>
            </w:pPr>
            <w:r>
              <w:rPr>
                <w:rFonts w:ascii="Times New Roman"/>
                <w:sz w:val="18"/>
              </w:rPr>
              <w:t>2-07</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23" w:right="199"/>
              <w:jc w:val="both"/>
              <w:rPr>
                <w:rFonts w:ascii="宋体" w:hAnsi="宋体" w:cs="宋体" w:eastAsia="宋体" w:hint="default"/>
                <w:sz w:val="18"/>
                <w:szCs w:val="18"/>
              </w:rPr>
            </w:pPr>
            <w:r>
              <w:rPr>
                <w:rFonts w:ascii="宋体" w:hAnsi="宋体" w:cs="宋体" w:eastAsia="宋体" w:hint="default"/>
                <w:sz w:val="18"/>
                <w:szCs w:val="18"/>
              </w:rPr>
              <w:t>正常 履行 中</w:t>
            </w:r>
          </w:p>
        </w:tc>
      </w:tr>
      <w:tr>
        <w:trPr>
          <w:trHeight w:val="715" w:hRule="exact"/>
        </w:trPr>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96"/>
              <w:jc w:val="left"/>
              <w:rPr>
                <w:rFonts w:ascii="宋体" w:hAnsi="宋体" w:cs="宋体" w:eastAsia="宋体" w:hint="default"/>
                <w:sz w:val="18"/>
                <w:szCs w:val="18"/>
              </w:rPr>
            </w:pPr>
            <w:r>
              <w:rPr>
                <w:rFonts w:ascii="宋体" w:hAnsi="宋体" w:cs="宋体" w:eastAsia="宋体" w:hint="default"/>
                <w:sz w:val="18"/>
                <w:szCs w:val="18"/>
              </w:rPr>
              <w:t>承诺是否 按时履行</w:t>
            </w:r>
          </w:p>
        </w:tc>
        <w:tc>
          <w:tcPr>
            <w:tcW w:w="8817"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line="240" w:lineRule="auto" w:before="3"/>
        <w:rPr>
          <w:rFonts w:ascii="宋体" w:hAnsi="宋体" w:cs="宋体" w:eastAsia="宋体" w:hint="default"/>
          <w:sz w:val="19"/>
          <w:szCs w:val="19"/>
        </w:rPr>
      </w:pPr>
    </w:p>
    <w:p>
      <w:pPr>
        <w:pStyle w:val="Heading4"/>
        <w:spacing w:line="256" w:lineRule="auto" w:before="36"/>
        <w:ind w:right="1133"/>
        <w:jc w:val="left"/>
        <w:rPr>
          <w:b w:val="0"/>
          <w:bCs w:val="0"/>
        </w:rPr>
      </w:pPr>
      <w:bookmarkStart w:name="2、公司资产或项目存在盈利预测，且报告期仍处在盈利预测期间，公司就资产或项目达到" w:id="65"/>
      <w:bookmarkEnd w:id="65"/>
      <w:r>
        <w:rPr>
          <w:b w:val="0"/>
          <w:bCs w:val="0"/>
        </w:rPr>
      </w:r>
      <w:r>
        <w:rPr>
          <w:rFonts w:ascii="Times New Roman" w:hAnsi="Times New Roman" w:cs="Times New Roman" w:eastAsia="Times New Roman" w:hint="default"/>
        </w:rPr>
        <w:t>2</w:t>
      </w:r>
      <w:r>
        <w:rPr/>
        <w:t>、公司资产或项目存在盈利预测，且报告期仍处在盈利预测期间，公司就资产或项目达到原盈利预测及</w:t>
      </w:r>
      <w:r>
        <w:rPr>
          <w:spacing w:val="-65"/>
        </w:rPr>
        <w:t> </w:t>
      </w:r>
      <w:r>
        <w:rPr>
          <w:spacing w:val="-65"/>
        </w:rPr>
      </w:r>
      <w:r>
        <w:rPr/>
        <w:t>其原因做出说明</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80"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1133"/>
        <w:jc w:val="left"/>
        <w:rPr>
          <w:b w:val="0"/>
          <w:bCs w:val="0"/>
        </w:rPr>
      </w:pPr>
      <w:bookmarkStart w:name="四、控股股东及其关联方对上市公司的非经营性占用资金情况" w:id="66"/>
      <w:bookmarkEnd w:id="66"/>
      <w:r>
        <w:rPr>
          <w:b w:val="0"/>
          <w:bCs w:val="0"/>
        </w:rPr>
      </w:r>
      <w:r>
        <w:rPr/>
        <w:t>四、控股股东及其关联方对上市公司的非经营性占用资金情况</w:t>
      </w:r>
      <w:r>
        <w:rPr>
          <w:b w:val="0"/>
          <w:bCs w:val="0"/>
        </w:rPr>
      </w:r>
    </w:p>
    <w:p>
      <w:pPr>
        <w:spacing w:line="240" w:lineRule="auto" w:before="7"/>
        <w:rPr>
          <w:rFonts w:ascii="宋体" w:hAnsi="宋体" w:cs="宋体" w:eastAsia="宋体" w:hint="default"/>
          <w:b/>
          <w:bCs/>
          <w:sz w:val="26"/>
          <w:szCs w:val="26"/>
        </w:rPr>
      </w:pPr>
    </w:p>
    <w:p>
      <w:pPr>
        <w:pStyle w:val="BodyText"/>
        <w:spacing w:line="338" w:lineRule="auto"/>
        <w:ind w:right="49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公司报告期不存在控股股东及其关联方对上市公司的非经营性占用资金。</w:t>
      </w:r>
    </w:p>
    <w:p>
      <w:pPr>
        <w:spacing w:line="240" w:lineRule="auto" w:before="8"/>
        <w:rPr>
          <w:rFonts w:ascii="宋体" w:hAnsi="宋体" w:cs="宋体" w:eastAsia="宋体" w:hint="default"/>
          <w:sz w:val="19"/>
          <w:szCs w:val="19"/>
        </w:rPr>
      </w:pPr>
    </w:p>
    <w:p>
      <w:pPr>
        <w:pStyle w:val="Heading2"/>
        <w:spacing w:line="240" w:lineRule="auto"/>
        <w:ind w:right="0"/>
        <w:jc w:val="left"/>
        <w:rPr>
          <w:b w:val="0"/>
          <w:bCs w:val="0"/>
        </w:rPr>
      </w:pPr>
      <w:bookmarkStart w:name="五、董事会、监事会、独立董事（如有）对会计师事务所本报告期“非标准审计报告”的说" w:id="67"/>
      <w:bookmarkEnd w:id="67"/>
      <w:r>
        <w:rPr>
          <w:b w:val="0"/>
          <w:bCs w:val="0"/>
        </w:rPr>
      </w:r>
      <w:r>
        <w:rPr/>
        <w:t>五、董事会、监事会、独立董事（如有）对会计师事务所本报告期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的说明</w:t>
      </w:r>
      <w:r>
        <w:rPr>
          <w:b w:val="0"/>
          <w:bCs w:val="0"/>
        </w:rPr>
      </w:r>
    </w:p>
    <w:p>
      <w:pPr>
        <w:spacing w:line="240" w:lineRule="auto" w:before="1"/>
        <w:rPr>
          <w:rFonts w:ascii="宋体" w:hAnsi="宋体" w:cs="宋体" w:eastAsia="宋体" w:hint="default"/>
          <w:b/>
          <w:bCs/>
          <w:sz w:val="25"/>
          <w:szCs w:val="25"/>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24"/>
          <w:szCs w:val="24"/>
        </w:rPr>
      </w:pPr>
    </w:p>
    <w:p>
      <w:pPr>
        <w:pStyle w:val="Heading2"/>
        <w:spacing w:line="240" w:lineRule="auto"/>
        <w:ind w:right="1133"/>
        <w:jc w:val="left"/>
        <w:rPr>
          <w:b w:val="0"/>
          <w:bCs w:val="0"/>
        </w:rPr>
      </w:pPr>
      <w:bookmarkStart w:name="六、与上年度财务报告相比，会计政策、会计估计和核算方法发生变化的情况说明" w:id="68"/>
      <w:bookmarkEnd w:id="68"/>
      <w:r>
        <w:rPr>
          <w:b w:val="0"/>
          <w:bCs w:val="0"/>
        </w:rPr>
      </w:r>
      <w:r>
        <w:rPr/>
        <w:t>六、与上年度财务报告相比，会计政策、会计估计和核算方法发生变化的情况说明</w:t>
      </w:r>
      <w:r>
        <w:rPr>
          <w:b w:val="0"/>
          <w:bCs w:val="0"/>
        </w:rPr>
      </w:r>
    </w:p>
    <w:p>
      <w:pPr>
        <w:spacing w:line="240" w:lineRule="auto" w:before="6"/>
        <w:rPr>
          <w:rFonts w:ascii="宋体" w:hAnsi="宋体" w:cs="宋体" w:eastAsia="宋体" w:hint="default"/>
          <w:b/>
          <w:bCs/>
          <w:sz w:val="26"/>
          <w:szCs w:val="26"/>
        </w:rPr>
      </w:pPr>
    </w:p>
    <w:p>
      <w:pPr>
        <w:pStyle w:val="BodyText"/>
        <w:spacing w:line="417" w:lineRule="auto"/>
        <w:ind w:right="75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执行新金融工具准则导致的会计政策变更</w:t>
      </w:r>
    </w:p>
    <w:p>
      <w:pPr>
        <w:pStyle w:val="BodyText"/>
        <w:spacing w:line="451" w:lineRule="auto" w:before="99"/>
        <w:ind w:right="1064" w:firstLine="420"/>
        <w:jc w:val="left"/>
      </w:pPr>
      <w:r>
        <w:rPr/>
        <w:t>财政部于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31</w:t>
      </w:r>
      <w:r>
        <w:rPr/>
        <w:t>日分别发布了《企业会计准则第</w:t>
      </w:r>
      <w:r>
        <w:rPr>
          <w:rFonts w:ascii="Times New Roman" w:hAnsi="Times New Roman" w:cs="Times New Roman" w:eastAsia="Times New Roman" w:hint="default"/>
        </w:rPr>
        <w:t>22</w:t>
      </w:r>
      <w:r>
        <w:rPr/>
        <w:t>号</w:t>
      </w:r>
      <w:r>
        <w:rPr>
          <w:rFonts w:ascii="Times New Roman" w:hAnsi="Times New Roman" w:cs="Times New Roman" w:eastAsia="Times New Roman" w:hint="default"/>
        </w:rPr>
        <w:t>——</w:t>
      </w:r>
      <w:r>
        <w:rPr/>
        <w:t>金融工具确认和计量（</w:t>
      </w:r>
      <w:r>
        <w:rPr>
          <w:rFonts w:ascii="Times New Roman" w:hAnsi="Times New Roman" w:cs="Times New Roman" w:eastAsia="Times New Roman" w:hint="default"/>
        </w:rPr>
        <w:t>2017</w:t>
      </w:r>
      <w:r>
        <w:rPr/>
        <w:t>年修订）》（财会〔</w:t>
      </w:r>
      <w:r>
        <w:rPr>
          <w:rFonts w:ascii="Times New Roman" w:hAnsi="Times New Roman" w:cs="Times New Roman" w:eastAsia="Times New Roman" w:hint="default"/>
        </w:rPr>
        <w:t>2017</w:t>
      </w:r>
      <w:r>
        <w:rPr/>
        <w:t>〕 </w:t>
      </w:r>
      <w:r>
        <w:rPr>
          <w:rFonts w:ascii="Times New Roman" w:hAnsi="Times New Roman" w:cs="Times New Roman" w:eastAsia="Times New Roman" w:hint="default"/>
          <w:spacing w:val="-2"/>
        </w:rPr>
        <w:t>7</w:t>
      </w:r>
      <w:r>
        <w:rPr>
          <w:spacing w:val="-2"/>
        </w:rPr>
        <w:t>号）、《企业会计准则第</w:t>
      </w:r>
      <w:r>
        <w:rPr>
          <w:rFonts w:ascii="Times New Roman" w:hAnsi="Times New Roman" w:cs="Times New Roman" w:eastAsia="Times New Roman" w:hint="default"/>
          <w:spacing w:val="-2"/>
        </w:rPr>
        <w:t>23</w:t>
      </w:r>
      <w:r>
        <w:rPr>
          <w:spacing w:val="-2"/>
        </w:rPr>
        <w:t>号</w:t>
      </w:r>
      <w:r>
        <w:rPr>
          <w:rFonts w:ascii="Times New Roman" w:hAnsi="Times New Roman" w:cs="Times New Roman" w:eastAsia="Times New Roman" w:hint="default"/>
          <w:spacing w:val="-2"/>
        </w:rPr>
        <w:t>——</w:t>
      </w:r>
      <w:r>
        <w:rPr>
          <w:spacing w:val="-2"/>
        </w:rPr>
        <w:t>金融资产转移（</w:t>
      </w:r>
      <w:r>
        <w:rPr>
          <w:rFonts w:ascii="Times New Roman" w:hAnsi="Times New Roman" w:cs="Times New Roman" w:eastAsia="Times New Roman" w:hint="default"/>
          <w:spacing w:val="-2"/>
        </w:rPr>
        <w:t>2017</w:t>
      </w:r>
      <w:r>
        <w:rPr>
          <w:spacing w:val="-2"/>
        </w:rPr>
        <w:t>年修订）》（财会〔</w:t>
      </w:r>
      <w:r>
        <w:rPr>
          <w:rFonts w:ascii="Times New Roman" w:hAnsi="Times New Roman" w:cs="Times New Roman" w:eastAsia="Times New Roman" w:hint="default"/>
          <w:spacing w:val="-2"/>
        </w:rPr>
        <w:t>2017</w:t>
      </w:r>
      <w:r>
        <w:rPr>
          <w:spacing w:val="-2"/>
        </w:rPr>
        <w:t>〕</w:t>
      </w:r>
      <w:r>
        <w:rPr>
          <w:rFonts w:ascii="Times New Roman" w:hAnsi="Times New Roman" w:cs="Times New Roman" w:eastAsia="Times New Roman" w:hint="default"/>
          <w:spacing w:val="-2"/>
        </w:rPr>
        <w:t>8</w:t>
      </w:r>
      <w:r>
        <w:rPr>
          <w:spacing w:val="-2"/>
        </w:rPr>
        <w:t>号）、《企业会计准则第</w:t>
      </w:r>
      <w:r>
        <w:rPr>
          <w:rFonts w:ascii="Times New Roman" w:hAnsi="Times New Roman" w:cs="Times New Roman" w:eastAsia="Times New Roman" w:hint="default"/>
          <w:spacing w:val="-2"/>
        </w:rPr>
        <w:t>24</w:t>
      </w:r>
      <w:r>
        <w:rPr>
          <w:spacing w:val="-2"/>
        </w:rPr>
        <w:t>号</w:t>
      </w:r>
      <w:r>
        <w:rPr>
          <w:rFonts w:ascii="Times New Roman" w:hAnsi="Times New Roman" w:cs="Times New Roman" w:eastAsia="Times New Roman" w:hint="default"/>
          <w:spacing w:val="-2"/>
        </w:rPr>
        <w:t>——</w:t>
      </w:r>
      <w:r>
        <w:rPr>
          <w:spacing w:val="-2"/>
        </w:rPr>
        <w:t>套期</w:t>
      </w:r>
      <w:r>
        <w:rPr>
          <w:spacing w:val="-64"/>
        </w:rPr>
        <w:t> </w:t>
      </w:r>
      <w:r>
        <w:rPr/>
        <w:t>会计（</w:t>
      </w:r>
      <w:r>
        <w:rPr>
          <w:rFonts w:ascii="Times New Roman" w:hAnsi="Times New Roman" w:cs="Times New Roman" w:eastAsia="Times New Roman" w:hint="default"/>
        </w:rPr>
        <w:t>2017</w:t>
      </w:r>
      <w:r>
        <w:rPr/>
        <w:t>年修订）》（财会〔</w:t>
      </w:r>
      <w:r>
        <w:rPr>
          <w:rFonts w:ascii="Times New Roman" w:hAnsi="Times New Roman" w:cs="Times New Roman" w:eastAsia="Times New Roman" w:hint="default"/>
        </w:rPr>
        <w:t>2017</w:t>
      </w:r>
      <w:r>
        <w:rPr/>
        <w:t>〕</w:t>
      </w:r>
      <w:r>
        <w:rPr>
          <w:rFonts w:ascii="Times New Roman" w:hAnsi="Times New Roman" w:cs="Times New Roman" w:eastAsia="Times New Roman" w:hint="default"/>
        </w:rPr>
        <w:t>9</w:t>
      </w:r>
      <w:r>
        <w:rPr/>
        <w:t>号），于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w:t>
      </w:r>
      <w:r>
        <w:rPr/>
        <w:t>日发布了《企业会计准则第</w:t>
      </w:r>
      <w:r>
        <w:rPr>
          <w:rFonts w:ascii="Times New Roman" w:hAnsi="Times New Roman" w:cs="Times New Roman" w:eastAsia="Times New Roman" w:hint="default"/>
        </w:rPr>
        <w:t>37</w:t>
      </w:r>
      <w:r>
        <w:rPr/>
        <w:t>号</w:t>
      </w:r>
      <w:r>
        <w:rPr>
          <w:rFonts w:ascii="Times New Roman" w:hAnsi="Times New Roman" w:cs="Times New Roman" w:eastAsia="Times New Roman" w:hint="default"/>
        </w:rPr>
        <w:t>——</w:t>
      </w:r>
      <w:r>
        <w:rPr/>
        <w:t>金融工具列报（</w:t>
      </w:r>
      <w:r>
        <w:rPr>
          <w:rFonts w:ascii="Times New Roman" w:hAnsi="Times New Roman" w:cs="Times New Roman" w:eastAsia="Times New Roman" w:hint="default"/>
        </w:rPr>
        <w:t>2017</w:t>
      </w:r>
      <w:r>
        <w:rPr/>
        <w:t>年修</w:t>
      </w:r>
      <w:r>
        <w:rPr>
          <w:spacing w:val="-3"/>
        </w:rPr>
        <w:t> </w:t>
      </w:r>
      <w:r>
        <w:rPr>
          <w:spacing w:val="-2"/>
        </w:rPr>
        <w:t>订）》（财会〔</w:t>
      </w:r>
      <w:r>
        <w:rPr>
          <w:rFonts w:ascii="Times New Roman" w:hAnsi="Times New Roman" w:cs="Times New Roman" w:eastAsia="Times New Roman" w:hint="default"/>
          <w:spacing w:val="-2"/>
        </w:rPr>
        <w:t>2017</w:t>
      </w:r>
      <w:r>
        <w:rPr>
          <w:spacing w:val="-2"/>
        </w:rPr>
        <w:t>〕</w:t>
      </w:r>
      <w:r>
        <w:rPr>
          <w:rFonts w:ascii="Times New Roman" w:hAnsi="Times New Roman" w:cs="Times New Roman" w:eastAsia="Times New Roman" w:hint="default"/>
          <w:spacing w:val="-2"/>
        </w:rPr>
        <w:t>14</w:t>
      </w:r>
      <w:r>
        <w:rPr>
          <w:spacing w:val="-2"/>
        </w:rPr>
        <w:t>号）（上述准则统称</w:t>
      </w:r>
      <w:r>
        <w:rPr>
          <w:rFonts w:ascii="Times New Roman" w:hAnsi="Times New Roman" w:cs="Times New Roman" w:eastAsia="Times New Roman" w:hint="default"/>
          <w:spacing w:val="-2"/>
        </w:rPr>
        <w:t>“</w:t>
      </w:r>
      <w:r>
        <w:rPr>
          <w:spacing w:val="-2"/>
        </w:rPr>
        <w:t>新金融工具准则</w:t>
      </w:r>
      <w:r>
        <w:rPr>
          <w:rFonts w:ascii="Times New Roman" w:hAnsi="Times New Roman" w:cs="Times New Roman" w:eastAsia="Times New Roman" w:hint="default"/>
          <w:spacing w:val="-2"/>
        </w:rPr>
        <w:t>”</w:t>
      </w:r>
      <w:r>
        <w:rPr>
          <w:spacing w:val="-2"/>
        </w:rPr>
        <w:t>），要求境内上市企业自</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1</w:t>
      </w:r>
      <w:r>
        <w:rPr>
          <w:spacing w:val="-2"/>
        </w:rPr>
        <w:t>日起执行新金融工具准</w:t>
      </w:r>
      <w:r>
        <w:rPr>
          <w:spacing w:val="-35"/>
        </w:rPr>
        <w:t> </w:t>
      </w:r>
      <w:r>
        <w:rPr>
          <w:spacing w:val="-35"/>
        </w:rPr>
      </w:r>
      <w:r>
        <w:rPr/>
        <w:t>则。</w:t>
      </w:r>
    </w:p>
    <w:p>
      <w:pPr>
        <w:pStyle w:val="BodyText"/>
        <w:spacing w:line="451" w:lineRule="auto" w:before="74"/>
        <w:ind w:right="1244" w:firstLine="420"/>
        <w:jc w:val="left"/>
      </w:pPr>
      <w:r>
        <w:rPr/>
        <w:t>经本公司于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29</w:t>
      </w:r>
      <w:r>
        <w:rPr/>
        <w:t>日召开第六届董事会第二十三次会议及第六届监事会第十三次会议决议通过，本公司于</w:t>
      </w:r>
      <w:r>
        <w:rPr>
          <w:rFonts w:ascii="Times New Roman" w:hAnsi="Times New Roman" w:cs="Times New Roman" w:eastAsia="Times New Roman" w:hint="default"/>
        </w:rPr>
        <w:t>2019 </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日起开始执行前述新金融工具准则。</w:t>
      </w:r>
    </w:p>
    <w:p>
      <w:pPr>
        <w:pStyle w:val="BodyText"/>
        <w:spacing w:line="477" w:lineRule="auto" w:before="44"/>
        <w:ind w:right="1130" w:firstLine="420"/>
        <w:jc w:val="both"/>
      </w:pPr>
      <w:r>
        <w:rPr/>
        <w:t>在新金融工具准则下所有已确认金融资产，其后续均按摊余成本或公允价值计量。在新金融工具准则施行日，以本公 </w:t>
      </w:r>
      <w:r>
        <w:rPr>
          <w:spacing w:val="-2"/>
        </w:rPr>
        <w:t>司该日既有事实和情况为基础评估管理金融资产的业务模式、以金融资产初始确认时的事实和情况为基础评估该金融资产上</w:t>
      </w:r>
      <w:r>
        <w:rPr>
          <w:spacing w:val="-63"/>
        </w:rPr>
        <w:t> </w:t>
      </w:r>
      <w:r>
        <w:rPr>
          <w:spacing w:val="-63"/>
        </w:rPr>
      </w:r>
      <w:r>
        <w:rPr>
          <w:spacing w:val="-2"/>
        </w:rPr>
        <w:t>的合同现金流量特征，将金融资产分为三类：按摊余成本计量、按公允价值计量且其变动计入其他综合收益及按公允价值计</w:t>
      </w:r>
      <w:r>
        <w:rPr>
          <w:spacing w:val="-63"/>
        </w:rPr>
        <w:t> </w:t>
      </w:r>
      <w:r>
        <w:rPr>
          <w:spacing w:val="-63"/>
        </w:rPr>
      </w:r>
      <w:r>
        <w:rPr>
          <w:spacing w:val="-2"/>
        </w:rPr>
        <w:t>量且其变动计入当期损益。其中，对于按公允价值计量且其变动计入其他综合收益的权益工具投资，当该金融资产终止确认</w:t>
      </w:r>
      <w:r>
        <w:rPr>
          <w:spacing w:val="-63"/>
        </w:rPr>
        <w:t> </w:t>
      </w:r>
      <w:r>
        <w:rPr>
          <w:spacing w:val="-63"/>
        </w:rPr>
      </w:r>
      <w:r>
        <w:rPr/>
        <w:t>时，之前计入其他综合收益的累计利得或损失将从其他综合收益转入留存收益，不计入当期损益。</w:t>
      </w:r>
    </w:p>
    <w:p>
      <w:pPr>
        <w:pStyle w:val="BodyText"/>
        <w:spacing w:line="477" w:lineRule="auto" w:before="54"/>
        <w:ind w:right="1171" w:firstLine="420"/>
        <w:jc w:val="both"/>
      </w:pPr>
      <w:r>
        <w:rPr/>
        <w:t>在新金融工具准则下，本公司以预期信用损失为基础，对以摊余成本计量的金融资产、以公允价值计量且其变动计入 其他综合收益的债务工具投资、租赁应收款、合同资产及财务担保合同计提减值准备并确认信用减值损失。</w:t>
      </w:r>
    </w:p>
    <w:p>
      <w:pPr>
        <w:pStyle w:val="BodyText"/>
        <w:spacing w:line="463" w:lineRule="auto" w:before="55"/>
        <w:ind w:right="1129" w:firstLine="420"/>
        <w:jc w:val="both"/>
      </w:pPr>
      <w:r>
        <w:rPr/>
        <w:t>本公司追溯应用新金融工具准则，但对于分类和计量（含减值）涉及前期比较财务报表数据与新金融工具准则不一致 </w:t>
      </w:r>
      <w:r>
        <w:rPr>
          <w:spacing w:val="-2"/>
        </w:rPr>
        <w:t>的，本公司选择不进行重述。因此，对于首次执行该准则的累积影响数，本公司调整</w:t>
      </w:r>
      <w:r>
        <w:rPr>
          <w:rFonts w:ascii="Times New Roman" w:hAnsi="Times New Roman" w:cs="Times New Roman" w:eastAsia="Times New Roman" w:hint="default"/>
          <w:spacing w:val="-2"/>
        </w:rPr>
        <w:t>2019</w:t>
      </w:r>
      <w:r>
        <w:rPr>
          <w:spacing w:val="-2"/>
        </w:rPr>
        <w:t>年年初留存收益或其他综合收益以</w:t>
      </w:r>
      <w:r>
        <w:rPr>
          <w:spacing w:val="-60"/>
        </w:rPr>
        <w:t> </w:t>
      </w:r>
      <w:r>
        <w:rPr/>
        <w:t>及财务报表其他相关项目金额，</w:t>
      </w:r>
      <w:r>
        <w:rPr>
          <w:rFonts w:ascii="Times New Roman" w:hAnsi="Times New Roman" w:cs="Times New Roman" w:eastAsia="Times New Roman" w:hint="default"/>
        </w:rPr>
        <w:t>2018</w:t>
      </w:r>
      <w:r>
        <w:rPr/>
        <w:t>年度的财务报表未予重述。</w:t>
      </w:r>
    </w:p>
    <w:p>
      <w:pPr>
        <w:pStyle w:val="BodyText"/>
        <w:spacing w:line="477" w:lineRule="auto" w:before="33"/>
        <w:ind w:left="573" w:right="1153" w:hanging="421"/>
        <w:jc w:val="left"/>
      </w:pPr>
      <w:r>
        <w:rPr/>
        <w:t>执行新金融工具准则对本公司的主要变化和影响如下： 本公司于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日及以后将持有的部分非交易性股权投资指定为以公允价值计量且其变动计入其他综合收益的金</w:t>
      </w:r>
    </w:p>
    <w:p>
      <w:pPr>
        <w:pStyle w:val="BodyText"/>
        <w:spacing w:line="477" w:lineRule="auto" w:before="21"/>
        <w:ind w:left="573" w:right="1153" w:hanging="421"/>
        <w:jc w:val="left"/>
      </w:pPr>
      <w:r>
        <w:rPr/>
        <w:t>融资产，列报为其他权益工具投资。 本公司持有的某些理财产品等，其收益率与观察日的汇率、同业拆借利率、贵金属现货行情等变量挂钩，原列报为其</w:t>
      </w:r>
    </w:p>
    <w:p>
      <w:pPr>
        <w:spacing w:after="0" w:line="477"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451" w:lineRule="auto"/>
        <w:ind w:right="1129"/>
        <w:jc w:val="left"/>
      </w:pPr>
      <w:r>
        <w:rPr>
          <w:spacing w:val="-2"/>
        </w:rPr>
        <w:t>他流动资产。由于其合同现金流量不仅仅为对本金和以未偿付本金为基础的利息的支付，本公司在</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1</w:t>
      </w:r>
      <w:r>
        <w:rPr>
          <w:spacing w:val="-2"/>
        </w:rPr>
        <w:t>日及以后将其</w:t>
      </w:r>
      <w:r>
        <w:rPr>
          <w:spacing w:val="-59"/>
        </w:rPr>
        <w:t> </w:t>
      </w:r>
      <w:r>
        <w:rPr>
          <w:spacing w:val="-59"/>
        </w:rPr>
      </w:r>
      <w:r>
        <w:rPr/>
        <w:t>重分类为以公允价值计量且其变动计入当期损益的金融资产，列报为交易性金融资产。</w:t>
      </w:r>
    </w:p>
    <w:p>
      <w:pPr>
        <w:pStyle w:val="BodyText"/>
        <w:spacing w:line="451" w:lineRule="auto" w:before="74"/>
        <w:ind w:right="1131" w:firstLine="420"/>
        <w:jc w:val="both"/>
      </w:pPr>
      <w:r>
        <w:rPr>
          <w:spacing w:val="-2"/>
        </w:rPr>
        <w:t>公司金融资产减值准备计提由</w:t>
      </w:r>
      <w:r>
        <w:rPr>
          <w:rFonts w:ascii="Times New Roman" w:hAnsi="Times New Roman" w:cs="Times New Roman" w:eastAsia="Times New Roman" w:hint="default"/>
          <w:spacing w:val="-2"/>
        </w:rPr>
        <w:t>“</w:t>
      </w:r>
      <w:r>
        <w:rPr>
          <w:spacing w:val="-2"/>
        </w:rPr>
        <w:t>已发生损失法</w:t>
      </w:r>
      <w:r>
        <w:rPr>
          <w:rFonts w:ascii="Times New Roman" w:hAnsi="Times New Roman" w:cs="Times New Roman" w:eastAsia="Times New Roman" w:hint="default"/>
          <w:spacing w:val="-2"/>
        </w:rPr>
        <w:t>”</w:t>
      </w:r>
      <w:r>
        <w:rPr>
          <w:spacing w:val="-2"/>
        </w:rPr>
        <w:t>改为</w:t>
      </w:r>
      <w:r>
        <w:rPr>
          <w:rFonts w:ascii="Times New Roman" w:hAnsi="Times New Roman" w:cs="Times New Roman" w:eastAsia="Times New Roman" w:hint="default"/>
          <w:spacing w:val="-2"/>
        </w:rPr>
        <w:t>“</w:t>
      </w:r>
      <w:r>
        <w:rPr>
          <w:spacing w:val="-2"/>
        </w:rPr>
        <w:t>预期损失法</w:t>
      </w:r>
      <w:r>
        <w:rPr>
          <w:rFonts w:ascii="Times New Roman" w:hAnsi="Times New Roman" w:cs="Times New Roman" w:eastAsia="Times New Roman" w:hint="default"/>
          <w:spacing w:val="-2"/>
        </w:rPr>
        <w:t>”</w:t>
      </w:r>
      <w:r>
        <w:rPr>
          <w:spacing w:val="-2"/>
        </w:rPr>
        <w:t>。利润表项目新增</w:t>
      </w:r>
      <w:r>
        <w:rPr>
          <w:rFonts w:ascii="Times New Roman" w:hAnsi="Times New Roman" w:cs="Times New Roman" w:eastAsia="Times New Roman" w:hint="default"/>
          <w:spacing w:val="-2"/>
        </w:rPr>
        <w:t>“</w:t>
      </w:r>
      <w:r>
        <w:rPr>
          <w:spacing w:val="-2"/>
        </w:rPr>
        <w:t>信用减值损失</w:t>
      </w:r>
      <w:r>
        <w:rPr>
          <w:rFonts w:ascii="Times New Roman" w:hAnsi="Times New Roman" w:cs="Times New Roman" w:eastAsia="Times New Roman" w:hint="default"/>
          <w:spacing w:val="-2"/>
        </w:rPr>
        <w:t>”</w:t>
      </w:r>
      <w:r>
        <w:rPr>
          <w:spacing w:val="-2"/>
        </w:rPr>
        <w:t>，用以核算企业按照</w:t>
      </w:r>
      <w:r>
        <w:rPr/>
        <w:t> 新金融工具准则的要求计提的各项金融工具减值准备所形成的预期信用损失。利润表项目从</w:t>
      </w:r>
      <w:r>
        <w:rPr>
          <w:rFonts w:ascii="Times New Roman" w:hAnsi="Times New Roman" w:cs="Times New Roman" w:eastAsia="Times New Roman" w:hint="default"/>
        </w:rPr>
        <w:t>“</w:t>
      </w:r>
      <w:r>
        <w:rPr/>
        <w:t>资产减值损失</w:t>
      </w:r>
      <w:r>
        <w:rPr>
          <w:rFonts w:ascii="Times New Roman" w:hAnsi="Times New Roman" w:cs="Times New Roman" w:eastAsia="Times New Roman" w:hint="default"/>
        </w:rPr>
        <w:t>”</w:t>
      </w:r>
      <w:r>
        <w:rPr/>
        <w:t>调整为在</w:t>
      </w:r>
      <w:r>
        <w:rPr>
          <w:rFonts w:ascii="Times New Roman" w:hAnsi="Times New Roman" w:cs="Times New Roman" w:eastAsia="Times New Roman" w:hint="default"/>
        </w:rPr>
        <w:t>“</w:t>
      </w:r>
      <w:r>
        <w:rPr/>
        <w:t>信用</w:t>
      </w:r>
      <w:r>
        <w:rPr>
          <w:spacing w:val="-88"/>
        </w:rPr>
        <w:t> </w:t>
      </w:r>
      <w:r>
        <w:rPr/>
        <w:t>减值损失</w:t>
      </w:r>
      <w:r>
        <w:rPr>
          <w:rFonts w:ascii="Times New Roman" w:hAnsi="Times New Roman" w:cs="Times New Roman" w:eastAsia="Times New Roman" w:hint="default"/>
        </w:rPr>
        <w:t>”</w:t>
      </w:r>
      <w:r>
        <w:rPr/>
        <w:t>中列示。</w:t>
      </w:r>
    </w:p>
    <w:p>
      <w:pPr>
        <w:spacing w:line="240" w:lineRule="auto" w:before="9"/>
        <w:rPr>
          <w:rFonts w:ascii="宋体" w:hAnsi="宋体" w:cs="宋体" w:eastAsia="宋体" w:hint="default"/>
          <w:sz w:val="16"/>
          <w:szCs w:val="16"/>
        </w:rPr>
      </w:pPr>
    </w:p>
    <w:p>
      <w:pPr>
        <w:pStyle w:val="Heading2"/>
        <w:spacing w:line="240" w:lineRule="auto"/>
        <w:ind w:right="1133"/>
        <w:jc w:val="left"/>
        <w:rPr>
          <w:b w:val="0"/>
          <w:bCs w:val="0"/>
        </w:rPr>
      </w:pPr>
      <w:bookmarkStart w:name="七、报告期内发生重大会计差错更正需追溯重述的情况说明" w:id="69"/>
      <w:bookmarkEnd w:id="69"/>
      <w:r>
        <w:rPr>
          <w:b w:val="0"/>
          <w:bCs w:val="0"/>
        </w:rPr>
      </w:r>
      <w:r>
        <w:rPr/>
        <w:t>七、报告期内发生重大会计差错更正需追溯重述的情况说明</w:t>
      </w:r>
      <w:r>
        <w:rPr>
          <w:b w:val="0"/>
          <w:bCs w:val="0"/>
        </w:rPr>
      </w:r>
    </w:p>
    <w:p>
      <w:pPr>
        <w:spacing w:line="240" w:lineRule="auto" w:before="6"/>
        <w:rPr>
          <w:rFonts w:ascii="宋体" w:hAnsi="宋体" w:cs="宋体" w:eastAsia="宋体" w:hint="default"/>
          <w:b/>
          <w:bCs/>
          <w:sz w:val="26"/>
          <w:szCs w:val="26"/>
        </w:rPr>
      </w:pPr>
    </w:p>
    <w:p>
      <w:pPr>
        <w:pStyle w:val="BodyText"/>
        <w:spacing w:line="338" w:lineRule="auto"/>
        <w:ind w:right="66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公司报告期无重大会计差错更正需追溯重述的情况。</w:t>
      </w:r>
    </w:p>
    <w:p>
      <w:pPr>
        <w:spacing w:line="240" w:lineRule="auto" w:before="9"/>
        <w:rPr>
          <w:rFonts w:ascii="宋体" w:hAnsi="宋体" w:cs="宋体" w:eastAsia="宋体" w:hint="default"/>
          <w:sz w:val="19"/>
          <w:szCs w:val="19"/>
        </w:rPr>
      </w:pPr>
    </w:p>
    <w:p>
      <w:pPr>
        <w:pStyle w:val="Heading2"/>
        <w:spacing w:line="240" w:lineRule="auto"/>
        <w:ind w:right="1133"/>
        <w:jc w:val="left"/>
        <w:rPr>
          <w:b w:val="0"/>
          <w:bCs w:val="0"/>
        </w:rPr>
      </w:pPr>
      <w:bookmarkStart w:name="八、与上年度财务报告相比，合并报表范围发生变化的情况说明" w:id="70"/>
      <w:bookmarkEnd w:id="70"/>
      <w:r>
        <w:rPr>
          <w:b w:val="0"/>
          <w:bCs w:val="0"/>
        </w:rPr>
      </w:r>
      <w:r>
        <w:rPr/>
        <w:t>八、与上年度财务报告相比，合并报表范围发生变化的情况说明</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1"/>
        <w:ind w:left="573" w:right="1133"/>
        <w:jc w:val="left"/>
      </w:pPr>
      <w:r>
        <w:rPr/>
        <w:t>（</w:t>
      </w:r>
      <w:r>
        <w:rPr>
          <w:rFonts w:ascii="Times New Roman" w:hAnsi="Times New Roman" w:cs="Times New Roman" w:eastAsia="Times New Roman" w:hint="default"/>
        </w:rPr>
        <w:t>1</w:t>
      </w:r>
      <w:r>
        <w:rPr/>
        <w:t>）注销</w:t>
      </w:r>
    </w:p>
    <w:p>
      <w:pPr>
        <w:spacing w:line="240" w:lineRule="auto" w:before="8"/>
        <w:rPr>
          <w:rFonts w:ascii="宋体" w:hAnsi="宋体" w:cs="宋体" w:eastAsia="宋体" w:hint="default"/>
          <w:sz w:val="4"/>
          <w:szCs w:val="4"/>
        </w:rPr>
      </w:pPr>
    </w:p>
    <w:tbl>
      <w:tblPr>
        <w:tblW w:w="0" w:type="auto"/>
        <w:jc w:val="left"/>
        <w:tblInd w:w="138" w:type="dxa"/>
        <w:tblLayout w:type="fixed"/>
        <w:tblCellMar>
          <w:top w:w="0" w:type="dxa"/>
          <w:left w:w="0" w:type="dxa"/>
          <w:bottom w:w="0" w:type="dxa"/>
          <w:right w:w="0" w:type="dxa"/>
        </w:tblCellMar>
        <w:tblLook w:val="01E0"/>
      </w:tblPr>
      <w:tblGrid>
        <w:gridCol w:w="4050"/>
        <w:gridCol w:w="1757"/>
        <w:gridCol w:w="1769"/>
        <w:gridCol w:w="2084"/>
      </w:tblGrid>
      <w:tr>
        <w:trPr>
          <w:trHeight w:val="416" w:hRule="exact"/>
        </w:trPr>
        <w:tc>
          <w:tcPr>
            <w:tcW w:w="40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left="424" w:right="0"/>
              <w:jc w:val="left"/>
              <w:rPr>
                <w:rFonts w:ascii="宋体" w:hAnsi="宋体" w:cs="宋体" w:eastAsia="宋体" w:hint="default"/>
                <w:sz w:val="18"/>
                <w:szCs w:val="18"/>
              </w:rPr>
            </w:pPr>
            <w:r>
              <w:rPr>
                <w:rFonts w:ascii="宋体" w:hAnsi="宋体" w:cs="宋体" w:eastAsia="宋体" w:hint="default"/>
                <w:sz w:val="18"/>
                <w:szCs w:val="18"/>
              </w:rPr>
              <w:t>子公司级次</w:t>
            </w:r>
          </w:p>
        </w:tc>
        <w:tc>
          <w:tcPr>
            <w:tcW w:w="17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left="518" w:right="0"/>
              <w:jc w:val="left"/>
              <w:rPr>
                <w:rFonts w:ascii="宋体" w:hAnsi="宋体" w:cs="宋体" w:eastAsia="宋体" w:hint="default"/>
                <w:sz w:val="18"/>
                <w:szCs w:val="18"/>
              </w:rPr>
            </w:pPr>
            <w:r>
              <w:rPr>
                <w:rFonts w:ascii="宋体" w:hAnsi="宋体" w:cs="宋体" w:eastAsia="宋体" w:hint="default"/>
                <w:sz w:val="18"/>
                <w:szCs w:val="18"/>
              </w:rPr>
              <w:t>变动原因</w:t>
            </w:r>
          </w:p>
        </w:tc>
        <w:tc>
          <w:tcPr>
            <w:tcW w:w="20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sz w:val="18"/>
                <w:szCs w:val="18"/>
              </w:rPr>
              <w:t>注销时点</w:t>
            </w:r>
          </w:p>
        </w:tc>
      </w:tr>
      <w:tr>
        <w:trPr>
          <w:trHeight w:val="420" w:hRule="exact"/>
        </w:trPr>
        <w:tc>
          <w:tcPr>
            <w:tcW w:w="4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上海达实自动化工程有限公司</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24" w:right="0"/>
              <w:jc w:val="left"/>
              <w:rPr>
                <w:rFonts w:ascii="宋体" w:hAnsi="宋体" w:cs="宋体" w:eastAsia="宋体" w:hint="default"/>
                <w:sz w:val="18"/>
                <w:szCs w:val="18"/>
              </w:rPr>
            </w:pPr>
            <w:r>
              <w:rPr>
                <w:rFonts w:ascii="宋体" w:hAnsi="宋体" w:cs="宋体" w:eastAsia="宋体" w:hint="default"/>
                <w:sz w:val="18"/>
                <w:szCs w:val="18"/>
              </w:rPr>
              <w:t>一级子公司</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18" w:right="0"/>
              <w:jc w:val="left"/>
              <w:rPr>
                <w:rFonts w:ascii="宋体" w:hAnsi="宋体" w:cs="宋体" w:eastAsia="宋体" w:hint="default"/>
                <w:sz w:val="18"/>
                <w:szCs w:val="18"/>
              </w:rPr>
            </w:pPr>
            <w:r>
              <w:rPr>
                <w:rFonts w:ascii="宋体" w:hAnsi="宋体" w:cs="宋体" w:eastAsia="宋体" w:hint="default"/>
                <w:sz w:val="18"/>
                <w:szCs w:val="18"/>
              </w:rPr>
              <w:t>清算注销</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2019-08-13</w:t>
            </w:r>
          </w:p>
        </w:tc>
      </w:tr>
      <w:tr>
        <w:trPr>
          <w:trHeight w:val="422" w:hRule="exact"/>
        </w:trPr>
        <w:tc>
          <w:tcPr>
            <w:tcW w:w="4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汕头达实智慧医疗投资发展有限公司</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24" w:right="0"/>
              <w:jc w:val="left"/>
              <w:rPr>
                <w:rFonts w:ascii="宋体" w:hAnsi="宋体" w:cs="宋体" w:eastAsia="宋体" w:hint="default"/>
                <w:sz w:val="18"/>
                <w:szCs w:val="18"/>
              </w:rPr>
            </w:pPr>
            <w:r>
              <w:rPr>
                <w:rFonts w:ascii="宋体" w:hAnsi="宋体" w:cs="宋体" w:eastAsia="宋体" w:hint="default"/>
                <w:sz w:val="18"/>
                <w:szCs w:val="18"/>
              </w:rPr>
              <w:t>一级子公司</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518" w:right="0"/>
              <w:jc w:val="left"/>
              <w:rPr>
                <w:rFonts w:ascii="宋体" w:hAnsi="宋体" w:cs="宋体" w:eastAsia="宋体" w:hint="default"/>
                <w:sz w:val="18"/>
                <w:szCs w:val="18"/>
              </w:rPr>
            </w:pPr>
            <w:r>
              <w:rPr>
                <w:rFonts w:ascii="宋体" w:hAnsi="宋体" w:cs="宋体" w:eastAsia="宋体" w:hint="default"/>
                <w:sz w:val="18"/>
                <w:szCs w:val="18"/>
              </w:rPr>
              <w:t>清算注销</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2" w:right="0"/>
              <w:jc w:val="center"/>
              <w:rPr>
                <w:rFonts w:ascii="Times New Roman" w:hAnsi="Times New Roman" w:cs="Times New Roman" w:eastAsia="Times New Roman" w:hint="default"/>
                <w:sz w:val="18"/>
                <w:szCs w:val="18"/>
              </w:rPr>
            </w:pPr>
            <w:r>
              <w:rPr>
                <w:rFonts w:ascii="Times New Roman"/>
                <w:sz w:val="18"/>
              </w:rPr>
              <w:t>2019-11-12</w:t>
            </w:r>
          </w:p>
        </w:tc>
      </w:tr>
    </w:tbl>
    <w:p>
      <w:pPr>
        <w:pStyle w:val="BodyText"/>
        <w:spacing w:line="240" w:lineRule="auto" w:before="8"/>
        <w:ind w:left="573" w:right="1133"/>
        <w:jc w:val="left"/>
      </w:pPr>
      <w:r>
        <w:rPr/>
        <w:t>（</w:t>
      </w:r>
      <w:r>
        <w:rPr>
          <w:rFonts w:ascii="Times New Roman" w:hAnsi="Times New Roman" w:cs="Times New Roman" w:eastAsia="Times New Roman" w:hint="default"/>
        </w:rPr>
        <w:t>2</w:t>
      </w:r>
      <w:r>
        <w:rPr/>
        <w:t>）新设</w:t>
      </w:r>
    </w:p>
    <w:p>
      <w:pPr>
        <w:spacing w:line="240" w:lineRule="auto" w:before="7"/>
        <w:rPr>
          <w:rFonts w:ascii="宋体" w:hAnsi="宋体" w:cs="宋体" w:eastAsia="宋体" w:hint="default"/>
          <w:sz w:val="4"/>
          <w:szCs w:val="4"/>
        </w:rPr>
      </w:pPr>
    </w:p>
    <w:tbl>
      <w:tblPr>
        <w:tblW w:w="0" w:type="auto"/>
        <w:jc w:val="left"/>
        <w:tblInd w:w="138" w:type="dxa"/>
        <w:tblLayout w:type="fixed"/>
        <w:tblCellMar>
          <w:top w:w="0" w:type="dxa"/>
          <w:left w:w="0" w:type="dxa"/>
          <w:bottom w:w="0" w:type="dxa"/>
          <w:right w:w="0" w:type="dxa"/>
        </w:tblCellMar>
        <w:tblLook w:val="01E0"/>
      </w:tblPr>
      <w:tblGrid>
        <w:gridCol w:w="3414"/>
        <w:gridCol w:w="1416"/>
        <w:gridCol w:w="1654"/>
        <w:gridCol w:w="1517"/>
        <w:gridCol w:w="1658"/>
      </w:tblGrid>
      <w:tr>
        <w:trPr>
          <w:trHeight w:val="416" w:hRule="exact"/>
        </w:trPr>
        <w:tc>
          <w:tcPr>
            <w:tcW w:w="34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子公司级次</w:t>
            </w:r>
          </w:p>
        </w:tc>
        <w:tc>
          <w:tcPr>
            <w:tcW w:w="1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 w:right="0"/>
              <w:jc w:val="center"/>
              <w:rPr>
                <w:rFonts w:ascii="宋体" w:hAnsi="宋体" w:cs="宋体" w:eastAsia="宋体" w:hint="default"/>
                <w:sz w:val="18"/>
                <w:szCs w:val="18"/>
              </w:rPr>
            </w:pPr>
            <w:r>
              <w:rPr>
                <w:rFonts w:ascii="宋体" w:hAnsi="宋体" w:cs="宋体" w:eastAsia="宋体" w:hint="default"/>
                <w:sz w:val="18"/>
                <w:szCs w:val="18"/>
              </w:rPr>
              <w:t>股权取得方式</w:t>
            </w:r>
          </w:p>
        </w:tc>
        <w:tc>
          <w:tcPr>
            <w:tcW w:w="15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股权取得时点</w:t>
            </w:r>
          </w:p>
        </w:tc>
        <w:tc>
          <w:tcPr>
            <w:tcW w:w="16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新增方式</w:t>
            </w:r>
          </w:p>
        </w:tc>
      </w:tr>
      <w:tr>
        <w:trPr>
          <w:trHeight w:val="422" w:hRule="exact"/>
        </w:trPr>
        <w:tc>
          <w:tcPr>
            <w:tcW w:w="3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深圳达实物联网技术有限公司</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宋体" w:hAnsi="宋体" w:cs="宋体" w:eastAsia="宋体" w:hint="default"/>
                <w:sz w:val="18"/>
                <w:szCs w:val="18"/>
              </w:rPr>
              <w:t>一级子公司</w:t>
            </w: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子公司达实信息分立</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 w:right="0"/>
              <w:jc w:val="center"/>
              <w:rPr>
                <w:rFonts w:ascii="Times New Roman" w:hAnsi="Times New Roman" w:cs="Times New Roman" w:eastAsia="Times New Roman" w:hint="default"/>
                <w:sz w:val="18"/>
                <w:szCs w:val="18"/>
              </w:rPr>
            </w:pPr>
            <w:r>
              <w:rPr>
                <w:rFonts w:ascii="Times New Roman"/>
                <w:sz w:val="18"/>
              </w:rPr>
              <w:t>2019-01-11</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新设</w:t>
            </w:r>
          </w:p>
        </w:tc>
      </w:tr>
      <w:tr>
        <w:trPr>
          <w:trHeight w:val="420" w:hRule="exact"/>
        </w:trPr>
        <w:tc>
          <w:tcPr>
            <w:tcW w:w="3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青岛达实智慧科技有限公司</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sz w:val="18"/>
                <w:szCs w:val="18"/>
              </w:rPr>
              <w:t>一级子公司</w:t>
            </w: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sz w:val="18"/>
                <w:szCs w:val="18"/>
              </w:rPr>
              <w:t>货币出资</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1" w:right="0"/>
              <w:jc w:val="center"/>
              <w:rPr>
                <w:rFonts w:ascii="Times New Roman" w:hAnsi="Times New Roman" w:cs="Times New Roman" w:eastAsia="Times New Roman" w:hint="default"/>
                <w:sz w:val="18"/>
                <w:szCs w:val="18"/>
              </w:rPr>
            </w:pPr>
            <w:r>
              <w:rPr>
                <w:rFonts w:ascii="Times New Roman"/>
                <w:sz w:val="18"/>
              </w:rPr>
              <w:t>2019-01-21</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新设</w:t>
            </w:r>
          </w:p>
        </w:tc>
      </w:tr>
      <w:tr>
        <w:trPr>
          <w:trHeight w:val="422" w:hRule="exact"/>
        </w:trPr>
        <w:tc>
          <w:tcPr>
            <w:tcW w:w="3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淮南达实智慧医疗有限公司</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sz w:val="18"/>
                <w:szCs w:val="18"/>
              </w:rPr>
              <w:t>一级子公司</w:t>
            </w:r>
          </w:p>
        </w:tc>
        <w:tc>
          <w:tcPr>
            <w:tcW w:w="1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sz w:val="18"/>
                <w:szCs w:val="18"/>
              </w:rPr>
              <w:t>货币出资</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1" w:right="0"/>
              <w:jc w:val="center"/>
              <w:rPr>
                <w:rFonts w:ascii="Times New Roman" w:hAnsi="Times New Roman" w:cs="Times New Roman" w:eastAsia="Times New Roman" w:hint="default"/>
                <w:sz w:val="18"/>
                <w:szCs w:val="18"/>
              </w:rPr>
            </w:pPr>
            <w:r>
              <w:rPr>
                <w:rFonts w:ascii="Times New Roman"/>
                <w:sz w:val="18"/>
              </w:rPr>
              <w:t>2019-03-22</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新设</w:t>
            </w:r>
          </w:p>
        </w:tc>
      </w:tr>
    </w:tbl>
    <w:p>
      <w:pPr>
        <w:pStyle w:val="BodyText"/>
        <w:spacing w:line="240" w:lineRule="auto" w:before="8"/>
        <w:ind w:left="573" w:right="1133"/>
        <w:jc w:val="left"/>
      </w:pPr>
      <w:r>
        <w:rPr/>
        <w:t>（</w:t>
      </w:r>
      <w:r>
        <w:rPr>
          <w:rFonts w:ascii="Times New Roman" w:hAnsi="Times New Roman" w:cs="Times New Roman" w:eastAsia="Times New Roman" w:hint="default"/>
        </w:rPr>
        <w:t>3</w:t>
      </w:r>
      <w:r>
        <w:rPr/>
        <w:t>）其他</w:t>
      </w:r>
    </w:p>
    <w:p>
      <w:pPr>
        <w:spacing w:line="240" w:lineRule="auto" w:before="7"/>
        <w:rPr>
          <w:rFonts w:ascii="宋体" w:hAnsi="宋体" w:cs="宋体" w:eastAsia="宋体" w:hint="default"/>
          <w:sz w:val="4"/>
          <w:szCs w:val="4"/>
        </w:rPr>
      </w:pPr>
    </w:p>
    <w:tbl>
      <w:tblPr>
        <w:tblW w:w="0" w:type="auto"/>
        <w:jc w:val="left"/>
        <w:tblInd w:w="138" w:type="dxa"/>
        <w:tblLayout w:type="fixed"/>
        <w:tblCellMar>
          <w:top w:w="0" w:type="dxa"/>
          <w:left w:w="0" w:type="dxa"/>
          <w:bottom w:w="0" w:type="dxa"/>
          <w:right w:w="0" w:type="dxa"/>
        </w:tblCellMar>
        <w:tblLook w:val="01E0"/>
      </w:tblPr>
      <w:tblGrid>
        <w:gridCol w:w="3414"/>
        <w:gridCol w:w="1610"/>
        <w:gridCol w:w="1460"/>
        <w:gridCol w:w="1517"/>
        <w:gridCol w:w="1658"/>
      </w:tblGrid>
      <w:tr>
        <w:trPr>
          <w:trHeight w:val="415" w:hRule="exact"/>
        </w:trPr>
        <w:tc>
          <w:tcPr>
            <w:tcW w:w="34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350" w:right="0"/>
              <w:jc w:val="left"/>
              <w:rPr>
                <w:rFonts w:ascii="宋体" w:hAnsi="宋体" w:cs="宋体" w:eastAsia="宋体" w:hint="default"/>
                <w:sz w:val="18"/>
                <w:szCs w:val="18"/>
              </w:rPr>
            </w:pPr>
            <w:r>
              <w:rPr>
                <w:rFonts w:ascii="宋体" w:hAnsi="宋体" w:cs="宋体" w:eastAsia="宋体" w:hint="default"/>
                <w:sz w:val="18"/>
                <w:szCs w:val="18"/>
              </w:rPr>
              <w:t>子公司级次</w:t>
            </w:r>
          </w:p>
        </w:tc>
        <w:tc>
          <w:tcPr>
            <w:tcW w:w="1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股权取得方式</w:t>
            </w:r>
          </w:p>
        </w:tc>
        <w:tc>
          <w:tcPr>
            <w:tcW w:w="15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股权取得时点</w:t>
            </w:r>
          </w:p>
        </w:tc>
        <w:tc>
          <w:tcPr>
            <w:tcW w:w="16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新增方式</w:t>
            </w:r>
          </w:p>
        </w:tc>
      </w:tr>
      <w:tr>
        <w:trPr>
          <w:trHeight w:val="422" w:hRule="exact"/>
        </w:trPr>
        <w:tc>
          <w:tcPr>
            <w:tcW w:w="3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平行咨询有限公司</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50" w:right="0"/>
              <w:jc w:val="left"/>
              <w:rPr>
                <w:rFonts w:ascii="宋体" w:hAnsi="宋体" w:cs="宋体" w:eastAsia="宋体" w:hint="default"/>
                <w:sz w:val="18"/>
                <w:szCs w:val="18"/>
              </w:rPr>
            </w:pPr>
            <w:r>
              <w:rPr>
                <w:rFonts w:ascii="宋体" w:hAnsi="宋体" w:cs="宋体" w:eastAsia="宋体" w:hint="default"/>
                <w:sz w:val="18"/>
                <w:szCs w:val="18"/>
              </w:rPr>
              <w:t>一级子公司</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货币支付</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2019-09-01</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购买少数股东权益</w:t>
            </w:r>
          </w:p>
        </w:tc>
      </w:tr>
    </w:tbl>
    <w:p>
      <w:pPr>
        <w:pStyle w:val="BodyText"/>
        <w:spacing w:line="451" w:lineRule="auto" w:before="87"/>
        <w:ind w:right="1126" w:firstLine="420"/>
        <w:jc w:val="both"/>
      </w:pPr>
      <w:r>
        <w:rPr/>
        <w:t>注：平行咨询有限公司为在香港注册的公司，购买日，该公司唯一资产为持有本公司子公司达实租赁</w:t>
      </w:r>
      <w:r>
        <w:rPr>
          <w:rFonts w:ascii="Times New Roman" w:hAnsi="Times New Roman" w:cs="Times New Roman" w:eastAsia="Times New Roman" w:hint="default"/>
        </w:rPr>
        <w:t>25%</w:t>
      </w:r>
      <w:r>
        <w:rPr/>
        <w:t>股权。本公 </w:t>
      </w:r>
      <w:r>
        <w:rPr>
          <w:spacing w:val="-2"/>
        </w:rPr>
        <w:t>司购买平行咨询有限公司</w:t>
      </w:r>
      <w:r>
        <w:rPr>
          <w:rFonts w:ascii="Times New Roman" w:hAnsi="Times New Roman" w:cs="Times New Roman" w:eastAsia="Times New Roman" w:hint="default"/>
          <w:spacing w:val="-2"/>
        </w:rPr>
        <w:t>100%</w:t>
      </w:r>
      <w:r>
        <w:rPr>
          <w:spacing w:val="-2"/>
        </w:rPr>
        <w:t>股权后，间接持有达实租赁</w:t>
      </w:r>
      <w:r>
        <w:rPr>
          <w:rFonts w:ascii="Times New Roman" w:hAnsi="Times New Roman" w:cs="Times New Roman" w:eastAsia="Times New Roman" w:hint="default"/>
          <w:spacing w:val="-2"/>
        </w:rPr>
        <w:t>25%</w:t>
      </w:r>
      <w:r>
        <w:rPr>
          <w:spacing w:val="-2"/>
        </w:rPr>
        <w:t>股权，加上直接持有达实租赁</w:t>
      </w:r>
      <w:r>
        <w:rPr>
          <w:rFonts w:ascii="Times New Roman" w:hAnsi="Times New Roman" w:cs="Times New Roman" w:eastAsia="Times New Roman" w:hint="default"/>
          <w:spacing w:val="-2"/>
        </w:rPr>
        <w:t>75%</w:t>
      </w:r>
      <w:r>
        <w:rPr>
          <w:spacing w:val="-2"/>
        </w:rPr>
        <w:t>股权，合并对达实租赁持股</w:t>
      </w:r>
      <w:r>
        <w:rPr>
          <w:spacing w:val="-61"/>
        </w:rPr>
        <w:t> </w:t>
      </w:r>
      <w:r>
        <w:rPr>
          <w:spacing w:val="-61"/>
        </w:rPr>
      </w:r>
      <w:r>
        <w:rPr>
          <w:rFonts w:ascii="Times New Roman" w:hAnsi="Times New Roman" w:cs="Times New Roman" w:eastAsia="Times New Roman" w:hint="default"/>
        </w:rPr>
        <w:t>100%</w:t>
      </w:r>
      <w:r>
        <w:rPr/>
        <w:t>。本公司对并购平行咨询有限公司</w:t>
      </w:r>
      <w:r>
        <w:rPr>
          <w:rFonts w:ascii="Times New Roman" w:hAnsi="Times New Roman" w:cs="Times New Roman" w:eastAsia="Times New Roman" w:hint="default"/>
        </w:rPr>
        <w:t>100%</w:t>
      </w:r>
      <w:r>
        <w:rPr/>
        <w:t>股权在财务报表合并层按并购少数股东权益进行会计处理。</w:t>
      </w:r>
    </w:p>
    <w:p>
      <w:pPr>
        <w:spacing w:line="240" w:lineRule="auto" w:before="9"/>
        <w:rPr>
          <w:rFonts w:ascii="宋体" w:hAnsi="宋体" w:cs="宋体" w:eastAsia="宋体" w:hint="default"/>
          <w:sz w:val="16"/>
          <w:szCs w:val="16"/>
        </w:rPr>
      </w:pPr>
    </w:p>
    <w:p>
      <w:pPr>
        <w:pStyle w:val="Heading2"/>
        <w:spacing w:line="240" w:lineRule="auto"/>
        <w:ind w:right="1133"/>
        <w:jc w:val="left"/>
        <w:rPr>
          <w:b w:val="0"/>
          <w:bCs w:val="0"/>
        </w:rPr>
      </w:pPr>
      <w:bookmarkStart w:name="九、聘任、解聘会计师事务所情况" w:id="71"/>
      <w:bookmarkEnd w:id="71"/>
      <w:r>
        <w:rPr>
          <w:b w:val="0"/>
          <w:bCs w:val="0"/>
        </w:rPr>
      </w:r>
      <w:r>
        <w:rPr/>
        <w:t>九、聘任、解聘会计师事务所情况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t>现聘任的会计师事务所</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90"/>
        <w:gridCol w:w="4779"/>
      </w:tblGrid>
      <w:tr>
        <w:trPr>
          <w:trHeight w:val="402"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中勤万信会计师事务所（特殊普通合伙）</w:t>
            </w:r>
          </w:p>
        </w:tc>
      </w:tr>
      <w:tr>
        <w:trPr>
          <w:trHeight w:val="402"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w:t>
            </w:r>
          </w:p>
        </w:tc>
      </w:tr>
      <w:tr>
        <w:trPr>
          <w:trHeight w:val="403"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8</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4790"/>
        <w:gridCol w:w="4779"/>
      </w:tblGrid>
      <w:tr>
        <w:trPr>
          <w:trHeight w:val="401"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潘忠民、黄建军</w:t>
            </w:r>
          </w:p>
        </w:tc>
      </w:tr>
      <w:tr>
        <w:trPr>
          <w:trHeight w:val="403"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4" w:right="0"/>
              <w:jc w:val="left"/>
              <w:rPr>
                <w:rFonts w:ascii="Times New Roman" w:hAnsi="Times New Roman" w:cs="Times New Roman" w:eastAsia="Times New Roman" w:hint="default"/>
                <w:sz w:val="18"/>
                <w:szCs w:val="18"/>
              </w:rPr>
            </w:pPr>
            <w:r>
              <w:rPr>
                <w:rFonts w:ascii="Times New Roman"/>
                <w:sz w:val="18"/>
              </w:rPr>
              <w:t>1</w:t>
            </w:r>
          </w:p>
        </w:tc>
      </w:tr>
    </w:tbl>
    <w:p>
      <w:pPr>
        <w:pStyle w:val="BodyText"/>
        <w:spacing w:line="240" w:lineRule="auto" w:before="49"/>
        <w:ind w:right="1133"/>
        <w:jc w:val="left"/>
      </w:pPr>
      <w:r>
        <w:rPr/>
        <w:t>当期是否改聘会计师事务所</w:t>
      </w:r>
    </w:p>
    <w:p>
      <w:pPr>
        <w:pStyle w:val="BodyText"/>
        <w:spacing w:line="340" w:lineRule="auto" w:before="115"/>
        <w:ind w:right="625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否 聘请内部控制审计会计师事务所、财务顾问或保荐人情况</w:t>
      </w:r>
    </w:p>
    <w:p>
      <w:pPr>
        <w:pStyle w:val="BodyText"/>
        <w:spacing w:line="240" w:lineRule="auto" w:before="41"/>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24"/>
          <w:szCs w:val="24"/>
        </w:rPr>
      </w:pPr>
    </w:p>
    <w:p>
      <w:pPr>
        <w:pStyle w:val="Heading2"/>
        <w:spacing w:line="240" w:lineRule="auto"/>
        <w:ind w:right="1133"/>
        <w:jc w:val="left"/>
        <w:rPr>
          <w:b w:val="0"/>
          <w:bCs w:val="0"/>
        </w:rPr>
      </w:pPr>
      <w:bookmarkStart w:name="十、年度报告披露后面临暂停上市和终止上市情况" w:id="72"/>
      <w:bookmarkEnd w:id="72"/>
      <w:r>
        <w:rPr>
          <w:b w:val="0"/>
          <w:bCs w:val="0"/>
        </w:rPr>
      </w:r>
      <w:r>
        <w:rPr/>
        <w:t>十、年度报告披露后面临暂停上市和终止上市情况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pStyle w:val="Heading2"/>
        <w:spacing w:line="240" w:lineRule="auto"/>
        <w:ind w:right="1133"/>
        <w:jc w:val="left"/>
        <w:rPr>
          <w:b w:val="0"/>
          <w:bCs w:val="0"/>
        </w:rPr>
      </w:pPr>
      <w:bookmarkStart w:name="十一、破产重整相关事项" w:id="73"/>
      <w:bookmarkEnd w:id="73"/>
      <w:r>
        <w:rPr>
          <w:b w:val="0"/>
          <w:bCs w:val="0"/>
        </w:rPr>
      </w:r>
      <w:r>
        <w:rPr/>
        <w:t>十一、破产重整相关事项</w:t>
      </w:r>
      <w:r>
        <w:rPr>
          <w:b w:val="0"/>
          <w:bCs w:val="0"/>
        </w:rPr>
      </w:r>
    </w:p>
    <w:p>
      <w:pPr>
        <w:spacing w:line="240" w:lineRule="auto" w:before="6"/>
        <w:rPr>
          <w:rFonts w:ascii="宋体" w:hAnsi="宋体" w:cs="宋体" w:eastAsia="宋体" w:hint="default"/>
          <w:b/>
          <w:bCs/>
          <w:sz w:val="26"/>
          <w:szCs w:val="26"/>
        </w:rPr>
      </w:pPr>
    </w:p>
    <w:p>
      <w:pPr>
        <w:pStyle w:val="BodyText"/>
        <w:spacing w:line="340" w:lineRule="auto"/>
        <w:ind w:right="76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公司报告期未发生破产重整相关事项。</w:t>
      </w:r>
    </w:p>
    <w:p>
      <w:pPr>
        <w:spacing w:line="240" w:lineRule="auto" w:before="4"/>
        <w:rPr>
          <w:rFonts w:ascii="宋体" w:hAnsi="宋体" w:cs="宋体" w:eastAsia="宋体" w:hint="default"/>
          <w:sz w:val="19"/>
          <w:szCs w:val="19"/>
        </w:rPr>
      </w:pPr>
    </w:p>
    <w:p>
      <w:pPr>
        <w:pStyle w:val="Heading2"/>
        <w:spacing w:line="240" w:lineRule="auto"/>
        <w:ind w:right="1133"/>
        <w:jc w:val="left"/>
        <w:rPr>
          <w:b w:val="0"/>
          <w:bCs w:val="0"/>
        </w:rPr>
      </w:pPr>
      <w:bookmarkStart w:name="十二、重大诉讼、仲裁事项" w:id="74"/>
      <w:bookmarkEnd w:id="74"/>
      <w:r>
        <w:rPr>
          <w:b w:val="0"/>
          <w:bCs w:val="0"/>
        </w:rPr>
      </w:r>
      <w:r>
        <w:rPr/>
        <w:t>十二、重大诉讼、仲裁事项</w:t>
      </w:r>
      <w:r>
        <w:rPr>
          <w:b w:val="0"/>
          <w:bCs w:val="0"/>
        </w:rPr>
      </w:r>
    </w:p>
    <w:p>
      <w:pPr>
        <w:spacing w:line="240" w:lineRule="auto" w:before="6"/>
        <w:rPr>
          <w:rFonts w:ascii="宋体" w:hAnsi="宋体" w:cs="宋体" w:eastAsia="宋体" w:hint="default"/>
          <w:b/>
          <w:bCs/>
          <w:sz w:val="26"/>
          <w:szCs w:val="26"/>
        </w:rPr>
      </w:pPr>
    </w:p>
    <w:p>
      <w:pPr>
        <w:pStyle w:val="BodyText"/>
        <w:spacing w:line="340" w:lineRule="auto"/>
        <w:ind w:right="76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本报告期公司无重大诉讼、仲裁事项。</w:t>
      </w:r>
    </w:p>
    <w:p>
      <w:pPr>
        <w:spacing w:line="240" w:lineRule="auto" w:before="4"/>
        <w:rPr>
          <w:rFonts w:ascii="宋体" w:hAnsi="宋体" w:cs="宋体" w:eastAsia="宋体" w:hint="default"/>
          <w:sz w:val="19"/>
          <w:szCs w:val="19"/>
        </w:rPr>
      </w:pPr>
    </w:p>
    <w:p>
      <w:pPr>
        <w:pStyle w:val="Heading2"/>
        <w:spacing w:line="240" w:lineRule="auto"/>
        <w:ind w:right="1133"/>
        <w:jc w:val="left"/>
        <w:rPr>
          <w:b w:val="0"/>
          <w:bCs w:val="0"/>
        </w:rPr>
      </w:pPr>
      <w:bookmarkStart w:name="十三、处罚及整改情况" w:id="75"/>
      <w:bookmarkEnd w:id="75"/>
      <w:r>
        <w:rPr>
          <w:b w:val="0"/>
          <w:bCs w:val="0"/>
        </w:rPr>
      </w:r>
      <w:r>
        <w:rPr/>
        <w:t>十三、处罚及整改情况</w:t>
      </w:r>
      <w:r>
        <w:rPr>
          <w:b w:val="0"/>
          <w:bCs w:val="0"/>
        </w:rPr>
      </w:r>
    </w:p>
    <w:p>
      <w:pPr>
        <w:spacing w:line="240" w:lineRule="auto" w:before="7"/>
        <w:rPr>
          <w:rFonts w:ascii="宋体" w:hAnsi="宋体" w:cs="宋体" w:eastAsia="宋体" w:hint="default"/>
          <w:b/>
          <w:bCs/>
          <w:sz w:val="26"/>
          <w:szCs w:val="26"/>
        </w:rPr>
      </w:pPr>
    </w:p>
    <w:p>
      <w:pPr>
        <w:pStyle w:val="BodyText"/>
        <w:spacing w:line="340" w:lineRule="auto"/>
        <w:ind w:right="787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公司报告期不存在处罚及整改情况。</w:t>
      </w:r>
    </w:p>
    <w:p>
      <w:pPr>
        <w:spacing w:line="240" w:lineRule="auto" w:before="6"/>
        <w:rPr>
          <w:rFonts w:ascii="宋体" w:hAnsi="宋体" w:cs="宋体" w:eastAsia="宋体" w:hint="default"/>
          <w:sz w:val="19"/>
          <w:szCs w:val="19"/>
        </w:rPr>
      </w:pPr>
    </w:p>
    <w:p>
      <w:pPr>
        <w:pStyle w:val="Heading2"/>
        <w:spacing w:line="240" w:lineRule="auto"/>
        <w:ind w:right="1133"/>
        <w:jc w:val="left"/>
        <w:rPr>
          <w:b w:val="0"/>
          <w:bCs w:val="0"/>
        </w:rPr>
      </w:pPr>
      <w:bookmarkStart w:name="十四、公司及其控股股东、实际控制人的诚信状况" w:id="76"/>
      <w:bookmarkEnd w:id="76"/>
      <w:r>
        <w:rPr>
          <w:b w:val="0"/>
          <w:bCs w:val="0"/>
        </w:rPr>
      </w:r>
      <w:r>
        <w:rPr/>
        <w:t>十四、公司及其控股股东、实际控制人的诚信状况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0"/>
        <w:rPr>
          <w:rFonts w:ascii="宋体" w:hAnsi="宋体" w:cs="宋体" w:eastAsia="宋体" w:hint="default"/>
          <w:sz w:val="13"/>
          <w:szCs w:val="13"/>
        </w:rPr>
      </w:pPr>
    </w:p>
    <w:p>
      <w:pPr>
        <w:pStyle w:val="BodyText"/>
        <w:spacing w:line="477" w:lineRule="auto"/>
        <w:ind w:right="1154" w:firstLine="420"/>
        <w:jc w:val="left"/>
      </w:pPr>
      <w:r>
        <w:rPr/>
        <w:t>报告期内，公司及控股股东达实投资、实际控制人刘磅先生诚信状况良好，不存在未履行法院生效判决、所负数额较 大的债务到期未清偿等情况。</w:t>
      </w:r>
    </w:p>
    <w:p>
      <w:pPr>
        <w:spacing w:line="240" w:lineRule="auto" w:before="7"/>
        <w:rPr>
          <w:rFonts w:ascii="宋体" w:hAnsi="宋体" w:cs="宋体" w:eastAsia="宋体" w:hint="default"/>
          <w:sz w:val="17"/>
          <w:szCs w:val="17"/>
        </w:rPr>
      </w:pPr>
    </w:p>
    <w:p>
      <w:pPr>
        <w:pStyle w:val="Heading2"/>
        <w:spacing w:line="240" w:lineRule="auto"/>
        <w:ind w:right="1133"/>
        <w:jc w:val="left"/>
        <w:rPr>
          <w:b w:val="0"/>
          <w:bCs w:val="0"/>
        </w:rPr>
      </w:pPr>
      <w:bookmarkStart w:name="十五、公司股权激励计划、员工持股计划或其他员工激励措施的实施情况" w:id="77"/>
      <w:bookmarkEnd w:id="77"/>
      <w:r>
        <w:rPr>
          <w:b w:val="0"/>
          <w:bCs w:val="0"/>
        </w:rPr>
      </w:r>
      <w:r>
        <w:rPr/>
        <w:t>十五、公司股权激励计划、员工持股计划或其他员工激励措施的实施情况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0"/>
        <w:rPr>
          <w:rFonts w:ascii="宋体" w:hAnsi="宋体" w:cs="宋体" w:eastAsia="宋体" w:hint="default"/>
          <w:sz w:val="13"/>
          <w:szCs w:val="13"/>
        </w:rPr>
      </w:pPr>
    </w:p>
    <w:p>
      <w:pPr>
        <w:pStyle w:val="BodyText"/>
        <w:spacing w:line="468" w:lineRule="auto"/>
        <w:ind w:right="1129" w:firstLine="420"/>
        <w:jc w:val="left"/>
      </w:pPr>
      <w:r>
        <w:rPr>
          <w:rFonts w:ascii="Times New Roman" w:hAnsi="Times New Roman" w:cs="Times New Roman" w:eastAsia="Times New Roman" w:hint="default"/>
        </w:rPr>
        <w:t>1.2019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5</w:t>
      </w:r>
      <w:r>
        <w:rPr/>
        <w:t>日，公司召开第六届董事会第二十五次会议、第六届监事会第十四次会议，审议通过了《第三期限制性 </w:t>
      </w:r>
      <w:r>
        <w:rPr>
          <w:spacing w:val="-2"/>
        </w:rPr>
        <w:t>股票激励计划（草案）》及摘要、《第三期限制性股票激励计划考核管理办法》《关于提请股东大会授权董事会办理第三期</w:t>
      </w:r>
      <w:r>
        <w:rPr>
          <w:spacing w:val="-69"/>
        </w:rPr>
        <w:t> </w:t>
      </w:r>
      <w:r>
        <w:rPr>
          <w:spacing w:val="-69"/>
        </w:rPr>
      </w:r>
      <w:r>
        <w:rPr>
          <w:spacing w:val="-2"/>
        </w:rPr>
        <w:t>限制性股票激励计划相关事宜的议案》《关于核实第三期限制性股票激励计划中授予限制性股票激励对象名单的议案》，详</w:t>
      </w:r>
      <w:r>
        <w:rPr>
          <w:spacing w:val="-66"/>
        </w:rPr>
        <w:t> </w:t>
      </w:r>
      <w:r>
        <w:rPr>
          <w:spacing w:val="-66"/>
        </w:rPr>
      </w:r>
      <w:r>
        <w:rPr/>
        <w:t>见公司于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8</w:t>
      </w:r>
      <w:r>
        <w:rPr/>
        <w:t>日在巨潮资讯网披露的相关公告。</w:t>
      </w:r>
    </w:p>
    <w:p>
      <w:pPr>
        <w:pStyle w:val="BodyText"/>
        <w:spacing w:line="240" w:lineRule="auto" w:before="29"/>
        <w:ind w:left="573" w:right="0"/>
        <w:jc w:val="left"/>
      </w:pPr>
      <w:r>
        <w:rPr>
          <w:rFonts w:ascii="Times New Roman" w:hAnsi="Times New Roman" w:cs="Times New Roman" w:eastAsia="Times New Roman" w:hint="default"/>
        </w:rPr>
        <w:t>2.</w:t>
      </w:r>
      <w:r>
        <w:rPr/>
        <w:t>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20</w:t>
      </w:r>
      <w:r>
        <w:rPr/>
        <w:t>日在巨潮资讯网披露了《监事会关于第三期限制性股票激励计划激励对象名单审核意见及公示情</w:t>
      </w:r>
    </w:p>
    <w:p>
      <w:pPr>
        <w:spacing w:after="0" w:line="240"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240" w:lineRule="auto"/>
        <w:ind w:right="0"/>
        <w:jc w:val="both"/>
      </w:pPr>
      <w:r>
        <w:rPr/>
        <w:t>况说明》。</w:t>
      </w:r>
    </w:p>
    <w:p>
      <w:pPr>
        <w:spacing w:line="240" w:lineRule="auto" w:before="10"/>
        <w:rPr>
          <w:rFonts w:ascii="宋体" w:hAnsi="宋体" w:cs="宋体" w:eastAsia="宋体" w:hint="default"/>
          <w:sz w:val="17"/>
          <w:szCs w:val="17"/>
        </w:rPr>
      </w:pPr>
    </w:p>
    <w:p>
      <w:pPr>
        <w:pStyle w:val="BodyText"/>
        <w:spacing w:line="240" w:lineRule="auto"/>
        <w:ind w:left="573" w:right="0"/>
        <w:jc w:val="left"/>
      </w:pPr>
      <w:r>
        <w:rPr>
          <w:rFonts w:ascii="Times New Roman" w:hAnsi="Times New Roman" w:cs="Times New Roman" w:eastAsia="Times New Roman" w:hint="default"/>
        </w:rPr>
        <w:t>3.2019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25</w:t>
      </w:r>
      <w:r>
        <w:rPr/>
        <w:t>日，公司召开</w:t>
      </w:r>
      <w:r>
        <w:rPr>
          <w:rFonts w:ascii="Times New Roman" w:hAnsi="Times New Roman" w:cs="Times New Roman" w:eastAsia="Times New Roman" w:hint="default"/>
        </w:rPr>
        <w:t>2019</w:t>
      </w:r>
      <w:r>
        <w:rPr/>
        <w:t>年第一次临时股东大会，审议通过了《第三期限制性股票激励计划（草案）》及摘要、</w:t>
      </w:r>
    </w:p>
    <w:p>
      <w:pPr>
        <w:spacing w:line="240" w:lineRule="auto" w:before="9"/>
        <w:rPr>
          <w:rFonts w:ascii="宋体" w:hAnsi="宋体" w:cs="宋体" w:eastAsia="宋体" w:hint="default"/>
          <w:sz w:val="16"/>
          <w:szCs w:val="16"/>
        </w:rPr>
      </w:pPr>
    </w:p>
    <w:p>
      <w:pPr>
        <w:pStyle w:val="BodyText"/>
        <w:spacing w:line="463" w:lineRule="auto"/>
        <w:ind w:right="1130"/>
        <w:jc w:val="both"/>
      </w:pPr>
      <w:r>
        <w:rPr>
          <w:spacing w:val="-2"/>
        </w:rPr>
        <w:t>《第三期限制性股票激励计划考核管理办法》《关于提请股东大会授权董事会办理第三期限制性股票激励计划相关事宜的议</w:t>
      </w:r>
      <w:r>
        <w:rPr>
          <w:spacing w:val="-64"/>
        </w:rPr>
        <w:t> </w:t>
      </w:r>
      <w:r>
        <w:rPr>
          <w:spacing w:val="-64"/>
        </w:rPr>
      </w:r>
      <w:r>
        <w:rPr>
          <w:spacing w:val="-3"/>
        </w:rPr>
        <w:t>案》，并公司对内幕信息知情人和激励对象在激励计划公开披露前</w:t>
      </w:r>
      <w:r>
        <w:rPr>
          <w:rFonts w:ascii="Times New Roman" w:hAnsi="Times New Roman" w:cs="Times New Roman" w:eastAsia="Times New Roman" w:hint="default"/>
          <w:spacing w:val="-3"/>
        </w:rPr>
        <w:t>6</w:t>
      </w:r>
      <w:r>
        <w:rPr>
          <w:spacing w:val="-3"/>
        </w:rPr>
        <w:t>个月内买卖公司股票的情况进行了自查，详见公司于</w:t>
      </w:r>
      <w:r>
        <w:rPr>
          <w:rFonts w:ascii="Times New Roman" w:hAnsi="Times New Roman" w:cs="Times New Roman" w:eastAsia="Times New Roman" w:hint="default"/>
          <w:spacing w:val="-3"/>
        </w:rPr>
        <w:t>2019</w:t>
      </w:r>
      <w:r>
        <w:rPr>
          <w:rFonts w:ascii="Times New Roman" w:hAnsi="Times New Roman" w:cs="Times New Roman" w:eastAsia="Times New Roman" w:hint="default"/>
        </w:rPr>
        <w:t> </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26</w:t>
      </w:r>
      <w:r>
        <w:rPr/>
        <w:t>日在巨潮资讯网披露的相关公告。</w:t>
      </w:r>
    </w:p>
    <w:p>
      <w:pPr>
        <w:pStyle w:val="BodyText"/>
        <w:spacing w:line="451" w:lineRule="auto" w:before="33"/>
        <w:ind w:right="1134" w:firstLine="420"/>
        <w:jc w:val="both"/>
      </w:pPr>
      <w:r>
        <w:rPr>
          <w:rFonts w:ascii="Times New Roman" w:hAnsi="Times New Roman" w:cs="Times New Roman" w:eastAsia="Times New Roman" w:hint="default"/>
          <w:spacing w:val="-1"/>
        </w:rPr>
        <w:t>4.2019</w:t>
      </w:r>
      <w:r>
        <w:rPr>
          <w:spacing w:val="-1"/>
        </w:rPr>
        <w:t>年</w:t>
      </w:r>
      <w:r>
        <w:rPr>
          <w:rFonts w:ascii="Times New Roman" w:hAnsi="Times New Roman" w:cs="Times New Roman" w:eastAsia="Times New Roman" w:hint="default"/>
          <w:spacing w:val="-1"/>
        </w:rPr>
        <w:t>8</w:t>
      </w:r>
      <w:r>
        <w:rPr>
          <w:spacing w:val="-1"/>
        </w:rPr>
        <w:t>月</w:t>
      </w:r>
      <w:r>
        <w:rPr>
          <w:rFonts w:ascii="Times New Roman" w:hAnsi="Times New Roman" w:cs="Times New Roman" w:eastAsia="Times New Roman" w:hint="default"/>
          <w:spacing w:val="-1"/>
        </w:rPr>
        <w:t>19</w:t>
      </w:r>
      <w:r>
        <w:rPr>
          <w:spacing w:val="-1"/>
        </w:rPr>
        <w:t>日，公司召开第六届董事会第二十七次会议、第六届监事会第十六次会议，审议通过了《关于调整第三</w:t>
      </w:r>
      <w:r>
        <w:rPr/>
        <w:t> 期限制性股票激励计划相关事项的议案》《关于向激励对象授予第三期限制性股票的议案》，详见公司于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20</w:t>
      </w:r>
      <w:r>
        <w:rPr/>
        <w:t>日在</w:t>
      </w:r>
      <w:r>
        <w:rPr>
          <w:spacing w:val="-3"/>
        </w:rPr>
        <w:t> </w:t>
      </w:r>
      <w:r>
        <w:rPr/>
        <w:t>巨潮资讯网披露的相关公告。</w:t>
      </w:r>
    </w:p>
    <w:p>
      <w:pPr>
        <w:pStyle w:val="BodyText"/>
        <w:spacing w:line="451" w:lineRule="auto" w:before="74"/>
        <w:ind w:right="1213" w:firstLine="420"/>
        <w:jc w:val="both"/>
      </w:pPr>
      <w:r>
        <w:rPr>
          <w:rFonts w:ascii="Times New Roman" w:hAnsi="Times New Roman" w:cs="Times New Roman" w:eastAsia="Times New Roman" w:hint="default"/>
        </w:rPr>
        <w:t>5.</w:t>
      </w:r>
      <w:r>
        <w:rPr/>
        <w:t>第三期限制性股票激励计划限制性股票上市日期为</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6</w:t>
      </w:r>
      <w:r>
        <w:rPr/>
        <w:t>日，详见公司于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6</w:t>
      </w:r>
      <w:r>
        <w:rPr/>
        <w:t>日在巨潮资讯网披露的相 关公告。</w:t>
      </w:r>
    </w:p>
    <w:p>
      <w:pPr>
        <w:pStyle w:val="BodyText"/>
        <w:spacing w:line="240" w:lineRule="auto" w:before="115"/>
        <w:ind w:right="0"/>
        <w:jc w:val="both"/>
      </w:pP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w:t>
      </w:r>
    </w:p>
    <w:p>
      <w:pPr>
        <w:spacing w:line="240" w:lineRule="auto" w:before="9"/>
        <w:rPr>
          <w:rFonts w:ascii="宋体" w:hAnsi="宋体" w:cs="宋体" w:eastAsia="宋体" w:hint="default"/>
          <w:sz w:val="19"/>
          <w:szCs w:val="19"/>
        </w:rPr>
      </w:pPr>
    </w:p>
    <w:p>
      <w:pPr>
        <w:pStyle w:val="BodyText"/>
        <w:spacing w:line="451" w:lineRule="auto"/>
        <w:ind w:right="1139" w:firstLine="420"/>
        <w:jc w:val="both"/>
      </w:pPr>
      <w:r>
        <w:rPr>
          <w:rFonts w:ascii="Times New Roman" w:hAnsi="Times New Roman" w:cs="Times New Roman" w:eastAsia="Times New Roman" w:hint="default"/>
        </w:rPr>
        <w:t>2019</w:t>
      </w:r>
      <w:r>
        <w:rPr/>
        <w:t>年公司合计摊销股权激励费用</w:t>
      </w:r>
      <w:r>
        <w:rPr>
          <w:rFonts w:ascii="Times New Roman" w:hAnsi="Times New Roman" w:cs="Times New Roman" w:eastAsia="Times New Roman" w:hint="default"/>
        </w:rPr>
        <w:t>5,092,633.33</w:t>
      </w:r>
      <w:r>
        <w:rPr/>
        <w:t>元，占归属于上市公司净利润</w:t>
      </w:r>
      <w:r>
        <w:rPr>
          <w:rFonts w:ascii="Times New Roman" w:hAnsi="Times New Roman" w:cs="Times New Roman" w:eastAsia="Times New Roman" w:hint="default"/>
        </w:rPr>
        <w:t>-1.49%</w:t>
      </w:r>
      <w:r>
        <w:rPr/>
        <w:t>，其中，核心技术人员股权激励费 用</w:t>
      </w:r>
      <w:r>
        <w:rPr>
          <w:rFonts w:ascii="Times New Roman" w:hAnsi="Times New Roman" w:cs="Times New Roman" w:eastAsia="Times New Roman" w:hint="default"/>
        </w:rPr>
        <w:t>1,693,908.33</w:t>
      </w:r>
      <w:r>
        <w:rPr/>
        <w:t>元，占当期股权激励费用</w:t>
      </w:r>
      <w:r>
        <w:rPr>
          <w:rFonts w:ascii="Times New Roman" w:hAnsi="Times New Roman" w:cs="Times New Roman" w:eastAsia="Times New Roman" w:hint="default"/>
        </w:rPr>
        <w:t>33.26%</w:t>
      </w:r>
      <w:r>
        <w:rPr/>
        <w:t>。</w:t>
      </w:r>
    </w:p>
    <w:p>
      <w:pPr>
        <w:spacing w:line="240" w:lineRule="auto" w:before="9"/>
        <w:rPr>
          <w:rFonts w:ascii="宋体" w:hAnsi="宋体" w:cs="宋体" w:eastAsia="宋体" w:hint="default"/>
          <w:sz w:val="16"/>
          <w:szCs w:val="16"/>
        </w:rPr>
      </w:pPr>
    </w:p>
    <w:p>
      <w:pPr>
        <w:pStyle w:val="Heading2"/>
        <w:spacing w:line="240" w:lineRule="auto"/>
        <w:ind w:right="0"/>
        <w:jc w:val="both"/>
        <w:rPr>
          <w:b w:val="0"/>
          <w:bCs w:val="0"/>
        </w:rPr>
      </w:pPr>
      <w:bookmarkStart w:name="十六、重大关联交易" w:id="78"/>
      <w:bookmarkEnd w:id="78"/>
      <w:r>
        <w:rPr>
          <w:b w:val="0"/>
          <w:bCs w:val="0"/>
        </w:rPr>
      </w:r>
      <w:r>
        <w:rPr/>
        <w:t>十六、重大关联交易</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0"/>
        <w:jc w:val="both"/>
        <w:rPr>
          <w:b w:val="0"/>
          <w:bCs w:val="0"/>
        </w:rPr>
      </w:pPr>
      <w:bookmarkStart w:name="1、与日常经营相关的关联交易" w:id="79"/>
      <w:bookmarkEnd w:id="79"/>
      <w:r>
        <w:rPr>
          <w:b w:val="0"/>
          <w:bCs w:val="0"/>
        </w:rPr>
      </w:r>
      <w:r>
        <w:rPr>
          <w:rFonts w:ascii="Times New Roman" w:hAnsi="Times New Roman" w:cs="Times New Roman" w:eastAsia="Times New Roman" w:hint="default"/>
        </w:rPr>
        <w:t>1</w:t>
      </w:r>
      <w:r>
        <w:rPr/>
        <w:t>、与日常经营相关的关联交易</w:t>
      </w:r>
      <w:r>
        <w:rPr>
          <w:b w:val="0"/>
          <w:bCs w:val="0"/>
        </w:rPr>
      </w:r>
    </w:p>
    <w:p>
      <w:pPr>
        <w:spacing w:line="240" w:lineRule="auto" w:before="2"/>
        <w:rPr>
          <w:rFonts w:ascii="宋体" w:hAnsi="宋体" w:cs="宋体" w:eastAsia="宋体" w:hint="default"/>
          <w:b/>
          <w:bCs/>
          <w:sz w:val="26"/>
          <w:szCs w:val="26"/>
        </w:rPr>
      </w:pPr>
    </w:p>
    <w:p>
      <w:pPr>
        <w:pStyle w:val="BodyText"/>
        <w:spacing w:line="340" w:lineRule="auto"/>
        <w:ind w:right="67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公司报告期未发生与日常经营相关的关联交易。</w:t>
      </w:r>
    </w:p>
    <w:p>
      <w:pPr>
        <w:spacing w:line="240" w:lineRule="auto" w:before="5"/>
        <w:rPr>
          <w:rFonts w:ascii="宋体" w:hAnsi="宋体" w:cs="宋体" w:eastAsia="宋体" w:hint="default"/>
          <w:sz w:val="21"/>
          <w:szCs w:val="21"/>
        </w:rPr>
      </w:pPr>
    </w:p>
    <w:p>
      <w:pPr>
        <w:pStyle w:val="Heading4"/>
        <w:spacing w:line="240" w:lineRule="auto"/>
        <w:ind w:right="0"/>
        <w:jc w:val="both"/>
        <w:rPr>
          <w:b w:val="0"/>
          <w:bCs w:val="0"/>
        </w:rPr>
      </w:pPr>
      <w:bookmarkStart w:name="2、资产或股权收购、出售发生的关联交易" w:id="80"/>
      <w:bookmarkEnd w:id="80"/>
      <w:r>
        <w:rPr>
          <w:b w:val="0"/>
          <w:bCs w:val="0"/>
        </w:rPr>
      </w:r>
      <w:r>
        <w:rPr>
          <w:rFonts w:ascii="Times New Roman" w:hAnsi="Times New Roman" w:cs="Times New Roman" w:eastAsia="Times New Roman" w:hint="default"/>
        </w:rPr>
        <w:t>2</w:t>
      </w:r>
      <w:r>
        <w:rPr/>
        <w:t>、资产或股权收购、出售发生的关联交易</w:t>
      </w:r>
      <w:r>
        <w:rPr>
          <w:b w:val="0"/>
          <w:bCs w:val="0"/>
        </w:rPr>
      </w:r>
    </w:p>
    <w:p>
      <w:pPr>
        <w:spacing w:line="240" w:lineRule="auto" w:before="4"/>
        <w:rPr>
          <w:rFonts w:ascii="宋体" w:hAnsi="宋体" w:cs="宋体" w:eastAsia="宋体" w:hint="default"/>
          <w:b/>
          <w:bCs/>
          <w:sz w:val="26"/>
          <w:szCs w:val="26"/>
        </w:rPr>
      </w:pPr>
    </w:p>
    <w:p>
      <w:pPr>
        <w:pStyle w:val="BodyText"/>
        <w:spacing w:line="338" w:lineRule="auto"/>
        <w:ind w:right="64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公司报告期未发生资产或股权收购、出售的关联交易。</w:t>
      </w:r>
    </w:p>
    <w:p>
      <w:pPr>
        <w:spacing w:line="240" w:lineRule="auto" w:before="7"/>
        <w:rPr>
          <w:rFonts w:ascii="宋体" w:hAnsi="宋体" w:cs="宋体" w:eastAsia="宋体" w:hint="default"/>
          <w:sz w:val="21"/>
          <w:szCs w:val="21"/>
        </w:rPr>
      </w:pPr>
    </w:p>
    <w:p>
      <w:pPr>
        <w:pStyle w:val="Heading4"/>
        <w:spacing w:line="240" w:lineRule="auto"/>
        <w:ind w:right="0"/>
        <w:jc w:val="both"/>
        <w:rPr>
          <w:b w:val="0"/>
          <w:bCs w:val="0"/>
        </w:rPr>
      </w:pPr>
      <w:bookmarkStart w:name="3、共同对外投资的关联交易" w:id="81"/>
      <w:bookmarkEnd w:id="81"/>
      <w:r>
        <w:rPr>
          <w:b w:val="0"/>
          <w:bCs w:val="0"/>
        </w:rPr>
      </w:r>
      <w:r>
        <w:rPr>
          <w:rFonts w:ascii="Times New Roman" w:hAnsi="Times New Roman" w:cs="Times New Roman" w:eastAsia="Times New Roman" w:hint="default"/>
        </w:rPr>
        <w:t>3</w:t>
      </w:r>
      <w:r>
        <w:rPr/>
        <w:t>、共同对外投资的关联交易</w:t>
      </w:r>
      <w:r>
        <w:rPr>
          <w:b w:val="0"/>
          <w:bCs w:val="0"/>
        </w:rPr>
      </w:r>
    </w:p>
    <w:p>
      <w:pPr>
        <w:spacing w:line="240" w:lineRule="auto" w:before="5"/>
        <w:rPr>
          <w:rFonts w:ascii="宋体" w:hAnsi="宋体" w:cs="宋体" w:eastAsia="宋体" w:hint="default"/>
          <w:b/>
          <w:bCs/>
          <w:sz w:val="26"/>
          <w:szCs w:val="26"/>
        </w:rPr>
      </w:pPr>
    </w:p>
    <w:p>
      <w:pPr>
        <w:pStyle w:val="BodyText"/>
        <w:spacing w:line="338" w:lineRule="auto"/>
        <w:ind w:right="715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公司报告期未发生共同对外投资的关联交易。</w:t>
      </w:r>
    </w:p>
    <w:p>
      <w:pPr>
        <w:spacing w:line="240" w:lineRule="auto" w:before="7"/>
        <w:rPr>
          <w:rFonts w:ascii="宋体" w:hAnsi="宋体" w:cs="宋体" w:eastAsia="宋体" w:hint="default"/>
          <w:sz w:val="21"/>
          <w:szCs w:val="21"/>
        </w:rPr>
      </w:pPr>
    </w:p>
    <w:p>
      <w:pPr>
        <w:pStyle w:val="Heading4"/>
        <w:spacing w:line="240" w:lineRule="auto"/>
        <w:ind w:right="0"/>
        <w:jc w:val="both"/>
        <w:rPr>
          <w:b w:val="0"/>
          <w:bCs w:val="0"/>
        </w:rPr>
      </w:pPr>
      <w:bookmarkStart w:name="4、关联债权债务往来" w:id="82"/>
      <w:bookmarkEnd w:id="82"/>
      <w:r>
        <w:rPr>
          <w:b w:val="0"/>
          <w:bCs w:val="0"/>
        </w:rPr>
      </w:r>
      <w:r>
        <w:rPr>
          <w:rFonts w:ascii="Times New Roman" w:hAnsi="Times New Roman" w:cs="Times New Roman" w:eastAsia="Times New Roman" w:hint="default"/>
        </w:rPr>
        <w:t>4</w:t>
      </w:r>
      <w:r>
        <w:rPr/>
        <w:t>、关联债权债务往来</w:t>
      </w:r>
      <w:r>
        <w:rPr>
          <w:b w:val="0"/>
          <w:bCs w:val="0"/>
        </w:rPr>
      </w:r>
    </w:p>
    <w:p>
      <w:pPr>
        <w:spacing w:line="240" w:lineRule="auto" w:before="4"/>
        <w:rPr>
          <w:rFonts w:ascii="宋体" w:hAnsi="宋体" w:cs="宋体" w:eastAsia="宋体" w:hint="default"/>
          <w:b/>
          <w:bCs/>
          <w:sz w:val="26"/>
          <w:szCs w:val="26"/>
        </w:rPr>
      </w:pPr>
    </w:p>
    <w:p>
      <w:pPr>
        <w:pStyle w:val="BodyText"/>
        <w:spacing w:line="340" w:lineRule="auto"/>
        <w:ind w:right="76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公司报告期不存在关联债权债务往来。</w:t>
      </w:r>
    </w:p>
    <w:p>
      <w:pPr>
        <w:spacing w:after="0" w:line="3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1133"/>
        <w:jc w:val="left"/>
        <w:rPr>
          <w:b w:val="0"/>
          <w:bCs w:val="0"/>
        </w:rPr>
      </w:pPr>
      <w:bookmarkStart w:name="5、其他重大关联交易" w:id="83"/>
      <w:bookmarkEnd w:id="83"/>
      <w:r>
        <w:rPr>
          <w:b w:val="0"/>
          <w:bCs w:val="0"/>
        </w:rPr>
      </w:r>
      <w:r>
        <w:rPr>
          <w:rFonts w:ascii="Times New Roman" w:hAnsi="Times New Roman" w:cs="Times New Roman" w:eastAsia="Times New Roman" w:hint="default"/>
        </w:rPr>
        <w:t>5</w:t>
      </w:r>
      <w:r>
        <w:rPr/>
        <w:t>、其他重大关联交易</w:t>
      </w:r>
      <w:r>
        <w:rPr>
          <w:b w:val="0"/>
          <w:bCs w:val="0"/>
        </w:rPr>
      </w:r>
    </w:p>
    <w:p>
      <w:pPr>
        <w:spacing w:line="240" w:lineRule="auto" w:before="5"/>
        <w:rPr>
          <w:rFonts w:ascii="宋体" w:hAnsi="宋体" w:cs="宋体" w:eastAsia="宋体" w:hint="default"/>
          <w:b/>
          <w:bCs/>
          <w:sz w:val="26"/>
          <w:szCs w:val="26"/>
        </w:rPr>
      </w:pPr>
    </w:p>
    <w:p>
      <w:pPr>
        <w:pStyle w:val="BodyText"/>
        <w:spacing w:line="338" w:lineRule="auto"/>
        <w:ind w:right="805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公司报告期无其他重大关联交易。</w:t>
      </w:r>
    </w:p>
    <w:p>
      <w:pPr>
        <w:spacing w:line="240" w:lineRule="auto" w:before="8"/>
        <w:rPr>
          <w:rFonts w:ascii="宋体" w:hAnsi="宋体" w:cs="宋体" w:eastAsia="宋体" w:hint="default"/>
          <w:sz w:val="19"/>
          <w:szCs w:val="19"/>
        </w:rPr>
      </w:pPr>
    </w:p>
    <w:p>
      <w:pPr>
        <w:pStyle w:val="Heading2"/>
        <w:spacing w:line="240" w:lineRule="auto"/>
        <w:ind w:right="1133"/>
        <w:jc w:val="left"/>
        <w:rPr>
          <w:b w:val="0"/>
          <w:bCs w:val="0"/>
        </w:rPr>
      </w:pPr>
      <w:bookmarkStart w:name="十七、重大合同及其履行情况" w:id="84"/>
      <w:bookmarkEnd w:id="84"/>
      <w:r>
        <w:rPr>
          <w:b w:val="0"/>
          <w:bCs w:val="0"/>
        </w:rPr>
      </w:r>
      <w:r>
        <w:rPr/>
        <w:t>十七、重大合同及其履行情况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1133"/>
        <w:jc w:val="left"/>
        <w:rPr>
          <w:b w:val="0"/>
          <w:bCs w:val="0"/>
        </w:rPr>
      </w:pPr>
      <w:bookmarkStart w:name="1、托管、承包、租赁事项情况" w:id="85"/>
      <w:bookmarkEnd w:id="85"/>
      <w:r>
        <w:rPr>
          <w:b w:val="0"/>
          <w:bCs w:val="0"/>
        </w:rPr>
      </w:r>
      <w:r>
        <w:rPr>
          <w:rFonts w:ascii="Times New Roman" w:hAnsi="Times New Roman" w:cs="Times New Roman" w:eastAsia="Times New Roman" w:hint="default"/>
        </w:rPr>
        <w:t>1</w:t>
      </w:r>
      <w:r>
        <w:rPr/>
        <w:t>、托管、承包、租赁事项情况</w:t>
      </w:r>
      <w:r>
        <w:rPr>
          <w:b w:val="0"/>
          <w:bCs w:val="0"/>
        </w:rPr>
      </w:r>
    </w:p>
    <w:p>
      <w:pPr>
        <w:spacing w:line="240" w:lineRule="auto" w:before="7"/>
        <w:rPr>
          <w:rFonts w:ascii="宋体" w:hAnsi="宋体" w:cs="宋体" w:eastAsia="宋体" w:hint="default"/>
          <w:b/>
          <w:bCs/>
          <w:sz w:val="24"/>
          <w:szCs w:val="24"/>
        </w:rPr>
      </w:pPr>
    </w:p>
    <w:p>
      <w:pPr>
        <w:pStyle w:val="Heading4"/>
        <w:spacing w:line="240" w:lineRule="auto"/>
        <w:ind w:right="1133"/>
        <w:jc w:val="left"/>
        <w:rPr>
          <w:b w:val="0"/>
          <w:bCs w:val="0"/>
        </w:rPr>
      </w:pPr>
      <w:bookmarkStart w:name="（1）托管情况" w:id="86"/>
      <w:bookmarkEnd w:id="86"/>
      <w:r>
        <w:rPr>
          <w:b w:val="0"/>
          <w:bCs w:val="0"/>
        </w:rPr>
      </w:r>
      <w:r>
        <w:rPr/>
        <w:t>（</w:t>
      </w:r>
      <w:r>
        <w:rPr>
          <w:rFonts w:ascii="Times New Roman" w:hAnsi="Times New Roman" w:cs="Times New Roman" w:eastAsia="Times New Roman" w:hint="default"/>
        </w:rPr>
        <w:t>1</w:t>
      </w:r>
      <w:r>
        <w:rPr/>
        <w:t>）托管情况</w:t>
      </w:r>
      <w:r>
        <w:rPr>
          <w:b w:val="0"/>
          <w:bCs w:val="0"/>
        </w:rPr>
      </w:r>
    </w:p>
    <w:p>
      <w:pPr>
        <w:spacing w:line="240" w:lineRule="auto" w:before="4"/>
        <w:rPr>
          <w:rFonts w:ascii="宋体" w:hAnsi="宋体" w:cs="宋体" w:eastAsia="宋体" w:hint="default"/>
          <w:b/>
          <w:bCs/>
          <w:sz w:val="26"/>
          <w:szCs w:val="26"/>
        </w:rPr>
      </w:pPr>
    </w:p>
    <w:p>
      <w:pPr>
        <w:pStyle w:val="BodyText"/>
        <w:spacing w:line="338" w:lineRule="auto"/>
        <w:ind w:right="84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公司报告期不存在托管情况。</w:t>
      </w:r>
    </w:p>
    <w:p>
      <w:pPr>
        <w:spacing w:line="240" w:lineRule="auto" w:before="7"/>
        <w:rPr>
          <w:rFonts w:ascii="宋体" w:hAnsi="宋体" w:cs="宋体" w:eastAsia="宋体" w:hint="default"/>
          <w:sz w:val="21"/>
          <w:szCs w:val="21"/>
        </w:rPr>
      </w:pPr>
    </w:p>
    <w:p>
      <w:pPr>
        <w:pStyle w:val="Heading4"/>
        <w:spacing w:line="240" w:lineRule="auto"/>
        <w:ind w:right="1133"/>
        <w:jc w:val="left"/>
        <w:rPr>
          <w:b w:val="0"/>
          <w:bCs w:val="0"/>
        </w:rPr>
      </w:pPr>
      <w:bookmarkStart w:name="（2）承包情况" w:id="87"/>
      <w:bookmarkEnd w:id="87"/>
      <w:r>
        <w:rPr>
          <w:b w:val="0"/>
          <w:bCs w:val="0"/>
        </w:rPr>
      </w:r>
      <w:r>
        <w:rPr/>
        <w:t>（</w:t>
      </w:r>
      <w:r>
        <w:rPr>
          <w:rFonts w:ascii="Times New Roman" w:hAnsi="Times New Roman" w:cs="Times New Roman" w:eastAsia="Times New Roman" w:hint="default"/>
        </w:rPr>
        <w:t>2</w:t>
      </w:r>
      <w:r>
        <w:rPr/>
        <w:t>）承包情况</w:t>
      </w:r>
      <w:r>
        <w:rPr>
          <w:b w:val="0"/>
          <w:bCs w:val="0"/>
        </w:rPr>
      </w:r>
    </w:p>
    <w:p>
      <w:pPr>
        <w:spacing w:line="240" w:lineRule="auto" w:before="4"/>
        <w:rPr>
          <w:rFonts w:ascii="宋体" w:hAnsi="宋体" w:cs="宋体" w:eastAsia="宋体" w:hint="default"/>
          <w:b/>
          <w:bCs/>
          <w:sz w:val="26"/>
          <w:szCs w:val="26"/>
        </w:rPr>
      </w:pPr>
    </w:p>
    <w:p>
      <w:pPr>
        <w:pStyle w:val="BodyText"/>
        <w:spacing w:line="340" w:lineRule="auto"/>
        <w:ind w:right="84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公司报告期不存在承包情况。</w:t>
      </w:r>
    </w:p>
    <w:p>
      <w:pPr>
        <w:spacing w:line="240" w:lineRule="auto" w:before="3"/>
        <w:rPr>
          <w:rFonts w:ascii="宋体" w:hAnsi="宋体" w:cs="宋体" w:eastAsia="宋体" w:hint="default"/>
          <w:sz w:val="21"/>
          <w:szCs w:val="21"/>
        </w:rPr>
      </w:pPr>
    </w:p>
    <w:p>
      <w:pPr>
        <w:pStyle w:val="Heading4"/>
        <w:spacing w:line="240" w:lineRule="auto"/>
        <w:ind w:right="1133"/>
        <w:jc w:val="left"/>
        <w:rPr>
          <w:b w:val="0"/>
          <w:bCs w:val="0"/>
        </w:rPr>
      </w:pPr>
      <w:bookmarkStart w:name="（3）租赁情况" w:id="88"/>
      <w:bookmarkEnd w:id="88"/>
      <w:r>
        <w:rPr>
          <w:b w:val="0"/>
          <w:bCs w:val="0"/>
        </w:rPr>
      </w:r>
      <w:r>
        <w:rPr/>
        <w:t>（</w:t>
      </w:r>
      <w:r>
        <w:rPr>
          <w:rFonts w:ascii="Times New Roman" w:hAnsi="Times New Roman" w:cs="Times New Roman" w:eastAsia="Times New Roman" w:hint="default"/>
        </w:rPr>
        <w:t>3</w:t>
      </w:r>
      <w:r>
        <w:rPr/>
        <w:t>）租赁情况</w:t>
      </w:r>
      <w:r>
        <w:rPr>
          <w:b w:val="0"/>
          <w:bCs w:val="0"/>
        </w:rPr>
      </w:r>
    </w:p>
    <w:p>
      <w:pPr>
        <w:spacing w:line="240" w:lineRule="auto" w:before="5"/>
        <w:rPr>
          <w:rFonts w:ascii="宋体" w:hAnsi="宋体" w:cs="宋体" w:eastAsia="宋体" w:hint="default"/>
          <w:b/>
          <w:bCs/>
          <w:sz w:val="32"/>
          <w:szCs w:val="32"/>
        </w:rPr>
      </w:pPr>
    </w:p>
    <w:p>
      <w:pPr>
        <w:pStyle w:val="BodyText"/>
        <w:spacing w:line="489" w:lineRule="auto"/>
        <w:ind w:right="9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租赁情况说明</w:t>
      </w:r>
    </w:p>
    <w:p>
      <w:pPr>
        <w:pStyle w:val="BodyText"/>
        <w:spacing w:line="451" w:lineRule="auto" w:before="86"/>
        <w:ind w:right="1132" w:firstLine="420"/>
        <w:jc w:val="both"/>
      </w:pPr>
      <w:r>
        <w:rPr>
          <w:rFonts w:ascii="Times New Roman" w:hAnsi="Times New Roman" w:cs="Times New Roman" w:eastAsia="Times New Roman" w:hint="default"/>
          <w:spacing w:val="-4"/>
        </w:rPr>
        <w:t>2011</w:t>
      </w:r>
      <w:r>
        <w:rPr>
          <w:spacing w:val="-4"/>
        </w:rPr>
        <w:t>年</w:t>
      </w:r>
      <w:r>
        <w:rPr>
          <w:rFonts w:ascii="Times New Roman" w:hAnsi="Times New Roman" w:cs="Times New Roman" w:eastAsia="Times New Roman" w:hint="default"/>
          <w:spacing w:val="-4"/>
        </w:rPr>
        <w:t>1</w:t>
      </w:r>
      <w:r>
        <w:rPr>
          <w:spacing w:val="-4"/>
        </w:rPr>
        <w:t>月</w:t>
      </w:r>
      <w:r>
        <w:rPr>
          <w:rFonts w:ascii="Times New Roman" w:hAnsi="Times New Roman" w:cs="Times New Roman" w:eastAsia="Times New Roman" w:hint="default"/>
          <w:spacing w:val="-4"/>
        </w:rPr>
        <w:t>2</w:t>
      </w:r>
      <w:r>
        <w:rPr>
          <w:spacing w:val="-4"/>
        </w:rPr>
        <w:t>日，公司与达实信息签订《房地产租赁合同书》，约定租赁其</w:t>
      </w:r>
      <w:r>
        <w:rPr>
          <w:rFonts w:ascii="Times New Roman" w:hAnsi="Times New Roman" w:cs="Times New Roman" w:eastAsia="Times New Roman" w:hint="default"/>
          <w:spacing w:val="-4"/>
        </w:rPr>
        <w:t>3473.12</w:t>
      </w:r>
      <w:r>
        <w:rPr>
          <w:spacing w:val="-4"/>
        </w:rPr>
        <w:t>平米的场地用于办公，租赁期限自</w:t>
      </w:r>
      <w:r>
        <w:rPr>
          <w:rFonts w:ascii="Times New Roman" w:hAnsi="Times New Roman" w:cs="Times New Roman" w:eastAsia="Times New Roman" w:hint="default"/>
          <w:spacing w:val="-4"/>
        </w:rPr>
        <w:t>2011</w:t>
      </w:r>
      <w:r>
        <w:rPr>
          <w:rFonts w:ascii="Times New Roman" w:hAnsi="Times New Roman" w:cs="Times New Roman" w:eastAsia="Times New Roman" w:hint="default"/>
        </w:rPr>
        <w:t> </w:t>
      </w:r>
      <w:r>
        <w:rPr>
          <w:spacing w:val="-2"/>
        </w:rPr>
        <w:t>年</w:t>
      </w:r>
      <w:r>
        <w:rPr>
          <w:rFonts w:ascii="Times New Roman" w:hAnsi="Times New Roman" w:cs="Times New Roman" w:eastAsia="Times New Roman" w:hint="default"/>
          <w:spacing w:val="-2"/>
        </w:rPr>
        <w:t>2</w:t>
      </w:r>
      <w:r>
        <w:rPr>
          <w:spacing w:val="-2"/>
        </w:rPr>
        <w:t>月</w:t>
      </w:r>
      <w:r>
        <w:rPr>
          <w:rFonts w:ascii="Times New Roman" w:hAnsi="Times New Roman" w:cs="Times New Roman" w:eastAsia="Times New Roman" w:hint="default"/>
          <w:spacing w:val="-2"/>
        </w:rPr>
        <w:t>1</w:t>
      </w:r>
      <w:r>
        <w:rPr>
          <w:spacing w:val="-2"/>
        </w:rPr>
        <w:t>日至</w:t>
      </w:r>
      <w:r>
        <w:rPr>
          <w:rFonts w:ascii="Times New Roman" w:hAnsi="Times New Roman" w:cs="Times New Roman" w:eastAsia="Times New Roman" w:hint="default"/>
          <w:spacing w:val="-2"/>
        </w:rPr>
        <w:t>2021</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30</w:t>
      </w:r>
      <w:r>
        <w:rPr>
          <w:spacing w:val="-2"/>
        </w:rPr>
        <w:t>日。</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15</w:t>
      </w:r>
      <w:r>
        <w:rPr>
          <w:spacing w:val="-2"/>
        </w:rPr>
        <w:t>日，公司与达实信息签订《补充协议》，增加租赁达实大厦部分场地用于办公，租</w:t>
      </w:r>
      <w:r>
        <w:rPr>
          <w:spacing w:val="-59"/>
        </w:rPr>
        <w:t> </w:t>
      </w:r>
      <w:r>
        <w:rPr>
          <w:spacing w:val="-59"/>
        </w:rPr>
      </w:r>
      <w:r>
        <w:rPr/>
        <w:t>赁期限自</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15</w:t>
      </w:r>
      <w:r>
        <w:rPr/>
        <w:t>日至</w:t>
      </w:r>
      <w:r>
        <w:rPr>
          <w:rFonts w:ascii="Times New Roman" w:hAnsi="Times New Roman" w:cs="Times New Roman" w:eastAsia="Times New Roman" w:hint="default"/>
        </w:rPr>
        <w:t>2024</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15</w:t>
      </w:r>
      <w:r>
        <w:rPr/>
        <w:t>日。</w:t>
      </w:r>
    </w:p>
    <w:p>
      <w:pPr>
        <w:pStyle w:val="BodyText"/>
        <w:spacing w:line="518" w:lineRule="auto" w:before="43"/>
        <w:ind w:right="1694" w:firstLine="420"/>
        <w:jc w:val="left"/>
      </w:pPr>
      <w:r>
        <w:rPr/>
        <w:t>本报告期，达实信息将部分闲置的自有办公楼用于出租，租出房产主要用于办公场地，其他无重大租赁情况。 为公司带来的损益达到公司报告期利润总额</w:t>
      </w:r>
      <w:r>
        <w:rPr>
          <w:spacing w:val="-44"/>
        </w:rPr>
        <w:t> </w:t>
      </w:r>
      <w:r>
        <w:rPr>
          <w:rFonts w:ascii="Times New Roman" w:hAnsi="Times New Roman" w:cs="Times New Roman" w:eastAsia="Times New Roman" w:hint="default"/>
        </w:rPr>
        <w:t>10%</w:t>
      </w:r>
      <w:r>
        <w:rPr/>
        <w:t>以上的项目</w:t>
      </w:r>
    </w:p>
    <w:p>
      <w:pPr>
        <w:pStyle w:val="BodyText"/>
        <w:spacing w:line="240" w:lineRule="auto" w:before="26"/>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0"/>
        <w:rPr>
          <w:rFonts w:ascii="宋体" w:hAnsi="宋体" w:cs="宋体" w:eastAsia="宋体" w:hint="default"/>
          <w:sz w:val="13"/>
          <w:szCs w:val="13"/>
        </w:rPr>
      </w:pPr>
    </w:p>
    <w:p>
      <w:pPr>
        <w:pStyle w:val="BodyText"/>
        <w:spacing w:line="240" w:lineRule="auto"/>
        <w:ind w:right="1133"/>
        <w:jc w:val="left"/>
      </w:pPr>
      <w:r>
        <w:rPr/>
        <w:t>公司报告期不存在为公司带来的损益达到公司报告期利润总额</w:t>
      </w:r>
      <w:r>
        <w:rPr>
          <w:spacing w:val="-43"/>
        </w:rPr>
        <w:t> </w:t>
      </w:r>
      <w:r>
        <w:rPr>
          <w:rFonts w:ascii="Times New Roman" w:hAnsi="Times New Roman" w:cs="Times New Roman" w:eastAsia="Times New Roman" w:hint="default"/>
        </w:rPr>
        <w:t>10%</w:t>
      </w:r>
      <w:r>
        <w:rPr/>
        <w:t>以上的租赁项目。</w:t>
      </w:r>
    </w:p>
    <w:p>
      <w:pPr>
        <w:spacing w:line="240" w:lineRule="auto" w:before="0"/>
        <w:rPr>
          <w:rFonts w:ascii="宋体" w:hAnsi="宋体" w:cs="宋体" w:eastAsia="宋体" w:hint="default"/>
          <w:sz w:val="26"/>
          <w:szCs w:val="26"/>
        </w:rPr>
      </w:pPr>
    </w:p>
    <w:p>
      <w:pPr>
        <w:pStyle w:val="Heading4"/>
        <w:spacing w:line="240" w:lineRule="auto"/>
        <w:ind w:right="1133"/>
        <w:jc w:val="left"/>
        <w:rPr>
          <w:b w:val="0"/>
          <w:bCs w:val="0"/>
        </w:rPr>
      </w:pPr>
      <w:bookmarkStart w:name="2、重大担保" w:id="89"/>
      <w:bookmarkEnd w:id="89"/>
      <w:r>
        <w:rPr>
          <w:b w:val="0"/>
          <w:bCs w:val="0"/>
        </w:rPr>
      </w:r>
      <w:r>
        <w:rPr>
          <w:rFonts w:ascii="Times New Roman" w:hAnsi="Times New Roman" w:cs="Times New Roman" w:eastAsia="Times New Roman" w:hint="default"/>
        </w:rPr>
        <w:t>2</w:t>
      </w:r>
      <w:r>
        <w:rPr/>
        <w:t>、重大担保</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2"/>
        <w:rPr>
          <w:rFonts w:ascii="宋体" w:hAnsi="宋体" w:cs="宋体" w:eastAsia="宋体" w:hint="default"/>
          <w:sz w:val="26"/>
          <w:szCs w:val="26"/>
        </w:rPr>
      </w:pPr>
    </w:p>
    <w:p>
      <w:pPr>
        <w:pStyle w:val="Heading4"/>
        <w:spacing w:line="240" w:lineRule="auto"/>
        <w:ind w:right="1133"/>
        <w:jc w:val="left"/>
        <w:rPr>
          <w:b w:val="0"/>
          <w:bCs w:val="0"/>
        </w:rPr>
      </w:pPr>
      <w:bookmarkStart w:name="（1）担保情况" w:id="90"/>
      <w:bookmarkEnd w:id="90"/>
      <w:r>
        <w:rPr>
          <w:b w:val="0"/>
          <w:bCs w:val="0"/>
        </w:rPr>
      </w:r>
      <w:r>
        <w:rPr/>
        <w:t>（</w:t>
      </w:r>
      <w:r>
        <w:rPr>
          <w:rFonts w:ascii="Times New Roman" w:hAnsi="Times New Roman" w:cs="Times New Roman" w:eastAsia="Times New Roman" w:hint="default"/>
        </w:rPr>
        <w:t>1</w:t>
      </w:r>
      <w:r>
        <w:rPr/>
        <w:t>）担保情况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单位：万元</w:t>
      </w:r>
    </w:p>
    <w:p>
      <w:pPr>
        <w:spacing w:line="240" w:lineRule="auto" w:before="10"/>
        <w:rPr>
          <w:rFonts w:ascii="宋体" w:hAnsi="宋体" w:cs="宋体" w:eastAsia="宋体" w:hint="default"/>
          <w:sz w:val="7"/>
          <w:szCs w:val="7"/>
        </w:rPr>
      </w:pPr>
    </w:p>
    <w:p>
      <w:pPr>
        <w:spacing w:line="422" w:lineRule="exact"/>
        <w:ind w:left="148"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3pt;height:21.15pt;mso-position-horizontal-relative:char;mso-position-vertical-relative:line" coordorigin="0,0" coordsize="9586,423">
            <v:group style="position:absolute;left:23;top:14;width:2;height:394" coordorigin="23,14" coordsize="2,394">
              <v:shape style="position:absolute;left:23;top:14;width:2;height:394" coordorigin="23,14" coordsize="0,394" path="m23,14l23,408e" filled="false" stroked="true" strokeweight="1.08pt" strokecolor="#d2d2d2">
                <v:path arrowok="t"/>
              </v:shape>
            </v:group>
            <v:group style="position:absolute;left:9565;top:14;width:2;height:394" coordorigin="9565,14" coordsize="2,394">
              <v:shape style="position:absolute;left:9565;top:14;width:2;height:394" coordorigin="9565,14" coordsize="0,394" path="m9565,14l9565,408e" filled="false" stroked="true" strokeweight="1.08pt" strokecolor="#d2d2d2">
                <v:path arrowok="t"/>
              </v:shape>
            </v:group>
            <v:group style="position:absolute;left:34;top:14;width:9521;height:394" coordorigin="34,14" coordsize="9521,394">
              <v:shape style="position:absolute;left:34;top:14;width:9521;height:394" coordorigin="34,14" coordsize="9521,394" path="m34,408l9554,408,9554,14,34,14,34,408xe" filled="true" fillcolor="#d2d2d2" stroked="false">
                <v:path arrowok="t"/>
                <v:fill type="solid"/>
              </v:shape>
            </v:group>
            <v:group style="position:absolute;left:10;top:10;width:9566;height:2" coordorigin="10,10" coordsize="9566,2">
              <v:shape style="position:absolute;left:10;top:10;width:9566;height:2" coordorigin="10,10" coordsize="9566,0" path="m10,10l9576,10e" filled="false" stroked="true" strokeweight=".47998pt" strokecolor="#000000">
                <v:path arrowok="t"/>
              </v:shape>
            </v:group>
            <v:group style="position:absolute;left:5;top:5;width:2;height:413" coordorigin="5,5" coordsize="2,413">
              <v:shape style="position:absolute;left:5;top:5;width:2;height:413" coordorigin="5,5" coordsize="0,413" path="m5,5l5,418e" filled="false" stroked="true" strokeweight=".48pt" strokecolor="#000000">
                <v:path arrowok="t"/>
              </v:shape>
            </v:group>
            <v:group style="position:absolute;left:10;top:413;width:9566;height:2" coordorigin="10,413" coordsize="9566,2">
              <v:shape style="position:absolute;left:10;top:413;width:9566;height:2" coordorigin="10,413" coordsize="9566,0" path="m10,413l9576,413e" filled="false" stroked="true" strokeweight=".48004pt" strokecolor="#000000">
                <v:path arrowok="t"/>
              </v:shape>
            </v:group>
            <v:group style="position:absolute;left:9580;top:5;width:2;height:413" coordorigin="9580,5" coordsize="2,413">
              <v:shape style="position:absolute;left:9580;top:5;width:2;height:413" coordorigin="9580,5" coordsize="0,413" path="m9580,5l9580,418e" filled="false" stroked="true" strokeweight=".47998pt" strokecolor="#000000">
                <v:path arrowok="t"/>
              </v:shape>
              <v:shape style="position:absolute;left:6;top:10;width:9564;height:404" type="#_x0000_t202" filled="false" stroked="false">
                <v:textbox inset="0,0,0,0">
                  <w:txbxContent>
                    <w:p>
                      <w:pPr>
                        <w:spacing w:before="53"/>
                        <w:ind w:left="2536" w:right="0" w:firstLine="0"/>
                        <w:jc w:val="left"/>
                        <w:rPr>
                          <w:rFonts w:ascii="宋体" w:hAnsi="宋体" w:cs="宋体" w:eastAsia="宋体" w:hint="default"/>
                          <w:sz w:val="18"/>
                          <w:szCs w:val="18"/>
                        </w:rPr>
                      </w:pPr>
                      <w:r>
                        <w:rPr>
                          <w:rFonts w:ascii="宋体" w:hAnsi="宋体" w:cs="宋体" w:eastAsia="宋体" w:hint="default"/>
                          <w:sz w:val="18"/>
                          <w:szCs w:val="18"/>
                        </w:rPr>
                        <w:t>公司及其子公司对外担保情况（不包括对子公司的担保）</w:t>
                      </w:r>
                    </w:p>
                  </w:txbxContent>
                </v:textbox>
                <w10:wrap type="none"/>
              </v:shape>
            </v:group>
          </v:group>
        </w:pict>
      </w:r>
      <w:r>
        <w:rPr>
          <w:rFonts w:ascii="宋体" w:hAnsi="宋体" w:cs="宋体" w:eastAsia="宋体" w:hint="default"/>
          <w:position w:val="-7"/>
          <w:sz w:val="20"/>
          <w:szCs w:val="20"/>
        </w:rPr>
      </w:r>
    </w:p>
    <w:p>
      <w:pPr>
        <w:spacing w:after="0" w:line="422" w:lineRule="exact"/>
        <w:rPr>
          <w:rFonts w:ascii="宋体" w:hAnsi="宋体" w:cs="宋体" w:eastAsia="宋体" w:hint="default"/>
          <w:sz w:val="20"/>
          <w:szCs w:val="20"/>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709"/>
        <w:gridCol w:w="928"/>
        <w:gridCol w:w="923"/>
        <w:gridCol w:w="1296"/>
        <w:gridCol w:w="1064"/>
        <w:gridCol w:w="1034"/>
        <w:gridCol w:w="1049"/>
        <w:gridCol w:w="792"/>
        <w:gridCol w:w="780"/>
      </w:tblGrid>
      <w:tr>
        <w:trPr>
          <w:trHeight w:val="1025"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307"/>
              <w:jc w:val="right"/>
              <w:rPr>
                <w:rFonts w:ascii="宋体" w:hAnsi="宋体" w:cs="宋体" w:eastAsia="宋体" w:hint="default"/>
                <w:sz w:val="18"/>
                <w:szCs w:val="18"/>
              </w:rPr>
            </w:pPr>
            <w:r>
              <w:rPr>
                <w:rFonts w:ascii="宋体" w:hAnsi="宋体" w:cs="宋体" w:eastAsia="宋体" w:hint="default"/>
                <w:sz w:val="18"/>
                <w:szCs w:val="18"/>
              </w:rPr>
              <w:t>担保对象名称</w:t>
            </w:r>
          </w:p>
        </w:tc>
        <w:tc>
          <w:tcPr>
            <w:tcW w:w="928" w:type="dxa"/>
            <w:tcBorders>
              <w:top w:val="single" w:sz="4" w:space="0" w:color="000000"/>
              <w:left w:val="single" w:sz="4" w:space="0" w:color="000000"/>
              <w:bottom w:val="single" w:sz="4" w:space="0" w:color="000000"/>
              <w:right w:val="single" w:sz="5" w:space="0" w:color="000000"/>
            </w:tcBorders>
            <w:shd w:val="clear" w:color="auto" w:fill="D2D2D2"/>
          </w:tcPr>
          <w:p>
            <w:pPr>
              <w:pStyle w:val="TableParagraph"/>
              <w:spacing w:line="319" w:lineRule="auto" w:before="49"/>
              <w:ind w:left="100" w:right="94"/>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3" w:type="dxa"/>
            <w:tcBorders>
              <w:top w:val="single" w:sz="4" w:space="0" w:color="000000"/>
              <w:left w:val="single" w:sz="5"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98"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0"/>
              <w:jc w:val="center"/>
              <w:rPr>
                <w:rFonts w:ascii="宋体" w:hAnsi="宋体" w:cs="宋体" w:eastAsia="宋体" w:hint="default"/>
                <w:sz w:val="18"/>
                <w:szCs w:val="18"/>
              </w:rPr>
            </w:pPr>
            <w:r>
              <w:rPr>
                <w:rFonts w:ascii="宋体" w:hAnsi="宋体" w:cs="宋体" w:eastAsia="宋体" w:hint="default"/>
                <w:sz w:val="18"/>
                <w:szCs w:val="18"/>
              </w:rPr>
              <w:t>实际发生日期</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437" w:right="75" w:hanging="361"/>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49"/>
              <w:jc w:val="right"/>
              <w:rPr>
                <w:rFonts w:ascii="宋体" w:hAnsi="宋体" w:cs="宋体" w:eastAsia="宋体" w:hint="default"/>
                <w:sz w:val="18"/>
                <w:szCs w:val="18"/>
              </w:rPr>
            </w:pPr>
            <w:r>
              <w:rPr>
                <w:rFonts w:ascii="宋体" w:hAnsi="宋体" w:cs="宋体" w:eastAsia="宋体" w:hint="default"/>
                <w:sz w:val="18"/>
                <w:szCs w:val="18"/>
              </w:rPr>
              <w:t>担保类型</w:t>
            </w:r>
          </w:p>
        </w:tc>
        <w:tc>
          <w:tcPr>
            <w:tcW w:w="1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245"/>
              <w:jc w:val="right"/>
              <w:rPr>
                <w:rFonts w:ascii="宋体" w:hAnsi="宋体" w:cs="宋体" w:eastAsia="宋体" w:hint="default"/>
                <w:sz w:val="18"/>
                <w:szCs w:val="18"/>
              </w:rPr>
            </w:pPr>
            <w:r>
              <w:rPr>
                <w:rFonts w:ascii="宋体" w:hAnsi="宋体" w:cs="宋体" w:eastAsia="宋体" w:hint="default"/>
                <w:sz w:val="18"/>
                <w:szCs w:val="18"/>
              </w:rPr>
              <w:t>担保期</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213" w:right="26"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23" w:right="24"/>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2587"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4" w:right="0"/>
              <w:jc w:val="left"/>
              <w:rPr>
                <w:rFonts w:ascii="宋体" w:hAnsi="宋体" w:cs="宋体" w:eastAsia="宋体" w:hint="default"/>
                <w:sz w:val="18"/>
                <w:szCs w:val="18"/>
              </w:rPr>
            </w:pPr>
            <w:r>
              <w:rPr>
                <w:rFonts w:ascii="宋体" w:hAnsi="宋体" w:cs="宋体" w:eastAsia="宋体" w:hint="default"/>
                <w:sz w:val="18"/>
                <w:szCs w:val="18"/>
              </w:rPr>
              <w:t>中煤矿建总医院</w:t>
            </w:r>
          </w:p>
        </w:tc>
        <w:tc>
          <w:tcPr>
            <w:tcW w:w="928"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3"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0"/>
              <w:ind w:right="18"/>
              <w:jc w:val="right"/>
              <w:rPr>
                <w:rFonts w:ascii="Times New Roman" w:hAnsi="Times New Roman" w:cs="Times New Roman" w:eastAsia="Times New Roman" w:hint="default"/>
                <w:sz w:val="18"/>
                <w:szCs w:val="18"/>
              </w:rPr>
            </w:pPr>
            <w:r>
              <w:rPr>
                <w:rFonts w:ascii="Times New Roman"/>
                <w:sz w:val="18"/>
              </w:rPr>
              <w:t>8,000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08</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0"/>
              <w:ind w:right="18"/>
              <w:jc w:val="right"/>
              <w:rPr>
                <w:rFonts w:ascii="Times New Roman" w:hAnsi="Times New Roman" w:cs="Times New Roman" w:eastAsia="Times New Roman" w:hint="default"/>
                <w:sz w:val="18"/>
                <w:szCs w:val="18"/>
              </w:rPr>
            </w:pPr>
            <w:r>
              <w:rPr>
                <w:rFonts w:ascii="Times New Roman"/>
                <w:sz w:val="18"/>
              </w:rPr>
              <w:t>8,000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59"/>
              <w:ind w:left="23" w:right="98"/>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13"/>
              <w:jc w:val="both"/>
              <w:rPr>
                <w:rFonts w:ascii="宋体" w:hAnsi="宋体" w:cs="宋体" w:eastAsia="宋体" w:hint="default"/>
                <w:sz w:val="18"/>
                <w:szCs w:val="18"/>
              </w:rPr>
            </w:pPr>
            <w:r>
              <w:rPr>
                <w:rFonts w:ascii="宋体" w:hAnsi="宋体" w:cs="宋体" w:eastAsia="宋体" w:hint="default"/>
                <w:sz w:val="18"/>
                <w:szCs w:val="18"/>
              </w:rPr>
              <w:t>自单笔授信 业务的主合 同签订之日 起至债务人 在该主合同 项下的债务 履行期限届 满日后二年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8"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649"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融智节能</w:t>
            </w:r>
          </w:p>
        </w:tc>
        <w:tc>
          <w:tcPr>
            <w:tcW w:w="928"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3"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4,500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4,500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一般保证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113"/>
              <w:jc w:val="left"/>
              <w:rPr>
                <w:rFonts w:ascii="Times New Roman" w:hAnsi="Times New Roman" w:cs="Times New Roman" w:eastAsia="Times New Roman" w:hint="default"/>
                <w:sz w:val="18"/>
                <w:szCs w:val="18"/>
              </w:rPr>
            </w:pPr>
            <w:r>
              <w:rPr>
                <w:rFonts w:ascii="宋体" w:hAnsi="宋体" w:cs="宋体" w:eastAsia="宋体" w:hint="default"/>
                <w:sz w:val="18"/>
                <w:szCs w:val="18"/>
              </w:rPr>
              <w:t>担保期限自 担保合同生 效日起至 </w:t>
            </w:r>
            <w:r>
              <w:rPr>
                <w:rFonts w:ascii="Times New Roman" w:hAnsi="Times New Roman" w:cs="Times New Roman" w:eastAsia="Times New Roman" w:hint="default"/>
                <w:sz w:val="18"/>
                <w:szCs w:val="18"/>
              </w:rPr>
              <w:t>2023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p>
          <w:p>
            <w:pPr>
              <w:pStyle w:val="TableParagraph"/>
              <w:spacing w:line="246" w:lineRule="exact"/>
              <w:ind w:left="23" w:right="0"/>
              <w:jc w:val="left"/>
              <w:rPr>
                <w:rFonts w:ascii="宋体" w:hAnsi="宋体" w:cs="宋体" w:eastAsia="宋体" w:hint="default"/>
                <w:sz w:val="18"/>
                <w:szCs w:val="18"/>
              </w:rPr>
            </w:pPr>
            <w:r>
              <w:rPr>
                <w:rFonts w:ascii="宋体" w:hAnsi="宋体" w:cs="宋体" w:eastAsia="宋体" w:hint="default"/>
                <w:sz w:val="18"/>
                <w:szCs w:val="18"/>
              </w:rPr>
              <w:t>月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263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81"/>
              <w:jc w:val="left"/>
              <w:rPr>
                <w:rFonts w:ascii="宋体" w:hAnsi="宋体" w:cs="宋体" w:eastAsia="宋体" w:hint="default"/>
                <w:sz w:val="18"/>
                <w:szCs w:val="18"/>
              </w:rPr>
            </w:pPr>
            <w:r>
              <w:rPr>
                <w:rFonts w:ascii="宋体" w:hAnsi="宋体" w:cs="宋体" w:eastAsia="宋体" w:hint="default"/>
                <w:sz w:val="18"/>
                <w:szCs w:val="18"/>
              </w:rPr>
              <w:t>报告期内审批的对外担保额度合 计（</w:t>
            </w:r>
            <w:r>
              <w:rPr>
                <w:rFonts w:ascii="Times New Roman" w:hAnsi="Times New Roman" w:cs="Times New Roman" w:eastAsia="Times New Roman" w:hint="default"/>
                <w:sz w:val="18"/>
                <w:szCs w:val="18"/>
              </w:rPr>
              <w:t>A1</w:t>
            </w:r>
            <w:r>
              <w:rPr>
                <w:rFonts w:ascii="宋体" w:hAnsi="宋体" w:cs="宋体" w:eastAsia="宋体" w:hint="default"/>
                <w:sz w:val="18"/>
                <w:szCs w:val="18"/>
              </w:rPr>
              <w:t>）</w:t>
            </w:r>
          </w:p>
        </w:tc>
        <w:tc>
          <w:tcPr>
            <w:tcW w:w="2219"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z w:val="18"/>
              </w:rPr>
              <w:t>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82"/>
              <w:jc w:val="left"/>
              <w:rPr>
                <w:rFonts w:ascii="宋体" w:hAnsi="宋体" w:cs="宋体" w:eastAsia="宋体" w:hint="default"/>
                <w:sz w:val="18"/>
                <w:szCs w:val="18"/>
              </w:rPr>
            </w:pPr>
            <w:r>
              <w:rPr>
                <w:rFonts w:ascii="宋体" w:hAnsi="宋体" w:cs="宋体" w:eastAsia="宋体" w:hint="default"/>
                <w:sz w:val="18"/>
                <w:szCs w:val="18"/>
              </w:rPr>
              <w:t>报告期内对外担保实际发 生额合计（</w:t>
            </w:r>
            <w:r>
              <w:rPr>
                <w:rFonts w:ascii="Times New Roman" w:hAnsi="Times New Roman" w:cs="Times New Roman" w:eastAsia="Times New Roman" w:hint="default"/>
                <w:sz w:val="18"/>
                <w:szCs w:val="18"/>
              </w:rPr>
              <w:t>A2</w:t>
            </w:r>
            <w:r>
              <w:rPr>
                <w:rFonts w:ascii="宋体" w:hAnsi="宋体" w:cs="宋体" w:eastAsia="宋体" w:hint="default"/>
                <w:sz w:val="18"/>
                <w:szCs w:val="18"/>
              </w:rPr>
              <w:t>）</w:t>
            </w:r>
          </w:p>
        </w:tc>
        <w:tc>
          <w:tcPr>
            <w:tcW w:w="2621" w:type="dxa"/>
            <w:gridSpan w:val="3"/>
            <w:tcBorders>
              <w:top w:val="single" w:sz="4" w:space="0" w:color="000000"/>
              <w:left w:val="single" w:sz="12"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12,500</w:t>
            </w:r>
          </w:p>
        </w:tc>
      </w:tr>
      <w:tr>
        <w:trPr>
          <w:trHeight w:val="720" w:hRule="exact"/>
        </w:trPr>
        <w:tc>
          <w:tcPr>
            <w:tcW w:w="263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81"/>
              <w:jc w:val="left"/>
              <w:rPr>
                <w:rFonts w:ascii="宋体" w:hAnsi="宋体" w:cs="宋体" w:eastAsia="宋体" w:hint="default"/>
                <w:sz w:val="18"/>
                <w:szCs w:val="18"/>
              </w:rPr>
            </w:pPr>
            <w:r>
              <w:rPr>
                <w:rFonts w:ascii="宋体" w:hAnsi="宋体" w:cs="宋体" w:eastAsia="宋体" w:hint="default"/>
                <w:sz w:val="18"/>
                <w:szCs w:val="18"/>
              </w:rPr>
              <w:t>报告期末已审批的对外担保额度 合计（</w:t>
            </w:r>
            <w:r>
              <w:rPr>
                <w:rFonts w:ascii="Times New Roman" w:hAnsi="Times New Roman" w:cs="Times New Roman" w:eastAsia="Times New Roman" w:hint="default"/>
                <w:sz w:val="18"/>
                <w:szCs w:val="18"/>
              </w:rPr>
              <w:t>A3</w:t>
            </w:r>
            <w:r>
              <w:rPr>
                <w:rFonts w:ascii="宋体" w:hAnsi="宋体" w:cs="宋体" w:eastAsia="宋体" w:hint="default"/>
                <w:sz w:val="18"/>
                <w:szCs w:val="18"/>
              </w:rPr>
              <w:t>）</w:t>
            </w:r>
          </w:p>
        </w:tc>
        <w:tc>
          <w:tcPr>
            <w:tcW w:w="2219"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spacing w:val="-1"/>
                <w:sz w:val="18"/>
              </w:rPr>
              <w:t>12,500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82"/>
              <w:jc w:val="left"/>
              <w:rPr>
                <w:rFonts w:ascii="宋体" w:hAnsi="宋体" w:cs="宋体" w:eastAsia="宋体" w:hint="default"/>
                <w:sz w:val="18"/>
                <w:szCs w:val="18"/>
              </w:rPr>
            </w:pPr>
            <w:r>
              <w:rPr>
                <w:rFonts w:ascii="宋体" w:hAnsi="宋体" w:cs="宋体" w:eastAsia="宋体" w:hint="default"/>
                <w:sz w:val="18"/>
                <w:szCs w:val="18"/>
              </w:rPr>
              <w:t>报告期末实际对外担保余 额合计（</w:t>
            </w:r>
            <w:r>
              <w:rPr>
                <w:rFonts w:ascii="Times New Roman" w:hAnsi="Times New Roman" w:cs="Times New Roman" w:eastAsia="Times New Roman" w:hint="default"/>
                <w:sz w:val="18"/>
                <w:szCs w:val="18"/>
              </w:rPr>
              <w:t>A4</w:t>
            </w:r>
            <w:r>
              <w:rPr>
                <w:rFonts w:ascii="宋体" w:hAnsi="宋体" w:cs="宋体" w:eastAsia="宋体" w:hint="default"/>
                <w:sz w:val="18"/>
                <w:szCs w:val="18"/>
              </w:rPr>
              <w:t>）</w:t>
            </w:r>
          </w:p>
        </w:tc>
        <w:tc>
          <w:tcPr>
            <w:tcW w:w="2621" w:type="dxa"/>
            <w:gridSpan w:val="3"/>
            <w:tcBorders>
              <w:top w:val="single" w:sz="4" w:space="0" w:color="000000"/>
              <w:left w:val="single" w:sz="12"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7,649.77</w:t>
            </w:r>
          </w:p>
        </w:tc>
      </w:tr>
      <w:tr>
        <w:trPr>
          <w:trHeight w:val="391" w:hRule="exact"/>
        </w:trPr>
        <w:tc>
          <w:tcPr>
            <w:tcW w:w="9576"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166" w:hRule="exact"/>
        </w:trPr>
        <w:tc>
          <w:tcPr>
            <w:tcW w:w="1709" w:type="dxa"/>
            <w:vMerge w:val="restart"/>
            <w:tcBorders>
              <w:top w:val="single" w:sz="4" w:space="0" w:color="000000"/>
              <w:left w:val="single" w:sz="4" w:space="0" w:color="000000"/>
              <w:right w:val="single" w:sz="4" w:space="0" w:color="000000"/>
            </w:tcBorders>
            <w:shd w:val="clear" w:color="auto" w:fill="D2D2D2"/>
          </w:tcPr>
          <w:p>
            <w:pPr/>
          </w:p>
        </w:tc>
        <w:tc>
          <w:tcPr>
            <w:tcW w:w="928"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3"/>
              <w:ind w:left="95" w:right="100"/>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3" w:type="dxa"/>
            <w:vMerge w:val="restart"/>
            <w:tcBorders>
              <w:top w:val="single" w:sz="4" w:space="0" w:color="000000"/>
              <w:left w:val="single" w:sz="4" w:space="0" w:color="000000"/>
              <w:right w:val="single" w:sz="4" w:space="0" w:color="000000"/>
            </w:tcBorders>
            <w:shd w:val="clear" w:color="auto" w:fill="D2D2D2"/>
          </w:tcPr>
          <w:p>
            <w:pPr/>
          </w:p>
        </w:tc>
        <w:tc>
          <w:tcPr>
            <w:tcW w:w="1296" w:type="dxa"/>
            <w:vMerge w:val="restart"/>
            <w:tcBorders>
              <w:top w:val="single" w:sz="4" w:space="0" w:color="000000"/>
              <w:left w:val="single" w:sz="4" w:space="0" w:color="000000"/>
              <w:right w:val="single" w:sz="4" w:space="0" w:color="000000"/>
            </w:tcBorders>
            <w:shd w:val="clear" w:color="auto" w:fill="D2D2D2"/>
          </w:tcPr>
          <w:p>
            <w:pPr/>
          </w:p>
        </w:tc>
        <w:tc>
          <w:tcPr>
            <w:tcW w:w="1064" w:type="dxa"/>
            <w:tcBorders>
              <w:top w:val="single" w:sz="4" w:space="0" w:color="000000"/>
              <w:left w:val="single" w:sz="4" w:space="0" w:color="000000"/>
              <w:bottom w:val="nil" w:sz="6" w:space="0" w:color="auto"/>
              <w:right w:val="single" w:sz="4" w:space="0" w:color="000000"/>
            </w:tcBorders>
            <w:shd w:val="clear" w:color="auto" w:fill="D2D2D2"/>
          </w:tcPr>
          <w:p>
            <w:pPr/>
          </w:p>
        </w:tc>
        <w:tc>
          <w:tcPr>
            <w:tcW w:w="1034" w:type="dxa"/>
            <w:vMerge w:val="restart"/>
            <w:tcBorders>
              <w:top w:val="single" w:sz="4" w:space="0" w:color="000000"/>
              <w:left w:val="single" w:sz="4" w:space="0" w:color="000000"/>
              <w:right w:val="single" w:sz="4" w:space="0" w:color="000000"/>
            </w:tcBorders>
            <w:shd w:val="clear" w:color="auto" w:fill="D2D2D2"/>
          </w:tcPr>
          <w:p>
            <w:pPr/>
          </w:p>
        </w:tc>
        <w:tc>
          <w:tcPr>
            <w:tcW w:w="1049" w:type="dxa"/>
            <w:vMerge w:val="restart"/>
            <w:tcBorders>
              <w:top w:val="single" w:sz="4" w:space="0" w:color="000000"/>
              <w:left w:val="single" w:sz="4" w:space="0" w:color="000000"/>
              <w:right w:val="single" w:sz="4" w:space="0" w:color="000000"/>
            </w:tcBorders>
            <w:shd w:val="clear" w:color="auto" w:fill="D2D2D2"/>
          </w:tcPr>
          <w:p>
            <w:pPr/>
          </w:p>
        </w:tc>
        <w:tc>
          <w:tcPr>
            <w:tcW w:w="792" w:type="dxa"/>
            <w:tcBorders>
              <w:top w:val="single" w:sz="4" w:space="0" w:color="000000"/>
              <w:left w:val="single" w:sz="4" w:space="0" w:color="000000"/>
              <w:bottom w:val="nil" w:sz="6" w:space="0" w:color="auto"/>
              <w:right w:val="single" w:sz="4" w:space="0" w:color="000000"/>
            </w:tcBorders>
            <w:shd w:val="clear" w:color="auto" w:fill="D2D2D2"/>
          </w:tcPr>
          <w:p>
            <w:pPr/>
          </w:p>
        </w:tc>
        <w:tc>
          <w:tcPr>
            <w:tcW w:w="780"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6" w:hRule="exact"/>
        </w:trPr>
        <w:tc>
          <w:tcPr>
            <w:tcW w:w="1709" w:type="dxa"/>
            <w:vMerge/>
            <w:tcBorders>
              <w:left w:val="single" w:sz="4" w:space="0" w:color="000000"/>
              <w:bottom w:val="nil" w:sz="6" w:space="0" w:color="auto"/>
              <w:right w:val="single" w:sz="4" w:space="0" w:color="000000"/>
            </w:tcBorders>
            <w:shd w:val="clear" w:color="auto" w:fill="D2D2D2"/>
          </w:tcPr>
          <w:p>
            <w:pPr/>
          </w:p>
        </w:tc>
        <w:tc>
          <w:tcPr>
            <w:tcW w:w="928" w:type="dxa"/>
            <w:vMerge/>
            <w:tcBorders>
              <w:left w:val="single" w:sz="4" w:space="0" w:color="000000"/>
              <w:right w:val="single" w:sz="4" w:space="0" w:color="000000"/>
            </w:tcBorders>
            <w:shd w:val="clear" w:color="auto" w:fill="D2D2D2"/>
          </w:tcPr>
          <w:p>
            <w:pPr/>
          </w:p>
        </w:tc>
        <w:tc>
          <w:tcPr>
            <w:tcW w:w="923" w:type="dxa"/>
            <w:vMerge/>
            <w:tcBorders>
              <w:left w:val="single" w:sz="4" w:space="0" w:color="000000"/>
              <w:bottom w:val="nil" w:sz="6" w:space="0" w:color="auto"/>
              <w:right w:val="single" w:sz="4" w:space="0" w:color="000000"/>
            </w:tcBorders>
            <w:shd w:val="clear" w:color="auto" w:fill="D2D2D2"/>
          </w:tcPr>
          <w:p>
            <w:pPr/>
          </w:p>
        </w:tc>
        <w:tc>
          <w:tcPr>
            <w:tcW w:w="1296" w:type="dxa"/>
            <w:vMerge/>
            <w:tcBorders>
              <w:left w:val="single" w:sz="4" w:space="0" w:color="000000"/>
              <w:bottom w:val="nil" w:sz="6" w:space="0" w:color="auto"/>
              <w:right w:val="single" w:sz="4" w:space="0" w:color="000000"/>
            </w:tcBorders>
            <w:shd w:val="clear" w:color="auto" w:fill="D2D2D2"/>
          </w:tcPr>
          <w:p>
            <w:pPr/>
          </w:p>
        </w:tc>
        <w:tc>
          <w:tcPr>
            <w:tcW w:w="106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437" w:right="75" w:hanging="361"/>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4" w:type="dxa"/>
            <w:vMerge/>
            <w:tcBorders>
              <w:left w:val="single" w:sz="4" w:space="0" w:color="000000"/>
              <w:bottom w:val="nil" w:sz="6" w:space="0" w:color="auto"/>
              <w:right w:val="single" w:sz="4" w:space="0" w:color="000000"/>
            </w:tcBorders>
            <w:shd w:val="clear" w:color="auto" w:fill="D2D2D2"/>
          </w:tcPr>
          <w:p>
            <w:pPr/>
          </w:p>
        </w:tc>
        <w:tc>
          <w:tcPr>
            <w:tcW w:w="1049" w:type="dxa"/>
            <w:vMerge/>
            <w:tcBorders>
              <w:left w:val="single" w:sz="4" w:space="0" w:color="000000"/>
              <w:bottom w:val="nil" w:sz="6" w:space="0" w:color="auto"/>
              <w:right w:val="single" w:sz="4" w:space="0" w:color="000000"/>
            </w:tcBorders>
            <w:shd w:val="clear" w:color="auto" w:fill="D2D2D2"/>
          </w:tcPr>
          <w:p>
            <w:pPr/>
          </w:p>
        </w:tc>
        <w:tc>
          <w:tcPr>
            <w:tcW w:w="792"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211" w:right="29"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0"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23" w:right="24"/>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392" w:hRule="exact"/>
        </w:trPr>
        <w:tc>
          <w:tcPr>
            <w:tcW w:w="170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307"/>
              <w:jc w:val="right"/>
              <w:rPr>
                <w:rFonts w:ascii="宋体" w:hAnsi="宋体" w:cs="宋体" w:eastAsia="宋体" w:hint="default"/>
                <w:sz w:val="18"/>
                <w:szCs w:val="18"/>
              </w:rPr>
            </w:pPr>
            <w:r>
              <w:rPr>
                <w:rFonts w:ascii="宋体" w:hAnsi="宋体" w:cs="宋体" w:eastAsia="宋体" w:hint="default"/>
                <w:sz w:val="18"/>
                <w:szCs w:val="18"/>
              </w:rPr>
              <w:t>担保对象名称</w:t>
            </w:r>
          </w:p>
        </w:tc>
        <w:tc>
          <w:tcPr>
            <w:tcW w:w="928" w:type="dxa"/>
            <w:vMerge/>
            <w:tcBorders>
              <w:left w:val="single" w:sz="4" w:space="0" w:color="000000"/>
              <w:right w:val="single" w:sz="4" w:space="0" w:color="000000"/>
            </w:tcBorders>
            <w:shd w:val="clear" w:color="auto" w:fill="D2D2D2"/>
          </w:tcPr>
          <w:p>
            <w:pPr/>
          </w:p>
        </w:tc>
        <w:tc>
          <w:tcPr>
            <w:tcW w:w="92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94"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实际发生日期</w:t>
            </w:r>
          </w:p>
        </w:tc>
        <w:tc>
          <w:tcPr>
            <w:tcW w:w="1064" w:type="dxa"/>
            <w:vMerge/>
            <w:tcBorders>
              <w:left w:val="single" w:sz="4" w:space="0" w:color="000000"/>
              <w:right w:val="single" w:sz="4" w:space="0" w:color="000000"/>
            </w:tcBorders>
            <w:shd w:val="clear" w:color="auto" w:fill="D2D2D2"/>
          </w:tcPr>
          <w:p>
            <w:pPr/>
          </w:p>
        </w:tc>
        <w:tc>
          <w:tcPr>
            <w:tcW w:w="10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149"/>
              <w:jc w:val="right"/>
              <w:rPr>
                <w:rFonts w:ascii="宋体" w:hAnsi="宋体" w:cs="宋体" w:eastAsia="宋体" w:hint="default"/>
                <w:sz w:val="18"/>
                <w:szCs w:val="18"/>
              </w:rPr>
            </w:pPr>
            <w:r>
              <w:rPr>
                <w:rFonts w:ascii="宋体" w:hAnsi="宋体" w:cs="宋体" w:eastAsia="宋体" w:hint="default"/>
                <w:sz w:val="18"/>
                <w:szCs w:val="18"/>
              </w:rPr>
              <w:t>担保类型</w:t>
            </w:r>
          </w:p>
        </w:tc>
        <w:tc>
          <w:tcPr>
            <w:tcW w:w="104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250"/>
              <w:jc w:val="right"/>
              <w:rPr>
                <w:rFonts w:ascii="宋体" w:hAnsi="宋体" w:cs="宋体" w:eastAsia="宋体" w:hint="default"/>
                <w:sz w:val="18"/>
                <w:szCs w:val="18"/>
              </w:rPr>
            </w:pPr>
            <w:r>
              <w:rPr>
                <w:rFonts w:ascii="宋体" w:hAnsi="宋体" w:cs="宋体" w:eastAsia="宋体" w:hint="default"/>
                <w:sz w:val="18"/>
                <w:szCs w:val="18"/>
              </w:rPr>
              <w:t>担保期</w:t>
            </w:r>
          </w:p>
        </w:tc>
        <w:tc>
          <w:tcPr>
            <w:tcW w:w="792" w:type="dxa"/>
            <w:vMerge/>
            <w:tcBorders>
              <w:left w:val="single" w:sz="4" w:space="0" w:color="000000"/>
              <w:right w:val="single" w:sz="4" w:space="0" w:color="000000"/>
            </w:tcBorders>
            <w:shd w:val="clear" w:color="auto" w:fill="D2D2D2"/>
          </w:tcPr>
          <w:p>
            <w:pPr/>
          </w:p>
        </w:tc>
        <w:tc>
          <w:tcPr>
            <w:tcW w:w="780" w:type="dxa"/>
            <w:vMerge/>
            <w:tcBorders>
              <w:left w:val="single" w:sz="4" w:space="0" w:color="000000"/>
              <w:right w:val="single" w:sz="4" w:space="0" w:color="000000"/>
            </w:tcBorders>
            <w:shd w:val="clear" w:color="auto" w:fill="D2D2D2"/>
          </w:tcPr>
          <w:p>
            <w:pPr/>
          </w:p>
        </w:tc>
      </w:tr>
      <w:tr>
        <w:trPr>
          <w:trHeight w:val="156" w:hRule="exact"/>
        </w:trPr>
        <w:tc>
          <w:tcPr>
            <w:tcW w:w="1709" w:type="dxa"/>
            <w:vMerge w:val="restart"/>
            <w:tcBorders>
              <w:top w:val="nil" w:sz="6" w:space="0" w:color="auto"/>
              <w:left w:val="single" w:sz="4" w:space="0" w:color="000000"/>
              <w:right w:val="single" w:sz="4" w:space="0" w:color="000000"/>
            </w:tcBorders>
            <w:shd w:val="clear" w:color="auto" w:fill="D2D2D2"/>
          </w:tcPr>
          <w:p>
            <w:pPr/>
          </w:p>
        </w:tc>
        <w:tc>
          <w:tcPr>
            <w:tcW w:w="928" w:type="dxa"/>
            <w:vMerge/>
            <w:tcBorders>
              <w:left w:val="single" w:sz="4" w:space="0" w:color="000000"/>
              <w:right w:val="single" w:sz="4" w:space="0" w:color="000000"/>
            </w:tcBorders>
            <w:shd w:val="clear" w:color="auto" w:fill="D2D2D2"/>
          </w:tcPr>
          <w:p>
            <w:pPr/>
          </w:p>
        </w:tc>
        <w:tc>
          <w:tcPr>
            <w:tcW w:w="923" w:type="dxa"/>
            <w:vMerge w:val="restart"/>
            <w:tcBorders>
              <w:top w:val="nil" w:sz="6" w:space="0" w:color="auto"/>
              <w:left w:val="single" w:sz="4" w:space="0" w:color="000000"/>
              <w:right w:val="single" w:sz="4" w:space="0" w:color="000000"/>
            </w:tcBorders>
            <w:shd w:val="clear" w:color="auto" w:fill="D2D2D2"/>
          </w:tcPr>
          <w:p>
            <w:pPr/>
          </w:p>
        </w:tc>
        <w:tc>
          <w:tcPr>
            <w:tcW w:w="1296" w:type="dxa"/>
            <w:vMerge w:val="restart"/>
            <w:tcBorders>
              <w:top w:val="nil" w:sz="6" w:space="0" w:color="auto"/>
              <w:left w:val="single" w:sz="4" w:space="0" w:color="000000"/>
              <w:right w:val="single" w:sz="4" w:space="0" w:color="000000"/>
            </w:tcBorders>
            <w:shd w:val="clear" w:color="auto" w:fill="D2D2D2"/>
          </w:tcPr>
          <w:p>
            <w:pPr/>
          </w:p>
        </w:tc>
        <w:tc>
          <w:tcPr>
            <w:tcW w:w="1064" w:type="dxa"/>
            <w:vMerge/>
            <w:tcBorders>
              <w:left w:val="single" w:sz="4" w:space="0" w:color="000000"/>
              <w:bottom w:val="nil" w:sz="6" w:space="0" w:color="auto"/>
              <w:right w:val="single" w:sz="4" w:space="0" w:color="000000"/>
            </w:tcBorders>
            <w:shd w:val="clear" w:color="auto" w:fill="D2D2D2"/>
          </w:tcPr>
          <w:p>
            <w:pPr/>
          </w:p>
        </w:tc>
        <w:tc>
          <w:tcPr>
            <w:tcW w:w="1034" w:type="dxa"/>
            <w:vMerge w:val="restart"/>
            <w:tcBorders>
              <w:top w:val="nil" w:sz="6" w:space="0" w:color="auto"/>
              <w:left w:val="single" w:sz="4" w:space="0" w:color="000000"/>
              <w:right w:val="single" w:sz="4" w:space="0" w:color="000000"/>
            </w:tcBorders>
            <w:shd w:val="clear" w:color="auto" w:fill="D2D2D2"/>
          </w:tcPr>
          <w:p>
            <w:pPr/>
          </w:p>
        </w:tc>
        <w:tc>
          <w:tcPr>
            <w:tcW w:w="1049" w:type="dxa"/>
            <w:vMerge w:val="restart"/>
            <w:tcBorders>
              <w:top w:val="nil" w:sz="6" w:space="0" w:color="auto"/>
              <w:left w:val="single" w:sz="4" w:space="0" w:color="000000"/>
              <w:right w:val="single" w:sz="4" w:space="0" w:color="000000"/>
            </w:tcBorders>
            <w:shd w:val="clear" w:color="auto" w:fill="D2D2D2"/>
          </w:tcPr>
          <w:p>
            <w:pPr/>
          </w:p>
        </w:tc>
        <w:tc>
          <w:tcPr>
            <w:tcW w:w="792" w:type="dxa"/>
            <w:vMerge/>
            <w:tcBorders>
              <w:left w:val="single" w:sz="4" w:space="0" w:color="000000"/>
              <w:bottom w:val="nil" w:sz="6" w:space="0" w:color="auto"/>
              <w:right w:val="single" w:sz="4" w:space="0" w:color="000000"/>
            </w:tcBorders>
            <w:shd w:val="clear" w:color="auto" w:fill="D2D2D2"/>
          </w:tcPr>
          <w:p>
            <w:pPr/>
          </w:p>
        </w:tc>
        <w:tc>
          <w:tcPr>
            <w:tcW w:w="780" w:type="dxa"/>
            <w:vMerge/>
            <w:tcBorders>
              <w:left w:val="single" w:sz="4" w:space="0" w:color="000000"/>
              <w:bottom w:val="nil" w:sz="6" w:space="0" w:color="auto"/>
              <w:right w:val="single" w:sz="4" w:space="0" w:color="000000"/>
            </w:tcBorders>
            <w:shd w:val="clear" w:color="auto" w:fill="D2D2D2"/>
          </w:tcPr>
          <w:p>
            <w:pPr/>
          </w:p>
        </w:tc>
      </w:tr>
      <w:tr>
        <w:trPr>
          <w:trHeight w:val="161" w:hRule="exact"/>
        </w:trPr>
        <w:tc>
          <w:tcPr>
            <w:tcW w:w="1709" w:type="dxa"/>
            <w:vMerge/>
            <w:tcBorders>
              <w:left w:val="single" w:sz="4" w:space="0" w:color="000000"/>
              <w:bottom w:val="single" w:sz="4" w:space="0" w:color="000000"/>
              <w:right w:val="single" w:sz="4" w:space="0" w:color="000000"/>
            </w:tcBorders>
            <w:shd w:val="clear" w:color="auto" w:fill="D2D2D2"/>
          </w:tcPr>
          <w:p>
            <w:pPr/>
          </w:p>
        </w:tc>
        <w:tc>
          <w:tcPr>
            <w:tcW w:w="928" w:type="dxa"/>
            <w:vMerge/>
            <w:tcBorders>
              <w:left w:val="single" w:sz="4" w:space="0" w:color="000000"/>
              <w:bottom w:val="single" w:sz="4" w:space="0" w:color="000000"/>
              <w:right w:val="single" w:sz="4" w:space="0" w:color="000000"/>
            </w:tcBorders>
            <w:shd w:val="clear" w:color="auto" w:fill="D2D2D2"/>
          </w:tcPr>
          <w:p>
            <w:pPr/>
          </w:p>
        </w:tc>
        <w:tc>
          <w:tcPr>
            <w:tcW w:w="923" w:type="dxa"/>
            <w:vMerge/>
            <w:tcBorders>
              <w:left w:val="single" w:sz="4" w:space="0" w:color="000000"/>
              <w:bottom w:val="single" w:sz="4" w:space="0" w:color="000000"/>
              <w:right w:val="single" w:sz="4" w:space="0" w:color="000000"/>
            </w:tcBorders>
            <w:shd w:val="clear" w:color="auto" w:fill="D2D2D2"/>
          </w:tcPr>
          <w:p>
            <w:pPr/>
          </w:p>
        </w:tc>
        <w:tc>
          <w:tcPr>
            <w:tcW w:w="1296" w:type="dxa"/>
            <w:vMerge/>
            <w:tcBorders>
              <w:left w:val="single" w:sz="4" w:space="0" w:color="000000"/>
              <w:bottom w:val="single" w:sz="4" w:space="0" w:color="000000"/>
              <w:right w:val="single" w:sz="4" w:space="0" w:color="000000"/>
            </w:tcBorders>
            <w:shd w:val="clear" w:color="auto" w:fill="D2D2D2"/>
          </w:tcPr>
          <w:p>
            <w:pPr/>
          </w:p>
        </w:tc>
        <w:tc>
          <w:tcPr>
            <w:tcW w:w="1064" w:type="dxa"/>
            <w:tcBorders>
              <w:top w:val="nil" w:sz="6" w:space="0" w:color="auto"/>
              <w:left w:val="single" w:sz="4" w:space="0" w:color="000000"/>
              <w:bottom w:val="single" w:sz="4" w:space="0" w:color="000000"/>
              <w:right w:val="single" w:sz="4" w:space="0" w:color="000000"/>
            </w:tcBorders>
            <w:shd w:val="clear" w:color="auto" w:fill="D2D2D2"/>
          </w:tcPr>
          <w:p>
            <w:pPr/>
          </w:p>
        </w:tc>
        <w:tc>
          <w:tcPr>
            <w:tcW w:w="1034" w:type="dxa"/>
            <w:vMerge/>
            <w:tcBorders>
              <w:left w:val="single" w:sz="4" w:space="0" w:color="000000"/>
              <w:bottom w:val="single" w:sz="4" w:space="0" w:color="000000"/>
              <w:right w:val="single" w:sz="4" w:space="0" w:color="000000"/>
            </w:tcBorders>
            <w:shd w:val="clear" w:color="auto" w:fill="D2D2D2"/>
          </w:tcPr>
          <w:p>
            <w:pPr/>
          </w:p>
        </w:tc>
        <w:tc>
          <w:tcPr>
            <w:tcW w:w="1049" w:type="dxa"/>
            <w:vMerge/>
            <w:tcBorders>
              <w:left w:val="single" w:sz="4" w:space="0" w:color="000000"/>
              <w:bottom w:val="single" w:sz="4" w:space="0" w:color="000000"/>
              <w:right w:val="single" w:sz="4" w:space="0" w:color="000000"/>
            </w:tcBorders>
            <w:shd w:val="clear" w:color="auto" w:fill="D2D2D2"/>
          </w:tcPr>
          <w:p>
            <w:pPr/>
          </w:p>
        </w:tc>
        <w:tc>
          <w:tcPr>
            <w:tcW w:w="792" w:type="dxa"/>
            <w:tcBorders>
              <w:top w:val="nil" w:sz="6" w:space="0" w:color="auto"/>
              <w:left w:val="single" w:sz="4" w:space="0" w:color="000000"/>
              <w:bottom w:val="single" w:sz="4" w:space="0" w:color="000000"/>
              <w:right w:val="single" w:sz="4" w:space="0" w:color="000000"/>
            </w:tcBorders>
            <w:shd w:val="clear" w:color="auto" w:fill="D2D2D2"/>
          </w:tcPr>
          <w:p>
            <w:pPr/>
          </w:p>
        </w:tc>
        <w:tc>
          <w:tcPr>
            <w:tcW w:w="780"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2275"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4" w:right="0"/>
              <w:jc w:val="left"/>
              <w:rPr>
                <w:rFonts w:ascii="宋体" w:hAnsi="宋体" w:cs="宋体" w:eastAsia="宋体" w:hint="default"/>
                <w:sz w:val="18"/>
                <w:szCs w:val="18"/>
              </w:rPr>
            </w:pPr>
            <w:r>
              <w:rPr>
                <w:rFonts w:ascii="宋体" w:hAnsi="宋体" w:cs="宋体" w:eastAsia="宋体" w:hint="default"/>
                <w:sz w:val="18"/>
                <w:szCs w:val="18"/>
              </w:rPr>
              <w:t>达实信息</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64,000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64,000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4" w:lineRule="auto"/>
              <w:ind w:left="23" w:right="98"/>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13"/>
              <w:jc w:val="both"/>
              <w:rPr>
                <w:rFonts w:ascii="宋体" w:hAnsi="宋体" w:cs="宋体" w:eastAsia="宋体" w:hint="default"/>
                <w:sz w:val="18"/>
                <w:szCs w:val="18"/>
              </w:rPr>
            </w:pPr>
            <w:r>
              <w:rPr>
                <w:rFonts w:ascii="宋体" w:hAnsi="宋体" w:cs="宋体" w:eastAsia="宋体" w:hint="default"/>
                <w:sz w:val="18"/>
                <w:szCs w:val="18"/>
              </w:rPr>
              <w:t>自担保合同 生效日起至 主合同项下 具体授信债 务履行期限 届满之日后 两年。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达实租赁</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04</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pacing w:val="-6"/>
                <w:sz w:val="18"/>
                <w:szCs w:val="18"/>
              </w:rPr>
              <w:t>11</w:t>
            </w:r>
            <w:r>
              <w:rPr>
                <w:rFonts w:ascii="Times New Roman" w:hAnsi="Times New Roman" w:cs="Times New Roman" w:eastAsia="Times New Roman" w:hint="default"/>
                <w:sz w:val="18"/>
                <w:szCs w:val="18"/>
              </w:rPr>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7,000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98"/>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一年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达实租赁</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04</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15</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8,000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98"/>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一年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达实租赁</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04</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28</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15,000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98"/>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一年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298"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5"/>
                <w:szCs w:val="2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桃江达实</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4"/>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04</w:t>
            </w:r>
          </w:p>
          <w:p>
            <w:pPr>
              <w:pStyle w:val="TableParagraph"/>
              <w:spacing w:line="240" w:lineRule="auto" w:before="62"/>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6"/>
              <w:ind w:right="18"/>
              <w:jc w:val="right"/>
              <w:rPr>
                <w:rFonts w:ascii="Times New Roman" w:hAnsi="Times New Roman" w:cs="Times New Roman" w:eastAsia="Times New Roman" w:hint="default"/>
                <w:sz w:val="18"/>
                <w:szCs w:val="18"/>
              </w:rPr>
            </w:pPr>
            <w:r>
              <w:rPr>
                <w:rFonts w:ascii="Times New Roman"/>
                <w:spacing w:val="-1"/>
                <w:sz w:val="18"/>
              </w:rPr>
              <w:t>46,200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4"/>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24</w:t>
            </w:r>
          </w:p>
          <w:p>
            <w:pPr>
              <w:pStyle w:val="TableParagraph"/>
              <w:spacing w:line="240" w:lineRule="auto" w:before="62"/>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6"/>
              <w:ind w:right="18"/>
              <w:jc w:val="right"/>
              <w:rPr>
                <w:rFonts w:ascii="Times New Roman" w:hAnsi="Times New Roman" w:cs="Times New Roman" w:eastAsia="Times New Roman" w:hint="default"/>
                <w:sz w:val="18"/>
                <w:szCs w:val="18"/>
              </w:rPr>
            </w:pPr>
            <w:r>
              <w:rPr>
                <w:rFonts w:ascii="Times New Roman"/>
                <w:spacing w:val="-1"/>
                <w:sz w:val="18"/>
              </w:rPr>
              <w:t>46,200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34"/>
              <w:ind w:left="23" w:right="98"/>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13"/>
              <w:jc w:val="both"/>
              <w:rPr>
                <w:rFonts w:ascii="宋体" w:hAnsi="宋体" w:cs="宋体" w:eastAsia="宋体" w:hint="default"/>
                <w:sz w:val="18"/>
                <w:szCs w:val="18"/>
              </w:rPr>
            </w:pPr>
            <w:r>
              <w:rPr>
                <w:rFonts w:ascii="宋体" w:hAnsi="宋体" w:cs="宋体" w:eastAsia="宋体" w:hint="default"/>
                <w:sz w:val="18"/>
                <w:szCs w:val="18"/>
              </w:rPr>
              <w:t>自担保合同 生效日起至 项目竣工验 收通过日止</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5"/>
                <w:szCs w:val="25"/>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5"/>
                <w:szCs w:val="2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709"/>
        <w:gridCol w:w="915"/>
        <w:gridCol w:w="928"/>
        <w:gridCol w:w="1308"/>
        <w:gridCol w:w="1050"/>
        <w:gridCol w:w="1040"/>
        <w:gridCol w:w="1051"/>
        <w:gridCol w:w="790"/>
        <w:gridCol w:w="785"/>
      </w:tblGrid>
      <w:tr>
        <w:trPr>
          <w:trHeight w:val="675" w:hRule="exact"/>
        </w:trPr>
        <w:tc>
          <w:tcPr>
            <w:tcW w:w="1709" w:type="dxa"/>
            <w:tcBorders>
              <w:top w:val="single" w:sz="4" w:space="0" w:color="000000"/>
              <w:left w:val="single" w:sz="4" w:space="0" w:color="000000"/>
              <w:bottom w:val="single" w:sz="4" w:space="0" w:color="000000"/>
              <w:right w:val="single" w:sz="4" w:space="0" w:color="000000"/>
            </w:tcBorders>
          </w:tcPr>
          <w:p>
            <w:pPr/>
          </w:p>
        </w:tc>
        <w:tc>
          <w:tcPr>
            <w:tcW w:w="915" w:type="dxa"/>
            <w:tcBorders>
              <w:top w:val="single" w:sz="4" w:space="0" w:color="000000"/>
              <w:left w:val="single" w:sz="4" w:space="0" w:color="000000"/>
              <w:bottom w:val="single" w:sz="4" w:space="0" w:color="000000"/>
              <w:right w:val="single" w:sz="4" w:space="0" w:color="000000"/>
            </w:tcBorders>
          </w:tcPr>
          <w:p>
            <w:pPr/>
          </w:p>
        </w:tc>
        <w:tc>
          <w:tcPr>
            <w:tcW w:w="928"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040"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27" w:right="111"/>
              <w:jc w:val="left"/>
              <w:rPr>
                <w:rFonts w:ascii="宋体" w:hAnsi="宋体" w:cs="宋体" w:eastAsia="宋体" w:hint="default"/>
                <w:sz w:val="18"/>
                <w:szCs w:val="18"/>
              </w:rPr>
            </w:pPr>
            <w:r>
              <w:rPr>
                <w:rFonts w:ascii="宋体" w:hAnsi="宋体" w:cs="宋体" w:eastAsia="宋体" w:hint="default"/>
                <w:sz w:val="18"/>
                <w:szCs w:val="18"/>
              </w:rPr>
              <w:t>（以竣工报 告为准）</w:t>
            </w:r>
          </w:p>
        </w:tc>
        <w:tc>
          <w:tcPr>
            <w:tcW w:w="790"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r>
      <w:tr>
        <w:trPr>
          <w:trHeight w:val="2897"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洪泽湖达实</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10"/>
              <w:jc w:val="right"/>
              <w:rPr>
                <w:rFonts w:ascii="Times New Roman" w:hAnsi="Times New Roman" w:cs="Times New Roman" w:eastAsia="Times New Roman" w:hint="default"/>
                <w:sz w:val="18"/>
                <w:szCs w:val="18"/>
              </w:rPr>
            </w:pPr>
            <w:r>
              <w:rPr>
                <w:rFonts w:ascii="Times New Roman"/>
                <w:spacing w:val="-2"/>
                <w:sz w:val="18"/>
              </w:rPr>
              <w:t>110,000</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3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3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pacing w:val="-2"/>
                <w:sz w:val="18"/>
              </w:rPr>
              <w:t>110,000</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6"/>
              <w:ind w:left="33" w:right="95"/>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7" w:right="111"/>
              <w:jc w:val="both"/>
              <w:rPr>
                <w:rFonts w:ascii="宋体" w:hAnsi="宋体" w:cs="宋体" w:eastAsia="宋体" w:hint="default"/>
                <w:sz w:val="18"/>
                <w:szCs w:val="18"/>
              </w:rPr>
            </w:pPr>
            <w:r>
              <w:rPr>
                <w:rFonts w:ascii="宋体" w:hAnsi="宋体" w:cs="宋体" w:eastAsia="宋体" w:hint="default"/>
                <w:sz w:val="18"/>
                <w:szCs w:val="18"/>
              </w:rPr>
              <w:t>自担保合同 生效日起至 洪泽区人民 医院及当地 政府按</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PPP</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合同约定支 付完第一年 相关费用后 止。</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6"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达实物联网</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
              <w:jc w:val="right"/>
              <w:rPr>
                <w:rFonts w:ascii="Times New Roman" w:hAnsi="Times New Roman" w:cs="Times New Roman" w:eastAsia="Times New Roman" w:hint="default"/>
                <w:sz w:val="18"/>
                <w:szCs w:val="18"/>
              </w:rPr>
            </w:pPr>
            <w:r>
              <w:rPr>
                <w:rFonts w:ascii="Times New Roman"/>
                <w:sz w:val="18"/>
              </w:rPr>
              <w:t>2,000</w:t>
            </w:r>
          </w:p>
        </w:tc>
        <w:tc>
          <w:tcPr>
            <w:tcW w:w="1308"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33" w:right="95"/>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7" w:right="0"/>
              <w:jc w:val="left"/>
              <w:rPr>
                <w:rFonts w:ascii="宋体" w:hAnsi="宋体" w:cs="宋体" w:eastAsia="宋体" w:hint="default"/>
                <w:sz w:val="18"/>
                <w:szCs w:val="18"/>
              </w:rPr>
            </w:pPr>
            <w:r>
              <w:rPr>
                <w:rFonts w:ascii="宋体" w:hAnsi="宋体" w:cs="宋体" w:eastAsia="宋体" w:hint="default"/>
                <w:sz w:val="18"/>
                <w:szCs w:val="18"/>
              </w:rPr>
              <w:t>一年</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09"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淮南达实医疗</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10"/>
              <w:jc w:val="right"/>
              <w:rPr>
                <w:rFonts w:ascii="Times New Roman" w:hAnsi="Times New Roman" w:cs="Times New Roman" w:eastAsia="Times New Roman" w:hint="default"/>
                <w:sz w:val="18"/>
                <w:szCs w:val="18"/>
              </w:rPr>
            </w:pPr>
            <w:r>
              <w:rPr>
                <w:rFonts w:ascii="Times New Roman"/>
                <w:spacing w:val="-1"/>
                <w:sz w:val="18"/>
              </w:rPr>
              <w:t>86,600</w:t>
            </w:r>
          </w:p>
        </w:tc>
        <w:tc>
          <w:tcPr>
            <w:tcW w:w="1308"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6" w:lineRule="auto"/>
              <w:ind w:left="33" w:right="95"/>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7" w:right="111"/>
              <w:jc w:val="both"/>
              <w:rPr>
                <w:rFonts w:ascii="宋体" w:hAnsi="宋体" w:cs="宋体" w:eastAsia="宋体" w:hint="default"/>
                <w:sz w:val="18"/>
                <w:szCs w:val="18"/>
              </w:rPr>
            </w:pPr>
            <w:r>
              <w:rPr>
                <w:rFonts w:ascii="宋体" w:hAnsi="宋体" w:cs="宋体" w:eastAsia="宋体" w:hint="default"/>
                <w:sz w:val="18"/>
                <w:szCs w:val="18"/>
              </w:rPr>
              <w:t>自担保合同 生效日起至 项目竣工验 收通过日止 或项目建成 并正式运营 之日，以早 到者为准</w:t>
            </w:r>
          </w:p>
          <w:p>
            <w:pPr>
              <w:pStyle w:val="TableParagraph"/>
              <w:spacing w:line="316" w:lineRule="auto" w:before="19"/>
              <w:ind w:left="27" w:right="111"/>
              <w:jc w:val="both"/>
              <w:rPr>
                <w:rFonts w:ascii="宋体" w:hAnsi="宋体" w:cs="宋体" w:eastAsia="宋体" w:hint="default"/>
                <w:sz w:val="18"/>
                <w:szCs w:val="18"/>
              </w:rPr>
            </w:pPr>
            <w:r>
              <w:rPr>
                <w:rFonts w:ascii="宋体" w:hAnsi="宋体" w:cs="宋体" w:eastAsia="宋体" w:hint="default"/>
                <w:sz w:val="18"/>
                <w:szCs w:val="18"/>
              </w:rPr>
              <w:t>（以竣工报 告为准）</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26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68"/>
              <w:jc w:val="left"/>
              <w:rPr>
                <w:rFonts w:ascii="宋体" w:hAnsi="宋体" w:cs="宋体" w:eastAsia="宋体" w:hint="default"/>
                <w:sz w:val="18"/>
                <w:szCs w:val="18"/>
              </w:rPr>
            </w:pPr>
            <w:r>
              <w:rPr>
                <w:rFonts w:ascii="宋体" w:hAnsi="宋体" w:cs="宋体" w:eastAsia="宋体" w:hint="default"/>
                <w:sz w:val="18"/>
                <w:szCs w:val="18"/>
              </w:rPr>
              <w:t>报告期内审批对子公司担保额度 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2236"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pacing w:val="-1"/>
                <w:sz w:val="18"/>
              </w:rPr>
              <w:t>294,800</w:t>
            </w:r>
          </w:p>
        </w:tc>
        <w:tc>
          <w:tcPr>
            <w:tcW w:w="20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0" w:right="78"/>
              <w:jc w:val="left"/>
              <w:rPr>
                <w:rFonts w:ascii="宋体" w:hAnsi="宋体" w:cs="宋体" w:eastAsia="宋体" w:hint="default"/>
                <w:sz w:val="18"/>
                <w:szCs w:val="18"/>
              </w:rPr>
            </w:pPr>
            <w:r>
              <w:rPr>
                <w:rFonts w:ascii="宋体" w:hAnsi="宋体" w:cs="宋体" w:eastAsia="宋体" w:hint="default"/>
                <w:sz w:val="18"/>
                <w:szCs w:val="18"/>
              </w:rPr>
              <w:t>报告期内对子公司担保实 际发生额合计（</w:t>
            </w:r>
            <w:r>
              <w:rPr>
                <w:rFonts w:ascii="Times New Roman" w:hAnsi="Times New Roman" w:cs="Times New Roman" w:eastAsia="Times New Roman" w:hint="default"/>
                <w:sz w:val="18"/>
                <w:szCs w:val="18"/>
              </w:rPr>
              <w:t>B2</w:t>
            </w:r>
            <w:r>
              <w:rPr>
                <w:rFonts w:ascii="宋体" w:hAnsi="宋体" w:cs="宋体" w:eastAsia="宋体" w:hint="default"/>
                <w:sz w:val="18"/>
                <w:szCs w:val="18"/>
              </w:rPr>
              <w:t>）</w:t>
            </w:r>
          </w:p>
        </w:tc>
        <w:tc>
          <w:tcPr>
            <w:tcW w:w="2625" w:type="dxa"/>
            <w:gridSpan w:val="3"/>
            <w:tcBorders>
              <w:top w:val="single" w:sz="4" w:space="0" w:color="000000"/>
              <w:left w:val="single" w:sz="12"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250,200</w:t>
            </w:r>
          </w:p>
        </w:tc>
      </w:tr>
      <w:tr>
        <w:trPr>
          <w:trHeight w:val="718" w:hRule="exact"/>
        </w:trPr>
        <w:tc>
          <w:tcPr>
            <w:tcW w:w="26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68"/>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 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2236"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pacing w:val="-1"/>
                <w:sz w:val="18"/>
              </w:rPr>
              <w:t>358,800</w:t>
            </w:r>
          </w:p>
        </w:tc>
        <w:tc>
          <w:tcPr>
            <w:tcW w:w="20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0" w:right="78"/>
              <w:jc w:val="left"/>
              <w:rPr>
                <w:rFonts w:ascii="宋体" w:hAnsi="宋体" w:cs="宋体" w:eastAsia="宋体" w:hint="default"/>
                <w:sz w:val="18"/>
                <w:szCs w:val="18"/>
              </w:rPr>
            </w:pPr>
            <w:r>
              <w:rPr>
                <w:rFonts w:ascii="宋体" w:hAnsi="宋体" w:cs="宋体" w:eastAsia="宋体" w:hint="default"/>
                <w:sz w:val="18"/>
                <w:szCs w:val="18"/>
              </w:rPr>
              <w:t>报告期末对子公司实际担 保余额合计（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625" w:type="dxa"/>
            <w:gridSpan w:val="3"/>
            <w:tcBorders>
              <w:top w:val="single" w:sz="4" w:space="0" w:color="000000"/>
              <w:left w:val="single" w:sz="12"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105,091.66</w:t>
            </w:r>
          </w:p>
        </w:tc>
      </w:tr>
      <w:tr>
        <w:trPr>
          <w:trHeight w:val="394" w:hRule="exact"/>
        </w:trPr>
        <w:tc>
          <w:tcPr>
            <w:tcW w:w="9576"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子公司对子公司的担保情况</w:t>
            </w:r>
          </w:p>
        </w:tc>
      </w:tr>
      <w:tr>
        <w:trPr>
          <w:trHeight w:val="166" w:hRule="exact"/>
        </w:trPr>
        <w:tc>
          <w:tcPr>
            <w:tcW w:w="1709" w:type="dxa"/>
            <w:vMerge w:val="restart"/>
            <w:tcBorders>
              <w:top w:val="single" w:sz="4" w:space="0" w:color="000000"/>
              <w:left w:val="single" w:sz="4" w:space="0" w:color="000000"/>
              <w:right w:val="single" w:sz="4" w:space="0" w:color="000000"/>
            </w:tcBorders>
            <w:shd w:val="clear" w:color="auto" w:fill="D2D2D2"/>
          </w:tcPr>
          <w:p>
            <w:pPr/>
          </w:p>
        </w:tc>
        <w:tc>
          <w:tcPr>
            <w:tcW w:w="91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93" w:right="89"/>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8" w:type="dxa"/>
            <w:vMerge w:val="restart"/>
            <w:tcBorders>
              <w:top w:val="single" w:sz="4" w:space="0" w:color="000000"/>
              <w:left w:val="single" w:sz="4" w:space="0" w:color="000000"/>
              <w:right w:val="single" w:sz="4" w:space="0" w:color="000000"/>
            </w:tcBorders>
            <w:shd w:val="clear" w:color="auto" w:fill="D2D2D2"/>
          </w:tcPr>
          <w:p>
            <w:pPr/>
          </w:p>
        </w:tc>
        <w:tc>
          <w:tcPr>
            <w:tcW w:w="1308" w:type="dxa"/>
            <w:vMerge w:val="restart"/>
            <w:tcBorders>
              <w:top w:val="single" w:sz="4" w:space="0" w:color="000000"/>
              <w:left w:val="single" w:sz="4" w:space="0" w:color="000000"/>
              <w:right w:val="single" w:sz="4" w:space="0" w:color="000000"/>
            </w:tcBorders>
            <w:shd w:val="clear" w:color="auto" w:fill="D2D2D2"/>
          </w:tcPr>
          <w:p>
            <w:pPr/>
          </w:p>
        </w:tc>
        <w:tc>
          <w:tcPr>
            <w:tcW w:w="1050" w:type="dxa"/>
            <w:tcBorders>
              <w:top w:val="single" w:sz="4" w:space="0" w:color="000000"/>
              <w:left w:val="single" w:sz="4" w:space="0" w:color="000000"/>
              <w:bottom w:val="nil" w:sz="6" w:space="0" w:color="auto"/>
              <w:right w:val="single" w:sz="4" w:space="0" w:color="000000"/>
            </w:tcBorders>
            <w:shd w:val="clear" w:color="auto" w:fill="D2D2D2"/>
          </w:tcPr>
          <w:p>
            <w:pPr/>
          </w:p>
        </w:tc>
        <w:tc>
          <w:tcPr>
            <w:tcW w:w="1040" w:type="dxa"/>
            <w:vMerge w:val="restart"/>
            <w:tcBorders>
              <w:top w:val="single" w:sz="4" w:space="0" w:color="000000"/>
              <w:left w:val="single" w:sz="4" w:space="0" w:color="000000"/>
              <w:right w:val="single" w:sz="4" w:space="0" w:color="000000"/>
            </w:tcBorders>
            <w:shd w:val="clear" w:color="auto" w:fill="D2D2D2"/>
          </w:tcPr>
          <w:p>
            <w:pPr/>
          </w:p>
        </w:tc>
        <w:tc>
          <w:tcPr>
            <w:tcW w:w="1051" w:type="dxa"/>
            <w:vMerge w:val="restart"/>
            <w:tcBorders>
              <w:top w:val="single" w:sz="4" w:space="0" w:color="000000"/>
              <w:left w:val="single" w:sz="4" w:space="0" w:color="000000"/>
              <w:right w:val="single" w:sz="4" w:space="0" w:color="FFFFFF"/>
            </w:tcBorders>
            <w:shd w:val="clear" w:color="auto" w:fill="D2D2D2"/>
          </w:tcPr>
          <w:p>
            <w:pPr/>
          </w:p>
        </w:tc>
        <w:tc>
          <w:tcPr>
            <w:tcW w:w="790" w:type="dxa"/>
            <w:tcBorders>
              <w:top w:val="single" w:sz="4" w:space="0" w:color="000000"/>
              <w:left w:val="single" w:sz="4" w:space="0" w:color="FFFFFF"/>
              <w:bottom w:val="nil" w:sz="6" w:space="0" w:color="auto"/>
              <w:right w:val="single" w:sz="4" w:space="0" w:color="000000"/>
            </w:tcBorders>
            <w:shd w:val="clear" w:color="auto" w:fill="D2D2D2"/>
          </w:tcPr>
          <w:p>
            <w:pPr/>
          </w:p>
        </w:tc>
        <w:tc>
          <w:tcPr>
            <w:tcW w:w="78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6" w:hRule="exact"/>
        </w:trPr>
        <w:tc>
          <w:tcPr>
            <w:tcW w:w="1709" w:type="dxa"/>
            <w:vMerge/>
            <w:tcBorders>
              <w:left w:val="single" w:sz="4" w:space="0" w:color="000000"/>
              <w:bottom w:val="nil" w:sz="6" w:space="0" w:color="auto"/>
              <w:right w:val="single" w:sz="4" w:space="0" w:color="000000"/>
            </w:tcBorders>
            <w:shd w:val="clear" w:color="auto" w:fill="D2D2D2"/>
          </w:tcPr>
          <w:p>
            <w:pPr/>
          </w:p>
        </w:tc>
        <w:tc>
          <w:tcPr>
            <w:tcW w:w="915" w:type="dxa"/>
            <w:vMerge/>
            <w:tcBorders>
              <w:left w:val="single" w:sz="4" w:space="0" w:color="000000"/>
              <w:right w:val="single" w:sz="4" w:space="0" w:color="000000"/>
            </w:tcBorders>
            <w:shd w:val="clear" w:color="auto" w:fill="D2D2D2"/>
          </w:tcPr>
          <w:p>
            <w:pPr/>
          </w:p>
        </w:tc>
        <w:tc>
          <w:tcPr>
            <w:tcW w:w="928" w:type="dxa"/>
            <w:vMerge/>
            <w:tcBorders>
              <w:left w:val="single" w:sz="4" w:space="0" w:color="000000"/>
              <w:bottom w:val="nil" w:sz="6" w:space="0" w:color="auto"/>
              <w:right w:val="single" w:sz="4" w:space="0" w:color="000000"/>
            </w:tcBorders>
            <w:shd w:val="clear" w:color="auto" w:fill="D2D2D2"/>
          </w:tcPr>
          <w:p>
            <w:pPr/>
          </w:p>
        </w:tc>
        <w:tc>
          <w:tcPr>
            <w:tcW w:w="1308" w:type="dxa"/>
            <w:vMerge/>
            <w:tcBorders>
              <w:left w:val="single" w:sz="4" w:space="0" w:color="000000"/>
              <w:bottom w:val="nil" w:sz="6" w:space="0" w:color="auto"/>
              <w:right w:val="single" w:sz="4" w:space="0" w:color="000000"/>
            </w:tcBorders>
            <w:shd w:val="clear" w:color="auto" w:fill="D2D2D2"/>
          </w:tcPr>
          <w:p>
            <w:pPr/>
          </w:p>
        </w:tc>
        <w:tc>
          <w:tcPr>
            <w:tcW w:w="1050"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423" w:right="75" w:hanging="361"/>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40" w:type="dxa"/>
            <w:vMerge/>
            <w:tcBorders>
              <w:left w:val="single" w:sz="4" w:space="0" w:color="000000"/>
              <w:bottom w:val="nil" w:sz="6" w:space="0" w:color="auto"/>
              <w:right w:val="single" w:sz="4" w:space="0" w:color="000000"/>
            </w:tcBorders>
            <w:shd w:val="clear" w:color="auto" w:fill="D2D2D2"/>
          </w:tcPr>
          <w:p>
            <w:pPr/>
          </w:p>
        </w:tc>
        <w:tc>
          <w:tcPr>
            <w:tcW w:w="1051" w:type="dxa"/>
            <w:vMerge/>
            <w:tcBorders>
              <w:left w:val="single" w:sz="4" w:space="0" w:color="000000"/>
              <w:bottom w:val="nil" w:sz="6" w:space="0" w:color="auto"/>
              <w:right w:val="single" w:sz="4" w:space="0" w:color="FFFFFF"/>
            </w:tcBorders>
            <w:shd w:val="clear" w:color="auto" w:fill="D2D2D2"/>
          </w:tcPr>
          <w:p>
            <w:pPr/>
          </w:p>
        </w:tc>
        <w:tc>
          <w:tcPr>
            <w:tcW w:w="790" w:type="dxa"/>
            <w:vMerge w:val="restart"/>
            <w:tcBorders>
              <w:top w:val="nil" w:sz="6" w:space="0" w:color="auto"/>
              <w:left w:val="single" w:sz="4" w:space="0" w:color="FFFFFF"/>
              <w:right w:val="single" w:sz="4" w:space="0" w:color="000000"/>
            </w:tcBorders>
            <w:shd w:val="clear" w:color="auto" w:fill="D2D2D2"/>
          </w:tcPr>
          <w:p>
            <w:pPr>
              <w:pStyle w:val="TableParagraph"/>
              <w:spacing w:line="316" w:lineRule="auto" w:before="49"/>
              <w:ind w:left="208" w:right="29"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24" w:right="29"/>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391" w:hRule="exact"/>
        </w:trPr>
        <w:tc>
          <w:tcPr>
            <w:tcW w:w="170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310"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915" w:type="dxa"/>
            <w:vMerge/>
            <w:tcBorders>
              <w:left w:val="single" w:sz="4" w:space="0" w:color="000000"/>
              <w:right w:val="single" w:sz="4" w:space="0" w:color="000000"/>
            </w:tcBorders>
            <w:shd w:val="clear" w:color="auto" w:fill="D2D2D2"/>
          </w:tcPr>
          <w:p>
            <w:pPr/>
          </w:p>
        </w:tc>
        <w:tc>
          <w:tcPr>
            <w:tcW w:w="92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96"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30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1050" w:type="dxa"/>
            <w:vMerge/>
            <w:tcBorders>
              <w:left w:val="single" w:sz="4" w:space="0" w:color="000000"/>
              <w:right w:val="single" w:sz="4" w:space="0" w:color="000000"/>
            </w:tcBorders>
            <w:shd w:val="clear" w:color="auto" w:fill="D2D2D2"/>
          </w:tcPr>
          <w:p>
            <w:pPr/>
          </w:p>
        </w:tc>
        <w:tc>
          <w:tcPr>
            <w:tcW w:w="104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53"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51" w:type="dxa"/>
            <w:tcBorders>
              <w:top w:val="nil" w:sz="6" w:space="0" w:color="auto"/>
              <w:left w:val="single" w:sz="4" w:space="0" w:color="000000"/>
              <w:bottom w:val="nil" w:sz="6" w:space="0" w:color="auto"/>
              <w:right w:val="single" w:sz="4" w:space="0" w:color="FFFFFF"/>
            </w:tcBorders>
            <w:shd w:val="clear" w:color="auto" w:fill="D2D2D2"/>
          </w:tcPr>
          <w:p>
            <w:pPr>
              <w:pStyle w:val="TableParagraph"/>
              <w:spacing w:line="240" w:lineRule="auto" w:before="49"/>
              <w:ind w:left="250"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790" w:type="dxa"/>
            <w:vMerge/>
            <w:tcBorders>
              <w:left w:val="single" w:sz="4" w:space="0" w:color="FFFFFF"/>
              <w:right w:val="single" w:sz="4" w:space="0" w:color="000000"/>
            </w:tcBorders>
            <w:shd w:val="clear" w:color="auto" w:fill="D2D2D2"/>
          </w:tcPr>
          <w:p>
            <w:pPr/>
          </w:p>
        </w:tc>
        <w:tc>
          <w:tcPr>
            <w:tcW w:w="785" w:type="dxa"/>
            <w:vMerge/>
            <w:tcBorders>
              <w:left w:val="single" w:sz="4" w:space="0" w:color="000000"/>
              <w:right w:val="single" w:sz="4" w:space="0" w:color="000000"/>
            </w:tcBorders>
            <w:shd w:val="clear" w:color="auto" w:fill="D2D2D2"/>
          </w:tcPr>
          <w:p>
            <w:pPr/>
          </w:p>
        </w:tc>
      </w:tr>
      <w:tr>
        <w:trPr>
          <w:trHeight w:val="156" w:hRule="exact"/>
        </w:trPr>
        <w:tc>
          <w:tcPr>
            <w:tcW w:w="1709" w:type="dxa"/>
            <w:vMerge w:val="restart"/>
            <w:tcBorders>
              <w:top w:val="nil" w:sz="6" w:space="0" w:color="auto"/>
              <w:left w:val="single" w:sz="4" w:space="0" w:color="000000"/>
              <w:right w:val="single" w:sz="4" w:space="0" w:color="000000"/>
            </w:tcBorders>
            <w:shd w:val="clear" w:color="auto" w:fill="D2D2D2"/>
          </w:tcPr>
          <w:p>
            <w:pPr/>
          </w:p>
        </w:tc>
        <w:tc>
          <w:tcPr>
            <w:tcW w:w="915" w:type="dxa"/>
            <w:vMerge/>
            <w:tcBorders>
              <w:left w:val="single" w:sz="4" w:space="0" w:color="000000"/>
              <w:right w:val="single" w:sz="4" w:space="0" w:color="000000"/>
            </w:tcBorders>
            <w:shd w:val="clear" w:color="auto" w:fill="D2D2D2"/>
          </w:tcPr>
          <w:p>
            <w:pPr/>
          </w:p>
        </w:tc>
        <w:tc>
          <w:tcPr>
            <w:tcW w:w="928" w:type="dxa"/>
            <w:vMerge w:val="restart"/>
            <w:tcBorders>
              <w:top w:val="nil" w:sz="6" w:space="0" w:color="auto"/>
              <w:left w:val="single" w:sz="4" w:space="0" w:color="000000"/>
              <w:right w:val="single" w:sz="4" w:space="0" w:color="000000"/>
            </w:tcBorders>
            <w:shd w:val="clear" w:color="auto" w:fill="D2D2D2"/>
          </w:tcPr>
          <w:p>
            <w:pPr/>
          </w:p>
        </w:tc>
        <w:tc>
          <w:tcPr>
            <w:tcW w:w="1308" w:type="dxa"/>
            <w:vMerge w:val="restart"/>
            <w:tcBorders>
              <w:top w:val="nil" w:sz="6" w:space="0" w:color="auto"/>
              <w:left w:val="single" w:sz="4" w:space="0" w:color="000000"/>
              <w:right w:val="single" w:sz="4" w:space="0" w:color="000000"/>
            </w:tcBorders>
            <w:shd w:val="clear" w:color="auto" w:fill="D2D2D2"/>
          </w:tcPr>
          <w:p>
            <w:pPr/>
          </w:p>
        </w:tc>
        <w:tc>
          <w:tcPr>
            <w:tcW w:w="1050" w:type="dxa"/>
            <w:vMerge/>
            <w:tcBorders>
              <w:left w:val="single" w:sz="4" w:space="0" w:color="000000"/>
              <w:bottom w:val="nil" w:sz="6" w:space="0" w:color="auto"/>
              <w:right w:val="single" w:sz="4" w:space="0" w:color="000000"/>
            </w:tcBorders>
            <w:shd w:val="clear" w:color="auto" w:fill="D2D2D2"/>
          </w:tcPr>
          <w:p>
            <w:pPr/>
          </w:p>
        </w:tc>
        <w:tc>
          <w:tcPr>
            <w:tcW w:w="1040" w:type="dxa"/>
            <w:vMerge w:val="restart"/>
            <w:tcBorders>
              <w:top w:val="nil" w:sz="6" w:space="0" w:color="auto"/>
              <w:left w:val="single" w:sz="4" w:space="0" w:color="000000"/>
              <w:right w:val="single" w:sz="4" w:space="0" w:color="000000"/>
            </w:tcBorders>
            <w:shd w:val="clear" w:color="auto" w:fill="D2D2D2"/>
          </w:tcPr>
          <w:p>
            <w:pPr/>
          </w:p>
        </w:tc>
        <w:tc>
          <w:tcPr>
            <w:tcW w:w="1051" w:type="dxa"/>
            <w:vMerge w:val="restart"/>
            <w:tcBorders>
              <w:top w:val="nil" w:sz="6" w:space="0" w:color="auto"/>
              <w:left w:val="single" w:sz="4" w:space="0" w:color="000000"/>
              <w:right w:val="single" w:sz="4" w:space="0" w:color="FFFFFF"/>
            </w:tcBorders>
            <w:shd w:val="clear" w:color="auto" w:fill="D2D2D2"/>
          </w:tcPr>
          <w:p>
            <w:pPr/>
          </w:p>
        </w:tc>
        <w:tc>
          <w:tcPr>
            <w:tcW w:w="790" w:type="dxa"/>
            <w:vMerge/>
            <w:tcBorders>
              <w:left w:val="single" w:sz="4" w:space="0" w:color="FFFFFF"/>
              <w:bottom w:val="nil" w:sz="6" w:space="0" w:color="auto"/>
              <w:right w:val="single" w:sz="4" w:space="0" w:color="000000"/>
            </w:tcBorders>
            <w:shd w:val="clear" w:color="auto" w:fill="D2D2D2"/>
          </w:tcPr>
          <w:p>
            <w:pPr/>
          </w:p>
        </w:tc>
        <w:tc>
          <w:tcPr>
            <w:tcW w:w="785" w:type="dxa"/>
            <w:vMerge/>
            <w:tcBorders>
              <w:left w:val="single" w:sz="4" w:space="0" w:color="000000"/>
              <w:bottom w:val="nil" w:sz="6" w:space="0" w:color="auto"/>
              <w:right w:val="single" w:sz="4" w:space="0" w:color="000000"/>
            </w:tcBorders>
            <w:shd w:val="clear" w:color="auto" w:fill="D2D2D2"/>
          </w:tcPr>
          <w:p>
            <w:pPr/>
          </w:p>
        </w:tc>
      </w:tr>
      <w:tr>
        <w:trPr>
          <w:trHeight w:val="161" w:hRule="exact"/>
        </w:trPr>
        <w:tc>
          <w:tcPr>
            <w:tcW w:w="1709" w:type="dxa"/>
            <w:vMerge/>
            <w:tcBorders>
              <w:left w:val="single" w:sz="4" w:space="0" w:color="000000"/>
              <w:bottom w:val="single" w:sz="4" w:space="0" w:color="000000"/>
              <w:right w:val="single" w:sz="4" w:space="0" w:color="000000"/>
            </w:tcBorders>
            <w:shd w:val="clear" w:color="auto" w:fill="D2D2D2"/>
          </w:tcPr>
          <w:p>
            <w:pPr/>
          </w:p>
        </w:tc>
        <w:tc>
          <w:tcPr>
            <w:tcW w:w="915" w:type="dxa"/>
            <w:vMerge/>
            <w:tcBorders>
              <w:left w:val="single" w:sz="4" w:space="0" w:color="000000"/>
              <w:bottom w:val="single" w:sz="4" w:space="0" w:color="000000"/>
              <w:right w:val="single" w:sz="4" w:space="0" w:color="000000"/>
            </w:tcBorders>
            <w:shd w:val="clear" w:color="auto" w:fill="D2D2D2"/>
          </w:tcPr>
          <w:p>
            <w:pPr/>
          </w:p>
        </w:tc>
        <w:tc>
          <w:tcPr>
            <w:tcW w:w="928" w:type="dxa"/>
            <w:vMerge/>
            <w:tcBorders>
              <w:left w:val="single" w:sz="4" w:space="0" w:color="000000"/>
              <w:bottom w:val="single" w:sz="4" w:space="0" w:color="000000"/>
              <w:right w:val="single" w:sz="4" w:space="0" w:color="000000"/>
            </w:tcBorders>
            <w:shd w:val="clear" w:color="auto" w:fill="D2D2D2"/>
          </w:tcPr>
          <w:p>
            <w:pPr/>
          </w:p>
        </w:tc>
        <w:tc>
          <w:tcPr>
            <w:tcW w:w="1308" w:type="dxa"/>
            <w:vMerge/>
            <w:tcBorders>
              <w:left w:val="single" w:sz="4" w:space="0" w:color="000000"/>
              <w:bottom w:val="single" w:sz="4" w:space="0" w:color="000000"/>
              <w:right w:val="single" w:sz="4" w:space="0" w:color="000000"/>
            </w:tcBorders>
            <w:shd w:val="clear" w:color="auto" w:fill="D2D2D2"/>
          </w:tcPr>
          <w:p>
            <w:pPr/>
          </w:p>
        </w:tc>
        <w:tc>
          <w:tcPr>
            <w:tcW w:w="1050" w:type="dxa"/>
            <w:tcBorders>
              <w:top w:val="nil" w:sz="6" w:space="0" w:color="auto"/>
              <w:left w:val="single" w:sz="4" w:space="0" w:color="000000"/>
              <w:bottom w:val="single" w:sz="4" w:space="0" w:color="000000"/>
              <w:right w:val="single" w:sz="4" w:space="0" w:color="000000"/>
            </w:tcBorders>
            <w:shd w:val="clear" w:color="auto" w:fill="D2D2D2"/>
          </w:tcPr>
          <w:p>
            <w:pPr/>
          </w:p>
        </w:tc>
        <w:tc>
          <w:tcPr>
            <w:tcW w:w="1040" w:type="dxa"/>
            <w:vMerge/>
            <w:tcBorders>
              <w:left w:val="single" w:sz="4" w:space="0" w:color="000000"/>
              <w:bottom w:val="single" w:sz="4" w:space="0" w:color="000000"/>
              <w:right w:val="single" w:sz="4" w:space="0" w:color="000000"/>
            </w:tcBorders>
            <w:shd w:val="clear" w:color="auto" w:fill="D2D2D2"/>
          </w:tcPr>
          <w:p>
            <w:pPr/>
          </w:p>
        </w:tc>
        <w:tc>
          <w:tcPr>
            <w:tcW w:w="1051" w:type="dxa"/>
            <w:vMerge/>
            <w:tcBorders>
              <w:left w:val="single" w:sz="4" w:space="0" w:color="000000"/>
              <w:bottom w:val="single" w:sz="4" w:space="0" w:color="000000"/>
              <w:right w:val="single" w:sz="4" w:space="0" w:color="FFFFFF"/>
            </w:tcBorders>
            <w:shd w:val="clear" w:color="auto" w:fill="D2D2D2"/>
          </w:tcPr>
          <w:p>
            <w:pPr/>
          </w:p>
        </w:tc>
        <w:tc>
          <w:tcPr>
            <w:tcW w:w="790" w:type="dxa"/>
            <w:tcBorders>
              <w:top w:val="nil" w:sz="6" w:space="0" w:color="auto"/>
              <w:left w:val="single" w:sz="4" w:space="0" w:color="FFFFFF"/>
              <w:bottom w:val="single" w:sz="4" w:space="0" w:color="000000"/>
              <w:right w:val="single" w:sz="4" w:space="0" w:color="000000"/>
            </w:tcBorders>
            <w:shd w:val="clear" w:color="auto" w:fill="D2D2D2"/>
          </w:tcPr>
          <w:p>
            <w:pPr/>
          </w:p>
        </w:tc>
        <w:tc>
          <w:tcPr>
            <w:tcW w:w="78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716"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3"/>
              <w:jc w:val="left"/>
              <w:rPr>
                <w:rFonts w:ascii="宋体" w:hAnsi="宋体" w:cs="宋体" w:eastAsia="宋体" w:hint="default"/>
                <w:sz w:val="18"/>
                <w:szCs w:val="18"/>
              </w:rPr>
            </w:pPr>
            <w:r>
              <w:rPr>
                <w:rFonts w:ascii="宋体" w:hAnsi="宋体" w:cs="宋体" w:eastAsia="宋体" w:hint="default"/>
                <w:sz w:val="18"/>
                <w:szCs w:val="18"/>
              </w:rPr>
              <w:t>江苏达实久信数字医 疗科技有限公司</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7"/>
              <w:jc w:val="right"/>
              <w:rPr>
                <w:rFonts w:ascii="Times New Roman" w:hAnsi="Times New Roman" w:cs="Times New Roman" w:eastAsia="Times New Roman" w:hint="default"/>
                <w:sz w:val="18"/>
                <w:szCs w:val="18"/>
              </w:rPr>
            </w:pPr>
            <w:r>
              <w:rPr>
                <w:rFonts w:ascii="Times New Roman"/>
                <w:sz w:val="18"/>
              </w:rPr>
              <w:t>1,000</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z w:val="18"/>
              </w:rPr>
              <w:t>150</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4" w:right="114"/>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1"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2020/10/20</w:t>
            </w:r>
          </w:p>
        </w:tc>
        <w:tc>
          <w:tcPr>
            <w:tcW w:w="790" w:type="dxa"/>
            <w:tcBorders>
              <w:top w:val="single" w:sz="4" w:space="0" w:color="000000"/>
              <w:left w:val="single" w:sz="4" w:space="0" w:color="FFFFFF"/>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26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69"/>
              <w:jc w:val="left"/>
              <w:rPr>
                <w:rFonts w:ascii="宋体" w:hAnsi="宋体" w:cs="宋体" w:eastAsia="宋体" w:hint="default"/>
                <w:sz w:val="18"/>
                <w:szCs w:val="18"/>
              </w:rPr>
            </w:pPr>
            <w:r>
              <w:rPr>
                <w:rFonts w:ascii="宋体" w:hAnsi="宋体" w:cs="宋体" w:eastAsia="宋体" w:hint="default"/>
                <w:sz w:val="18"/>
                <w:szCs w:val="18"/>
              </w:rPr>
              <w:t>报告期内审批对子公司担保额度 合计（</w:t>
            </w:r>
            <w:r>
              <w:rPr>
                <w:rFonts w:ascii="Times New Roman" w:hAnsi="Times New Roman" w:cs="Times New Roman" w:eastAsia="Times New Roman" w:hint="default"/>
                <w:sz w:val="18"/>
                <w:szCs w:val="18"/>
              </w:rPr>
              <w:t>C1</w:t>
            </w:r>
            <w:r>
              <w:rPr>
                <w:rFonts w:ascii="宋体" w:hAnsi="宋体" w:cs="宋体" w:eastAsia="宋体" w:hint="default"/>
                <w:sz w:val="18"/>
                <w:szCs w:val="18"/>
              </w:rPr>
              <w:t>）</w:t>
            </w:r>
          </w:p>
        </w:tc>
        <w:tc>
          <w:tcPr>
            <w:tcW w:w="2236"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
              <w:jc w:val="right"/>
              <w:rPr>
                <w:rFonts w:ascii="Times New Roman" w:hAnsi="Times New Roman" w:cs="Times New Roman" w:eastAsia="Times New Roman" w:hint="default"/>
                <w:sz w:val="18"/>
                <w:szCs w:val="18"/>
              </w:rPr>
            </w:pPr>
            <w:r>
              <w:rPr>
                <w:rFonts w:ascii="Times New Roman"/>
                <w:sz w:val="18"/>
              </w:rPr>
              <w:t>1,000</w:t>
            </w:r>
          </w:p>
        </w:tc>
        <w:tc>
          <w:tcPr>
            <w:tcW w:w="20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0" w:right="78"/>
              <w:jc w:val="left"/>
              <w:rPr>
                <w:rFonts w:ascii="宋体" w:hAnsi="宋体" w:cs="宋体" w:eastAsia="宋体" w:hint="default"/>
                <w:sz w:val="18"/>
                <w:szCs w:val="18"/>
              </w:rPr>
            </w:pPr>
            <w:r>
              <w:rPr>
                <w:rFonts w:ascii="宋体" w:hAnsi="宋体" w:cs="宋体" w:eastAsia="宋体" w:hint="default"/>
                <w:sz w:val="18"/>
                <w:szCs w:val="18"/>
              </w:rPr>
              <w:t>报告期内对子公司担保实 际发生额合计（</w:t>
            </w:r>
            <w:r>
              <w:rPr>
                <w:rFonts w:ascii="Times New Roman" w:hAnsi="Times New Roman" w:cs="Times New Roman" w:eastAsia="Times New Roman" w:hint="default"/>
                <w:sz w:val="18"/>
                <w:szCs w:val="18"/>
              </w:rPr>
              <w:t>C2</w:t>
            </w:r>
            <w:r>
              <w:rPr>
                <w:rFonts w:ascii="宋体" w:hAnsi="宋体" w:cs="宋体" w:eastAsia="宋体" w:hint="default"/>
                <w:sz w:val="18"/>
                <w:szCs w:val="18"/>
              </w:rPr>
              <w:t>）</w:t>
            </w:r>
          </w:p>
        </w:tc>
        <w:tc>
          <w:tcPr>
            <w:tcW w:w="2625" w:type="dxa"/>
            <w:gridSpan w:val="3"/>
            <w:tcBorders>
              <w:top w:val="single" w:sz="4" w:space="0" w:color="000000"/>
              <w:left w:val="single" w:sz="12"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150</w:t>
            </w:r>
          </w:p>
        </w:tc>
      </w:tr>
      <w:tr>
        <w:trPr>
          <w:trHeight w:val="720" w:hRule="exact"/>
        </w:trPr>
        <w:tc>
          <w:tcPr>
            <w:tcW w:w="26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68"/>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 额度合计（</w:t>
            </w:r>
            <w:r>
              <w:rPr>
                <w:rFonts w:ascii="Times New Roman" w:hAnsi="Times New Roman" w:cs="Times New Roman" w:eastAsia="Times New Roman" w:hint="default"/>
                <w:sz w:val="18"/>
                <w:szCs w:val="18"/>
              </w:rPr>
              <w:t>C3</w:t>
            </w:r>
            <w:r>
              <w:rPr>
                <w:rFonts w:ascii="宋体" w:hAnsi="宋体" w:cs="宋体" w:eastAsia="宋体" w:hint="default"/>
                <w:sz w:val="18"/>
                <w:szCs w:val="18"/>
              </w:rPr>
              <w:t>）</w:t>
            </w:r>
          </w:p>
        </w:tc>
        <w:tc>
          <w:tcPr>
            <w:tcW w:w="2236"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
              <w:jc w:val="right"/>
              <w:rPr>
                <w:rFonts w:ascii="Times New Roman" w:hAnsi="Times New Roman" w:cs="Times New Roman" w:eastAsia="Times New Roman" w:hint="default"/>
                <w:sz w:val="18"/>
                <w:szCs w:val="18"/>
              </w:rPr>
            </w:pPr>
            <w:r>
              <w:rPr>
                <w:rFonts w:ascii="Times New Roman"/>
                <w:sz w:val="18"/>
              </w:rPr>
              <w:t>1,000</w:t>
            </w:r>
          </w:p>
        </w:tc>
        <w:tc>
          <w:tcPr>
            <w:tcW w:w="20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0" w:right="78"/>
              <w:jc w:val="left"/>
              <w:rPr>
                <w:rFonts w:ascii="宋体" w:hAnsi="宋体" w:cs="宋体" w:eastAsia="宋体" w:hint="default"/>
                <w:sz w:val="18"/>
                <w:szCs w:val="18"/>
              </w:rPr>
            </w:pPr>
            <w:r>
              <w:rPr>
                <w:rFonts w:ascii="宋体" w:hAnsi="宋体" w:cs="宋体" w:eastAsia="宋体" w:hint="default"/>
                <w:sz w:val="18"/>
                <w:szCs w:val="18"/>
              </w:rPr>
              <w:t>报告期末对子公司实际担 保余额合计（</w:t>
            </w:r>
            <w:r>
              <w:rPr>
                <w:rFonts w:ascii="Times New Roman" w:hAnsi="Times New Roman" w:cs="Times New Roman" w:eastAsia="Times New Roman" w:hint="default"/>
                <w:sz w:val="18"/>
                <w:szCs w:val="18"/>
              </w:rPr>
              <w:t>C4</w:t>
            </w:r>
            <w:r>
              <w:rPr>
                <w:rFonts w:ascii="宋体" w:hAnsi="宋体" w:cs="宋体" w:eastAsia="宋体" w:hint="default"/>
                <w:sz w:val="18"/>
                <w:szCs w:val="18"/>
              </w:rPr>
              <w:t>）</w:t>
            </w:r>
          </w:p>
        </w:tc>
        <w:tc>
          <w:tcPr>
            <w:tcW w:w="2625" w:type="dxa"/>
            <w:gridSpan w:val="3"/>
            <w:tcBorders>
              <w:top w:val="single" w:sz="4" w:space="0" w:color="000000"/>
              <w:left w:val="single" w:sz="12"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150</w:t>
            </w:r>
          </w:p>
        </w:tc>
      </w:tr>
      <w:tr>
        <w:trPr>
          <w:trHeight w:val="391" w:hRule="exact"/>
        </w:trPr>
        <w:tc>
          <w:tcPr>
            <w:tcW w:w="9576"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公司担保总额（即前三大项的合计）</w:t>
            </w:r>
          </w:p>
        </w:tc>
      </w:tr>
      <w:tr>
        <w:trPr>
          <w:trHeight w:val="720" w:hRule="exact"/>
        </w:trPr>
        <w:tc>
          <w:tcPr>
            <w:tcW w:w="26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报告期内审批担保额度合计</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A1+B1+C1</w:t>
            </w:r>
            <w:r>
              <w:rPr>
                <w:rFonts w:ascii="宋体" w:hAnsi="宋体" w:cs="宋体" w:eastAsia="宋体" w:hint="default"/>
                <w:sz w:val="18"/>
                <w:szCs w:val="18"/>
              </w:rPr>
              <w:t>）</w:t>
            </w:r>
          </w:p>
        </w:tc>
        <w:tc>
          <w:tcPr>
            <w:tcW w:w="2236"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pacing w:val="-1"/>
                <w:sz w:val="18"/>
              </w:rPr>
              <w:t>295,800</w:t>
            </w:r>
          </w:p>
        </w:tc>
        <w:tc>
          <w:tcPr>
            <w:tcW w:w="20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0" w:right="78"/>
              <w:jc w:val="left"/>
              <w:rPr>
                <w:rFonts w:ascii="宋体" w:hAnsi="宋体" w:cs="宋体" w:eastAsia="宋体" w:hint="default"/>
                <w:sz w:val="18"/>
                <w:szCs w:val="18"/>
              </w:rPr>
            </w:pPr>
            <w:r>
              <w:rPr>
                <w:rFonts w:ascii="宋体" w:hAnsi="宋体" w:cs="宋体" w:eastAsia="宋体" w:hint="default"/>
                <w:sz w:val="18"/>
                <w:szCs w:val="18"/>
              </w:rPr>
              <w:t>报告期内担保实际发生额 合计（</w:t>
            </w:r>
            <w:r>
              <w:rPr>
                <w:rFonts w:ascii="Times New Roman" w:hAnsi="Times New Roman" w:cs="Times New Roman" w:eastAsia="Times New Roman" w:hint="default"/>
                <w:sz w:val="18"/>
                <w:szCs w:val="18"/>
              </w:rPr>
              <w:t>A2+B2+C2</w:t>
            </w:r>
            <w:r>
              <w:rPr>
                <w:rFonts w:ascii="宋体" w:hAnsi="宋体" w:cs="宋体" w:eastAsia="宋体" w:hint="default"/>
                <w:sz w:val="18"/>
                <w:szCs w:val="18"/>
              </w:rPr>
              <w:t>）</w:t>
            </w:r>
          </w:p>
        </w:tc>
        <w:tc>
          <w:tcPr>
            <w:tcW w:w="2625" w:type="dxa"/>
            <w:gridSpan w:val="3"/>
            <w:tcBorders>
              <w:top w:val="single" w:sz="4" w:space="0" w:color="000000"/>
              <w:left w:val="single" w:sz="12" w:space="0" w:color="D2D2D2"/>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262,850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609"/>
        <w:gridCol w:w="2236"/>
        <w:gridCol w:w="2087"/>
        <w:gridCol w:w="2632"/>
      </w:tblGrid>
      <w:tr>
        <w:trPr>
          <w:trHeight w:val="714" w:hRule="exact"/>
        </w:trPr>
        <w:tc>
          <w:tcPr>
            <w:tcW w:w="26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报告期末已审批的担保额度合计</w:t>
            </w:r>
          </w:p>
          <w:p>
            <w:pPr>
              <w:pStyle w:val="TableParagraph"/>
              <w:spacing w:line="240" w:lineRule="auto" w:before="77"/>
              <w:ind w:left="1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A3+B3+C3</w:t>
            </w:r>
            <w:r>
              <w:rPr>
                <w:rFonts w:ascii="宋体" w:hAnsi="宋体" w:cs="宋体" w:eastAsia="宋体" w:hint="default"/>
                <w:sz w:val="18"/>
                <w:szCs w:val="18"/>
              </w:rPr>
              <w:t>）</w:t>
            </w:r>
          </w:p>
        </w:tc>
        <w:tc>
          <w:tcPr>
            <w:tcW w:w="2236"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372,300</w:t>
            </w:r>
          </w:p>
        </w:tc>
        <w:tc>
          <w:tcPr>
            <w:tcW w:w="20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3" w:right="71"/>
              <w:jc w:val="left"/>
              <w:rPr>
                <w:rFonts w:ascii="宋体" w:hAnsi="宋体" w:cs="宋体" w:eastAsia="宋体" w:hint="default"/>
                <w:sz w:val="18"/>
                <w:szCs w:val="18"/>
              </w:rPr>
            </w:pPr>
            <w:r>
              <w:rPr>
                <w:rFonts w:ascii="宋体" w:hAnsi="宋体" w:cs="宋体" w:eastAsia="宋体" w:hint="default"/>
                <w:sz w:val="18"/>
                <w:szCs w:val="18"/>
              </w:rPr>
              <w:t>报告期末实际担保余额合 计（</w:t>
            </w:r>
            <w:r>
              <w:rPr>
                <w:rFonts w:ascii="Times New Roman" w:hAnsi="Times New Roman" w:cs="Times New Roman" w:eastAsia="Times New Roman" w:hint="default"/>
                <w:sz w:val="18"/>
                <w:szCs w:val="18"/>
              </w:rPr>
              <w:t>A4+B4+C4</w:t>
            </w:r>
            <w:r>
              <w:rPr>
                <w:rFonts w:ascii="宋体" w:hAnsi="宋体" w:cs="宋体" w:eastAsia="宋体" w:hint="default"/>
                <w:sz w:val="18"/>
                <w:szCs w:val="18"/>
              </w:rPr>
              <w:t>）</w:t>
            </w:r>
          </w:p>
        </w:tc>
        <w:tc>
          <w:tcPr>
            <w:tcW w:w="263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112,891.43</w:t>
            </w:r>
          </w:p>
        </w:tc>
      </w:tr>
      <w:tr>
        <w:trPr>
          <w:trHeight w:val="407" w:hRule="exact"/>
        </w:trPr>
        <w:tc>
          <w:tcPr>
            <w:tcW w:w="48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实际担保总额（即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A4+B4+C4</w:t>
            </w:r>
            <w:r>
              <w:rPr>
                <w:rFonts w:ascii="宋体" w:hAnsi="宋体" w:cs="宋体" w:eastAsia="宋体" w:hint="default"/>
                <w:sz w:val="18"/>
                <w:szCs w:val="18"/>
              </w:rPr>
              <w:t>）占公司净资产的比例</w:t>
            </w:r>
          </w:p>
        </w:tc>
        <w:tc>
          <w:tcPr>
            <w:tcW w:w="4719" w:type="dxa"/>
            <w:gridSpan w:val="2"/>
            <w:tcBorders>
              <w:top w:val="single" w:sz="4" w:space="0" w:color="000000"/>
              <w:left w:val="single" w:sz="12" w:space="0" w:color="D2D2D2"/>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39.99%</w:t>
            </w:r>
          </w:p>
        </w:tc>
      </w:tr>
      <w:tr>
        <w:trPr>
          <w:trHeight w:val="391" w:hRule="exact"/>
        </w:trPr>
        <w:tc>
          <w:tcPr>
            <w:tcW w:w="9564"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12" w:right="0"/>
              <w:jc w:val="left"/>
              <w:rPr>
                <w:rFonts w:ascii="宋体" w:hAnsi="宋体" w:cs="宋体" w:eastAsia="宋体" w:hint="default"/>
                <w:sz w:val="18"/>
                <w:szCs w:val="18"/>
              </w:rPr>
            </w:pPr>
            <w:r>
              <w:rPr>
                <w:rFonts w:ascii="宋体" w:hAnsi="宋体" w:cs="宋体" w:eastAsia="宋体" w:hint="default"/>
                <w:sz w:val="18"/>
                <w:szCs w:val="18"/>
              </w:rPr>
              <w:t>其中：</w:t>
            </w:r>
          </w:p>
        </w:tc>
      </w:tr>
      <w:tr>
        <w:trPr>
          <w:trHeight w:val="408" w:hRule="exact"/>
        </w:trPr>
        <w:tc>
          <w:tcPr>
            <w:tcW w:w="48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2" w:right="0"/>
              <w:jc w:val="left"/>
              <w:rPr>
                <w:rFonts w:ascii="宋体" w:hAnsi="宋体" w:cs="宋体" w:eastAsia="宋体" w:hint="default"/>
                <w:sz w:val="18"/>
                <w:szCs w:val="18"/>
              </w:rPr>
            </w:pPr>
            <w:r>
              <w:rPr>
                <w:rFonts w:ascii="宋体" w:hAnsi="宋体" w:cs="宋体" w:eastAsia="宋体" w:hint="default"/>
                <w:sz w:val="18"/>
                <w:szCs w:val="18"/>
              </w:rPr>
              <w:t>为股东、实际控制人及其关联方提供担保的余额（</w:t>
            </w:r>
            <w:r>
              <w:rPr>
                <w:rFonts w:ascii="Times New Roman" w:hAnsi="Times New Roman" w:cs="Times New Roman" w:eastAsia="Times New Roman" w:hint="default"/>
                <w:sz w:val="18"/>
                <w:szCs w:val="18"/>
              </w:rPr>
              <w:t>D</w:t>
            </w:r>
            <w:r>
              <w:rPr>
                <w:rFonts w:ascii="宋体" w:hAnsi="宋体" w:cs="宋体" w:eastAsia="宋体" w:hint="default"/>
                <w:sz w:val="18"/>
                <w:szCs w:val="18"/>
              </w:rPr>
              <w:t>）</w:t>
            </w:r>
          </w:p>
        </w:tc>
        <w:tc>
          <w:tcPr>
            <w:tcW w:w="4719" w:type="dxa"/>
            <w:gridSpan w:val="2"/>
            <w:tcBorders>
              <w:top w:val="single" w:sz="4" w:space="0" w:color="000000"/>
              <w:left w:val="single" w:sz="12" w:space="0" w:color="D2D2D2"/>
              <w:bottom w:val="single" w:sz="4" w:space="0" w:color="000000"/>
              <w:right w:val="single" w:sz="4" w:space="0" w:color="000000"/>
            </w:tcBorders>
          </w:tcPr>
          <w:p>
            <w:pPr>
              <w:pStyle w:val="TableParagraph"/>
              <w:spacing w:line="240" w:lineRule="auto" w:before="98"/>
              <w:ind w:right="20"/>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1133"/>
        <w:jc w:val="left"/>
        <w:rPr>
          <w:b w:val="0"/>
          <w:bCs w:val="0"/>
        </w:rPr>
      </w:pPr>
      <w:bookmarkStart w:name="（2）违规对外担保情况" w:id="91"/>
      <w:bookmarkEnd w:id="91"/>
      <w:r>
        <w:rPr>
          <w:b w:val="0"/>
          <w:bCs w:val="0"/>
        </w:rPr>
      </w:r>
      <w:r>
        <w:rPr/>
        <w:t>（</w:t>
      </w:r>
      <w:r>
        <w:rPr>
          <w:rFonts w:ascii="Times New Roman" w:hAnsi="Times New Roman" w:cs="Times New Roman" w:eastAsia="Times New Roman" w:hint="default"/>
        </w:rPr>
        <w:t>2</w:t>
      </w:r>
      <w:r>
        <w:rPr/>
        <w:t>）违规对外担保情况</w:t>
      </w:r>
      <w:r>
        <w:rPr>
          <w:b w:val="0"/>
          <w:bCs w:val="0"/>
        </w:rPr>
      </w:r>
    </w:p>
    <w:p>
      <w:pPr>
        <w:spacing w:line="240" w:lineRule="auto" w:before="4"/>
        <w:rPr>
          <w:rFonts w:ascii="宋体" w:hAnsi="宋体" w:cs="宋体" w:eastAsia="宋体" w:hint="default"/>
          <w:b/>
          <w:bCs/>
          <w:sz w:val="26"/>
          <w:szCs w:val="26"/>
        </w:rPr>
      </w:pPr>
    </w:p>
    <w:p>
      <w:pPr>
        <w:pStyle w:val="BodyText"/>
        <w:spacing w:line="338" w:lineRule="auto"/>
        <w:ind w:right="7321"/>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公司报告期无违规对外担保情况。</w:t>
      </w:r>
    </w:p>
    <w:p>
      <w:pPr>
        <w:spacing w:line="240" w:lineRule="auto" w:before="8"/>
        <w:rPr>
          <w:rFonts w:ascii="宋体" w:hAnsi="宋体" w:cs="宋体" w:eastAsia="宋体" w:hint="default"/>
          <w:sz w:val="21"/>
          <w:szCs w:val="21"/>
        </w:rPr>
      </w:pPr>
    </w:p>
    <w:p>
      <w:pPr>
        <w:pStyle w:val="Heading4"/>
        <w:spacing w:line="240" w:lineRule="auto"/>
        <w:ind w:right="1133"/>
        <w:jc w:val="left"/>
        <w:rPr>
          <w:b w:val="0"/>
          <w:bCs w:val="0"/>
        </w:rPr>
      </w:pPr>
      <w:bookmarkStart w:name="3、委托他人进行现金资产管理情况" w:id="92"/>
      <w:bookmarkEnd w:id="92"/>
      <w:r>
        <w:rPr>
          <w:b w:val="0"/>
          <w:bCs w:val="0"/>
        </w:rPr>
      </w:r>
      <w:r>
        <w:rPr>
          <w:rFonts w:ascii="Times New Roman" w:hAnsi="Times New Roman" w:cs="Times New Roman" w:eastAsia="Times New Roman" w:hint="default"/>
        </w:rPr>
        <w:t>3</w:t>
      </w:r>
      <w:r>
        <w:rPr/>
        <w:t>、委托他人进行现金资产管理情况</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33"/>
        <w:jc w:val="left"/>
        <w:rPr>
          <w:b w:val="0"/>
          <w:bCs w:val="0"/>
        </w:rPr>
      </w:pPr>
      <w:bookmarkStart w:name="（1）委托理财情况" w:id="93"/>
      <w:bookmarkEnd w:id="93"/>
      <w:r>
        <w:rPr>
          <w:b w:val="0"/>
          <w:bCs w:val="0"/>
        </w:rPr>
      </w:r>
      <w:r>
        <w:rPr/>
        <w:t>（</w:t>
      </w:r>
      <w:r>
        <w:rPr>
          <w:rFonts w:ascii="Times New Roman" w:hAnsi="Times New Roman" w:cs="Times New Roman" w:eastAsia="Times New Roman" w:hint="default"/>
        </w:rPr>
        <w:t>1</w:t>
      </w:r>
      <w:r>
        <w:rPr/>
        <w:t>）委托理财情况</w:t>
      </w:r>
      <w:r>
        <w:rPr>
          <w:b w:val="0"/>
          <w:bCs w:val="0"/>
        </w:rPr>
      </w:r>
    </w:p>
    <w:p>
      <w:pPr>
        <w:spacing w:line="240" w:lineRule="auto" w:before="10"/>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80" w:top="1060" w:bottom="1160" w:left="980" w:right="0"/>
        </w:sectPr>
      </w:pPr>
    </w:p>
    <w:p>
      <w:pPr>
        <w:pStyle w:val="BodyText"/>
        <w:spacing w:line="340" w:lineRule="auto" w:before="44"/>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报告期内委托理财概况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1"/>
          <w:szCs w:val="21"/>
        </w:rPr>
      </w:pPr>
    </w:p>
    <w:p>
      <w:pPr>
        <w:pStyle w:val="BodyText"/>
        <w:spacing w:line="240" w:lineRule="auto"/>
        <w:ind w:right="0"/>
        <w:jc w:val="left"/>
      </w:pPr>
      <w:r>
        <w:rPr/>
        <w:t>单位：万元</w:t>
      </w:r>
    </w:p>
    <w:p>
      <w:pPr>
        <w:spacing w:after="0" w:line="240" w:lineRule="auto"/>
        <w:jc w:val="left"/>
        <w:sectPr>
          <w:type w:val="continuous"/>
          <w:pgSz w:w="11910" w:h="16840"/>
          <w:pgMar w:top="1060" w:bottom="1160" w:left="980" w:right="0"/>
          <w:cols w:num="2" w:equalWidth="0">
            <w:col w:w="1953" w:space="6787"/>
            <w:col w:w="2190"/>
          </w:cols>
        </w:sectPr>
      </w:pP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868"/>
        <w:gridCol w:w="1964"/>
        <w:gridCol w:w="1980"/>
        <w:gridCol w:w="1911"/>
        <w:gridCol w:w="1846"/>
      </w:tblGrid>
      <w:tr>
        <w:trPr>
          <w:trHeight w:val="403" w:hRule="exact"/>
        </w:trPr>
        <w:tc>
          <w:tcPr>
            <w:tcW w:w="18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9" w:right="0"/>
              <w:jc w:val="left"/>
              <w:rPr>
                <w:rFonts w:ascii="宋体" w:hAnsi="宋体" w:cs="宋体" w:eastAsia="宋体" w:hint="default"/>
                <w:sz w:val="18"/>
                <w:szCs w:val="18"/>
              </w:rPr>
            </w:pPr>
            <w:r>
              <w:rPr>
                <w:rFonts w:ascii="宋体" w:hAnsi="宋体" w:cs="宋体" w:eastAsia="宋体" w:hint="default"/>
                <w:sz w:val="18"/>
                <w:szCs w:val="18"/>
              </w:rPr>
              <w:t>具体类型</w:t>
            </w:r>
          </w:p>
        </w:tc>
        <w:tc>
          <w:tcPr>
            <w:tcW w:w="19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委托理财的资金来源</w:t>
            </w:r>
          </w:p>
        </w:tc>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55" w:right="0"/>
              <w:jc w:val="left"/>
              <w:rPr>
                <w:rFonts w:ascii="宋体" w:hAnsi="宋体" w:cs="宋体" w:eastAsia="宋体" w:hint="default"/>
                <w:sz w:val="18"/>
                <w:szCs w:val="18"/>
              </w:rPr>
            </w:pPr>
            <w:r>
              <w:rPr>
                <w:rFonts w:ascii="宋体" w:hAnsi="宋体" w:cs="宋体" w:eastAsia="宋体" w:hint="default"/>
                <w:sz w:val="18"/>
                <w:szCs w:val="18"/>
              </w:rPr>
              <w:t>委托理财发生额</w:t>
            </w:r>
          </w:p>
        </w:tc>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9" w:right="0"/>
              <w:jc w:val="left"/>
              <w:rPr>
                <w:rFonts w:ascii="宋体" w:hAnsi="宋体" w:cs="宋体" w:eastAsia="宋体" w:hint="default"/>
                <w:sz w:val="18"/>
                <w:szCs w:val="18"/>
              </w:rPr>
            </w:pPr>
            <w:r>
              <w:rPr>
                <w:rFonts w:ascii="宋体" w:hAnsi="宋体" w:cs="宋体" w:eastAsia="宋体" w:hint="default"/>
                <w:sz w:val="18"/>
                <w:szCs w:val="18"/>
              </w:rPr>
              <w:t>未到期余额</w:t>
            </w:r>
          </w:p>
        </w:tc>
        <w:tc>
          <w:tcPr>
            <w:tcW w:w="18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99" w:right="0"/>
              <w:jc w:val="left"/>
              <w:rPr>
                <w:rFonts w:ascii="宋体" w:hAnsi="宋体" w:cs="宋体" w:eastAsia="宋体" w:hint="default"/>
                <w:sz w:val="18"/>
                <w:szCs w:val="18"/>
              </w:rPr>
            </w:pPr>
            <w:r>
              <w:rPr>
                <w:rFonts w:ascii="宋体" w:hAnsi="宋体" w:cs="宋体" w:eastAsia="宋体" w:hint="default"/>
                <w:sz w:val="18"/>
                <w:szCs w:val="18"/>
              </w:rPr>
              <w:t>逾期未收回的金额</w:t>
            </w:r>
          </w:p>
        </w:tc>
      </w:tr>
      <w:tr>
        <w:trPr>
          <w:trHeight w:val="401" w:hRule="exact"/>
        </w:trPr>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自有资金</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82,850</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82,850</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r>
    </w:tbl>
    <w:p>
      <w:pPr>
        <w:pStyle w:val="BodyText"/>
        <w:spacing w:line="240" w:lineRule="auto" w:before="49"/>
        <w:ind w:right="1133"/>
        <w:jc w:val="left"/>
      </w:pPr>
      <w:r>
        <w:rPr/>
        <w:t>单项金额重大或安全性较低、流动性较差、不保本的高风险委托理财具体情况</w:t>
      </w:r>
    </w:p>
    <w:p>
      <w:pPr>
        <w:pStyle w:val="BodyText"/>
        <w:spacing w:line="340" w:lineRule="auto" w:before="115"/>
        <w:ind w:right="57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委托理财出现预期无法收回本金或存在其他可能导致减值的情形</w:t>
      </w:r>
    </w:p>
    <w:p>
      <w:pPr>
        <w:pStyle w:val="BodyText"/>
        <w:spacing w:line="240" w:lineRule="auto" w:before="41"/>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4"/>
        <w:spacing w:line="240" w:lineRule="auto"/>
        <w:ind w:right="1133"/>
        <w:jc w:val="left"/>
        <w:rPr>
          <w:b w:val="0"/>
          <w:bCs w:val="0"/>
        </w:rPr>
      </w:pPr>
      <w:bookmarkStart w:name="（2）委托贷款情况" w:id="94"/>
      <w:bookmarkEnd w:id="94"/>
      <w:r>
        <w:rPr>
          <w:b w:val="0"/>
          <w:bCs w:val="0"/>
        </w:rPr>
      </w:r>
      <w:r>
        <w:rPr/>
        <w:t>（</w:t>
      </w:r>
      <w:r>
        <w:rPr>
          <w:rFonts w:ascii="Times New Roman" w:hAnsi="Times New Roman" w:cs="Times New Roman" w:eastAsia="Times New Roman" w:hint="default"/>
        </w:rPr>
        <w:t>2</w:t>
      </w:r>
      <w:r>
        <w:rPr/>
        <w:t>）委托贷款情况</w:t>
      </w:r>
      <w:r>
        <w:rPr>
          <w:b w:val="0"/>
          <w:bCs w:val="0"/>
        </w:rPr>
      </w:r>
    </w:p>
    <w:p>
      <w:pPr>
        <w:spacing w:line="240" w:lineRule="auto" w:before="4"/>
        <w:rPr>
          <w:rFonts w:ascii="宋体" w:hAnsi="宋体" w:cs="宋体" w:eastAsia="宋体" w:hint="default"/>
          <w:b/>
          <w:bCs/>
          <w:sz w:val="26"/>
          <w:szCs w:val="26"/>
        </w:rPr>
      </w:pPr>
    </w:p>
    <w:p>
      <w:pPr>
        <w:pStyle w:val="BodyText"/>
        <w:spacing w:line="340" w:lineRule="auto"/>
        <w:ind w:right="84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公司报告期不存在委托贷款。</w:t>
      </w:r>
    </w:p>
    <w:p>
      <w:pPr>
        <w:spacing w:line="240" w:lineRule="auto" w:before="5"/>
        <w:rPr>
          <w:rFonts w:ascii="宋体" w:hAnsi="宋体" w:cs="宋体" w:eastAsia="宋体" w:hint="default"/>
          <w:sz w:val="21"/>
          <w:szCs w:val="21"/>
        </w:rPr>
      </w:pPr>
    </w:p>
    <w:p>
      <w:pPr>
        <w:pStyle w:val="Heading4"/>
        <w:spacing w:line="240" w:lineRule="auto"/>
        <w:ind w:right="1133"/>
        <w:jc w:val="left"/>
        <w:rPr>
          <w:b w:val="0"/>
          <w:bCs w:val="0"/>
        </w:rPr>
      </w:pPr>
      <w:bookmarkStart w:name="4、其他重大合同" w:id="95"/>
      <w:bookmarkEnd w:id="95"/>
      <w:r>
        <w:rPr>
          <w:b w:val="0"/>
          <w:bCs w:val="0"/>
        </w:rPr>
      </w:r>
      <w:r>
        <w:rPr>
          <w:rFonts w:ascii="Times New Roman" w:hAnsi="Times New Roman" w:cs="Times New Roman" w:eastAsia="Times New Roman" w:hint="default"/>
        </w:rPr>
        <w:t>4</w:t>
      </w:r>
      <w:r>
        <w:rPr/>
        <w:t>、其他重大合同</w:t>
      </w:r>
      <w:r>
        <w:rPr>
          <w:b w:val="0"/>
          <w:bCs w:val="0"/>
        </w:rPr>
      </w:r>
    </w:p>
    <w:p>
      <w:pPr>
        <w:spacing w:line="240" w:lineRule="auto" w:before="5"/>
        <w:rPr>
          <w:rFonts w:ascii="宋体" w:hAnsi="宋体" w:cs="宋体" w:eastAsia="宋体" w:hint="default"/>
          <w:b/>
          <w:bCs/>
          <w:sz w:val="26"/>
          <w:szCs w:val="26"/>
        </w:rPr>
      </w:pPr>
    </w:p>
    <w:p>
      <w:pPr>
        <w:pStyle w:val="BodyText"/>
        <w:spacing w:line="338" w:lineRule="auto"/>
        <w:ind w:right="805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公司报告期不存在其他重大合同。</w:t>
      </w:r>
    </w:p>
    <w:p>
      <w:pPr>
        <w:spacing w:line="240" w:lineRule="auto" w:before="8"/>
        <w:rPr>
          <w:rFonts w:ascii="宋体" w:hAnsi="宋体" w:cs="宋体" w:eastAsia="宋体" w:hint="default"/>
          <w:sz w:val="19"/>
          <w:szCs w:val="19"/>
        </w:rPr>
      </w:pPr>
    </w:p>
    <w:p>
      <w:pPr>
        <w:pStyle w:val="Heading2"/>
        <w:spacing w:line="240" w:lineRule="auto"/>
        <w:ind w:right="1133"/>
        <w:jc w:val="left"/>
        <w:rPr>
          <w:b w:val="0"/>
          <w:bCs w:val="0"/>
        </w:rPr>
      </w:pPr>
      <w:bookmarkStart w:name="十八、社会责任情况" w:id="96"/>
      <w:bookmarkEnd w:id="96"/>
      <w:r>
        <w:rPr>
          <w:b w:val="0"/>
          <w:bCs w:val="0"/>
        </w:rPr>
      </w:r>
      <w:r>
        <w:rPr/>
        <w:t>十八、社会责任情况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1133"/>
        <w:jc w:val="left"/>
        <w:rPr>
          <w:b w:val="0"/>
          <w:bCs w:val="0"/>
        </w:rPr>
      </w:pPr>
      <w:bookmarkStart w:name="1、履行社会责任情况" w:id="97"/>
      <w:bookmarkEnd w:id="97"/>
      <w:r>
        <w:rPr>
          <w:b w:val="0"/>
          <w:bCs w:val="0"/>
        </w:rPr>
      </w:r>
      <w:r>
        <w:rPr>
          <w:rFonts w:ascii="Times New Roman" w:hAnsi="Times New Roman" w:cs="Times New Roman" w:eastAsia="Times New Roman" w:hint="default"/>
        </w:rPr>
        <w:t>1</w:t>
      </w:r>
      <w:r>
        <w:rPr/>
        <w:t>、履行社会责任情况</w:t>
      </w:r>
      <w:r>
        <w:rPr>
          <w:b w:val="0"/>
          <w:bCs w:val="0"/>
        </w:rPr>
      </w:r>
    </w:p>
    <w:p>
      <w:pPr>
        <w:spacing w:line="240" w:lineRule="auto" w:before="2"/>
        <w:rPr>
          <w:rFonts w:ascii="宋体" w:hAnsi="宋体" w:cs="宋体" w:eastAsia="宋体" w:hint="default"/>
          <w:b/>
          <w:bCs/>
          <w:sz w:val="32"/>
          <w:szCs w:val="32"/>
        </w:rPr>
      </w:pPr>
    </w:p>
    <w:p>
      <w:pPr>
        <w:pStyle w:val="BodyText"/>
        <w:spacing w:line="240" w:lineRule="auto"/>
        <w:ind w:left="573" w:right="0"/>
        <w:jc w:val="left"/>
      </w:pPr>
      <w:r>
        <w:rPr/>
        <w:t>在客户权益保护方面，公司推行达实</w:t>
      </w:r>
      <w:r>
        <w:rPr>
          <w:rFonts w:ascii="Times New Roman" w:hAnsi="Times New Roman" w:cs="Times New Roman" w:eastAsia="Times New Roman" w:hint="default"/>
        </w:rPr>
        <w:t>3.0</w:t>
      </w:r>
      <w:r>
        <w:rPr/>
        <w:t>战略，升级公司战略和企业文化，将</w:t>
      </w:r>
      <w:r>
        <w:rPr>
          <w:rFonts w:ascii="Times New Roman" w:hAnsi="Times New Roman" w:cs="Times New Roman" w:eastAsia="Times New Roman" w:hint="default"/>
        </w:rPr>
        <w:t>“</w:t>
      </w:r>
      <w:r>
        <w:rPr/>
        <w:t>永远将客户装在心里，依道而行</w:t>
      </w:r>
      <w:r>
        <w:rPr>
          <w:rFonts w:ascii="Times New Roman" w:hAnsi="Times New Roman" w:cs="Times New Roman" w:eastAsia="Times New Roman" w:hint="default"/>
        </w:rPr>
        <w:t>”</w:t>
      </w:r>
      <w:r>
        <w:rPr/>
        <w:t>作为经</w:t>
      </w:r>
    </w:p>
    <w:p>
      <w:pPr>
        <w:spacing w:after="0" w:line="240" w:lineRule="auto"/>
        <w:jc w:val="left"/>
        <w:sectPr>
          <w:type w:val="continuous"/>
          <w:pgSz w:w="11910" w:h="16840"/>
          <w:pgMar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477" w:lineRule="auto"/>
        <w:ind w:left="573" w:right="0" w:hanging="421"/>
        <w:jc w:val="left"/>
      </w:pPr>
      <w:r>
        <w:rPr/>
        <w:t>营宗旨，提升研发投入，为客户提供专业化的产品和服务，帮助客户提高效率，提升核心竞争力。 </w:t>
      </w:r>
      <w:r>
        <w:rPr>
          <w:spacing w:val="-3"/>
        </w:rPr>
        <w:t>在维护投资者权益方面，公司在报告期内实现</w:t>
      </w:r>
      <w:r>
        <w:rPr>
          <w:rFonts w:ascii="Times New Roman" w:hAnsi="Times New Roman" w:cs="Times New Roman" w:eastAsia="Times New Roman" w:hint="default"/>
          <w:spacing w:val="-3"/>
        </w:rPr>
        <w:t>126</w:t>
      </w:r>
      <w:r>
        <w:rPr>
          <w:spacing w:val="-3"/>
        </w:rPr>
        <w:t>条信息披露，坚持了适当的主动性披露，并通过组织</w:t>
      </w:r>
      <w:r>
        <w:rPr>
          <w:rFonts w:ascii="Times New Roman" w:hAnsi="Times New Roman" w:cs="Times New Roman" w:eastAsia="Times New Roman" w:hint="default"/>
          <w:spacing w:val="-3"/>
        </w:rPr>
        <w:t>“</w:t>
      </w:r>
      <w:r>
        <w:rPr>
          <w:spacing w:val="-3"/>
        </w:rPr>
        <w:t>投资者接待日</w:t>
      </w:r>
      <w:r>
        <w:rPr>
          <w:rFonts w:ascii="Times New Roman" w:hAnsi="Times New Roman" w:cs="Times New Roman" w:eastAsia="Times New Roman" w:hint="default"/>
          <w:spacing w:val="-3"/>
        </w:rPr>
        <w:t>”</w:t>
      </w:r>
      <w:r>
        <w:rPr>
          <w:spacing w:val="-3"/>
        </w:rPr>
        <w:t>、</w:t>
      </w:r>
    </w:p>
    <w:p>
      <w:pPr>
        <w:pStyle w:val="BodyText"/>
        <w:spacing w:line="240" w:lineRule="auto" w:before="21"/>
        <w:ind w:right="0"/>
        <w:jc w:val="left"/>
      </w:pPr>
      <w:r>
        <w:rPr/>
        <w:t>及时回复互动平台问询、接听咨询电话、举办网上投资者交流会等方式，与投资者进行积极互动，报告期内组织投资者接待</w:t>
      </w:r>
    </w:p>
    <w:p>
      <w:pPr>
        <w:spacing w:line="240" w:lineRule="auto" w:before="10"/>
        <w:rPr>
          <w:rFonts w:ascii="宋体" w:hAnsi="宋体" w:cs="宋体" w:eastAsia="宋体" w:hint="default"/>
          <w:sz w:val="17"/>
          <w:szCs w:val="17"/>
        </w:rPr>
      </w:pPr>
    </w:p>
    <w:p>
      <w:pPr>
        <w:pStyle w:val="BodyText"/>
        <w:spacing w:line="451" w:lineRule="auto"/>
        <w:ind w:left="573" w:right="1153" w:hanging="421"/>
        <w:jc w:val="left"/>
      </w:pPr>
      <w:r>
        <w:rPr>
          <w:rFonts w:ascii="Times New Roman" w:hAnsi="Times New Roman" w:cs="Times New Roman" w:eastAsia="Times New Roman" w:hint="default"/>
        </w:rPr>
        <w:t>6</w:t>
      </w:r>
      <w:r>
        <w:rPr/>
        <w:t>次，累计参与交流人次</w:t>
      </w:r>
      <w:r>
        <w:rPr>
          <w:rFonts w:ascii="Times New Roman" w:hAnsi="Times New Roman" w:cs="Times New Roman" w:eastAsia="Times New Roman" w:hint="default"/>
        </w:rPr>
        <w:t>161</w:t>
      </w:r>
      <w:r>
        <w:rPr/>
        <w:t>人，在互动平台回复投资者提问逾</w:t>
      </w:r>
      <w:r>
        <w:rPr>
          <w:rFonts w:ascii="Times New Roman" w:hAnsi="Times New Roman" w:cs="Times New Roman" w:eastAsia="Times New Roman" w:hint="default"/>
        </w:rPr>
        <w:t>665</w:t>
      </w:r>
      <w:r>
        <w:rPr/>
        <w:t>条。 在处理职工关系方面，公司积极创造就业机会，报告期内招聘正式员工</w:t>
      </w:r>
      <w:r>
        <w:rPr>
          <w:rFonts w:ascii="Times New Roman" w:hAnsi="Times New Roman" w:cs="Times New Roman" w:eastAsia="Times New Roman" w:hint="default"/>
        </w:rPr>
        <w:t>173</w:t>
      </w:r>
      <w:r>
        <w:rPr/>
        <w:t>人，联合培养学生</w:t>
      </w:r>
      <w:r>
        <w:rPr>
          <w:rFonts w:ascii="Times New Roman" w:hAnsi="Times New Roman" w:cs="Times New Roman" w:eastAsia="Times New Roman" w:hint="default"/>
        </w:rPr>
        <w:t>2</w:t>
      </w:r>
      <w:r>
        <w:rPr/>
        <w:t>人，实习生</w:t>
      </w:r>
      <w:r>
        <w:rPr>
          <w:rFonts w:ascii="Times New Roman" w:hAnsi="Times New Roman" w:cs="Times New Roman" w:eastAsia="Times New Roman" w:hint="default"/>
        </w:rPr>
        <w:t>60</w:t>
      </w:r>
      <w:r>
        <w:rPr/>
        <w:t>人，保证</w:t>
      </w:r>
    </w:p>
    <w:p>
      <w:pPr>
        <w:pStyle w:val="BodyText"/>
        <w:spacing w:line="463" w:lineRule="auto" w:before="43"/>
        <w:ind w:right="1042"/>
        <w:jc w:val="left"/>
      </w:pPr>
      <w:r>
        <w:rPr>
          <w:spacing w:val="-2"/>
        </w:rPr>
        <w:t>了业务发展的需要；利用以考代训的方式组织法务、项目管理等考试；以内部职称为切入点，组织专项技术汇报、培训和搭</w:t>
      </w:r>
      <w:r>
        <w:rPr>
          <w:spacing w:val="-67"/>
        </w:rPr>
        <w:t> </w:t>
      </w:r>
      <w:r>
        <w:rPr>
          <w:spacing w:val="-67"/>
        </w:rPr>
      </w:r>
      <w:r>
        <w:rPr>
          <w:spacing w:val="-3"/>
        </w:rPr>
        <w:t>建交流平台；为员工购买</w:t>
      </w:r>
      <w:r>
        <w:rPr>
          <w:rFonts w:ascii="Times New Roman" w:hAnsi="Times New Roman" w:cs="Times New Roman" w:eastAsia="Times New Roman" w:hint="default"/>
          <w:spacing w:val="-3"/>
        </w:rPr>
        <w:t>“</w:t>
      </w:r>
      <w:r>
        <w:rPr>
          <w:spacing w:val="-3"/>
        </w:rPr>
        <w:t>五险</w:t>
      </w:r>
      <w:r>
        <w:rPr>
          <w:rFonts w:ascii="Times New Roman" w:hAnsi="Times New Roman" w:cs="Times New Roman" w:eastAsia="Times New Roman" w:hint="default"/>
          <w:spacing w:val="-3"/>
        </w:rPr>
        <w:t>”</w:t>
      </w:r>
      <w:r>
        <w:rPr>
          <w:spacing w:val="-3"/>
        </w:rPr>
        <w:t>、商业保险及住房公积金，积极做好劳动安全防护措施；重要节日发放过节礼品、生日贺礼，</w:t>
      </w:r>
      <w:r>
        <w:rPr>
          <w:spacing w:val="-81"/>
        </w:rPr>
        <w:t> </w:t>
      </w:r>
      <w:r>
        <w:rPr>
          <w:spacing w:val="-81"/>
        </w:rPr>
      </w:r>
      <w:r>
        <w:rPr/>
        <w:t>不定期开展跑步、羽毛球等活动及比赛，丰富员工生活，增强团队的凝聚力。</w:t>
      </w:r>
    </w:p>
    <w:p>
      <w:pPr>
        <w:pStyle w:val="BodyText"/>
        <w:spacing w:line="458" w:lineRule="auto" w:before="65"/>
        <w:ind w:right="1133" w:firstLine="420"/>
        <w:jc w:val="left"/>
      </w:pPr>
      <w:r>
        <w:rPr/>
        <w:t>在节能环保方面，公司通过提供节能咨询服务、推出建筑节能与工业节能产品、承接合同能源管理（</w:t>
      </w:r>
      <w:r>
        <w:rPr>
          <w:rFonts w:ascii="Times New Roman" w:hAnsi="Times New Roman" w:cs="Times New Roman" w:eastAsia="Times New Roman" w:hint="default"/>
        </w:rPr>
        <w:t>EPC</w:t>
      </w:r>
      <w:r>
        <w:rPr/>
        <w:t>）项目等方 式，帮助客户实现节能减排；公司自主建设的大厦获得美国</w:t>
      </w:r>
      <w:r>
        <w:rPr>
          <w:rFonts w:ascii="Times New Roman" w:hAnsi="Times New Roman" w:cs="Times New Roman" w:eastAsia="Times New Roman" w:hint="default"/>
        </w:rPr>
        <w:t>LEED-CS</w:t>
      </w:r>
      <w:r>
        <w:rPr/>
        <w:t>铂金级认证、中国绿色建筑三星级认证、深圳绿色建 </w:t>
      </w:r>
      <w:r>
        <w:rPr>
          <w:spacing w:val="-2"/>
        </w:rPr>
        <w:t>筑铂金级认证，并符合绿色建筑设计标准和绿色建筑运营标准；公司利用被评为广东省、深圳市的建筑节能科普教育基地的</w:t>
      </w:r>
      <w:r>
        <w:rPr>
          <w:spacing w:val="-65"/>
        </w:rPr>
        <w:t> </w:t>
      </w:r>
      <w:r>
        <w:rPr>
          <w:spacing w:val="-65"/>
        </w:rPr>
      </w:r>
      <w:r>
        <w:rPr/>
        <w:t>展厅，宣传了节能科普知识。</w:t>
      </w:r>
    </w:p>
    <w:p>
      <w:pPr>
        <w:pStyle w:val="BodyText"/>
        <w:spacing w:line="451" w:lineRule="auto" w:before="68"/>
        <w:ind w:right="1174" w:firstLine="420"/>
        <w:jc w:val="left"/>
      </w:pPr>
      <w:r>
        <w:rPr/>
        <w:t>在社会公益事业方面，公司响应党的十九大提出的</w:t>
      </w:r>
      <w:r>
        <w:rPr>
          <w:rFonts w:ascii="Times New Roman" w:hAnsi="Times New Roman" w:cs="Times New Roman" w:eastAsia="Times New Roman" w:hint="default"/>
        </w:rPr>
        <w:t>“</w:t>
      </w:r>
      <w:r>
        <w:rPr/>
        <w:t>精准扶贫</w:t>
      </w:r>
      <w:r>
        <w:rPr>
          <w:rFonts w:ascii="Times New Roman" w:hAnsi="Times New Roman" w:cs="Times New Roman" w:eastAsia="Times New Roman" w:hint="default"/>
        </w:rPr>
        <w:t>”</w:t>
      </w:r>
      <w:r>
        <w:rPr/>
        <w:t>理念，向广东省连平县捐款人民币</w:t>
      </w:r>
      <w:r>
        <w:rPr>
          <w:rFonts w:ascii="Times New Roman" w:hAnsi="Times New Roman" w:cs="Times New Roman" w:eastAsia="Times New Roman" w:hint="default"/>
        </w:rPr>
        <w:t>25</w:t>
      </w:r>
      <w:r>
        <w:rPr/>
        <w:t>万元，定向用于连 平县隆街镇龙埔村村道建设项目。</w:t>
      </w:r>
    </w:p>
    <w:p>
      <w:pPr>
        <w:spacing w:line="240" w:lineRule="auto" w:before="12"/>
        <w:rPr>
          <w:rFonts w:ascii="宋体" w:hAnsi="宋体" w:cs="宋体" w:eastAsia="宋体" w:hint="default"/>
          <w:sz w:val="20"/>
          <w:szCs w:val="20"/>
        </w:rPr>
      </w:pPr>
    </w:p>
    <w:p>
      <w:pPr>
        <w:pStyle w:val="Heading4"/>
        <w:spacing w:line="240" w:lineRule="auto"/>
        <w:ind w:right="1133"/>
        <w:jc w:val="left"/>
        <w:rPr>
          <w:b w:val="0"/>
          <w:bCs w:val="0"/>
        </w:rPr>
      </w:pPr>
      <w:bookmarkStart w:name="2、履行精准扶贫社会责任情况" w:id="98"/>
      <w:bookmarkEnd w:id="98"/>
      <w:r>
        <w:rPr>
          <w:b w:val="0"/>
          <w:bCs w:val="0"/>
        </w:rPr>
      </w:r>
      <w:r>
        <w:rPr>
          <w:rFonts w:ascii="Times New Roman" w:hAnsi="Times New Roman" w:cs="Times New Roman" w:eastAsia="Times New Roman" w:hint="default"/>
        </w:rPr>
        <w:t>2</w:t>
      </w:r>
      <w:r>
        <w:rPr/>
        <w:t>、履行精准扶贫社会责任情况</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33"/>
        <w:jc w:val="left"/>
        <w:rPr>
          <w:b w:val="0"/>
          <w:bCs w:val="0"/>
        </w:rPr>
      </w:pPr>
      <w:bookmarkStart w:name="（1）精准扶贫规划" w:id="99"/>
      <w:bookmarkEnd w:id="99"/>
      <w:r>
        <w:rPr>
          <w:b w:val="0"/>
          <w:bCs w:val="0"/>
        </w:rPr>
      </w:r>
      <w:r>
        <w:rPr/>
        <w:t>（</w:t>
      </w:r>
      <w:r>
        <w:rPr>
          <w:rFonts w:ascii="Times New Roman" w:hAnsi="Times New Roman" w:cs="Times New Roman" w:eastAsia="Times New Roman" w:hint="default"/>
        </w:rPr>
        <w:t>1</w:t>
      </w:r>
      <w:r>
        <w:rPr/>
        <w:t>）精准扶贫规划</w:t>
      </w:r>
      <w:r>
        <w:rPr>
          <w:b w:val="0"/>
          <w:bCs w:val="0"/>
        </w:rPr>
      </w:r>
    </w:p>
    <w:p>
      <w:pPr>
        <w:spacing w:line="240" w:lineRule="auto" w:before="2"/>
        <w:rPr>
          <w:rFonts w:ascii="宋体" w:hAnsi="宋体" w:cs="宋体" w:eastAsia="宋体" w:hint="default"/>
          <w:b/>
          <w:bCs/>
          <w:sz w:val="32"/>
          <w:szCs w:val="32"/>
        </w:rPr>
      </w:pPr>
    </w:p>
    <w:p>
      <w:pPr>
        <w:pStyle w:val="BodyText"/>
        <w:spacing w:line="477" w:lineRule="auto"/>
        <w:ind w:right="1026" w:firstLine="420"/>
        <w:jc w:val="left"/>
      </w:pPr>
      <w:r>
        <w:rPr>
          <w:spacing w:val="-1"/>
        </w:rPr>
        <w:t>达实智能肩负社会责任，认真贯彻党中央、国务院扶贫关于新时代扶贫开发工作的总体要求，将精准扶贫工作系统化、</w:t>
      </w:r>
      <w:r>
        <w:rPr/>
        <w:t> 专业化、长期化。</w:t>
      </w:r>
    </w:p>
    <w:p>
      <w:pPr>
        <w:spacing w:line="240" w:lineRule="auto" w:before="6"/>
        <w:rPr>
          <w:rFonts w:ascii="宋体" w:hAnsi="宋体" w:cs="宋体" w:eastAsia="宋体" w:hint="default"/>
          <w:sz w:val="19"/>
          <w:szCs w:val="19"/>
        </w:rPr>
      </w:pPr>
    </w:p>
    <w:p>
      <w:pPr>
        <w:pStyle w:val="Heading4"/>
        <w:spacing w:line="240" w:lineRule="auto"/>
        <w:ind w:right="1133"/>
        <w:jc w:val="left"/>
        <w:rPr>
          <w:b w:val="0"/>
          <w:bCs w:val="0"/>
        </w:rPr>
      </w:pPr>
      <w:bookmarkStart w:name="（2）年度精准扶贫概要" w:id="100"/>
      <w:bookmarkEnd w:id="100"/>
      <w:r>
        <w:rPr>
          <w:b w:val="0"/>
          <w:bCs w:val="0"/>
        </w:rPr>
      </w:r>
      <w:r>
        <w:rPr/>
        <w:t>（</w:t>
      </w:r>
      <w:r>
        <w:rPr>
          <w:rFonts w:ascii="Times New Roman" w:hAnsi="Times New Roman" w:cs="Times New Roman" w:eastAsia="Times New Roman" w:hint="default"/>
        </w:rPr>
        <w:t>2</w:t>
      </w:r>
      <w:r>
        <w:rPr/>
        <w:t>）年度精准扶贫概要</w:t>
      </w:r>
      <w:r>
        <w:rPr>
          <w:b w:val="0"/>
          <w:bCs w:val="0"/>
        </w:rPr>
      </w:r>
    </w:p>
    <w:p>
      <w:pPr>
        <w:spacing w:line="240" w:lineRule="auto" w:before="5"/>
        <w:rPr>
          <w:rFonts w:ascii="宋体" w:hAnsi="宋体" w:cs="宋体" w:eastAsia="宋体" w:hint="default"/>
          <w:b/>
          <w:bCs/>
          <w:sz w:val="32"/>
          <w:szCs w:val="32"/>
        </w:rPr>
      </w:pPr>
    </w:p>
    <w:p>
      <w:pPr>
        <w:pStyle w:val="BodyText"/>
        <w:spacing w:line="240" w:lineRule="auto"/>
        <w:ind w:left="573" w:right="1133"/>
        <w:jc w:val="left"/>
      </w:pPr>
      <w:r>
        <w:rPr/>
        <w:t>报告期内，公司向南山区慈善会捐款人民币</w:t>
      </w:r>
      <w:r>
        <w:rPr>
          <w:rFonts w:ascii="Times New Roman" w:hAnsi="Times New Roman" w:cs="Times New Roman" w:eastAsia="Times New Roman" w:hint="default"/>
        </w:rPr>
        <w:t>25</w:t>
      </w:r>
      <w:r>
        <w:rPr/>
        <w:t>万元，定向用于连平县隆街镇龙埔村村道建设项目。</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4"/>
          <w:szCs w:val="14"/>
        </w:rPr>
      </w:pPr>
    </w:p>
    <w:p>
      <w:pPr>
        <w:pStyle w:val="Heading4"/>
        <w:spacing w:line="240" w:lineRule="auto"/>
        <w:ind w:right="1133"/>
        <w:jc w:val="left"/>
        <w:rPr>
          <w:b w:val="0"/>
          <w:bCs w:val="0"/>
        </w:rPr>
      </w:pPr>
      <w:bookmarkStart w:name="（3）精准扶贫成效" w:id="101"/>
      <w:bookmarkEnd w:id="101"/>
      <w:r>
        <w:rPr>
          <w:b w:val="0"/>
          <w:bCs w:val="0"/>
        </w:rPr>
      </w:r>
      <w:r>
        <w:rPr/>
        <w:t>（</w:t>
      </w:r>
      <w:r>
        <w:rPr>
          <w:rFonts w:ascii="Times New Roman" w:hAnsi="Times New Roman" w:cs="Times New Roman" w:eastAsia="Times New Roman" w:hint="default"/>
        </w:rPr>
        <w:t>3</w:t>
      </w:r>
      <w:r>
        <w:rPr/>
        <w:t>）精准扶贫成效</w:t>
      </w:r>
      <w:r>
        <w:rPr>
          <w:b w:val="0"/>
          <w:bCs w:val="0"/>
        </w:rPr>
      </w:r>
    </w:p>
    <w:p>
      <w:pPr>
        <w:spacing w:line="240" w:lineRule="auto" w:before="7"/>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584"/>
        <w:gridCol w:w="1448"/>
        <w:gridCol w:w="4526"/>
      </w:tblGrid>
      <w:tr>
        <w:trPr>
          <w:trHeight w:val="403" w:hRule="exact"/>
        </w:trPr>
        <w:tc>
          <w:tcPr>
            <w:tcW w:w="3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0"/>
              <w:jc w:val="center"/>
              <w:rPr>
                <w:rFonts w:ascii="宋体" w:hAnsi="宋体" w:cs="宋体" w:eastAsia="宋体" w:hint="default"/>
                <w:sz w:val="18"/>
                <w:szCs w:val="18"/>
              </w:rPr>
            </w:pPr>
            <w:r>
              <w:rPr>
                <w:rFonts w:ascii="宋体" w:hAnsi="宋体" w:cs="宋体" w:eastAsia="宋体" w:hint="default"/>
                <w:sz w:val="18"/>
                <w:szCs w:val="18"/>
              </w:rPr>
              <w:t>指标</w:t>
            </w:r>
          </w:p>
        </w:tc>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计量单位</w:t>
            </w:r>
          </w:p>
        </w:tc>
        <w:tc>
          <w:tcPr>
            <w:tcW w:w="45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数量</w:t>
            </w:r>
            <w:r>
              <w:rPr>
                <w:rFonts w:ascii="Times New Roman" w:hAnsi="Times New Roman" w:cs="Times New Roman" w:eastAsia="Times New Roman" w:hint="default"/>
                <w:sz w:val="18"/>
                <w:szCs w:val="18"/>
              </w:rPr>
              <w:t>/</w:t>
            </w:r>
            <w:r>
              <w:rPr>
                <w:rFonts w:ascii="宋体" w:hAnsi="宋体" w:cs="宋体" w:eastAsia="宋体" w:hint="default"/>
                <w:sz w:val="18"/>
                <w:szCs w:val="18"/>
              </w:rPr>
              <w:t>开展情况</w:t>
            </w:r>
          </w:p>
        </w:tc>
      </w:tr>
      <w:tr>
        <w:trPr>
          <w:trHeight w:val="401" w:hRule="exact"/>
        </w:trPr>
        <w:tc>
          <w:tcPr>
            <w:tcW w:w="3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一、总体情况</w:t>
            </w:r>
          </w:p>
        </w:tc>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5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3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宋体" w:hAnsi="宋体" w:cs="宋体" w:eastAsia="宋体" w:hint="default"/>
                <w:sz w:val="18"/>
                <w:szCs w:val="18"/>
              </w:rPr>
              <w:t>其中：  </w:t>
            </w:r>
            <w:r>
              <w:rPr>
                <w:rFonts w:ascii="Times New Roman" w:hAnsi="Times New Roman" w:cs="Times New Roman" w:eastAsia="Times New Roman" w:hint="default"/>
                <w:sz w:val="18"/>
                <w:szCs w:val="18"/>
              </w:rPr>
              <w:t>1.</w:t>
            </w:r>
            <w:r>
              <w:rPr>
                <w:rFonts w:ascii="宋体" w:hAnsi="宋体" w:cs="宋体" w:eastAsia="宋体" w:hint="default"/>
                <w:sz w:val="18"/>
                <w:szCs w:val="18"/>
              </w:rPr>
              <w:t>资金</w:t>
            </w:r>
          </w:p>
        </w:tc>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452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25</w:t>
            </w:r>
          </w:p>
        </w:tc>
      </w:tr>
      <w:tr>
        <w:trPr>
          <w:trHeight w:val="401" w:hRule="exact"/>
        </w:trPr>
        <w:tc>
          <w:tcPr>
            <w:tcW w:w="3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二、分项投入</w:t>
            </w:r>
          </w:p>
        </w:tc>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5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3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产业发展脱贫</w:t>
            </w:r>
          </w:p>
        </w:tc>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5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1" w:hRule="exact"/>
        </w:trPr>
        <w:tc>
          <w:tcPr>
            <w:tcW w:w="3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转移就业脱贫</w:t>
            </w:r>
          </w:p>
        </w:tc>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5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60" w:type="dxa"/>
        <w:tblLayout w:type="fixed"/>
        <w:tblCellMar>
          <w:top w:w="0" w:type="dxa"/>
          <w:left w:w="0" w:type="dxa"/>
          <w:bottom w:w="0" w:type="dxa"/>
          <w:right w:w="0" w:type="dxa"/>
        </w:tblCellMar>
        <w:tblLook w:val="01E0"/>
      </w:tblPr>
      <w:tblGrid>
        <w:gridCol w:w="3584"/>
        <w:gridCol w:w="1460"/>
        <w:gridCol w:w="4502"/>
      </w:tblGrid>
      <w:tr>
        <w:trPr>
          <w:trHeight w:val="402" w:hRule="exact"/>
        </w:trPr>
        <w:tc>
          <w:tcPr>
            <w:tcW w:w="3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易地搬迁脱贫</w:t>
            </w:r>
          </w:p>
        </w:tc>
        <w:tc>
          <w:tcPr>
            <w:tcW w:w="1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5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07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教育扶贫</w:t>
            </w:r>
          </w:p>
        </w:tc>
        <w:tc>
          <w:tcPr>
            <w:tcW w:w="1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5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07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健康扶贫</w:t>
            </w:r>
          </w:p>
        </w:tc>
        <w:tc>
          <w:tcPr>
            <w:tcW w:w="1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5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07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生态保护扶贫</w:t>
            </w:r>
          </w:p>
        </w:tc>
        <w:tc>
          <w:tcPr>
            <w:tcW w:w="1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5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07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兜底保障</w:t>
            </w:r>
          </w:p>
        </w:tc>
        <w:tc>
          <w:tcPr>
            <w:tcW w:w="1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5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07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社会扶贫</w:t>
            </w:r>
          </w:p>
        </w:tc>
        <w:tc>
          <w:tcPr>
            <w:tcW w:w="1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5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07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8.2 </w:t>
            </w:r>
            <w:r>
              <w:rPr>
                <w:rFonts w:ascii="宋体" w:hAnsi="宋体" w:cs="宋体" w:eastAsia="宋体" w:hint="default"/>
                <w:sz w:val="18"/>
                <w:szCs w:val="18"/>
              </w:rPr>
              <w:t>定点扶贫工作投入金额</w:t>
            </w:r>
          </w:p>
        </w:tc>
        <w:tc>
          <w:tcPr>
            <w:tcW w:w="1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万元</w:t>
            </w:r>
          </w:p>
        </w:tc>
        <w:tc>
          <w:tcPr>
            <w:tcW w:w="45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3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其他项目</w:t>
            </w:r>
          </w:p>
        </w:tc>
        <w:tc>
          <w:tcPr>
            <w:tcW w:w="1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5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07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3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三、所获奖项（内容、级别）</w:t>
            </w:r>
          </w:p>
        </w:tc>
        <w:tc>
          <w:tcPr>
            <w:tcW w:w="1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5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07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bl>
    <w:p>
      <w:pPr>
        <w:spacing w:line="240" w:lineRule="auto" w:before="3"/>
        <w:rPr>
          <w:rFonts w:ascii="宋体" w:hAnsi="宋体" w:cs="宋体" w:eastAsia="宋体" w:hint="default"/>
          <w:b/>
          <w:bCs/>
          <w:sz w:val="19"/>
          <w:szCs w:val="19"/>
        </w:rPr>
      </w:pPr>
    </w:p>
    <w:p>
      <w:pPr>
        <w:pStyle w:val="Heading4"/>
        <w:spacing w:line="240" w:lineRule="auto" w:before="36"/>
        <w:ind w:right="1133"/>
        <w:jc w:val="left"/>
        <w:rPr>
          <w:b w:val="0"/>
          <w:bCs w:val="0"/>
        </w:rPr>
      </w:pPr>
      <w:bookmarkStart w:name="（4）后续精准扶贫计划" w:id="102"/>
      <w:bookmarkEnd w:id="102"/>
      <w:r>
        <w:rPr>
          <w:b w:val="0"/>
          <w:bCs w:val="0"/>
        </w:rPr>
      </w:r>
      <w:r>
        <w:rPr/>
        <w:t>（</w:t>
      </w:r>
      <w:r>
        <w:rPr>
          <w:rFonts w:ascii="Times New Roman" w:hAnsi="Times New Roman" w:cs="Times New Roman" w:eastAsia="Times New Roman" w:hint="default"/>
        </w:rPr>
        <w:t>4</w:t>
      </w:r>
      <w:r>
        <w:rPr/>
        <w:t>）后续精准扶贫计划</w:t>
      </w:r>
      <w:r>
        <w:rPr>
          <w:b w:val="0"/>
          <w:bCs w:val="0"/>
        </w:rPr>
      </w:r>
    </w:p>
    <w:p>
      <w:pPr>
        <w:spacing w:line="240" w:lineRule="auto" w:before="2"/>
        <w:rPr>
          <w:rFonts w:ascii="宋体" w:hAnsi="宋体" w:cs="宋体" w:eastAsia="宋体" w:hint="default"/>
          <w:b/>
          <w:bCs/>
          <w:sz w:val="32"/>
          <w:szCs w:val="32"/>
        </w:rPr>
      </w:pPr>
    </w:p>
    <w:p>
      <w:pPr>
        <w:pStyle w:val="BodyText"/>
        <w:spacing w:line="240" w:lineRule="auto"/>
        <w:ind w:left="573" w:right="1133"/>
        <w:jc w:val="left"/>
      </w:pPr>
      <w:r>
        <w:rPr/>
        <w:t>暂无</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5"/>
          <w:szCs w:val="15"/>
        </w:rPr>
      </w:pPr>
    </w:p>
    <w:p>
      <w:pPr>
        <w:pStyle w:val="Heading4"/>
        <w:spacing w:line="240" w:lineRule="auto"/>
        <w:ind w:right="1133"/>
        <w:jc w:val="left"/>
        <w:rPr>
          <w:b w:val="0"/>
          <w:bCs w:val="0"/>
        </w:rPr>
      </w:pPr>
      <w:bookmarkStart w:name="3、环境保护相关的情况" w:id="103"/>
      <w:bookmarkEnd w:id="103"/>
      <w:r>
        <w:rPr>
          <w:b w:val="0"/>
          <w:bCs w:val="0"/>
        </w:rPr>
      </w:r>
      <w:r>
        <w:rPr>
          <w:rFonts w:ascii="Times New Roman" w:hAnsi="Times New Roman" w:cs="Times New Roman" w:eastAsia="Times New Roman" w:hint="default"/>
        </w:rPr>
        <w:t>3</w:t>
      </w:r>
      <w:r>
        <w:rPr/>
        <w:t>、环境保护相关的情况</w:t>
      </w:r>
      <w:r>
        <w:rPr>
          <w:b w:val="0"/>
          <w:bCs w:val="0"/>
        </w:rPr>
      </w:r>
    </w:p>
    <w:p>
      <w:pPr>
        <w:spacing w:line="240" w:lineRule="auto" w:before="4"/>
        <w:rPr>
          <w:rFonts w:ascii="宋体" w:hAnsi="宋体" w:cs="宋体" w:eastAsia="宋体" w:hint="default"/>
          <w:b/>
          <w:bCs/>
          <w:sz w:val="26"/>
          <w:szCs w:val="26"/>
        </w:rPr>
      </w:pPr>
    </w:p>
    <w:p>
      <w:pPr>
        <w:pStyle w:val="BodyText"/>
        <w:spacing w:line="357" w:lineRule="auto"/>
        <w:ind w:right="5714"/>
        <w:jc w:val="left"/>
      </w:pPr>
      <w:r>
        <w:rPr/>
        <w:t>上市公司及其子公司是否属于环境保护部门公布的重点排污单位 否</w:t>
      </w:r>
    </w:p>
    <w:p>
      <w:pPr>
        <w:pStyle w:val="BodyText"/>
        <w:spacing w:line="477" w:lineRule="auto" w:before="108"/>
        <w:ind w:right="1042" w:firstLine="420"/>
        <w:jc w:val="both"/>
      </w:pPr>
      <w:r>
        <w:rPr/>
        <w:t>经公司核查，公司及控股子公司不属于重点排污单位。公司及其子公司在日常生产经营中认真执行《中华人民共和国 </w:t>
      </w:r>
      <w:r>
        <w:rPr>
          <w:spacing w:val="-2"/>
        </w:rPr>
        <w:t>环境保护法》、《中华人民共和国水污染防治法》、《中华人民共和国大气污染防治法》、《中华人民共和国环境噪声污染</w:t>
      </w:r>
      <w:r>
        <w:rPr>
          <w:spacing w:val="-68"/>
        </w:rPr>
        <w:t> </w:t>
      </w:r>
      <w:r>
        <w:rPr>
          <w:spacing w:val="-68"/>
        </w:rPr>
      </w:r>
      <w:r>
        <w:rPr>
          <w:spacing w:val="-4"/>
        </w:rPr>
        <w:t>防治法》、《中华人民共和国固体废物污染防治法》等环保方面的法律法规，报告期内未出现因违法违规而受到处罚的情况。</w:t>
      </w:r>
    </w:p>
    <w:p>
      <w:pPr>
        <w:spacing w:line="240" w:lineRule="auto" w:before="7"/>
        <w:rPr>
          <w:rFonts w:ascii="宋体" w:hAnsi="宋体" w:cs="宋体" w:eastAsia="宋体" w:hint="default"/>
          <w:sz w:val="17"/>
          <w:szCs w:val="17"/>
        </w:rPr>
      </w:pPr>
    </w:p>
    <w:p>
      <w:pPr>
        <w:pStyle w:val="Heading2"/>
        <w:spacing w:line="240" w:lineRule="auto"/>
        <w:ind w:right="1133"/>
        <w:jc w:val="left"/>
        <w:rPr>
          <w:b w:val="0"/>
          <w:bCs w:val="0"/>
        </w:rPr>
      </w:pPr>
      <w:bookmarkStart w:name="十九、其他重大事项的说明" w:id="104"/>
      <w:bookmarkEnd w:id="104"/>
      <w:r>
        <w:rPr>
          <w:b w:val="0"/>
          <w:bCs w:val="0"/>
        </w:rPr>
      </w:r>
      <w:r>
        <w:rPr/>
        <w:t>十九、其他重大事项的说明</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0"/>
        <w:rPr>
          <w:rFonts w:ascii="宋体" w:hAnsi="宋体" w:cs="宋体" w:eastAsia="宋体" w:hint="default"/>
          <w:sz w:val="13"/>
          <w:szCs w:val="13"/>
        </w:rPr>
      </w:pPr>
    </w:p>
    <w:p>
      <w:pPr>
        <w:pStyle w:val="BodyText"/>
        <w:spacing w:line="477" w:lineRule="auto"/>
        <w:ind w:right="1129" w:firstLine="420"/>
        <w:jc w:val="both"/>
      </w:pPr>
      <w:r>
        <w:rPr>
          <w:rFonts w:ascii="宋体" w:hAnsi="宋体" w:cs="宋体" w:eastAsia="宋体" w:hint="default"/>
          <w:spacing w:val="-2"/>
        </w:rPr>
        <w:t>2018</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13</w:t>
      </w:r>
      <w:r>
        <w:rPr>
          <w:spacing w:val="-2"/>
        </w:rPr>
        <w:t>日，公司第六届董事会第十五次会议审议通过了《关于转让子公司股权暨关联交易的议案》，同意将持有</w:t>
      </w:r>
      <w:r>
        <w:rPr/>
        <w:t> 的达实联欣</w:t>
      </w:r>
      <w:r>
        <w:rPr>
          <w:rFonts w:ascii="宋体" w:hAnsi="宋体" w:cs="宋体" w:eastAsia="宋体" w:hint="default"/>
        </w:rPr>
        <w:t>34%</w:t>
      </w:r>
      <w:r>
        <w:rPr/>
        <w:t>的股权转让给上海臻龙投资管理合伙企业（有限合伙）以下简称“臻龙投资”，详见公司于</w:t>
      </w:r>
      <w:r>
        <w:rPr>
          <w:rFonts w:ascii="宋体" w:hAnsi="宋体" w:cs="宋体" w:eastAsia="宋体" w:hint="default"/>
        </w:rPr>
        <w:t>2018</w:t>
      </w:r>
      <w:r>
        <w:rPr/>
        <w:t>年</w:t>
      </w:r>
      <w:r>
        <w:rPr>
          <w:rFonts w:ascii="宋体" w:hAnsi="宋体" w:cs="宋体" w:eastAsia="宋体" w:hint="default"/>
        </w:rPr>
        <w:t>04</w:t>
      </w:r>
      <w:r>
        <w:rPr/>
        <w:t>月</w:t>
      </w:r>
      <w:r>
        <w:rPr>
          <w:rFonts w:ascii="宋体" w:hAnsi="宋体" w:cs="宋体" w:eastAsia="宋体" w:hint="default"/>
        </w:rPr>
        <w:t>14</w:t>
      </w:r>
      <w:r>
        <w:rPr/>
        <w:t>日 </w:t>
      </w:r>
      <w:r>
        <w:rPr>
          <w:spacing w:val="-2"/>
        </w:rPr>
        <w:t>披露的《关于转让子公司股权暨关联交易的公告》，本次股权转让价格为人民币</w:t>
      </w:r>
      <w:r>
        <w:rPr>
          <w:rFonts w:ascii="宋体" w:hAnsi="宋体" w:cs="宋体" w:eastAsia="宋体" w:hint="default"/>
          <w:spacing w:val="-2"/>
        </w:rPr>
        <w:t>12,240</w:t>
      </w:r>
      <w:r>
        <w:rPr>
          <w:spacing w:val="-2"/>
        </w:rPr>
        <w:t>万元，交易完成后，本公司持有达实</w:t>
      </w:r>
      <w:r>
        <w:rPr>
          <w:spacing w:val="-63"/>
        </w:rPr>
        <w:t> </w:t>
      </w:r>
      <w:r>
        <w:rPr>
          <w:spacing w:val="-63"/>
        </w:rPr>
      </w:r>
      <w:r>
        <w:rPr/>
        <w:t>联欣</w:t>
      </w:r>
      <w:r>
        <w:rPr>
          <w:rFonts w:ascii="宋体" w:hAnsi="宋体" w:cs="宋体" w:eastAsia="宋体" w:hint="default"/>
        </w:rPr>
        <w:t>17%</w:t>
      </w:r>
      <w:r>
        <w:rPr/>
        <w:t>的股权，截至报告期末，交易已完成。根据股权转让交易协议约定，臻龙投资将分三期支付该股权转让款，截至本 报告披露日，臻龙投资已完成第二期转让款及相应利息的支付。</w:t>
      </w:r>
    </w:p>
    <w:p>
      <w:pPr>
        <w:spacing w:line="240" w:lineRule="auto" w:before="7"/>
        <w:rPr>
          <w:rFonts w:ascii="宋体" w:hAnsi="宋体" w:cs="宋体" w:eastAsia="宋体" w:hint="default"/>
          <w:sz w:val="17"/>
          <w:szCs w:val="17"/>
        </w:rPr>
      </w:pPr>
    </w:p>
    <w:p>
      <w:pPr>
        <w:pStyle w:val="Heading2"/>
        <w:spacing w:line="240" w:lineRule="auto"/>
        <w:ind w:right="1133"/>
        <w:jc w:val="left"/>
        <w:rPr>
          <w:b w:val="0"/>
          <w:bCs w:val="0"/>
        </w:rPr>
      </w:pPr>
      <w:bookmarkStart w:name="二十、公司子公司重大事项" w:id="105"/>
      <w:bookmarkEnd w:id="105"/>
      <w:r>
        <w:rPr>
          <w:b w:val="0"/>
          <w:bCs w:val="0"/>
        </w:rPr>
      </w:r>
      <w:r>
        <w:rPr/>
        <w:t>二十、公司子公司重大事项</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0"/>
        <w:rPr>
          <w:rFonts w:ascii="宋体" w:hAnsi="宋体" w:cs="宋体" w:eastAsia="宋体" w:hint="default"/>
          <w:sz w:val="13"/>
          <w:szCs w:val="13"/>
        </w:rPr>
      </w:pPr>
    </w:p>
    <w:p>
      <w:pPr>
        <w:pStyle w:val="BodyText"/>
        <w:spacing w:line="451" w:lineRule="auto"/>
        <w:ind w:right="1128" w:firstLine="420"/>
        <w:jc w:val="both"/>
      </w:pPr>
      <w:r>
        <w:rPr/>
        <w:t>报告期内，公司子公司达实信息对达实大厦扩建项目新增投资</w:t>
      </w:r>
      <w:r>
        <w:rPr>
          <w:spacing w:val="-49"/>
        </w:rPr>
        <w:t> </w:t>
      </w:r>
      <w:r>
        <w:rPr>
          <w:rFonts w:ascii="Times New Roman" w:hAnsi="Times New Roman" w:cs="Times New Roman" w:eastAsia="Times New Roman" w:hint="default"/>
        </w:rPr>
        <w:t>317,772,092.07</w:t>
      </w:r>
      <w:r>
        <w:rPr>
          <w:rFonts w:ascii="Times New Roman" w:hAnsi="Times New Roman" w:cs="Times New Roman" w:eastAsia="Times New Roman" w:hint="default"/>
          <w:spacing w:val="-2"/>
        </w:rPr>
        <w:t> </w:t>
      </w:r>
      <w:r>
        <w:rPr/>
        <w:t>元，达实大厦新楼已于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3</w:t>
      </w:r>
      <w:r>
        <w:rPr/>
        <w:t>月正式投 入使用，裙楼改造正在实施中。</w:t>
      </w:r>
    </w:p>
    <w:p>
      <w:pPr>
        <w:spacing w:after="0" w:line="451" w:lineRule="auto"/>
        <w:jc w:val="both"/>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1"/>
        <w:spacing w:line="240" w:lineRule="auto"/>
        <w:ind w:left="3045" w:right="1133"/>
        <w:jc w:val="left"/>
        <w:rPr>
          <w:b w:val="0"/>
          <w:bCs w:val="0"/>
        </w:rPr>
      </w:pPr>
      <w:bookmarkStart w:name="_TOC_250007" w:id="106"/>
      <w:bookmarkStart w:name="第六节股份变动及股东情况" w:id="107"/>
      <w:r>
        <w:rPr>
          <w:b w:val="0"/>
          <w:bCs w:val="0"/>
        </w:rPr>
      </w:r>
      <w:r>
        <w:rPr/>
        <w:t>第六节股份变动及股东情况</w:t>
      </w:r>
      <w:bookmarkEnd w:id="106"/>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6"/>
          <w:szCs w:val="16"/>
        </w:rPr>
      </w:pPr>
    </w:p>
    <w:p>
      <w:pPr>
        <w:pStyle w:val="Heading2"/>
        <w:spacing w:line="240" w:lineRule="auto" w:before="26"/>
        <w:ind w:right="1133"/>
        <w:jc w:val="left"/>
        <w:rPr>
          <w:b w:val="0"/>
          <w:bCs w:val="0"/>
        </w:rPr>
      </w:pPr>
      <w:bookmarkStart w:name="一、股份变动情况" w:id="108"/>
      <w:bookmarkEnd w:id="108"/>
      <w:r>
        <w:rPr>
          <w:b w:val="0"/>
          <w:bCs w:val="0"/>
        </w:rPr>
      </w:r>
      <w:r>
        <w:rPr/>
        <w:t>一、股份变动情况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1133"/>
        <w:jc w:val="left"/>
        <w:rPr>
          <w:b w:val="0"/>
          <w:bCs w:val="0"/>
        </w:rPr>
      </w:pPr>
      <w:bookmarkStart w:name="1、股份变动情况" w:id="109"/>
      <w:bookmarkEnd w:id="109"/>
      <w:r>
        <w:rPr>
          <w:b w:val="0"/>
          <w:bCs w:val="0"/>
        </w:rPr>
      </w:r>
      <w:r>
        <w:rPr>
          <w:rFonts w:ascii="Times New Roman" w:hAnsi="Times New Roman" w:cs="Times New Roman" w:eastAsia="Times New Roman" w:hint="default"/>
        </w:rPr>
        <w:t>1</w:t>
      </w:r>
      <w:r>
        <w:rPr/>
        <w:t>、股份变动情况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单位：股</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33"/>
        <w:gridCol w:w="1103"/>
        <w:gridCol w:w="701"/>
        <w:gridCol w:w="866"/>
        <w:gridCol w:w="415"/>
        <w:gridCol w:w="958"/>
        <w:gridCol w:w="924"/>
        <w:gridCol w:w="867"/>
        <w:gridCol w:w="1092"/>
        <w:gridCol w:w="701"/>
      </w:tblGrid>
      <w:tr>
        <w:trPr>
          <w:trHeight w:val="206" w:hRule="exact"/>
        </w:trPr>
        <w:tc>
          <w:tcPr>
            <w:tcW w:w="1833" w:type="dxa"/>
            <w:tcBorders>
              <w:top w:val="single" w:sz="4" w:space="0" w:color="000000"/>
              <w:left w:val="single" w:sz="4" w:space="0" w:color="000000"/>
              <w:bottom w:val="nil" w:sz="6" w:space="0" w:color="auto"/>
              <w:right w:val="single" w:sz="4" w:space="0" w:color="000000"/>
            </w:tcBorders>
            <w:shd w:val="clear" w:color="auto" w:fill="D2D2D2"/>
          </w:tcPr>
          <w:p>
            <w:pPr/>
          </w:p>
        </w:tc>
        <w:tc>
          <w:tcPr>
            <w:tcW w:w="180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452"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030"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020"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79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441"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94" w:hRule="exact"/>
        </w:trPr>
        <w:tc>
          <w:tcPr>
            <w:tcW w:w="1833" w:type="dxa"/>
            <w:vMerge w:val="restart"/>
            <w:tcBorders>
              <w:top w:val="nil" w:sz="6" w:space="0" w:color="auto"/>
              <w:left w:val="single" w:sz="4" w:space="0" w:color="000000"/>
              <w:right w:val="single" w:sz="4" w:space="0" w:color="000000"/>
            </w:tcBorders>
            <w:shd w:val="clear" w:color="auto" w:fill="D2D2D2"/>
          </w:tcPr>
          <w:p>
            <w:pPr/>
          </w:p>
        </w:tc>
        <w:tc>
          <w:tcPr>
            <w:tcW w:w="1804" w:type="dxa"/>
            <w:gridSpan w:val="2"/>
            <w:vMerge/>
            <w:tcBorders>
              <w:left w:val="single" w:sz="4" w:space="0" w:color="000000"/>
              <w:bottom w:val="single" w:sz="4" w:space="0" w:color="000000"/>
              <w:right w:val="single" w:sz="4" w:space="0" w:color="000000"/>
            </w:tcBorders>
            <w:shd w:val="clear" w:color="auto" w:fill="D2D2D2"/>
          </w:tcPr>
          <w:p>
            <w:pPr/>
          </w:p>
        </w:tc>
        <w:tc>
          <w:tcPr>
            <w:tcW w:w="4030" w:type="dxa"/>
            <w:gridSpan w:val="5"/>
            <w:vMerge/>
            <w:tcBorders>
              <w:left w:val="single" w:sz="4" w:space="0" w:color="000000"/>
              <w:bottom w:val="single" w:sz="4" w:space="0" w:color="000000"/>
              <w:right w:val="single" w:sz="4" w:space="0" w:color="000000"/>
            </w:tcBorders>
            <w:shd w:val="clear" w:color="auto" w:fill="D2D2D2"/>
          </w:tcPr>
          <w:p>
            <w:pPr/>
          </w:p>
        </w:tc>
        <w:tc>
          <w:tcPr>
            <w:tcW w:w="1793" w:type="dxa"/>
            <w:gridSpan w:val="2"/>
            <w:vMerge/>
            <w:tcBorders>
              <w:left w:val="single" w:sz="4" w:space="0" w:color="000000"/>
              <w:bottom w:val="single" w:sz="4" w:space="0" w:color="000000"/>
              <w:right w:val="single" w:sz="4" w:space="0" w:color="000000"/>
            </w:tcBorders>
            <w:shd w:val="clear" w:color="auto" w:fill="D2D2D2"/>
          </w:tcPr>
          <w:p>
            <w:pPr/>
          </w:p>
        </w:tc>
      </w:tr>
      <w:tr>
        <w:trPr>
          <w:trHeight w:val="197" w:hRule="exact"/>
        </w:trPr>
        <w:tc>
          <w:tcPr>
            <w:tcW w:w="1833" w:type="dxa"/>
            <w:vMerge/>
            <w:tcBorders>
              <w:left w:val="single" w:sz="4" w:space="0" w:color="000000"/>
              <w:bottom w:val="nil" w:sz="6" w:space="0" w:color="auto"/>
              <w:right w:val="single" w:sz="4" w:space="0" w:color="000000"/>
            </w:tcBorders>
            <w:shd w:val="clear" w:color="auto" w:fill="D2D2D2"/>
          </w:tcPr>
          <w:p>
            <w:pPr/>
          </w:p>
        </w:tc>
        <w:tc>
          <w:tcPr>
            <w:tcW w:w="110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370"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0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69"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4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95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92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27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249"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0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360"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0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206" w:hRule="exact"/>
        </w:trPr>
        <w:tc>
          <w:tcPr>
            <w:tcW w:w="1833" w:type="dxa"/>
            <w:tcBorders>
              <w:top w:val="nil" w:sz="6" w:space="0" w:color="auto"/>
              <w:left w:val="single" w:sz="4" w:space="0" w:color="000000"/>
              <w:bottom w:val="single" w:sz="4" w:space="0" w:color="000000"/>
              <w:right w:val="single" w:sz="4" w:space="0" w:color="000000"/>
            </w:tcBorders>
            <w:shd w:val="clear" w:color="auto" w:fill="D2D2D2"/>
          </w:tcPr>
          <w:p>
            <w:pPr/>
          </w:p>
        </w:tc>
        <w:tc>
          <w:tcPr>
            <w:tcW w:w="1103" w:type="dxa"/>
            <w:vMerge/>
            <w:tcBorders>
              <w:left w:val="single" w:sz="4" w:space="0" w:color="000000"/>
              <w:bottom w:val="single" w:sz="4" w:space="0" w:color="000000"/>
              <w:right w:val="single" w:sz="4" w:space="0" w:color="000000"/>
            </w:tcBorders>
            <w:shd w:val="clear" w:color="auto" w:fill="D2D2D2"/>
          </w:tcPr>
          <w:p>
            <w:pPr/>
          </w:p>
        </w:tc>
        <w:tc>
          <w:tcPr>
            <w:tcW w:w="701" w:type="dxa"/>
            <w:vMerge/>
            <w:tcBorders>
              <w:left w:val="single" w:sz="4" w:space="0" w:color="000000"/>
              <w:bottom w:val="single" w:sz="4" w:space="0" w:color="000000"/>
              <w:right w:val="single" w:sz="4" w:space="0" w:color="000000"/>
            </w:tcBorders>
            <w:shd w:val="clear" w:color="auto" w:fill="D2D2D2"/>
          </w:tcPr>
          <w:p>
            <w:pPr/>
          </w:p>
        </w:tc>
        <w:tc>
          <w:tcPr>
            <w:tcW w:w="866" w:type="dxa"/>
            <w:vMerge/>
            <w:tcBorders>
              <w:left w:val="single" w:sz="4" w:space="0" w:color="000000"/>
              <w:bottom w:val="single" w:sz="4" w:space="0" w:color="000000"/>
              <w:right w:val="single" w:sz="4" w:space="0" w:color="000000"/>
            </w:tcBorders>
            <w:shd w:val="clear" w:color="auto" w:fill="D2D2D2"/>
          </w:tcPr>
          <w:p>
            <w:pPr/>
          </w:p>
        </w:tc>
        <w:tc>
          <w:tcPr>
            <w:tcW w:w="415" w:type="dxa"/>
            <w:vMerge/>
            <w:tcBorders>
              <w:left w:val="single" w:sz="4" w:space="0" w:color="000000"/>
              <w:bottom w:val="single" w:sz="4" w:space="0" w:color="000000"/>
              <w:right w:val="single" w:sz="4" w:space="0" w:color="000000"/>
            </w:tcBorders>
            <w:shd w:val="clear" w:color="auto" w:fill="D2D2D2"/>
          </w:tcPr>
          <w:p>
            <w:pPr/>
          </w:p>
        </w:tc>
        <w:tc>
          <w:tcPr>
            <w:tcW w:w="958" w:type="dxa"/>
            <w:vMerge/>
            <w:tcBorders>
              <w:left w:val="single" w:sz="4" w:space="0" w:color="000000"/>
              <w:bottom w:val="single" w:sz="4" w:space="0" w:color="000000"/>
              <w:right w:val="single" w:sz="4" w:space="0" w:color="000000"/>
            </w:tcBorders>
            <w:shd w:val="clear" w:color="auto" w:fill="D2D2D2"/>
          </w:tcPr>
          <w:p>
            <w:pPr/>
          </w:p>
        </w:tc>
        <w:tc>
          <w:tcPr>
            <w:tcW w:w="924" w:type="dxa"/>
            <w:vMerge/>
            <w:tcBorders>
              <w:left w:val="single" w:sz="4" w:space="0" w:color="000000"/>
              <w:bottom w:val="single" w:sz="4" w:space="0" w:color="000000"/>
              <w:right w:val="single" w:sz="4" w:space="0" w:color="000000"/>
            </w:tcBorders>
            <w:shd w:val="clear" w:color="auto" w:fill="D2D2D2"/>
          </w:tcPr>
          <w:p>
            <w:pPr/>
          </w:p>
        </w:tc>
        <w:tc>
          <w:tcPr>
            <w:tcW w:w="867" w:type="dxa"/>
            <w:vMerge/>
            <w:tcBorders>
              <w:left w:val="single" w:sz="4" w:space="0" w:color="000000"/>
              <w:bottom w:val="single" w:sz="4" w:space="0" w:color="000000"/>
              <w:right w:val="single" w:sz="4" w:space="0" w:color="000000"/>
            </w:tcBorders>
            <w:shd w:val="clear" w:color="auto" w:fill="D2D2D2"/>
          </w:tcPr>
          <w:p>
            <w:pPr/>
          </w:p>
        </w:tc>
        <w:tc>
          <w:tcPr>
            <w:tcW w:w="1092" w:type="dxa"/>
            <w:vMerge/>
            <w:tcBorders>
              <w:left w:val="single" w:sz="4" w:space="0" w:color="000000"/>
              <w:bottom w:val="single" w:sz="4" w:space="0" w:color="000000"/>
              <w:right w:val="single" w:sz="4" w:space="0" w:color="000000"/>
            </w:tcBorders>
            <w:shd w:val="clear" w:color="auto" w:fill="D2D2D2"/>
          </w:tcPr>
          <w:p>
            <w:pPr/>
          </w:p>
        </w:tc>
        <w:tc>
          <w:tcPr>
            <w:tcW w:w="701"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10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268,900,099</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14.14%</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32,880,000</w:t>
            </w:r>
          </w:p>
        </w:tc>
        <w:tc>
          <w:tcPr>
            <w:tcW w:w="41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-14,921,000</w:t>
            </w:r>
          </w:p>
        </w:tc>
        <w:tc>
          <w:tcPr>
            <w:tcW w:w="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17,959,000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286,859,099</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14.82%</w:t>
            </w:r>
          </w:p>
        </w:tc>
      </w:tr>
      <w:tr>
        <w:trPr>
          <w:trHeight w:val="403" w:hRule="exact"/>
        </w:trPr>
        <w:tc>
          <w:tcPr>
            <w:tcW w:w="1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103" w:type="dxa"/>
            <w:tcBorders>
              <w:top w:val="single" w:sz="4" w:space="0" w:color="000000"/>
              <w:left w:val="single" w:sz="10" w:space="0" w:color="D2D2D2"/>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
        </w:tc>
        <w:tc>
          <w:tcPr>
            <w:tcW w:w="867"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0.00%</w:t>
            </w:r>
          </w:p>
        </w:tc>
      </w:tr>
      <w:tr>
        <w:trPr>
          <w:trHeight w:val="401" w:hRule="exact"/>
        </w:trPr>
        <w:tc>
          <w:tcPr>
            <w:tcW w:w="1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103" w:type="dxa"/>
            <w:tcBorders>
              <w:top w:val="single" w:sz="4" w:space="0" w:color="000000"/>
              <w:left w:val="single" w:sz="10" w:space="0" w:color="D2D2D2"/>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
        </w:tc>
        <w:tc>
          <w:tcPr>
            <w:tcW w:w="867"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1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10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268,900,099</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14.14%</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32,380,000</w:t>
            </w:r>
          </w:p>
        </w:tc>
        <w:tc>
          <w:tcPr>
            <w:tcW w:w="41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 w:right="0"/>
              <w:jc w:val="center"/>
              <w:rPr>
                <w:rFonts w:ascii="Times New Roman" w:hAnsi="Times New Roman" w:cs="Times New Roman" w:eastAsia="Times New Roman" w:hint="default"/>
                <w:sz w:val="18"/>
                <w:szCs w:val="18"/>
              </w:rPr>
            </w:pPr>
            <w:r>
              <w:rPr>
                <w:rFonts w:ascii="Times New Roman"/>
                <w:sz w:val="18"/>
              </w:rPr>
              <w:t>-14,921,000</w:t>
            </w:r>
          </w:p>
        </w:tc>
        <w:tc>
          <w:tcPr>
            <w:tcW w:w="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17,459,000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286,359,099</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14.80%</w:t>
            </w:r>
          </w:p>
        </w:tc>
      </w:tr>
      <w:tr>
        <w:trPr>
          <w:trHeight w:val="401" w:hRule="exact"/>
        </w:trPr>
        <w:tc>
          <w:tcPr>
            <w:tcW w:w="1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1103" w:type="dxa"/>
            <w:tcBorders>
              <w:top w:val="single" w:sz="4" w:space="0" w:color="000000"/>
              <w:left w:val="single" w:sz="10" w:space="0" w:color="D2D2D2"/>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
        </w:tc>
        <w:tc>
          <w:tcPr>
            <w:tcW w:w="867"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1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8"/>
              <w:jc w:val="right"/>
              <w:rPr>
                <w:rFonts w:ascii="宋体" w:hAnsi="宋体" w:cs="宋体" w:eastAsia="宋体" w:hint="default"/>
                <w:sz w:val="18"/>
                <w:szCs w:val="18"/>
              </w:rPr>
            </w:pPr>
            <w:r>
              <w:rPr>
                <w:rFonts w:ascii="宋体" w:hAnsi="宋体" w:cs="宋体" w:eastAsia="宋体" w:hint="default"/>
                <w:sz w:val="18"/>
                <w:szCs w:val="18"/>
              </w:rPr>
              <w:t>境内自然人持股</w:t>
            </w:r>
          </w:p>
        </w:tc>
        <w:tc>
          <w:tcPr>
            <w:tcW w:w="110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268,900,099</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14.14%</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32,380,000</w:t>
            </w:r>
          </w:p>
        </w:tc>
        <w:tc>
          <w:tcPr>
            <w:tcW w:w="41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 w:right="0"/>
              <w:jc w:val="center"/>
              <w:rPr>
                <w:rFonts w:ascii="Times New Roman" w:hAnsi="Times New Roman" w:cs="Times New Roman" w:eastAsia="Times New Roman" w:hint="default"/>
                <w:sz w:val="18"/>
                <w:szCs w:val="18"/>
              </w:rPr>
            </w:pPr>
            <w:r>
              <w:rPr>
                <w:rFonts w:ascii="Times New Roman"/>
                <w:sz w:val="18"/>
              </w:rPr>
              <w:t>-14,921,000</w:t>
            </w:r>
          </w:p>
        </w:tc>
        <w:tc>
          <w:tcPr>
            <w:tcW w:w="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17,459,000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286,359,099</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14.80%</w:t>
            </w:r>
          </w:p>
        </w:tc>
      </w:tr>
      <w:tr>
        <w:trPr>
          <w:trHeight w:val="401" w:hRule="exact"/>
        </w:trPr>
        <w:tc>
          <w:tcPr>
            <w:tcW w:w="1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103" w:type="dxa"/>
            <w:tcBorders>
              <w:top w:val="single" w:sz="4" w:space="0" w:color="000000"/>
              <w:left w:val="single" w:sz="10" w:space="0" w:color="D2D2D2"/>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500,000</w:t>
            </w:r>
          </w:p>
        </w:tc>
        <w:tc>
          <w:tcPr>
            <w:tcW w:w="41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
        </w:tc>
        <w:tc>
          <w:tcPr>
            <w:tcW w:w="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500,000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0.03%</w:t>
            </w:r>
          </w:p>
        </w:tc>
      </w:tr>
      <w:tr>
        <w:trPr>
          <w:trHeight w:val="403" w:hRule="exact"/>
        </w:trPr>
        <w:tc>
          <w:tcPr>
            <w:tcW w:w="1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103" w:type="dxa"/>
            <w:tcBorders>
              <w:top w:val="single" w:sz="4" w:space="0" w:color="000000"/>
              <w:left w:val="single" w:sz="10" w:space="0" w:color="D2D2D2"/>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
        </w:tc>
        <w:tc>
          <w:tcPr>
            <w:tcW w:w="867"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0.00%</w:t>
            </w:r>
          </w:p>
        </w:tc>
      </w:tr>
      <w:tr>
        <w:trPr>
          <w:trHeight w:val="401" w:hRule="exact"/>
        </w:trPr>
        <w:tc>
          <w:tcPr>
            <w:tcW w:w="1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8"/>
              <w:jc w:val="right"/>
              <w:rPr>
                <w:rFonts w:ascii="宋体" w:hAnsi="宋体" w:cs="宋体" w:eastAsia="宋体" w:hint="default"/>
                <w:sz w:val="18"/>
                <w:szCs w:val="18"/>
              </w:rPr>
            </w:pPr>
            <w:r>
              <w:rPr>
                <w:rFonts w:ascii="宋体" w:hAnsi="宋体" w:cs="宋体" w:eastAsia="宋体" w:hint="default"/>
                <w:sz w:val="18"/>
                <w:szCs w:val="18"/>
              </w:rPr>
              <w:t>境外自然人持股</w:t>
            </w:r>
          </w:p>
        </w:tc>
        <w:tc>
          <w:tcPr>
            <w:tcW w:w="1103" w:type="dxa"/>
            <w:tcBorders>
              <w:top w:val="single" w:sz="4" w:space="0" w:color="000000"/>
              <w:left w:val="single" w:sz="10" w:space="0" w:color="D2D2D2"/>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500,000</w:t>
            </w:r>
          </w:p>
        </w:tc>
        <w:tc>
          <w:tcPr>
            <w:tcW w:w="41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
        </w:tc>
        <w:tc>
          <w:tcPr>
            <w:tcW w:w="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500,000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0.03%</w:t>
            </w:r>
          </w:p>
        </w:tc>
      </w:tr>
      <w:tr>
        <w:trPr>
          <w:trHeight w:val="404" w:hRule="exact"/>
        </w:trPr>
        <w:tc>
          <w:tcPr>
            <w:tcW w:w="1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10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1,633,259,130</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6"/>
              <w:jc w:val="right"/>
              <w:rPr>
                <w:rFonts w:ascii="Times New Roman" w:hAnsi="Times New Roman" w:cs="Times New Roman" w:eastAsia="Times New Roman" w:hint="default"/>
                <w:sz w:val="18"/>
                <w:szCs w:val="18"/>
              </w:rPr>
            </w:pPr>
            <w:r>
              <w:rPr>
                <w:rFonts w:ascii="Times New Roman"/>
                <w:sz w:val="18"/>
              </w:rPr>
              <w:t>85.86%</w:t>
            </w:r>
          </w:p>
        </w:tc>
        <w:tc>
          <w:tcPr>
            <w:tcW w:w="866" w:type="dxa"/>
            <w:tcBorders>
              <w:top w:val="single" w:sz="4" w:space="0" w:color="000000"/>
              <w:left w:val="single" w:sz="4" w:space="0" w:color="000000"/>
              <w:bottom w:val="single" w:sz="4" w:space="0" w:color="000000"/>
              <w:right w:val="single" w:sz="4" w:space="0" w:color="000000"/>
            </w:tcBorders>
          </w:tcPr>
          <w:p>
            <w:pPr/>
          </w:p>
        </w:tc>
        <w:tc>
          <w:tcPr>
            <w:tcW w:w="41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65" w:right="0"/>
              <w:jc w:val="center"/>
              <w:rPr>
                <w:rFonts w:ascii="Times New Roman" w:hAnsi="Times New Roman" w:cs="Times New Roman" w:eastAsia="Times New Roman" w:hint="default"/>
                <w:sz w:val="18"/>
                <w:szCs w:val="18"/>
              </w:rPr>
            </w:pPr>
            <w:r>
              <w:rPr>
                <w:rFonts w:ascii="Times New Roman"/>
                <w:sz w:val="18"/>
              </w:rPr>
              <w:t>14,921,000</w:t>
            </w:r>
          </w:p>
        </w:tc>
        <w:tc>
          <w:tcPr>
            <w:tcW w:w="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14,921,000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1,648,180,130</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6"/>
              <w:jc w:val="right"/>
              <w:rPr>
                <w:rFonts w:ascii="Times New Roman" w:hAnsi="Times New Roman" w:cs="Times New Roman" w:eastAsia="Times New Roman" w:hint="default"/>
                <w:sz w:val="18"/>
                <w:szCs w:val="18"/>
              </w:rPr>
            </w:pPr>
            <w:r>
              <w:rPr>
                <w:rFonts w:ascii="Times New Roman"/>
                <w:sz w:val="18"/>
              </w:rPr>
              <w:t>85.18%</w:t>
            </w:r>
          </w:p>
        </w:tc>
      </w:tr>
      <w:tr>
        <w:trPr>
          <w:trHeight w:val="401" w:hRule="exact"/>
        </w:trPr>
        <w:tc>
          <w:tcPr>
            <w:tcW w:w="1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10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1,633,259,130</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85.86%</w:t>
            </w:r>
          </w:p>
        </w:tc>
        <w:tc>
          <w:tcPr>
            <w:tcW w:w="866" w:type="dxa"/>
            <w:tcBorders>
              <w:top w:val="single" w:sz="4" w:space="0" w:color="000000"/>
              <w:left w:val="single" w:sz="4" w:space="0" w:color="000000"/>
              <w:bottom w:val="single" w:sz="4" w:space="0" w:color="000000"/>
              <w:right w:val="single" w:sz="4" w:space="0" w:color="000000"/>
            </w:tcBorders>
          </w:tcPr>
          <w:p>
            <w:pPr/>
          </w:p>
        </w:tc>
        <w:tc>
          <w:tcPr>
            <w:tcW w:w="41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5" w:right="0"/>
              <w:jc w:val="center"/>
              <w:rPr>
                <w:rFonts w:ascii="Times New Roman" w:hAnsi="Times New Roman" w:cs="Times New Roman" w:eastAsia="Times New Roman" w:hint="default"/>
                <w:sz w:val="18"/>
                <w:szCs w:val="18"/>
              </w:rPr>
            </w:pPr>
            <w:r>
              <w:rPr>
                <w:rFonts w:ascii="Times New Roman"/>
                <w:sz w:val="18"/>
              </w:rPr>
              <w:t>14,921,000</w:t>
            </w:r>
          </w:p>
        </w:tc>
        <w:tc>
          <w:tcPr>
            <w:tcW w:w="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14,921,000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1,648,180,130</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85.18%</w:t>
            </w:r>
          </w:p>
        </w:tc>
      </w:tr>
      <w:tr>
        <w:trPr>
          <w:trHeight w:val="403" w:hRule="exact"/>
        </w:trPr>
        <w:tc>
          <w:tcPr>
            <w:tcW w:w="1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1103" w:type="dxa"/>
            <w:tcBorders>
              <w:top w:val="single" w:sz="4" w:space="0" w:color="000000"/>
              <w:left w:val="single" w:sz="10" w:space="0" w:color="D2D2D2"/>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
        </w:tc>
        <w:tc>
          <w:tcPr>
            <w:tcW w:w="867"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0.00%</w:t>
            </w:r>
          </w:p>
        </w:tc>
      </w:tr>
      <w:tr>
        <w:trPr>
          <w:trHeight w:val="401" w:hRule="exact"/>
        </w:trPr>
        <w:tc>
          <w:tcPr>
            <w:tcW w:w="1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1103" w:type="dxa"/>
            <w:tcBorders>
              <w:top w:val="single" w:sz="4" w:space="0" w:color="000000"/>
              <w:left w:val="single" w:sz="10" w:space="0" w:color="D2D2D2"/>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
        </w:tc>
        <w:tc>
          <w:tcPr>
            <w:tcW w:w="867"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1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03" w:type="dxa"/>
            <w:tcBorders>
              <w:top w:val="single" w:sz="4" w:space="0" w:color="000000"/>
              <w:left w:val="single" w:sz="10" w:space="0" w:color="D2D2D2"/>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
        </w:tc>
        <w:tc>
          <w:tcPr>
            <w:tcW w:w="41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
        </w:tc>
        <w:tc>
          <w:tcPr>
            <w:tcW w:w="867"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18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10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1,902,159,229</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32,880,000</w:t>
            </w:r>
          </w:p>
        </w:tc>
        <w:tc>
          <w:tcPr>
            <w:tcW w:w="41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
        </w:tc>
        <w:tc>
          <w:tcPr>
            <w:tcW w:w="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32,880,000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1,935,039,229</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bl>
    <w:p>
      <w:pPr>
        <w:spacing w:line="240" w:lineRule="auto" w:before="5"/>
        <w:rPr>
          <w:rFonts w:ascii="宋体" w:hAnsi="宋体" w:cs="宋体" w:eastAsia="宋体" w:hint="default"/>
          <w:sz w:val="6"/>
          <w:szCs w:val="6"/>
        </w:rPr>
      </w:pPr>
    </w:p>
    <w:p>
      <w:pPr>
        <w:pStyle w:val="BodyText"/>
        <w:spacing w:line="240" w:lineRule="auto" w:before="44"/>
        <w:ind w:right="1133"/>
        <w:jc w:val="left"/>
      </w:pPr>
      <w:r>
        <w:rPr/>
        <w:t>股份变动的原因</w:t>
      </w:r>
    </w:p>
    <w:p>
      <w:pPr>
        <w:spacing w:line="240" w:lineRule="auto" w:before="9"/>
        <w:rPr>
          <w:rFonts w:ascii="宋体" w:hAnsi="宋体" w:cs="宋体" w:eastAsia="宋体" w:hint="default"/>
          <w:sz w:val="20"/>
          <w:szCs w:val="20"/>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2"/>
        <w:rPr>
          <w:rFonts w:ascii="宋体" w:hAnsi="宋体" w:cs="宋体" w:eastAsia="宋体" w:hint="default"/>
          <w:sz w:val="19"/>
          <w:szCs w:val="19"/>
        </w:rPr>
      </w:pPr>
    </w:p>
    <w:p>
      <w:pPr>
        <w:pStyle w:val="BodyText"/>
        <w:spacing w:line="240" w:lineRule="auto"/>
        <w:ind w:left="573" w:right="0"/>
        <w:jc w:val="left"/>
      </w:pPr>
      <w:r>
        <w:rPr>
          <w:rFonts w:ascii="Times New Roman" w:hAnsi="Times New Roman" w:cs="Times New Roman" w:eastAsia="Times New Roman" w:hint="default"/>
        </w:rPr>
        <w:t>1</w:t>
      </w:r>
      <w:r>
        <w:rPr/>
        <w:t>、报告期内公司实施了第三次限制性股票激励计划，授予股份</w:t>
      </w:r>
      <w:r>
        <w:rPr>
          <w:rFonts w:ascii="Times New Roman" w:hAnsi="Times New Roman" w:cs="Times New Roman" w:eastAsia="Times New Roman" w:hint="default"/>
        </w:rPr>
        <w:t>3,288</w:t>
      </w:r>
      <w:r>
        <w:rPr/>
        <w:t>万股，授予日</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19</w:t>
      </w:r>
      <w:r>
        <w:rPr/>
        <w:t>日，于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6</w:t>
      </w:r>
      <w:r>
        <w:rPr/>
        <w:t>日上</w:t>
      </w:r>
    </w:p>
    <w:p>
      <w:pPr>
        <w:spacing w:line="240" w:lineRule="auto" w:before="9"/>
        <w:rPr>
          <w:rFonts w:ascii="宋体" w:hAnsi="宋体" w:cs="宋体" w:eastAsia="宋体" w:hint="default"/>
          <w:sz w:val="16"/>
          <w:szCs w:val="16"/>
        </w:rPr>
      </w:pPr>
    </w:p>
    <w:p>
      <w:pPr>
        <w:pStyle w:val="BodyText"/>
        <w:spacing w:line="240" w:lineRule="auto"/>
        <w:ind w:right="1133"/>
        <w:jc w:val="left"/>
      </w:pPr>
      <w:r>
        <w:rPr/>
        <w:t>市。</w:t>
      </w:r>
    </w:p>
    <w:p>
      <w:pPr>
        <w:spacing w:line="240" w:lineRule="auto" w:before="10"/>
        <w:rPr>
          <w:rFonts w:ascii="宋体" w:hAnsi="宋体" w:cs="宋体" w:eastAsia="宋体" w:hint="default"/>
          <w:sz w:val="17"/>
          <w:szCs w:val="17"/>
        </w:rPr>
      </w:pPr>
    </w:p>
    <w:p>
      <w:pPr>
        <w:pStyle w:val="BodyText"/>
        <w:spacing w:line="489" w:lineRule="auto"/>
        <w:ind w:right="5924" w:firstLine="420"/>
        <w:jc w:val="left"/>
      </w:pPr>
      <w:r>
        <w:rPr>
          <w:rFonts w:ascii="Times New Roman" w:hAnsi="Times New Roman" w:cs="Times New Roman" w:eastAsia="Times New Roman" w:hint="default"/>
        </w:rPr>
        <w:t>2</w:t>
      </w:r>
      <w:r>
        <w:rPr/>
        <w:t>、高管锁定股按照深交所相关规定进行了相应的锁定。 股份变动的批准情况</w:t>
      </w:r>
    </w:p>
    <w:p>
      <w:pPr>
        <w:pStyle w:val="BodyText"/>
        <w:spacing w:line="240" w:lineRule="auto" w:before="83"/>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1"/>
        <w:rPr>
          <w:rFonts w:ascii="宋体" w:hAnsi="宋体" w:cs="宋体" w:eastAsia="宋体" w:hint="default"/>
          <w:sz w:val="19"/>
          <w:szCs w:val="19"/>
        </w:rPr>
      </w:pPr>
    </w:p>
    <w:p>
      <w:pPr>
        <w:pStyle w:val="BodyText"/>
        <w:spacing w:line="240" w:lineRule="auto"/>
        <w:ind w:left="573" w:right="1133"/>
        <w:jc w:val="left"/>
      </w:pPr>
      <w:r>
        <w:rPr/>
        <w:t>第三次限制性股票激励计划经</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25</w:t>
      </w:r>
      <w:r>
        <w:rPr/>
        <w:t>日召开的</w:t>
      </w:r>
      <w:r>
        <w:rPr>
          <w:rFonts w:ascii="Times New Roman" w:hAnsi="Times New Roman" w:cs="Times New Roman" w:eastAsia="Times New Roman" w:hint="default"/>
        </w:rPr>
        <w:t>2019</w:t>
      </w:r>
      <w:r>
        <w:rPr/>
        <w:t>年第一次临时股东大会审议通过，股票授予经</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19</w:t>
      </w:r>
      <w:r>
        <w:rPr/>
        <w:t>日</w:t>
      </w:r>
    </w:p>
    <w:p>
      <w:pPr>
        <w:spacing w:after="0" w:line="240"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518" w:lineRule="auto"/>
        <w:ind w:right="6974"/>
        <w:jc w:val="left"/>
      </w:pPr>
      <w:r>
        <w:rPr/>
        <w:t>召开的第六届董事会第二十七次会议审议通过。 股份变动的过户情况</w:t>
      </w:r>
    </w:p>
    <w:p>
      <w:pPr>
        <w:pStyle w:val="BodyText"/>
        <w:spacing w:line="240" w:lineRule="auto" w:before="62"/>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1"/>
        <w:rPr>
          <w:rFonts w:ascii="宋体" w:hAnsi="宋体" w:cs="宋体" w:eastAsia="宋体" w:hint="default"/>
          <w:sz w:val="19"/>
          <w:szCs w:val="19"/>
        </w:rPr>
      </w:pPr>
    </w:p>
    <w:p>
      <w:pPr>
        <w:pStyle w:val="BodyText"/>
        <w:spacing w:line="240" w:lineRule="auto"/>
        <w:ind w:left="573" w:right="1133"/>
        <w:jc w:val="left"/>
      </w:pPr>
      <w:r>
        <w:rPr/>
        <w:t>第三次限制性股票激励计划中授予的股份已在中国证券登记结算有限责任公司完成授予登记工作，于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6</w:t>
      </w:r>
      <w:r>
        <w:rPr/>
        <w:t>日上</w:t>
      </w:r>
    </w:p>
    <w:p>
      <w:pPr>
        <w:spacing w:line="240" w:lineRule="auto" w:before="9"/>
        <w:rPr>
          <w:rFonts w:ascii="宋体" w:hAnsi="宋体" w:cs="宋体" w:eastAsia="宋体" w:hint="default"/>
          <w:sz w:val="16"/>
          <w:szCs w:val="16"/>
        </w:rPr>
      </w:pPr>
    </w:p>
    <w:p>
      <w:pPr>
        <w:pStyle w:val="BodyText"/>
        <w:spacing w:line="518" w:lineRule="auto"/>
        <w:ind w:right="8774"/>
        <w:jc w:val="left"/>
      </w:pPr>
      <w:r>
        <w:rPr/>
        <w:t>市。 股份回购的实施进展情况</w:t>
      </w:r>
    </w:p>
    <w:p>
      <w:pPr>
        <w:pStyle w:val="BodyText"/>
        <w:spacing w:line="489" w:lineRule="auto" w:before="62"/>
        <w:ind w:right="697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采用集中竞价方式减持回购股份的实施进展情况</w:t>
      </w:r>
    </w:p>
    <w:p>
      <w:pPr>
        <w:pStyle w:val="BodyText"/>
        <w:spacing w:line="487" w:lineRule="auto" w:before="86"/>
        <w:ind w:right="13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股份变动对最近一年和最近一期基本每股收益和稀释每股收益、归属于公司普通股股东的每股净资产等财务指标的影响</w:t>
      </w:r>
    </w:p>
    <w:p>
      <w:pPr>
        <w:pStyle w:val="BodyText"/>
        <w:spacing w:line="240" w:lineRule="auto" w:before="88"/>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1"/>
        <w:rPr>
          <w:rFonts w:ascii="宋体" w:hAnsi="宋体" w:cs="宋体" w:eastAsia="宋体" w:hint="default"/>
          <w:sz w:val="19"/>
          <w:szCs w:val="19"/>
        </w:rPr>
      </w:pPr>
    </w:p>
    <w:p>
      <w:pPr>
        <w:pStyle w:val="BodyText"/>
        <w:spacing w:line="451" w:lineRule="auto"/>
        <w:ind w:right="1114" w:firstLine="420"/>
        <w:jc w:val="left"/>
      </w:pPr>
      <w:r>
        <w:rPr>
          <w:rFonts w:ascii="Times New Roman" w:hAnsi="Times New Roman" w:cs="Times New Roman" w:eastAsia="Times New Roman" w:hint="default"/>
        </w:rPr>
        <w:t>1</w:t>
      </w:r>
      <w:r>
        <w:rPr/>
        <w:t>、本报告期基本每股收益</w:t>
      </w:r>
      <w:r>
        <w:rPr>
          <w:rFonts w:ascii="Times New Roman" w:hAnsi="Times New Roman" w:cs="Times New Roman" w:eastAsia="Times New Roman" w:hint="default"/>
        </w:rPr>
        <w:t>-0.1803</w:t>
      </w:r>
      <w:r>
        <w:rPr/>
        <w:t>元</w:t>
      </w:r>
      <w:r>
        <w:rPr>
          <w:rFonts w:ascii="Times New Roman" w:hAnsi="Times New Roman" w:cs="Times New Roman" w:eastAsia="Times New Roman" w:hint="default"/>
        </w:rPr>
        <w:t>/</w:t>
      </w:r>
      <w:r>
        <w:rPr/>
        <w:t>股，稀释每股收益</w:t>
      </w:r>
      <w:r>
        <w:rPr>
          <w:rFonts w:ascii="Times New Roman" w:hAnsi="Times New Roman" w:cs="Times New Roman" w:eastAsia="Times New Roman" w:hint="default"/>
        </w:rPr>
        <w:t>-0.1792</w:t>
      </w:r>
      <w:r>
        <w:rPr/>
        <w:t>元</w:t>
      </w:r>
      <w:r>
        <w:rPr>
          <w:rFonts w:ascii="Times New Roman" w:hAnsi="Times New Roman" w:cs="Times New Roman" w:eastAsia="Times New Roman" w:hint="default"/>
        </w:rPr>
        <w:t>/</w:t>
      </w:r>
      <w:r>
        <w:rPr/>
        <w:t>股，本期无解禁上市的限制性股票，故限制性股票激 励的股份变动对本期每股收益和稀释每股收益指标无影响。</w:t>
      </w:r>
    </w:p>
    <w:p>
      <w:pPr>
        <w:pStyle w:val="BodyText"/>
        <w:spacing w:line="451" w:lineRule="auto" w:before="74"/>
        <w:ind w:right="1133" w:firstLine="420"/>
        <w:jc w:val="left"/>
      </w:pPr>
      <w:r>
        <w:rPr>
          <w:rFonts w:ascii="Times New Roman" w:hAnsi="Times New Roman" w:cs="Times New Roman" w:eastAsia="Times New Roman" w:hint="default"/>
          <w:spacing w:val="-2"/>
        </w:rPr>
        <w:t>2</w:t>
      </w:r>
      <w:r>
        <w:rPr>
          <w:spacing w:val="-2"/>
        </w:rPr>
        <w:t>、本报告期归属于公司普通股股东的每股净资产</w:t>
      </w:r>
      <w:r>
        <w:rPr>
          <w:rFonts w:ascii="Times New Roman" w:hAnsi="Times New Roman" w:cs="Times New Roman" w:eastAsia="Times New Roman" w:hint="default"/>
          <w:spacing w:val="-2"/>
        </w:rPr>
        <w:t>1.4588</w:t>
      </w:r>
      <w:r>
        <w:rPr>
          <w:spacing w:val="-2"/>
        </w:rPr>
        <w:t>元</w:t>
      </w:r>
      <w:r>
        <w:rPr>
          <w:rFonts w:ascii="Times New Roman" w:hAnsi="Times New Roman" w:cs="Times New Roman" w:eastAsia="Times New Roman" w:hint="default"/>
          <w:spacing w:val="-2"/>
        </w:rPr>
        <w:t>/</w:t>
      </w:r>
      <w:r>
        <w:rPr>
          <w:spacing w:val="-2"/>
        </w:rPr>
        <w:t>股，剔除第三期本期限制性股票激励影响，归属于公司普通</w:t>
      </w:r>
      <w:r>
        <w:rPr/>
        <w:t> 股股东的每股净资产为</w:t>
      </w:r>
      <w:r>
        <w:rPr>
          <w:rFonts w:ascii="Times New Roman" w:hAnsi="Times New Roman" w:cs="Times New Roman" w:eastAsia="Times New Roman" w:hint="default"/>
        </w:rPr>
        <w:t>1.4840</w:t>
      </w:r>
      <w:r>
        <w:rPr/>
        <w:t>元</w:t>
      </w:r>
      <w:r>
        <w:rPr>
          <w:rFonts w:ascii="Times New Roman" w:hAnsi="Times New Roman" w:cs="Times New Roman" w:eastAsia="Times New Roman" w:hint="default"/>
        </w:rPr>
        <w:t>/</w:t>
      </w:r>
      <w:r>
        <w:rPr/>
        <w:t>股。</w:t>
      </w:r>
    </w:p>
    <w:p>
      <w:pPr>
        <w:pStyle w:val="BodyText"/>
        <w:spacing w:line="240" w:lineRule="auto" w:before="84"/>
        <w:ind w:right="1133"/>
        <w:jc w:val="left"/>
      </w:pPr>
      <w:r>
        <w:rPr/>
        <w:t>公司认为必要或证券监管机构要求披露的其他内容</w:t>
      </w:r>
    </w:p>
    <w:p>
      <w:pPr>
        <w:spacing w:line="240" w:lineRule="auto" w:before="9"/>
        <w:rPr>
          <w:rFonts w:ascii="宋体" w:hAnsi="宋体" w:cs="宋体" w:eastAsia="宋体" w:hint="default"/>
          <w:sz w:val="20"/>
          <w:szCs w:val="20"/>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4"/>
          <w:szCs w:val="14"/>
        </w:rPr>
      </w:pPr>
    </w:p>
    <w:p>
      <w:pPr>
        <w:pStyle w:val="Heading4"/>
        <w:spacing w:line="240" w:lineRule="auto"/>
        <w:ind w:right="1133"/>
        <w:jc w:val="left"/>
        <w:rPr>
          <w:b w:val="0"/>
          <w:bCs w:val="0"/>
        </w:rPr>
      </w:pPr>
      <w:bookmarkStart w:name="2、限售股份变动情况" w:id="110"/>
      <w:bookmarkEnd w:id="110"/>
      <w:r>
        <w:rPr>
          <w:b w:val="0"/>
          <w:bCs w:val="0"/>
        </w:rPr>
      </w:r>
      <w:r>
        <w:rPr>
          <w:rFonts w:ascii="Times New Roman" w:hAnsi="Times New Roman" w:cs="Times New Roman" w:eastAsia="Times New Roman" w:hint="default"/>
        </w:rPr>
        <w:t>2</w:t>
      </w:r>
      <w:r>
        <w:rPr/>
        <w:t>、限售股份变动情况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left="0" w:right="1131"/>
        <w:jc w:val="right"/>
      </w:pPr>
      <w:r>
        <w:rPr/>
        <w:t>单位：股</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641"/>
        <w:gridCol w:w="1061"/>
        <w:gridCol w:w="994"/>
        <w:gridCol w:w="1102"/>
        <w:gridCol w:w="1022"/>
        <w:gridCol w:w="1220"/>
        <w:gridCol w:w="3629"/>
      </w:tblGrid>
      <w:tr>
        <w:trPr>
          <w:trHeight w:val="713" w:hRule="exact"/>
        </w:trPr>
        <w:tc>
          <w:tcPr>
            <w:tcW w:w="6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6" w:right="44" w:hanging="181"/>
              <w:jc w:val="left"/>
              <w:rPr>
                <w:rFonts w:ascii="宋体" w:hAnsi="宋体" w:cs="宋体" w:eastAsia="宋体" w:hint="default"/>
                <w:sz w:val="18"/>
                <w:szCs w:val="18"/>
              </w:rPr>
            </w:pPr>
            <w:r>
              <w:rPr>
                <w:rFonts w:ascii="宋体" w:hAnsi="宋体" w:cs="宋体" w:eastAsia="宋体" w:hint="default"/>
                <w:sz w:val="18"/>
                <w:szCs w:val="18"/>
              </w:rPr>
              <w:t>股东名 称</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36" w:right="72" w:hanging="360"/>
              <w:jc w:val="left"/>
              <w:rPr>
                <w:rFonts w:ascii="宋体" w:hAnsi="宋体" w:cs="宋体" w:eastAsia="宋体" w:hint="default"/>
                <w:sz w:val="18"/>
                <w:szCs w:val="18"/>
              </w:rPr>
            </w:pPr>
            <w:r>
              <w:rPr>
                <w:rFonts w:ascii="宋体" w:hAnsi="宋体" w:cs="宋体" w:eastAsia="宋体" w:hint="default"/>
                <w:sz w:val="18"/>
                <w:szCs w:val="18"/>
              </w:rPr>
              <w:t>期初限售股 数</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3" w:right="39" w:hanging="180"/>
              <w:jc w:val="left"/>
              <w:rPr>
                <w:rFonts w:ascii="宋体" w:hAnsi="宋体" w:cs="宋体" w:eastAsia="宋体" w:hint="default"/>
                <w:sz w:val="18"/>
                <w:szCs w:val="18"/>
              </w:rPr>
            </w:pPr>
            <w:r>
              <w:rPr>
                <w:rFonts w:ascii="宋体" w:hAnsi="宋体" w:cs="宋体" w:eastAsia="宋体" w:hint="default"/>
                <w:sz w:val="18"/>
                <w:szCs w:val="18"/>
              </w:rPr>
              <w:t>本期增加限 售股数</w:t>
            </w:r>
          </w:p>
        </w:tc>
        <w:tc>
          <w:tcPr>
            <w:tcW w:w="11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76" w:right="95" w:hanging="180"/>
              <w:jc w:val="left"/>
              <w:rPr>
                <w:rFonts w:ascii="宋体" w:hAnsi="宋体" w:cs="宋体" w:eastAsia="宋体" w:hint="default"/>
                <w:sz w:val="18"/>
                <w:szCs w:val="18"/>
              </w:rPr>
            </w:pPr>
            <w:r>
              <w:rPr>
                <w:rFonts w:ascii="宋体" w:hAnsi="宋体" w:cs="宋体" w:eastAsia="宋体" w:hint="default"/>
                <w:sz w:val="18"/>
                <w:szCs w:val="18"/>
              </w:rPr>
              <w:t>本期解除限 售股数</w:t>
            </w:r>
          </w:p>
        </w:tc>
        <w:tc>
          <w:tcPr>
            <w:tcW w:w="10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17" w:right="53" w:hanging="360"/>
              <w:jc w:val="left"/>
              <w:rPr>
                <w:rFonts w:ascii="宋体" w:hAnsi="宋体" w:cs="宋体" w:eastAsia="宋体" w:hint="default"/>
                <w:sz w:val="18"/>
                <w:szCs w:val="18"/>
              </w:rPr>
            </w:pPr>
            <w:r>
              <w:rPr>
                <w:rFonts w:ascii="宋体" w:hAnsi="宋体" w:cs="宋体" w:eastAsia="宋体" w:hint="default"/>
                <w:sz w:val="18"/>
                <w:szCs w:val="18"/>
              </w:rPr>
              <w:t>期末限售股 数</w:t>
            </w:r>
          </w:p>
        </w:tc>
        <w:tc>
          <w:tcPr>
            <w:tcW w:w="1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4" w:right="0"/>
              <w:jc w:val="left"/>
              <w:rPr>
                <w:rFonts w:ascii="宋体" w:hAnsi="宋体" w:cs="宋体" w:eastAsia="宋体" w:hint="default"/>
                <w:sz w:val="18"/>
                <w:szCs w:val="18"/>
              </w:rPr>
            </w:pPr>
            <w:r>
              <w:rPr>
                <w:rFonts w:ascii="宋体" w:hAnsi="宋体" w:cs="宋体" w:eastAsia="宋体" w:hint="default"/>
                <w:sz w:val="18"/>
                <w:szCs w:val="18"/>
              </w:rPr>
              <w:t>限售原因</w:t>
            </w:r>
          </w:p>
        </w:tc>
        <w:tc>
          <w:tcPr>
            <w:tcW w:w="36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404"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刘磅</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131,052,773</w:t>
            </w:r>
          </w:p>
        </w:tc>
        <w:tc>
          <w:tcPr>
            <w:tcW w:w="994" w:type="dxa"/>
            <w:tcBorders>
              <w:top w:val="single" w:sz="4" w:space="0" w:color="000000"/>
              <w:left w:val="single" w:sz="4" w:space="0" w:color="000000"/>
              <w:bottom w:val="single" w:sz="4" w:space="0" w:color="000000"/>
              <w:right w:val="single" w:sz="4" w:space="0" w:color="000000"/>
            </w:tcBorders>
          </w:tcPr>
          <w:p>
            <w:pP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131,052,773</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3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高管锁定股按照深交所相关规定解除限售。</w:t>
            </w:r>
          </w:p>
        </w:tc>
      </w:tr>
      <w:tr>
        <w:trPr>
          <w:trHeight w:val="401"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贾虹</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104,525,025</w:t>
            </w:r>
          </w:p>
        </w:tc>
        <w:tc>
          <w:tcPr>
            <w:tcW w:w="994" w:type="dxa"/>
            <w:tcBorders>
              <w:top w:val="single" w:sz="4" w:space="0" w:color="000000"/>
              <w:left w:val="single" w:sz="4" w:space="0" w:color="000000"/>
              <w:bottom w:val="single" w:sz="4" w:space="0" w:color="000000"/>
              <w:right w:val="single" w:sz="4" w:space="0" w:color="000000"/>
            </w:tcBorders>
          </w:tcPr>
          <w:p>
            <w:pP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15,000,000</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89,525,025</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3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高管锁定股按照深交所相关规定解除限售。</w:t>
            </w:r>
          </w:p>
        </w:tc>
      </w:tr>
      <w:tr>
        <w:trPr>
          <w:trHeight w:val="1027"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苏俊锋</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7,258,898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w:t>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9,258,898</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05"/>
              <w:jc w:val="both"/>
              <w:rPr>
                <w:rFonts w:ascii="宋体" w:hAnsi="宋体" w:cs="宋体" w:eastAsia="宋体" w:hint="default"/>
                <w:sz w:val="18"/>
                <w:szCs w:val="18"/>
              </w:rPr>
            </w:pPr>
            <w:r>
              <w:rPr>
                <w:rFonts w:ascii="宋体" w:hAnsi="宋体" w:cs="宋体" w:eastAsia="宋体" w:hint="default"/>
                <w:sz w:val="18"/>
                <w:szCs w:val="18"/>
              </w:rPr>
              <w:t>限制性股票激 励计划、高管 锁定</w:t>
            </w:r>
          </w:p>
        </w:tc>
        <w:tc>
          <w:tcPr>
            <w:tcW w:w="3629"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18"/>
              <w:jc w:val="both"/>
              <w:rPr>
                <w:rFonts w:ascii="宋体" w:hAnsi="宋体" w:cs="宋体" w:eastAsia="宋体" w:hint="default"/>
                <w:sz w:val="18"/>
                <w:szCs w:val="18"/>
              </w:rPr>
            </w:pPr>
            <w:r>
              <w:rPr>
                <w:rFonts w:ascii="宋体" w:hAnsi="宋体" w:cs="宋体" w:eastAsia="宋体" w:hint="default"/>
                <w:spacing w:val="-2"/>
                <w:sz w:val="18"/>
                <w:szCs w:val="18"/>
              </w:rPr>
              <w:t>高管锁定股按照深交所相关规定解除限售；限</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制性股票激励计划将在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pacing w:val="-15"/>
                <w:sz w:val="18"/>
                <w:szCs w:val="18"/>
              </w:rPr>
              <w:t>年、</w:t>
            </w:r>
            <w:r>
              <w:rPr>
                <w:rFonts w:ascii="Times New Roman" w:hAnsi="Times New Roman" w:cs="Times New Roman" w:eastAsia="Times New Roman" w:hint="default"/>
                <w:spacing w:val="-15"/>
                <w:sz w:val="18"/>
                <w:szCs w:val="18"/>
              </w:rPr>
              <w:t>2021</w:t>
            </w:r>
            <w:r>
              <w:rPr>
                <w:rFonts w:ascii="Times New Roman" w:hAnsi="Times New Roman" w:cs="Times New Roman" w:eastAsia="Times New Roman" w:hint="default"/>
                <w:spacing w:val="3"/>
                <w:sz w:val="18"/>
                <w:szCs w:val="18"/>
              </w:rPr>
              <w:t> </w:t>
            </w:r>
            <w:r>
              <w:rPr>
                <w:rFonts w:ascii="宋体" w:hAnsi="宋体" w:cs="宋体" w:eastAsia="宋体" w:hint="default"/>
                <w:spacing w:val="-14"/>
                <w:sz w:val="18"/>
                <w:szCs w:val="18"/>
              </w:rPr>
              <w:t>年、</w:t>
            </w:r>
            <w:r>
              <w:rPr>
                <w:rFonts w:ascii="Times New Roman" w:hAnsi="Times New Roman" w:cs="Times New Roman" w:eastAsia="Times New Roman" w:hint="default"/>
                <w:spacing w:val="-14"/>
                <w:sz w:val="18"/>
                <w:szCs w:val="18"/>
              </w:rPr>
              <w:t>2022</w:t>
            </w:r>
            <w:r>
              <w:rPr>
                <w:rFonts w:ascii="Times New Roman" w:hAnsi="Times New Roman" w:cs="Times New Roman" w:eastAsia="Times New Roman" w:hint="default"/>
                <w:sz w:val="18"/>
                <w:szCs w:val="18"/>
              </w:rPr>
              <w:t> </w:t>
            </w:r>
            <w:r>
              <w:rPr>
                <w:rFonts w:ascii="宋体" w:hAnsi="宋体" w:cs="宋体" w:eastAsia="宋体" w:hint="default"/>
                <w:sz w:val="18"/>
                <w:szCs w:val="18"/>
              </w:rPr>
              <w:t>年分三期解除限售。</w:t>
            </w:r>
          </w:p>
        </w:tc>
      </w:tr>
      <w:tr>
        <w:trPr>
          <w:trHeight w:val="401"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程朋胜</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8,519,533</w:t>
            </w:r>
          </w:p>
        </w:tc>
        <w:tc>
          <w:tcPr>
            <w:tcW w:w="994" w:type="dxa"/>
            <w:tcBorders>
              <w:top w:val="single" w:sz="4" w:space="0" w:color="000000"/>
              <w:left w:val="single" w:sz="4" w:space="0" w:color="000000"/>
              <w:bottom w:val="single" w:sz="4" w:space="0" w:color="000000"/>
              <w:right w:val="single" w:sz="4" w:space="0" w:color="000000"/>
            </w:tcBorders>
          </w:tcPr>
          <w:p>
            <w:pP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8,519,533</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3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高管锁定股按照深交所相关规定解除限售。</w:t>
            </w:r>
          </w:p>
        </w:tc>
      </w:tr>
      <w:tr>
        <w:trPr>
          <w:trHeight w:val="403"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吕枫</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7,217,980</w:t>
            </w:r>
          </w:p>
        </w:tc>
        <w:tc>
          <w:tcPr>
            <w:tcW w:w="994" w:type="dxa"/>
            <w:tcBorders>
              <w:top w:val="single" w:sz="4" w:space="0" w:color="000000"/>
              <w:left w:val="single" w:sz="4" w:space="0" w:color="000000"/>
              <w:bottom w:val="single" w:sz="4" w:space="0" w:color="000000"/>
              <w:right w:val="single" w:sz="4" w:space="0" w:color="000000"/>
            </w:tcBorders>
          </w:tcPr>
          <w:p>
            <w:pP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7,217,980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3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高管锁定股按照深交所相关规定解除限售。</w:t>
            </w:r>
          </w:p>
        </w:tc>
      </w:tr>
      <w:tr>
        <w:trPr>
          <w:trHeight w:val="401"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黄德强</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1,030,350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4,500,000</w:t>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5,530,350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3" w:right="0"/>
              <w:jc w:val="left"/>
              <w:rPr>
                <w:rFonts w:ascii="宋体" w:hAnsi="宋体" w:cs="宋体" w:eastAsia="宋体" w:hint="default"/>
                <w:sz w:val="18"/>
                <w:szCs w:val="18"/>
              </w:rPr>
            </w:pPr>
            <w:r>
              <w:rPr>
                <w:rFonts w:ascii="宋体" w:hAnsi="宋体" w:cs="宋体" w:eastAsia="宋体" w:hint="default"/>
                <w:sz w:val="18"/>
                <w:szCs w:val="18"/>
              </w:rPr>
              <w:t>限制性股票激</w:t>
            </w:r>
          </w:p>
        </w:tc>
        <w:tc>
          <w:tcPr>
            <w:tcW w:w="3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3" w:right="0"/>
              <w:jc w:val="left"/>
              <w:rPr>
                <w:rFonts w:ascii="宋体" w:hAnsi="宋体" w:cs="宋体" w:eastAsia="宋体" w:hint="default"/>
                <w:sz w:val="18"/>
                <w:szCs w:val="18"/>
              </w:rPr>
            </w:pPr>
            <w:r>
              <w:rPr>
                <w:rFonts w:ascii="宋体" w:hAnsi="宋体" w:cs="宋体" w:eastAsia="宋体" w:hint="default"/>
                <w:spacing w:val="-2"/>
                <w:sz w:val="18"/>
                <w:szCs w:val="18"/>
              </w:rPr>
              <w:t>高管锁定股按照深交所相关规定解除限售；限</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207" w:type="dxa"/>
        <w:tblLayout w:type="fixed"/>
        <w:tblCellMar>
          <w:top w:w="0" w:type="dxa"/>
          <w:left w:w="0" w:type="dxa"/>
          <w:bottom w:w="0" w:type="dxa"/>
          <w:right w:w="0" w:type="dxa"/>
        </w:tblCellMar>
        <w:tblLook w:val="01E0"/>
      </w:tblPr>
      <w:tblGrid>
        <w:gridCol w:w="641"/>
        <w:gridCol w:w="1061"/>
        <w:gridCol w:w="994"/>
        <w:gridCol w:w="1102"/>
        <w:gridCol w:w="1022"/>
        <w:gridCol w:w="1220"/>
        <w:gridCol w:w="3629"/>
      </w:tblGrid>
      <w:tr>
        <w:trPr>
          <w:trHeight w:val="675" w:hRule="exact"/>
        </w:trPr>
        <w:tc>
          <w:tcPr>
            <w:tcW w:w="641"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02" w:type="dxa"/>
            <w:tcBorders>
              <w:top w:val="single" w:sz="4" w:space="0" w:color="000000"/>
              <w:left w:val="single" w:sz="4" w:space="0" w:color="000000"/>
              <w:bottom w:val="single" w:sz="4" w:space="0" w:color="000000"/>
              <w:right w:val="single" w:sz="4" w:space="0" w:color="000000"/>
            </w:tcBorders>
          </w:tcPr>
          <w:p>
            <w:pPr/>
          </w:p>
        </w:tc>
        <w:tc>
          <w:tcPr>
            <w:tcW w:w="1022" w:type="dxa"/>
            <w:tcBorders>
              <w:top w:val="single" w:sz="4" w:space="0" w:color="000000"/>
              <w:left w:val="single" w:sz="4" w:space="0" w:color="000000"/>
              <w:bottom w:val="single" w:sz="4" w:space="0" w:color="000000"/>
              <w:right w:val="single" w:sz="4" w:space="0" w:color="000000"/>
            </w:tcBorders>
          </w:tcPr>
          <w:p>
            <w:pP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23" w:right="103"/>
              <w:jc w:val="left"/>
              <w:rPr>
                <w:rFonts w:ascii="宋体" w:hAnsi="宋体" w:cs="宋体" w:eastAsia="宋体" w:hint="default"/>
                <w:sz w:val="18"/>
                <w:szCs w:val="18"/>
              </w:rPr>
            </w:pPr>
            <w:r>
              <w:rPr>
                <w:rFonts w:ascii="宋体" w:hAnsi="宋体" w:cs="宋体" w:eastAsia="宋体" w:hint="default"/>
                <w:sz w:val="18"/>
                <w:szCs w:val="18"/>
              </w:rPr>
              <w:t>励计划、高管 锁定</w:t>
            </w:r>
          </w:p>
        </w:tc>
        <w:tc>
          <w:tcPr>
            <w:tcW w:w="3629"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8"/>
              <w:ind w:left="23" w:right="18"/>
              <w:jc w:val="left"/>
              <w:rPr>
                <w:rFonts w:ascii="宋体" w:hAnsi="宋体" w:cs="宋体" w:eastAsia="宋体" w:hint="default"/>
                <w:sz w:val="18"/>
                <w:szCs w:val="18"/>
              </w:rPr>
            </w:pPr>
            <w:r>
              <w:rPr>
                <w:rFonts w:ascii="宋体" w:hAnsi="宋体" w:cs="宋体" w:eastAsia="宋体" w:hint="default"/>
                <w:sz w:val="18"/>
                <w:szCs w:val="18"/>
              </w:rPr>
              <w:t>制性股票激励计划将在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pacing w:val="-15"/>
                <w:sz w:val="18"/>
                <w:szCs w:val="18"/>
              </w:rPr>
              <w:t>年、</w:t>
            </w:r>
            <w:r>
              <w:rPr>
                <w:rFonts w:ascii="Times New Roman" w:hAnsi="Times New Roman" w:cs="Times New Roman" w:eastAsia="Times New Roman" w:hint="default"/>
                <w:spacing w:val="-15"/>
                <w:sz w:val="18"/>
                <w:szCs w:val="18"/>
              </w:rPr>
              <w:t>2021</w:t>
            </w:r>
            <w:r>
              <w:rPr>
                <w:rFonts w:ascii="Times New Roman" w:hAnsi="Times New Roman" w:cs="Times New Roman" w:eastAsia="Times New Roman" w:hint="default"/>
                <w:spacing w:val="3"/>
                <w:sz w:val="18"/>
                <w:szCs w:val="18"/>
              </w:rPr>
              <w:t> </w:t>
            </w:r>
            <w:r>
              <w:rPr>
                <w:rFonts w:ascii="宋体" w:hAnsi="宋体" w:cs="宋体" w:eastAsia="宋体" w:hint="default"/>
                <w:spacing w:val="-14"/>
                <w:sz w:val="18"/>
                <w:szCs w:val="18"/>
              </w:rPr>
              <w:t>年、</w:t>
            </w:r>
            <w:r>
              <w:rPr>
                <w:rFonts w:ascii="Times New Roman" w:hAnsi="Times New Roman" w:cs="Times New Roman" w:eastAsia="Times New Roman" w:hint="default"/>
                <w:spacing w:val="-14"/>
                <w:sz w:val="18"/>
                <w:szCs w:val="18"/>
              </w:rPr>
              <w:t>2022</w:t>
            </w:r>
            <w:r>
              <w:rPr>
                <w:rFonts w:ascii="Times New Roman" w:hAnsi="Times New Roman" w:cs="Times New Roman" w:eastAsia="Times New Roman" w:hint="default"/>
                <w:sz w:val="18"/>
                <w:szCs w:val="18"/>
              </w:rPr>
              <w:t> </w:t>
            </w:r>
            <w:r>
              <w:rPr>
                <w:rFonts w:ascii="宋体" w:hAnsi="宋体" w:cs="宋体" w:eastAsia="宋体" w:hint="default"/>
                <w:sz w:val="18"/>
                <w:szCs w:val="18"/>
              </w:rPr>
              <w:t>年分三期解除限售。</w:t>
            </w:r>
          </w:p>
        </w:tc>
      </w:tr>
      <w:tr>
        <w:trPr>
          <w:trHeight w:val="401"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林雨斌</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5,083,315</w:t>
            </w:r>
          </w:p>
        </w:tc>
        <w:tc>
          <w:tcPr>
            <w:tcW w:w="994" w:type="dxa"/>
            <w:tcBorders>
              <w:top w:val="single" w:sz="4" w:space="0" w:color="000000"/>
              <w:left w:val="single" w:sz="4" w:space="0" w:color="000000"/>
              <w:bottom w:val="single" w:sz="4" w:space="0" w:color="000000"/>
              <w:right w:val="single" w:sz="4" w:space="0" w:color="000000"/>
            </w:tcBorders>
          </w:tcPr>
          <w:p>
            <w:pP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5,083,315</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3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高管锁定股按照深交所相关规定解除限售。</w:t>
            </w:r>
          </w:p>
        </w:tc>
      </w:tr>
      <w:tr>
        <w:trPr>
          <w:trHeight w:val="403"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黄天朗</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4,158,225</w:t>
            </w:r>
          </w:p>
        </w:tc>
        <w:tc>
          <w:tcPr>
            <w:tcW w:w="994" w:type="dxa"/>
            <w:tcBorders>
              <w:top w:val="single" w:sz="4" w:space="0" w:color="000000"/>
              <w:left w:val="single" w:sz="4" w:space="0" w:color="000000"/>
              <w:bottom w:val="single" w:sz="4" w:space="0" w:color="000000"/>
              <w:right w:val="single" w:sz="4" w:space="0" w:color="000000"/>
            </w:tcBorders>
          </w:tcPr>
          <w:p>
            <w:pP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4,158,225</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3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高管锁定股按照深交所相关规定解除限售。</w:t>
            </w:r>
          </w:p>
        </w:tc>
      </w:tr>
      <w:tr>
        <w:trPr>
          <w:trHeight w:val="713"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汤旭锋</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800,000</w:t>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800,000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05"/>
              <w:jc w:val="left"/>
              <w:rPr>
                <w:rFonts w:ascii="宋体" w:hAnsi="宋体" w:cs="宋体" w:eastAsia="宋体" w:hint="default"/>
                <w:sz w:val="18"/>
                <w:szCs w:val="18"/>
              </w:rPr>
            </w:pPr>
            <w:r>
              <w:rPr>
                <w:rFonts w:ascii="宋体" w:hAnsi="宋体" w:cs="宋体" w:eastAsia="宋体" w:hint="default"/>
                <w:sz w:val="18"/>
                <w:szCs w:val="18"/>
              </w:rPr>
              <w:t>限制性股票激 励计划</w:t>
            </w:r>
          </w:p>
        </w:tc>
        <w:tc>
          <w:tcPr>
            <w:tcW w:w="3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限制性股票激励计划将在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年分三期解除限售。</w:t>
            </w:r>
          </w:p>
        </w:tc>
      </w:tr>
      <w:tr>
        <w:trPr>
          <w:trHeight w:val="715"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单成保</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800,000</w:t>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800,000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05"/>
              <w:jc w:val="left"/>
              <w:rPr>
                <w:rFonts w:ascii="宋体" w:hAnsi="宋体" w:cs="宋体" w:eastAsia="宋体" w:hint="default"/>
                <w:sz w:val="18"/>
                <w:szCs w:val="18"/>
              </w:rPr>
            </w:pPr>
            <w:r>
              <w:rPr>
                <w:rFonts w:ascii="宋体" w:hAnsi="宋体" w:cs="宋体" w:eastAsia="宋体" w:hint="default"/>
                <w:sz w:val="18"/>
                <w:szCs w:val="18"/>
              </w:rPr>
              <w:t>限制性股票激 励计划</w:t>
            </w:r>
          </w:p>
        </w:tc>
        <w:tc>
          <w:tcPr>
            <w:tcW w:w="3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限制性股票激励计划将在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年分三期解除限售。</w:t>
            </w:r>
          </w:p>
        </w:tc>
      </w:tr>
      <w:tr>
        <w:trPr>
          <w:trHeight w:val="1025"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4" w:right="65"/>
              <w:jc w:val="left"/>
              <w:rPr>
                <w:rFonts w:ascii="宋体" w:hAnsi="宋体" w:cs="宋体" w:eastAsia="宋体" w:hint="default"/>
                <w:sz w:val="18"/>
                <w:szCs w:val="18"/>
              </w:rPr>
            </w:pPr>
            <w:r>
              <w:rPr>
                <w:rFonts w:ascii="宋体" w:hAnsi="宋体" w:cs="宋体" w:eastAsia="宋体" w:hint="default"/>
                <w:sz w:val="18"/>
                <w:szCs w:val="18"/>
              </w:rPr>
              <w:t>其他限 售股东</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54,000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24,780,000</w:t>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-79,000</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24,913,000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05"/>
              <w:jc w:val="both"/>
              <w:rPr>
                <w:rFonts w:ascii="宋体" w:hAnsi="宋体" w:cs="宋体" w:eastAsia="宋体" w:hint="default"/>
                <w:sz w:val="18"/>
                <w:szCs w:val="18"/>
              </w:rPr>
            </w:pPr>
            <w:r>
              <w:rPr>
                <w:rFonts w:ascii="宋体" w:hAnsi="宋体" w:cs="宋体" w:eastAsia="宋体" w:hint="default"/>
                <w:sz w:val="18"/>
                <w:szCs w:val="18"/>
              </w:rPr>
              <w:t>限制性股票激 励计划、高管 锁定</w:t>
            </w:r>
          </w:p>
        </w:tc>
        <w:tc>
          <w:tcPr>
            <w:tcW w:w="3629"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18"/>
              <w:jc w:val="both"/>
              <w:rPr>
                <w:rFonts w:ascii="宋体" w:hAnsi="宋体" w:cs="宋体" w:eastAsia="宋体" w:hint="default"/>
                <w:sz w:val="18"/>
                <w:szCs w:val="18"/>
              </w:rPr>
            </w:pPr>
            <w:r>
              <w:rPr>
                <w:rFonts w:ascii="宋体" w:hAnsi="宋体" w:cs="宋体" w:eastAsia="宋体" w:hint="default"/>
                <w:spacing w:val="-2"/>
                <w:sz w:val="18"/>
                <w:szCs w:val="18"/>
              </w:rPr>
              <w:t>高管锁定股按照深交所相关规定解除限售；限</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制性股票激励计划将在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pacing w:val="-15"/>
                <w:sz w:val="18"/>
                <w:szCs w:val="18"/>
              </w:rPr>
              <w:t>年、</w:t>
            </w:r>
            <w:r>
              <w:rPr>
                <w:rFonts w:ascii="Times New Roman" w:hAnsi="Times New Roman" w:cs="Times New Roman" w:eastAsia="Times New Roman" w:hint="default"/>
                <w:spacing w:val="-15"/>
                <w:sz w:val="18"/>
                <w:szCs w:val="18"/>
              </w:rPr>
              <w:t>2021</w:t>
            </w:r>
            <w:r>
              <w:rPr>
                <w:rFonts w:ascii="Times New Roman" w:hAnsi="Times New Roman" w:cs="Times New Roman" w:eastAsia="Times New Roman" w:hint="default"/>
                <w:spacing w:val="3"/>
                <w:sz w:val="18"/>
                <w:szCs w:val="18"/>
              </w:rPr>
              <w:t> </w:t>
            </w:r>
            <w:r>
              <w:rPr>
                <w:rFonts w:ascii="宋体" w:hAnsi="宋体" w:cs="宋体" w:eastAsia="宋体" w:hint="default"/>
                <w:spacing w:val="-14"/>
                <w:sz w:val="18"/>
                <w:szCs w:val="18"/>
              </w:rPr>
              <w:t>年、</w:t>
            </w:r>
            <w:r>
              <w:rPr>
                <w:rFonts w:ascii="Times New Roman" w:hAnsi="Times New Roman" w:cs="Times New Roman" w:eastAsia="Times New Roman" w:hint="default"/>
                <w:spacing w:val="-14"/>
                <w:sz w:val="18"/>
                <w:szCs w:val="18"/>
              </w:rPr>
              <w:t>2022</w:t>
            </w:r>
            <w:r>
              <w:rPr>
                <w:rFonts w:ascii="Times New Roman" w:hAnsi="Times New Roman" w:cs="Times New Roman" w:eastAsia="Times New Roman" w:hint="default"/>
                <w:sz w:val="18"/>
                <w:szCs w:val="18"/>
              </w:rPr>
              <w:t> </w:t>
            </w:r>
            <w:r>
              <w:rPr>
                <w:rFonts w:ascii="宋体" w:hAnsi="宋体" w:cs="宋体" w:eastAsia="宋体" w:hint="default"/>
                <w:sz w:val="18"/>
                <w:szCs w:val="18"/>
              </w:rPr>
              <w:t>年分三期解除限售。</w:t>
            </w:r>
          </w:p>
        </w:tc>
      </w:tr>
      <w:tr>
        <w:trPr>
          <w:trHeight w:val="403" w:hRule="exact"/>
        </w:trPr>
        <w:tc>
          <w:tcPr>
            <w:tcW w:w="6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268,900,099</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32,880,000</w:t>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14,921,000</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286,859,099</w:t>
            </w:r>
          </w:p>
        </w:tc>
        <w:tc>
          <w:tcPr>
            <w:tcW w:w="1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6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1"/>
        <w:rPr>
          <w:rFonts w:ascii="宋体" w:hAnsi="宋体" w:cs="宋体" w:eastAsia="宋体" w:hint="default"/>
          <w:sz w:val="18"/>
          <w:szCs w:val="18"/>
        </w:rPr>
      </w:pPr>
    </w:p>
    <w:p>
      <w:pPr>
        <w:pStyle w:val="Heading2"/>
        <w:spacing w:line="240" w:lineRule="auto" w:before="26"/>
        <w:ind w:left="212" w:right="0"/>
        <w:jc w:val="left"/>
        <w:rPr>
          <w:b w:val="0"/>
          <w:bCs w:val="0"/>
        </w:rPr>
      </w:pPr>
      <w:bookmarkStart w:name="二、证券发行与上市情况" w:id="111"/>
      <w:bookmarkEnd w:id="111"/>
      <w:r>
        <w:rPr>
          <w:b w:val="0"/>
          <w:bCs w:val="0"/>
        </w:rPr>
      </w:r>
      <w:r>
        <w:rPr/>
        <w:t>二、证券发行与上市情况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left="212" w:right="0"/>
        <w:jc w:val="left"/>
        <w:rPr>
          <w:b w:val="0"/>
          <w:bCs w:val="0"/>
        </w:rPr>
      </w:pPr>
      <w:bookmarkStart w:name="1、报告期内证券发行（不含优先股）情况" w:id="112"/>
      <w:bookmarkEnd w:id="112"/>
      <w:r>
        <w:rPr>
          <w:b w:val="0"/>
          <w:bCs w:val="0"/>
        </w:rPr>
      </w:r>
      <w:r>
        <w:rPr>
          <w:rFonts w:ascii="Times New Roman" w:hAnsi="Times New Roman" w:cs="Times New Roman" w:eastAsia="Times New Roman" w:hint="default"/>
        </w:rPr>
        <w:t>1</w:t>
      </w:r>
      <w:r>
        <w:rPr/>
        <w:t>、报告期内证券发行（不含优先股）情况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212"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00" w:type="dxa"/>
        <w:tblLayout w:type="fixed"/>
        <w:tblCellMar>
          <w:top w:w="0" w:type="dxa"/>
          <w:left w:w="0" w:type="dxa"/>
          <w:bottom w:w="0" w:type="dxa"/>
          <w:right w:w="0" w:type="dxa"/>
        </w:tblCellMar>
        <w:tblLook w:val="01E0"/>
      </w:tblPr>
      <w:tblGrid>
        <w:gridCol w:w="1385"/>
        <w:gridCol w:w="1765"/>
        <w:gridCol w:w="1574"/>
        <w:gridCol w:w="1028"/>
        <w:gridCol w:w="1728"/>
        <w:gridCol w:w="1265"/>
        <w:gridCol w:w="1111"/>
      </w:tblGrid>
      <w:tr>
        <w:trPr>
          <w:trHeight w:val="713"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326" w:right="147" w:hanging="181"/>
              <w:jc w:val="left"/>
              <w:rPr>
                <w:rFonts w:ascii="宋体" w:hAnsi="宋体" w:cs="宋体" w:eastAsia="宋体" w:hint="default"/>
                <w:sz w:val="18"/>
                <w:szCs w:val="18"/>
              </w:rPr>
            </w:pPr>
            <w:r>
              <w:rPr>
                <w:rFonts w:ascii="宋体" w:hAnsi="宋体" w:cs="宋体" w:eastAsia="宋体" w:hint="default"/>
                <w:sz w:val="18"/>
                <w:szCs w:val="18"/>
              </w:rPr>
              <w:t>股票及其衍生 证券名称</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发行日期</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604" w:right="149" w:hanging="452"/>
              <w:jc w:val="left"/>
              <w:rPr>
                <w:rFonts w:ascii="宋体" w:hAnsi="宋体" w:cs="宋体" w:eastAsia="宋体" w:hint="default"/>
                <w:sz w:val="18"/>
                <w:szCs w:val="18"/>
              </w:rPr>
            </w:pPr>
            <w:r>
              <w:rPr>
                <w:rFonts w:ascii="宋体" w:hAnsi="宋体" w:cs="宋体" w:eastAsia="宋体" w:hint="default"/>
                <w:sz w:val="18"/>
                <w:szCs w:val="18"/>
              </w:rPr>
              <w:t>发行价格（或利 率）</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51" w:right="0"/>
              <w:jc w:val="left"/>
              <w:rPr>
                <w:rFonts w:ascii="宋体" w:hAnsi="宋体" w:cs="宋体" w:eastAsia="宋体" w:hint="default"/>
                <w:sz w:val="18"/>
                <w:szCs w:val="18"/>
              </w:rPr>
            </w:pPr>
            <w:r>
              <w:rPr>
                <w:rFonts w:ascii="宋体" w:hAnsi="宋体" w:cs="宋体" w:eastAsia="宋体" w:hint="default"/>
                <w:sz w:val="18"/>
                <w:szCs w:val="18"/>
              </w:rPr>
              <w:t>发行数量</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上市日期</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360" w:right="173" w:hanging="181"/>
              <w:jc w:val="left"/>
              <w:rPr>
                <w:rFonts w:ascii="宋体" w:hAnsi="宋体" w:cs="宋体" w:eastAsia="宋体" w:hint="default"/>
                <w:sz w:val="18"/>
                <w:szCs w:val="18"/>
              </w:rPr>
            </w:pPr>
            <w:r>
              <w:rPr>
                <w:rFonts w:ascii="宋体" w:hAnsi="宋体" w:cs="宋体" w:eastAsia="宋体" w:hint="default"/>
                <w:sz w:val="18"/>
                <w:szCs w:val="18"/>
              </w:rPr>
              <w:t>获准上市交 易数量</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372" w:right="187" w:hanging="180"/>
              <w:jc w:val="left"/>
              <w:rPr>
                <w:rFonts w:ascii="宋体" w:hAnsi="宋体" w:cs="宋体" w:eastAsia="宋体" w:hint="default"/>
                <w:sz w:val="18"/>
                <w:szCs w:val="18"/>
              </w:rPr>
            </w:pPr>
            <w:r>
              <w:rPr>
                <w:rFonts w:ascii="宋体" w:hAnsi="宋体" w:cs="宋体" w:eastAsia="宋体" w:hint="default"/>
                <w:sz w:val="18"/>
                <w:szCs w:val="18"/>
              </w:rPr>
              <w:t>交易终止 日期</w:t>
            </w:r>
          </w:p>
        </w:tc>
      </w:tr>
      <w:tr>
        <w:trPr>
          <w:trHeight w:val="403" w:hRule="exact"/>
        </w:trPr>
        <w:tc>
          <w:tcPr>
            <w:tcW w:w="9856"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股票类</w:t>
            </w:r>
          </w:p>
        </w:tc>
      </w:tr>
      <w:tr>
        <w:trPr>
          <w:trHeight w:val="401"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限制性股票</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5" w:right="0"/>
              <w:jc w:val="left"/>
              <w:rPr>
                <w:rFonts w:ascii="Times New Roman" w:hAnsi="Times New Roman" w:cs="Times New Roman" w:eastAsia="Times New Roman" w:hint="default"/>
                <w:sz w:val="18"/>
                <w:szCs w:val="18"/>
              </w:rPr>
            </w:pPr>
            <w:r>
              <w:rPr>
                <w:rFonts w:ascii="Times New Roman"/>
                <w:sz w:val="18"/>
              </w:rPr>
              <w:t>32,880,000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日</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43" w:right="0"/>
              <w:jc w:val="left"/>
              <w:rPr>
                <w:rFonts w:ascii="Times New Roman" w:hAnsi="Times New Roman" w:cs="Times New Roman" w:eastAsia="Times New Roman" w:hint="default"/>
                <w:sz w:val="18"/>
                <w:szCs w:val="18"/>
              </w:rPr>
            </w:pPr>
            <w:r>
              <w:rPr>
                <w:rFonts w:ascii="Times New Roman"/>
                <w:sz w:val="18"/>
              </w:rPr>
              <w:t>32,880,000</w:t>
            </w:r>
          </w:p>
        </w:tc>
        <w:tc>
          <w:tcPr>
            <w:tcW w:w="111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9856"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可转换公司债券、分离交易的可转换公司债券、公司债类</w:t>
            </w:r>
          </w:p>
        </w:tc>
      </w:tr>
      <w:tr>
        <w:trPr>
          <w:trHeight w:val="401" w:hRule="exact"/>
        </w:trPr>
        <w:tc>
          <w:tcPr>
            <w:tcW w:w="9856"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其他衍生证券类</w:t>
            </w:r>
          </w:p>
        </w:tc>
      </w:tr>
    </w:tbl>
    <w:p>
      <w:pPr>
        <w:pStyle w:val="BodyText"/>
        <w:spacing w:line="439" w:lineRule="auto" w:before="49"/>
        <w:ind w:left="633" w:right="0" w:hanging="421"/>
        <w:jc w:val="left"/>
      </w:pPr>
      <w:r>
        <w:rPr/>
        <w:t>报告期内证券发行（不含优先股）情况的说明 </w:t>
      </w:r>
      <w:r>
        <w:rPr>
          <w:spacing w:val="-1"/>
        </w:rPr>
        <w:t>报告期内公司实施了第三次限制性股票激励计划，以定向发行股票方式向激励对象授予股份</w:t>
      </w:r>
      <w:r>
        <w:rPr>
          <w:rFonts w:ascii="Times New Roman" w:hAnsi="Times New Roman" w:cs="Times New Roman" w:eastAsia="Times New Roman" w:hint="default"/>
          <w:spacing w:val="-1"/>
        </w:rPr>
        <w:t>3,288</w:t>
      </w:r>
      <w:r>
        <w:rPr>
          <w:spacing w:val="-1"/>
        </w:rPr>
        <w:t>万股，授予日</w:t>
      </w:r>
      <w:r>
        <w:rPr>
          <w:rFonts w:ascii="Times New Roman" w:hAnsi="Times New Roman" w:cs="Times New Roman" w:eastAsia="Times New Roman" w:hint="default"/>
          <w:spacing w:val="-1"/>
        </w:rPr>
        <w:t>2019</w:t>
      </w:r>
      <w:r>
        <w:rPr>
          <w:spacing w:val="-1"/>
        </w:rPr>
        <w:t>年</w:t>
      </w:r>
    </w:p>
    <w:p>
      <w:pPr>
        <w:pStyle w:val="BodyText"/>
        <w:spacing w:line="240" w:lineRule="auto" w:before="53"/>
        <w:ind w:left="212" w:right="0"/>
        <w:jc w:val="left"/>
      </w:pPr>
      <w:r>
        <w:rPr>
          <w:rFonts w:ascii="Times New Roman" w:hAnsi="Times New Roman" w:cs="Times New Roman" w:eastAsia="Times New Roman" w:hint="default"/>
        </w:rPr>
        <w:t>8</w:t>
      </w:r>
      <w:r>
        <w:rPr/>
        <w:t>月</w:t>
      </w:r>
      <w:r>
        <w:rPr>
          <w:rFonts w:ascii="Times New Roman" w:hAnsi="Times New Roman" w:cs="Times New Roman" w:eastAsia="Times New Roman" w:hint="default"/>
        </w:rPr>
        <w:t>19</w:t>
      </w:r>
      <w:r>
        <w:rPr/>
        <w:t>日，于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6</w:t>
      </w:r>
      <w:r>
        <w:rPr/>
        <w:t>日上市。</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4"/>
          <w:szCs w:val="14"/>
        </w:rPr>
      </w:pPr>
    </w:p>
    <w:p>
      <w:pPr>
        <w:pStyle w:val="Heading4"/>
        <w:spacing w:line="240" w:lineRule="auto"/>
        <w:ind w:left="212" w:right="0"/>
        <w:jc w:val="left"/>
        <w:rPr>
          <w:b w:val="0"/>
          <w:bCs w:val="0"/>
        </w:rPr>
      </w:pPr>
      <w:bookmarkStart w:name="2、公司股份总数及股东结构的变动、公司资产和负债结构的变动情况说明" w:id="113"/>
      <w:bookmarkEnd w:id="113"/>
      <w:r>
        <w:rPr>
          <w:b w:val="0"/>
          <w:bCs w:val="0"/>
        </w:rPr>
      </w: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212"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14"/>
          <w:szCs w:val="14"/>
        </w:rPr>
      </w:pPr>
    </w:p>
    <w:p>
      <w:pPr>
        <w:pStyle w:val="BodyText"/>
        <w:spacing w:line="240" w:lineRule="auto"/>
        <w:ind w:left="633" w:right="0"/>
        <w:jc w:val="left"/>
      </w:pPr>
      <w:r>
        <w:rPr/>
        <w:t>报告期内公司实施了第三次限制性股票激励计划，以定向发行股票方式向激励对象授予股份</w:t>
      </w:r>
      <w:r>
        <w:rPr>
          <w:rFonts w:ascii="Times New Roman" w:hAnsi="Times New Roman" w:cs="Times New Roman" w:eastAsia="Times New Roman" w:hint="default"/>
        </w:rPr>
        <w:t>3,288</w:t>
      </w:r>
      <w:r>
        <w:rPr/>
        <w:t>万股，公司股本增加</w:t>
      </w:r>
    </w:p>
    <w:p>
      <w:pPr>
        <w:spacing w:line="240" w:lineRule="auto" w:before="9"/>
        <w:rPr>
          <w:rFonts w:ascii="宋体" w:hAnsi="宋体" w:cs="宋体" w:eastAsia="宋体" w:hint="default"/>
          <w:sz w:val="16"/>
          <w:szCs w:val="16"/>
        </w:rPr>
      </w:pPr>
    </w:p>
    <w:p>
      <w:pPr>
        <w:pStyle w:val="BodyText"/>
        <w:spacing w:line="240" w:lineRule="auto"/>
        <w:ind w:left="212" w:right="0"/>
        <w:jc w:val="left"/>
      </w:pPr>
      <w:r>
        <w:rPr>
          <w:rFonts w:ascii="Times New Roman" w:hAnsi="Times New Roman" w:cs="Times New Roman" w:eastAsia="Times New Roman" w:hint="default"/>
        </w:rPr>
        <w:t>32,880,000</w:t>
      </w:r>
      <w:r>
        <w:rPr/>
        <w:t>股，有限售条件股份增加</w:t>
      </w:r>
      <w:r>
        <w:rPr>
          <w:rFonts w:ascii="Times New Roman" w:hAnsi="Times New Roman" w:cs="Times New Roman" w:eastAsia="Times New Roman" w:hint="default"/>
        </w:rPr>
        <w:t>32,880,000</w:t>
      </w:r>
      <w:r>
        <w:rPr/>
        <w:t>股。</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4"/>
          <w:szCs w:val="14"/>
        </w:rPr>
      </w:pPr>
    </w:p>
    <w:p>
      <w:pPr>
        <w:pStyle w:val="Heading4"/>
        <w:spacing w:line="240" w:lineRule="auto"/>
        <w:ind w:left="212" w:right="0"/>
        <w:jc w:val="left"/>
        <w:rPr>
          <w:b w:val="0"/>
          <w:bCs w:val="0"/>
        </w:rPr>
      </w:pPr>
      <w:bookmarkStart w:name="3、现存的内部职工股情况" w:id="114"/>
      <w:bookmarkEnd w:id="114"/>
      <w:r>
        <w:rPr>
          <w:b w:val="0"/>
          <w:bCs w:val="0"/>
        </w:rPr>
      </w:r>
      <w:r>
        <w:rPr>
          <w:rFonts w:ascii="Times New Roman" w:hAnsi="Times New Roman" w:cs="Times New Roman" w:eastAsia="Times New Roman" w:hint="default"/>
        </w:rPr>
        <w:t>3</w:t>
      </w:r>
      <w:r>
        <w:rPr/>
        <w:t>、现存的内部职工股情况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212"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80" w:top="1060" w:bottom="1160" w:left="920" w:right="0"/>
        </w:sectPr>
      </w:pPr>
    </w:p>
    <w:p>
      <w:pPr>
        <w:spacing w:line="240" w:lineRule="auto" w:before="8"/>
        <w:rPr>
          <w:rFonts w:ascii="宋体" w:hAnsi="宋体" w:cs="宋体" w:eastAsia="宋体" w:hint="default"/>
          <w:sz w:val="23"/>
          <w:szCs w:val="23"/>
        </w:rPr>
      </w:pPr>
    </w:p>
    <w:p>
      <w:pPr>
        <w:pStyle w:val="Heading2"/>
        <w:spacing w:line="240" w:lineRule="auto" w:before="26"/>
        <w:ind w:right="1133"/>
        <w:jc w:val="left"/>
        <w:rPr>
          <w:b w:val="0"/>
          <w:bCs w:val="0"/>
        </w:rPr>
      </w:pPr>
      <w:bookmarkStart w:name="三、股东和实际控制人情况" w:id="115"/>
      <w:bookmarkEnd w:id="115"/>
      <w:r>
        <w:rPr>
          <w:b w:val="0"/>
          <w:bCs w:val="0"/>
        </w:rPr>
      </w:r>
      <w:r>
        <w:rPr/>
        <w:t>三、股东和实际控制人情况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1133"/>
        <w:jc w:val="left"/>
        <w:rPr>
          <w:b w:val="0"/>
          <w:bCs w:val="0"/>
        </w:rPr>
      </w:pPr>
      <w:bookmarkStart w:name="1、公司股东数量及持股情况" w:id="116"/>
      <w:bookmarkEnd w:id="116"/>
      <w:r>
        <w:rPr>
          <w:b w:val="0"/>
          <w:bCs w:val="0"/>
        </w:rPr>
      </w:r>
      <w:r>
        <w:rPr>
          <w:rFonts w:ascii="Times New Roman" w:hAnsi="Times New Roman" w:cs="Times New Roman" w:eastAsia="Times New Roman" w:hint="default"/>
        </w:rPr>
        <w:t>1</w:t>
      </w:r>
      <w:r>
        <w:rPr/>
        <w:t>、公司股东数量及持股情况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pict>
          <v:group style="position:absolute;margin-left:368.829987pt;margin-top:58.311691pt;width:58.35pt;height:59.2pt;mso-position-horizontal-relative:page;mso-position-vertical-relative:paragraph;z-index:-1094704" coordorigin="7377,1166" coordsize="1167,1184">
            <v:group style="position:absolute;left:7389;top:1178;width:2;height:392" coordorigin="7389,1178" coordsize="2,392">
              <v:shape style="position:absolute;left:7389;top:1178;width:2;height:392" coordorigin="7389,1178" coordsize="0,392" path="m7389,1178l7389,1569e" filled="false" stroked="true" strokeweight="1.2pt" strokecolor="#ffffff">
                <v:path arrowok="t"/>
              </v:shape>
            </v:group>
            <v:group style="position:absolute;left:7377;top:1569;width:1167;height:780" coordorigin="7377,1569" coordsize="1167,780">
              <v:shape style="position:absolute;left:7377;top:1569;width:1167;height:780" coordorigin="7377,1569" coordsize="1167,780" path="m7377,2349l8543,2349,8543,1569,7377,1569,7377,2349xe" filled="true" fillcolor="#ffffff" stroked="false">
                <v:path arrowok="t"/>
                <v:fill type="solid"/>
              </v:shape>
            </v:group>
            <v:group style="position:absolute;left:7401;top:1178;width:1119;height:392" coordorigin="7401,1178" coordsize="1119,392">
              <v:shape style="position:absolute;left:7401;top:1178;width:1119;height:392" coordorigin="7401,1178" coordsize="1119,392" path="m7401,1569l8519,1569,8519,1178,7401,1178,7401,1569xe" filled="true" fillcolor="#ffffff" stroked="false">
                <v:path arrowok="t"/>
                <v:fill type="solid"/>
              </v:shape>
            </v:group>
            <w10:wrap type="none"/>
          </v:group>
        </w:pict>
      </w:r>
      <w:r>
        <w:rPr/>
        <w:t>单位：股</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097"/>
        <w:gridCol w:w="656"/>
        <w:gridCol w:w="1033"/>
        <w:gridCol w:w="1084"/>
        <w:gridCol w:w="1136"/>
        <w:gridCol w:w="1232"/>
        <w:gridCol w:w="559"/>
        <w:gridCol w:w="620"/>
        <w:gridCol w:w="1258"/>
        <w:gridCol w:w="993"/>
      </w:tblGrid>
      <w:tr>
        <w:trPr>
          <w:trHeight w:val="317" w:hRule="exact"/>
        </w:trPr>
        <w:tc>
          <w:tcPr>
            <w:tcW w:w="1097" w:type="dxa"/>
            <w:vMerge w:val="restart"/>
            <w:tcBorders>
              <w:top w:val="single" w:sz="4" w:space="0" w:color="000000"/>
              <w:left w:val="single" w:sz="4" w:space="0" w:color="000000"/>
              <w:right w:val="single" w:sz="4" w:space="0" w:color="000000"/>
            </w:tcBorders>
            <w:shd w:val="clear" w:color="auto" w:fill="D2D2D2"/>
          </w:tcPr>
          <w:p>
            <w:pPr/>
          </w:p>
        </w:tc>
        <w:tc>
          <w:tcPr>
            <w:tcW w:w="656" w:type="dxa"/>
            <w:vMerge w:val="restart"/>
            <w:tcBorders>
              <w:top w:val="single" w:sz="4" w:space="0" w:color="000000"/>
              <w:left w:val="single" w:sz="10" w:space="0" w:color="D2D2D2"/>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98,974</w:t>
            </w:r>
          </w:p>
        </w:tc>
        <w:tc>
          <w:tcPr>
            <w:tcW w:w="1033" w:type="dxa"/>
            <w:tcBorders>
              <w:top w:val="single" w:sz="4" w:space="0" w:color="000000"/>
              <w:left w:val="single" w:sz="4" w:space="0" w:color="000000"/>
              <w:bottom w:val="nil" w:sz="6" w:space="0" w:color="auto"/>
              <w:right w:val="single" w:sz="4" w:space="0" w:color="000000"/>
            </w:tcBorders>
            <w:shd w:val="clear" w:color="auto" w:fill="D2D2D2"/>
          </w:tcPr>
          <w:p>
            <w:pPr/>
          </w:p>
        </w:tc>
        <w:tc>
          <w:tcPr>
            <w:tcW w:w="1084" w:type="dxa"/>
            <w:vMerge w:val="restart"/>
            <w:tcBorders>
              <w:top w:val="single" w:sz="4" w:space="0" w:color="000000"/>
              <w:left w:val="single" w:sz="9" w:space="0" w:color="D2D2D2"/>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546" w:right="0"/>
              <w:jc w:val="left"/>
              <w:rPr>
                <w:rFonts w:ascii="Times New Roman" w:hAnsi="Times New Roman" w:cs="Times New Roman" w:eastAsia="Times New Roman" w:hint="default"/>
                <w:sz w:val="18"/>
                <w:szCs w:val="18"/>
              </w:rPr>
            </w:pPr>
            <w:r>
              <w:rPr>
                <w:rFonts w:ascii="Times New Roman"/>
                <w:sz w:val="18"/>
              </w:rPr>
              <w:t>93,181</w:t>
            </w:r>
          </w:p>
        </w:tc>
        <w:tc>
          <w:tcPr>
            <w:tcW w:w="2368" w:type="dxa"/>
            <w:gridSpan w:val="2"/>
            <w:vMerge w:val="restart"/>
            <w:tcBorders>
              <w:top w:val="single" w:sz="4" w:space="0" w:color="000000"/>
              <w:left w:val="single" w:sz="4" w:space="0" w:color="000000"/>
              <w:right w:val="single" w:sz="4" w:space="0" w:color="000000"/>
            </w:tcBorders>
            <w:shd w:val="clear" w:color="auto" w:fill="D2D2D2"/>
          </w:tcPr>
          <w:p>
            <w:pPr/>
          </w:p>
        </w:tc>
        <w:tc>
          <w:tcPr>
            <w:tcW w:w="559" w:type="dxa"/>
            <w:tcBorders>
              <w:top w:val="single" w:sz="4" w:space="0" w:color="000000"/>
              <w:left w:val="single" w:sz="4" w:space="0" w:color="000000"/>
              <w:bottom w:val="nil" w:sz="6" w:space="0" w:color="auto"/>
              <w:right w:val="nil" w:sz="6" w:space="0" w:color="auto"/>
            </w:tcBorders>
          </w:tcPr>
          <w:p>
            <w:pPr/>
          </w:p>
        </w:tc>
        <w:tc>
          <w:tcPr>
            <w:tcW w:w="620" w:type="dxa"/>
            <w:tcBorders>
              <w:top w:val="single" w:sz="4" w:space="0" w:color="000000"/>
              <w:left w:val="nil" w:sz="6" w:space="0" w:color="auto"/>
              <w:bottom w:val="nil" w:sz="6" w:space="0" w:color="auto"/>
              <w:right w:val="single" w:sz="13" w:space="0" w:color="D2D2D2"/>
            </w:tcBorders>
          </w:tcPr>
          <w:p>
            <w:pPr/>
          </w:p>
        </w:tc>
        <w:tc>
          <w:tcPr>
            <w:tcW w:w="125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18" w:right="59"/>
              <w:jc w:val="left"/>
              <w:rPr>
                <w:rFonts w:ascii="宋体" w:hAnsi="宋体" w:cs="宋体" w:eastAsia="宋体" w:hint="default"/>
                <w:sz w:val="18"/>
                <w:szCs w:val="18"/>
              </w:rPr>
            </w:pPr>
            <w:r>
              <w:rPr>
                <w:rFonts w:ascii="宋体" w:hAnsi="宋体" w:cs="宋体" w:eastAsia="宋体" w:hint="default"/>
                <w:sz w:val="18"/>
                <w:szCs w:val="18"/>
              </w:rPr>
              <w:t>年度报告披露 日前上一月末 表决权恢复的 优先股股东总 </w:t>
            </w:r>
            <w:r>
              <w:rPr>
                <w:rFonts w:ascii="宋体" w:hAnsi="宋体" w:cs="宋体" w:eastAsia="宋体" w:hint="default"/>
                <w:spacing w:val="-14"/>
                <w:sz w:val="18"/>
                <w:szCs w:val="18"/>
              </w:rPr>
              <w:t>数（如有）（参</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见注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993" w:type="dxa"/>
            <w:vMerge w:val="restart"/>
            <w:tcBorders>
              <w:top w:val="single" w:sz="4" w:space="0" w:color="000000"/>
              <w:left w:val="single" w:sz="12"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156" w:hRule="exact"/>
        </w:trPr>
        <w:tc>
          <w:tcPr>
            <w:tcW w:w="1097" w:type="dxa"/>
            <w:vMerge/>
            <w:tcBorders>
              <w:left w:val="single" w:sz="4" w:space="0" w:color="000000"/>
              <w:bottom w:val="nil" w:sz="6" w:space="0" w:color="auto"/>
              <w:right w:val="single" w:sz="4" w:space="0" w:color="000000"/>
            </w:tcBorders>
            <w:shd w:val="clear" w:color="auto" w:fill="D2D2D2"/>
          </w:tcPr>
          <w:p>
            <w:pPr/>
          </w:p>
        </w:tc>
        <w:tc>
          <w:tcPr>
            <w:tcW w:w="656" w:type="dxa"/>
            <w:vMerge/>
            <w:tcBorders>
              <w:left w:val="single" w:sz="10" w:space="0" w:color="D2D2D2"/>
              <w:right w:val="single" w:sz="9" w:space="0" w:color="D2D2D2"/>
            </w:tcBorders>
          </w:tcPr>
          <w:p>
            <w:pPr/>
          </w:p>
        </w:tc>
        <w:tc>
          <w:tcPr>
            <w:tcW w:w="103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7" w:right="103"/>
              <w:jc w:val="both"/>
              <w:rPr>
                <w:rFonts w:ascii="宋体" w:hAnsi="宋体" w:cs="宋体" w:eastAsia="宋体" w:hint="default"/>
                <w:sz w:val="18"/>
                <w:szCs w:val="18"/>
              </w:rPr>
            </w:pPr>
            <w:r>
              <w:rPr>
                <w:rFonts w:ascii="宋体" w:hAnsi="宋体" w:cs="宋体" w:eastAsia="宋体" w:hint="default"/>
                <w:sz w:val="18"/>
                <w:szCs w:val="18"/>
              </w:rPr>
              <w:t>年度报告披 露日前上一 月末普通股 股东总数</w:t>
            </w:r>
          </w:p>
        </w:tc>
        <w:tc>
          <w:tcPr>
            <w:tcW w:w="1084" w:type="dxa"/>
            <w:vMerge/>
            <w:tcBorders>
              <w:left w:val="single" w:sz="9" w:space="0" w:color="D2D2D2"/>
              <w:right w:val="single" w:sz="9" w:space="0" w:color="D2D2D2"/>
            </w:tcBorders>
          </w:tcPr>
          <w:p>
            <w:pPr/>
          </w:p>
        </w:tc>
        <w:tc>
          <w:tcPr>
            <w:tcW w:w="2368" w:type="dxa"/>
            <w:gridSpan w:val="2"/>
            <w:vMerge/>
            <w:tcBorders>
              <w:left w:val="single" w:sz="4" w:space="0" w:color="000000"/>
              <w:right w:val="single" w:sz="4" w:space="0" w:color="000000"/>
            </w:tcBorders>
            <w:shd w:val="clear" w:color="auto" w:fill="D2D2D2"/>
          </w:tcPr>
          <w:p>
            <w:pPr/>
          </w:p>
        </w:tc>
        <w:tc>
          <w:tcPr>
            <w:tcW w:w="559" w:type="dxa"/>
            <w:tcBorders>
              <w:top w:val="nil" w:sz="6" w:space="0" w:color="auto"/>
              <w:left w:val="single" w:sz="4" w:space="0" w:color="000000"/>
              <w:bottom w:val="nil" w:sz="6" w:space="0" w:color="auto"/>
              <w:right w:val="nil" w:sz="6" w:space="0" w:color="auto"/>
            </w:tcBorders>
          </w:tcPr>
          <w:p>
            <w:pPr/>
          </w:p>
        </w:tc>
        <w:tc>
          <w:tcPr>
            <w:tcW w:w="620" w:type="dxa"/>
            <w:tcBorders>
              <w:top w:val="nil" w:sz="6" w:space="0" w:color="auto"/>
              <w:left w:val="nil" w:sz="6" w:space="0" w:color="auto"/>
              <w:bottom w:val="nil" w:sz="6" w:space="0" w:color="auto"/>
              <w:right w:val="single" w:sz="13" w:space="0" w:color="D2D2D2"/>
            </w:tcBorders>
          </w:tcPr>
          <w:p>
            <w:pPr/>
          </w:p>
        </w:tc>
        <w:tc>
          <w:tcPr>
            <w:tcW w:w="1258" w:type="dxa"/>
            <w:vMerge/>
            <w:tcBorders>
              <w:left w:val="single" w:sz="4" w:space="0" w:color="000000"/>
              <w:right w:val="single" w:sz="4" w:space="0" w:color="000000"/>
            </w:tcBorders>
            <w:shd w:val="clear" w:color="auto" w:fill="D2D2D2"/>
          </w:tcPr>
          <w:p>
            <w:pPr/>
          </w:p>
        </w:tc>
        <w:tc>
          <w:tcPr>
            <w:tcW w:w="993" w:type="dxa"/>
            <w:vMerge/>
            <w:tcBorders>
              <w:left w:val="single" w:sz="12" w:space="0" w:color="D2D2D2"/>
              <w:right w:val="single" w:sz="4" w:space="0" w:color="000000"/>
            </w:tcBorders>
          </w:tcPr>
          <w:p>
            <w:pPr/>
          </w:p>
        </w:tc>
      </w:tr>
      <w:tr>
        <w:trPr>
          <w:trHeight w:val="156" w:hRule="exact"/>
        </w:trPr>
        <w:tc>
          <w:tcPr>
            <w:tcW w:w="1097"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24" w:right="161"/>
              <w:jc w:val="both"/>
              <w:rPr>
                <w:rFonts w:ascii="宋体" w:hAnsi="宋体" w:cs="宋体" w:eastAsia="宋体" w:hint="default"/>
                <w:sz w:val="18"/>
                <w:szCs w:val="18"/>
              </w:rPr>
            </w:pPr>
            <w:r>
              <w:rPr>
                <w:rFonts w:ascii="宋体" w:hAnsi="宋体" w:cs="宋体" w:eastAsia="宋体" w:hint="default"/>
                <w:sz w:val="18"/>
                <w:szCs w:val="18"/>
              </w:rPr>
              <w:t>报告期末普 通股股东总 数</w:t>
            </w:r>
          </w:p>
        </w:tc>
        <w:tc>
          <w:tcPr>
            <w:tcW w:w="656" w:type="dxa"/>
            <w:vMerge/>
            <w:tcBorders>
              <w:left w:val="single" w:sz="10" w:space="0" w:color="D2D2D2"/>
              <w:right w:val="single" w:sz="9" w:space="0" w:color="D2D2D2"/>
            </w:tcBorders>
          </w:tcPr>
          <w:p>
            <w:pPr/>
          </w:p>
        </w:tc>
        <w:tc>
          <w:tcPr>
            <w:tcW w:w="1033" w:type="dxa"/>
            <w:vMerge/>
            <w:tcBorders>
              <w:left w:val="single" w:sz="4" w:space="0" w:color="000000"/>
              <w:right w:val="single" w:sz="4" w:space="0" w:color="000000"/>
            </w:tcBorders>
            <w:shd w:val="clear" w:color="auto" w:fill="D2D2D2"/>
          </w:tcPr>
          <w:p>
            <w:pPr/>
          </w:p>
        </w:tc>
        <w:tc>
          <w:tcPr>
            <w:tcW w:w="1084" w:type="dxa"/>
            <w:vMerge/>
            <w:tcBorders>
              <w:left w:val="single" w:sz="9" w:space="0" w:color="D2D2D2"/>
              <w:right w:val="single" w:sz="9" w:space="0" w:color="D2D2D2"/>
            </w:tcBorders>
          </w:tcPr>
          <w:p>
            <w:pPr/>
          </w:p>
        </w:tc>
        <w:tc>
          <w:tcPr>
            <w:tcW w:w="2368" w:type="dxa"/>
            <w:gridSpan w:val="2"/>
            <w:vMerge/>
            <w:tcBorders>
              <w:left w:val="single" w:sz="4" w:space="0" w:color="000000"/>
              <w:bottom w:val="nil" w:sz="6" w:space="0" w:color="auto"/>
              <w:right w:val="single" w:sz="4" w:space="0" w:color="000000"/>
            </w:tcBorders>
            <w:shd w:val="clear" w:color="auto" w:fill="D2D2D2"/>
          </w:tcPr>
          <w:p>
            <w:pPr/>
          </w:p>
        </w:tc>
        <w:tc>
          <w:tcPr>
            <w:tcW w:w="559" w:type="dxa"/>
            <w:tcBorders>
              <w:top w:val="nil" w:sz="6" w:space="0" w:color="auto"/>
              <w:left w:val="single" w:sz="4" w:space="0" w:color="000000"/>
              <w:bottom w:val="nil" w:sz="6" w:space="0" w:color="auto"/>
              <w:right w:val="nil" w:sz="6" w:space="0" w:color="auto"/>
            </w:tcBorders>
          </w:tcPr>
          <w:p>
            <w:pPr/>
          </w:p>
        </w:tc>
        <w:tc>
          <w:tcPr>
            <w:tcW w:w="620" w:type="dxa"/>
            <w:tcBorders>
              <w:top w:val="nil" w:sz="6" w:space="0" w:color="auto"/>
              <w:left w:val="nil" w:sz="6" w:space="0" w:color="auto"/>
              <w:bottom w:val="nil" w:sz="6" w:space="0" w:color="auto"/>
              <w:right w:val="single" w:sz="13" w:space="0" w:color="D2D2D2"/>
            </w:tcBorders>
          </w:tcPr>
          <w:p>
            <w:pPr/>
          </w:p>
        </w:tc>
        <w:tc>
          <w:tcPr>
            <w:tcW w:w="1258" w:type="dxa"/>
            <w:vMerge/>
            <w:tcBorders>
              <w:left w:val="single" w:sz="4" w:space="0" w:color="000000"/>
              <w:right w:val="single" w:sz="4" w:space="0" w:color="000000"/>
            </w:tcBorders>
            <w:shd w:val="clear" w:color="auto" w:fill="D2D2D2"/>
          </w:tcPr>
          <w:p>
            <w:pPr/>
          </w:p>
        </w:tc>
        <w:tc>
          <w:tcPr>
            <w:tcW w:w="993" w:type="dxa"/>
            <w:vMerge/>
            <w:tcBorders>
              <w:left w:val="single" w:sz="12" w:space="0" w:color="D2D2D2"/>
              <w:right w:val="single" w:sz="4" w:space="0" w:color="000000"/>
            </w:tcBorders>
          </w:tcPr>
          <w:p>
            <w:pPr/>
          </w:p>
        </w:tc>
      </w:tr>
      <w:tr>
        <w:trPr>
          <w:trHeight w:val="703" w:hRule="exact"/>
        </w:trPr>
        <w:tc>
          <w:tcPr>
            <w:tcW w:w="1097" w:type="dxa"/>
            <w:vMerge/>
            <w:tcBorders>
              <w:left w:val="single" w:sz="4" w:space="0" w:color="000000"/>
              <w:right w:val="single" w:sz="4" w:space="0" w:color="000000"/>
            </w:tcBorders>
            <w:shd w:val="clear" w:color="auto" w:fill="D2D2D2"/>
          </w:tcPr>
          <w:p>
            <w:pPr/>
          </w:p>
        </w:tc>
        <w:tc>
          <w:tcPr>
            <w:tcW w:w="656" w:type="dxa"/>
            <w:vMerge/>
            <w:tcBorders>
              <w:left w:val="single" w:sz="10" w:space="0" w:color="D2D2D2"/>
              <w:right w:val="single" w:sz="9" w:space="0" w:color="D2D2D2"/>
            </w:tcBorders>
          </w:tcPr>
          <w:p>
            <w:pPr/>
          </w:p>
        </w:tc>
        <w:tc>
          <w:tcPr>
            <w:tcW w:w="1033" w:type="dxa"/>
            <w:vMerge/>
            <w:tcBorders>
              <w:left w:val="single" w:sz="4" w:space="0" w:color="000000"/>
              <w:right w:val="single" w:sz="4" w:space="0" w:color="000000"/>
            </w:tcBorders>
            <w:shd w:val="clear" w:color="auto" w:fill="D2D2D2"/>
          </w:tcPr>
          <w:p>
            <w:pPr/>
          </w:p>
        </w:tc>
        <w:tc>
          <w:tcPr>
            <w:tcW w:w="1084" w:type="dxa"/>
            <w:vMerge/>
            <w:tcBorders>
              <w:left w:val="single" w:sz="9" w:space="0" w:color="D2D2D2"/>
              <w:right w:val="single" w:sz="9" w:space="0" w:color="D2D2D2"/>
            </w:tcBorders>
          </w:tcPr>
          <w:p>
            <w:pPr/>
          </w:p>
        </w:tc>
        <w:tc>
          <w:tcPr>
            <w:tcW w:w="2368"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17" w:right="113"/>
              <w:jc w:val="left"/>
              <w:rPr>
                <w:rFonts w:ascii="Times New Roman" w:hAnsi="Times New Roman" w:cs="Times New Roman" w:eastAsia="Times New Roman" w:hint="default"/>
                <w:sz w:val="18"/>
                <w:szCs w:val="18"/>
              </w:rPr>
            </w:pPr>
            <w:r>
              <w:rPr>
                <w:rFonts w:ascii="宋体" w:hAnsi="宋体" w:cs="宋体" w:eastAsia="宋体" w:hint="default"/>
                <w:sz w:val="18"/>
                <w:szCs w:val="18"/>
              </w:rPr>
              <w:t>报告期末表决权恢复的优先 </w:t>
            </w:r>
            <w:r>
              <w:rPr>
                <w:rFonts w:ascii="宋体" w:hAnsi="宋体" w:cs="宋体" w:eastAsia="宋体" w:hint="default"/>
                <w:spacing w:val="-20"/>
                <w:sz w:val="18"/>
                <w:szCs w:val="18"/>
              </w:rPr>
              <w:t>股股东总数（如有）（参见注</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8</w:t>
            </w:r>
          </w:p>
        </w:tc>
        <w:tc>
          <w:tcPr>
            <w:tcW w:w="559" w:type="dxa"/>
            <w:tcBorders>
              <w:top w:val="nil" w:sz="6" w:space="0" w:color="auto"/>
              <w:left w:val="single" w:sz="12" w:space="0" w:color="D2D2D2"/>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34" w:right="0"/>
              <w:jc w:val="left"/>
              <w:rPr>
                <w:rFonts w:ascii="宋体" w:hAnsi="宋体" w:cs="宋体" w:eastAsia="宋体" w:hint="default"/>
                <w:sz w:val="18"/>
                <w:szCs w:val="18"/>
              </w:rPr>
            </w:pPr>
            <w:r>
              <w:rPr>
                <w:rFonts w:ascii="宋体" w:hAnsi="宋体" w:cs="宋体" w:eastAsia="宋体" w:hint="default"/>
                <w:sz w:val="18"/>
                <w:szCs w:val="18"/>
              </w:rPr>
              <w:t>）</w:t>
            </w:r>
          </w:p>
        </w:tc>
        <w:tc>
          <w:tcPr>
            <w:tcW w:w="620" w:type="dxa"/>
            <w:tcBorders>
              <w:top w:val="nil" w:sz="6" w:space="0" w:color="auto"/>
              <w:left w:val="nil" w:sz="6" w:space="0" w:color="auto"/>
              <w:bottom w:val="nil" w:sz="6" w:space="0" w:color="auto"/>
              <w:right w:val="single" w:sz="13" w:space="0" w:color="D2D2D2"/>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0</w:t>
            </w:r>
          </w:p>
        </w:tc>
        <w:tc>
          <w:tcPr>
            <w:tcW w:w="1258" w:type="dxa"/>
            <w:vMerge/>
            <w:tcBorders>
              <w:left w:val="single" w:sz="4" w:space="0" w:color="000000"/>
              <w:right w:val="single" w:sz="4" w:space="0" w:color="000000"/>
            </w:tcBorders>
            <w:shd w:val="clear" w:color="auto" w:fill="D2D2D2"/>
          </w:tcPr>
          <w:p>
            <w:pPr/>
          </w:p>
        </w:tc>
        <w:tc>
          <w:tcPr>
            <w:tcW w:w="993" w:type="dxa"/>
            <w:vMerge/>
            <w:tcBorders>
              <w:left w:val="single" w:sz="12" w:space="0" w:color="D2D2D2"/>
              <w:right w:val="single" w:sz="4" w:space="0" w:color="000000"/>
            </w:tcBorders>
          </w:tcPr>
          <w:p>
            <w:pPr/>
          </w:p>
        </w:tc>
      </w:tr>
      <w:tr>
        <w:trPr>
          <w:trHeight w:val="156" w:hRule="exact"/>
        </w:trPr>
        <w:tc>
          <w:tcPr>
            <w:tcW w:w="1097" w:type="dxa"/>
            <w:vMerge/>
            <w:tcBorders>
              <w:left w:val="single" w:sz="4" w:space="0" w:color="000000"/>
              <w:bottom w:val="nil" w:sz="6" w:space="0" w:color="auto"/>
              <w:right w:val="single" w:sz="4" w:space="0" w:color="000000"/>
            </w:tcBorders>
            <w:shd w:val="clear" w:color="auto" w:fill="D2D2D2"/>
          </w:tcPr>
          <w:p>
            <w:pPr/>
          </w:p>
        </w:tc>
        <w:tc>
          <w:tcPr>
            <w:tcW w:w="656" w:type="dxa"/>
            <w:vMerge/>
            <w:tcBorders>
              <w:left w:val="single" w:sz="10" w:space="0" w:color="D2D2D2"/>
              <w:right w:val="single" w:sz="9" w:space="0" w:color="D2D2D2"/>
            </w:tcBorders>
          </w:tcPr>
          <w:p>
            <w:pPr/>
          </w:p>
        </w:tc>
        <w:tc>
          <w:tcPr>
            <w:tcW w:w="1033" w:type="dxa"/>
            <w:vMerge/>
            <w:tcBorders>
              <w:left w:val="single" w:sz="4" w:space="0" w:color="000000"/>
              <w:right w:val="single" w:sz="4" w:space="0" w:color="000000"/>
            </w:tcBorders>
            <w:shd w:val="clear" w:color="auto" w:fill="D2D2D2"/>
          </w:tcPr>
          <w:p>
            <w:pPr/>
          </w:p>
        </w:tc>
        <w:tc>
          <w:tcPr>
            <w:tcW w:w="1084" w:type="dxa"/>
            <w:vMerge/>
            <w:tcBorders>
              <w:left w:val="single" w:sz="9" w:space="0" w:color="D2D2D2"/>
              <w:right w:val="single" w:sz="9" w:space="0" w:color="D2D2D2"/>
            </w:tcBorders>
          </w:tcPr>
          <w:p>
            <w:pPr/>
          </w:p>
        </w:tc>
        <w:tc>
          <w:tcPr>
            <w:tcW w:w="2368" w:type="dxa"/>
            <w:gridSpan w:val="2"/>
            <w:vMerge w:val="restart"/>
            <w:tcBorders>
              <w:top w:val="nil" w:sz="6" w:space="0" w:color="auto"/>
              <w:left w:val="single" w:sz="4" w:space="0" w:color="000000"/>
              <w:right w:val="single" w:sz="4" w:space="0" w:color="000000"/>
            </w:tcBorders>
            <w:shd w:val="clear" w:color="auto" w:fill="D2D2D2"/>
          </w:tcPr>
          <w:p>
            <w:pPr/>
          </w:p>
        </w:tc>
        <w:tc>
          <w:tcPr>
            <w:tcW w:w="559" w:type="dxa"/>
            <w:tcBorders>
              <w:top w:val="nil" w:sz="6" w:space="0" w:color="auto"/>
              <w:left w:val="single" w:sz="4" w:space="0" w:color="000000"/>
              <w:bottom w:val="nil" w:sz="6" w:space="0" w:color="auto"/>
              <w:right w:val="nil" w:sz="6" w:space="0" w:color="auto"/>
            </w:tcBorders>
          </w:tcPr>
          <w:p>
            <w:pPr/>
          </w:p>
        </w:tc>
        <w:tc>
          <w:tcPr>
            <w:tcW w:w="620" w:type="dxa"/>
            <w:tcBorders>
              <w:top w:val="nil" w:sz="6" w:space="0" w:color="auto"/>
              <w:left w:val="nil" w:sz="6" w:space="0" w:color="auto"/>
              <w:bottom w:val="nil" w:sz="6" w:space="0" w:color="auto"/>
              <w:right w:val="single" w:sz="13" w:space="0" w:color="D2D2D2"/>
            </w:tcBorders>
          </w:tcPr>
          <w:p>
            <w:pPr/>
          </w:p>
        </w:tc>
        <w:tc>
          <w:tcPr>
            <w:tcW w:w="1258" w:type="dxa"/>
            <w:vMerge/>
            <w:tcBorders>
              <w:left w:val="single" w:sz="4" w:space="0" w:color="000000"/>
              <w:right w:val="single" w:sz="4" w:space="0" w:color="000000"/>
            </w:tcBorders>
            <w:shd w:val="clear" w:color="auto" w:fill="D2D2D2"/>
          </w:tcPr>
          <w:p>
            <w:pPr/>
          </w:p>
        </w:tc>
        <w:tc>
          <w:tcPr>
            <w:tcW w:w="993" w:type="dxa"/>
            <w:vMerge/>
            <w:tcBorders>
              <w:left w:val="single" w:sz="12" w:space="0" w:color="D2D2D2"/>
              <w:right w:val="single" w:sz="4" w:space="0" w:color="000000"/>
            </w:tcBorders>
          </w:tcPr>
          <w:p>
            <w:pPr/>
          </w:p>
        </w:tc>
      </w:tr>
      <w:tr>
        <w:trPr>
          <w:trHeight w:val="156" w:hRule="exact"/>
        </w:trPr>
        <w:tc>
          <w:tcPr>
            <w:tcW w:w="1097" w:type="dxa"/>
            <w:vMerge w:val="restart"/>
            <w:tcBorders>
              <w:top w:val="nil" w:sz="6" w:space="0" w:color="auto"/>
              <w:left w:val="single" w:sz="4" w:space="0" w:color="000000"/>
              <w:right w:val="single" w:sz="4" w:space="0" w:color="000000"/>
            </w:tcBorders>
            <w:shd w:val="clear" w:color="auto" w:fill="D2D2D2"/>
          </w:tcPr>
          <w:p>
            <w:pPr/>
          </w:p>
        </w:tc>
        <w:tc>
          <w:tcPr>
            <w:tcW w:w="656" w:type="dxa"/>
            <w:vMerge/>
            <w:tcBorders>
              <w:left w:val="single" w:sz="10" w:space="0" w:color="D2D2D2"/>
              <w:right w:val="single" w:sz="9" w:space="0" w:color="D2D2D2"/>
            </w:tcBorders>
          </w:tcPr>
          <w:p>
            <w:pPr/>
          </w:p>
        </w:tc>
        <w:tc>
          <w:tcPr>
            <w:tcW w:w="1033" w:type="dxa"/>
            <w:vMerge/>
            <w:tcBorders>
              <w:left w:val="single" w:sz="4" w:space="0" w:color="000000"/>
              <w:bottom w:val="nil" w:sz="6" w:space="0" w:color="auto"/>
              <w:right w:val="single" w:sz="4" w:space="0" w:color="000000"/>
            </w:tcBorders>
            <w:shd w:val="clear" w:color="auto" w:fill="D2D2D2"/>
          </w:tcPr>
          <w:p>
            <w:pPr/>
          </w:p>
        </w:tc>
        <w:tc>
          <w:tcPr>
            <w:tcW w:w="1084" w:type="dxa"/>
            <w:vMerge/>
            <w:tcBorders>
              <w:left w:val="single" w:sz="9" w:space="0" w:color="D2D2D2"/>
              <w:right w:val="single" w:sz="9" w:space="0" w:color="D2D2D2"/>
            </w:tcBorders>
          </w:tcPr>
          <w:p>
            <w:pPr/>
          </w:p>
        </w:tc>
        <w:tc>
          <w:tcPr>
            <w:tcW w:w="2368" w:type="dxa"/>
            <w:gridSpan w:val="2"/>
            <w:vMerge/>
            <w:tcBorders>
              <w:left w:val="single" w:sz="4" w:space="0" w:color="000000"/>
              <w:right w:val="single" w:sz="4" w:space="0" w:color="000000"/>
            </w:tcBorders>
            <w:shd w:val="clear" w:color="auto" w:fill="D2D2D2"/>
          </w:tcPr>
          <w:p>
            <w:pPr/>
          </w:p>
        </w:tc>
        <w:tc>
          <w:tcPr>
            <w:tcW w:w="559" w:type="dxa"/>
            <w:tcBorders>
              <w:top w:val="nil" w:sz="6" w:space="0" w:color="auto"/>
              <w:left w:val="single" w:sz="4" w:space="0" w:color="000000"/>
              <w:bottom w:val="nil" w:sz="6" w:space="0" w:color="auto"/>
              <w:right w:val="nil" w:sz="6" w:space="0" w:color="auto"/>
            </w:tcBorders>
          </w:tcPr>
          <w:p>
            <w:pPr/>
          </w:p>
        </w:tc>
        <w:tc>
          <w:tcPr>
            <w:tcW w:w="620" w:type="dxa"/>
            <w:tcBorders>
              <w:top w:val="nil" w:sz="6" w:space="0" w:color="auto"/>
              <w:left w:val="nil" w:sz="6" w:space="0" w:color="auto"/>
              <w:bottom w:val="nil" w:sz="6" w:space="0" w:color="auto"/>
              <w:right w:val="single" w:sz="13" w:space="0" w:color="D2D2D2"/>
            </w:tcBorders>
          </w:tcPr>
          <w:p>
            <w:pPr/>
          </w:p>
        </w:tc>
        <w:tc>
          <w:tcPr>
            <w:tcW w:w="1258" w:type="dxa"/>
            <w:vMerge/>
            <w:tcBorders>
              <w:left w:val="single" w:sz="4" w:space="0" w:color="000000"/>
              <w:right w:val="single" w:sz="4" w:space="0" w:color="000000"/>
            </w:tcBorders>
            <w:shd w:val="clear" w:color="auto" w:fill="D2D2D2"/>
          </w:tcPr>
          <w:p>
            <w:pPr/>
          </w:p>
        </w:tc>
        <w:tc>
          <w:tcPr>
            <w:tcW w:w="993" w:type="dxa"/>
            <w:vMerge/>
            <w:tcBorders>
              <w:left w:val="single" w:sz="12" w:space="0" w:color="D2D2D2"/>
              <w:right w:val="single" w:sz="4" w:space="0" w:color="000000"/>
            </w:tcBorders>
          </w:tcPr>
          <w:p>
            <w:pPr/>
          </w:p>
        </w:tc>
      </w:tr>
      <w:tr>
        <w:trPr>
          <w:trHeight w:val="322" w:hRule="exact"/>
        </w:trPr>
        <w:tc>
          <w:tcPr>
            <w:tcW w:w="1097" w:type="dxa"/>
            <w:vMerge/>
            <w:tcBorders>
              <w:left w:val="single" w:sz="4" w:space="0" w:color="000000"/>
              <w:bottom w:val="single" w:sz="4" w:space="0" w:color="000000"/>
              <w:right w:val="single" w:sz="4" w:space="0" w:color="000000"/>
            </w:tcBorders>
            <w:shd w:val="clear" w:color="auto" w:fill="D2D2D2"/>
          </w:tcPr>
          <w:p>
            <w:pPr/>
          </w:p>
        </w:tc>
        <w:tc>
          <w:tcPr>
            <w:tcW w:w="656" w:type="dxa"/>
            <w:vMerge/>
            <w:tcBorders>
              <w:left w:val="single" w:sz="10" w:space="0" w:color="D2D2D2"/>
              <w:bottom w:val="single" w:sz="4" w:space="0" w:color="000000"/>
              <w:right w:val="single" w:sz="9" w:space="0" w:color="D2D2D2"/>
            </w:tcBorders>
          </w:tcPr>
          <w:p>
            <w:pPr/>
          </w:p>
        </w:tc>
        <w:tc>
          <w:tcPr>
            <w:tcW w:w="1033" w:type="dxa"/>
            <w:tcBorders>
              <w:top w:val="nil" w:sz="6" w:space="0" w:color="auto"/>
              <w:left w:val="single" w:sz="4" w:space="0" w:color="000000"/>
              <w:bottom w:val="single" w:sz="4" w:space="0" w:color="000000"/>
              <w:right w:val="single" w:sz="4" w:space="0" w:color="000000"/>
            </w:tcBorders>
            <w:shd w:val="clear" w:color="auto" w:fill="D2D2D2"/>
          </w:tcPr>
          <w:p>
            <w:pPr/>
          </w:p>
        </w:tc>
        <w:tc>
          <w:tcPr>
            <w:tcW w:w="1084" w:type="dxa"/>
            <w:vMerge/>
            <w:tcBorders>
              <w:left w:val="single" w:sz="9" w:space="0" w:color="D2D2D2"/>
              <w:bottom w:val="single" w:sz="4" w:space="0" w:color="000000"/>
              <w:right w:val="single" w:sz="9" w:space="0" w:color="D2D2D2"/>
            </w:tcBorders>
          </w:tcPr>
          <w:p>
            <w:pPr/>
          </w:p>
        </w:tc>
        <w:tc>
          <w:tcPr>
            <w:tcW w:w="2368" w:type="dxa"/>
            <w:gridSpan w:val="2"/>
            <w:vMerge/>
            <w:tcBorders>
              <w:left w:val="single" w:sz="4" w:space="0" w:color="000000"/>
              <w:bottom w:val="single" w:sz="4" w:space="0" w:color="000000"/>
              <w:right w:val="single" w:sz="4" w:space="0" w:color="000000"/>
            </w:tcBorders>
            <w:shd w:val="clear" w:color="auto" w:fill="D2D2D2"/>
          </w:tcPr>
          <w:p>
            <w:pPr/>
          </w:p>
        </w:tc>
        <w:tc>
          <w:tcPr>
            <w:tcW w:w="559" w:type="dxa"/>
            <w:tcBorders>
              <w:top w:val="nil" w:sz="6" w:space="0" w:color="auto"/>
              <w:left w:val="single" w:sz="4" w:space="0" w:color="000000"/>
              <w:bottom w:val="single" w:sz="4" w:space="0" w:color="000000"/>
              <w:right w:val="nil" w:sz="6" w:space="0" w:color="auto"/>
            </w:tcBorders>
          </w:tcPr>
          <w:p>
            <w:pPr/>
          </w:p>
        </w:tc>
        <w:tc>
          <w:tcPr>
            <w:tcW w:w="620" w:type="dxa"/>
            <w:tcBorders>
              <w:top w:val="nil" w:sz="6" w:space="0" w:color="auto"/>
              <w:left w:val="nil" w:sz="6" w:space="0" w:color="auto"/>
              <w:bottom w:val="single" w:sz="4" w:space="0" w:color="000000"/>
              <w:right w:val="single" w:sz="13" w:space="0" w:color="D2D2D2"/>
            </w:tcBorders>
          </w:tcPr>
          <w:p>
            <w:pPr/>
          </w:p>
        </w:tc>
        <w:tc>
          <w:tcPr>
            <w:tcW w:w="1258" w:type="dxa"/>
            <w:vMerge/>
            <w:tcBorders>
              <w:left w:val="single" w:sz="4" w:space="0" w:color="000000"/>
              <w:bottom w:val="single" w:sz="4" w:space="0" w:color="000000"/>
              <w:right w:val="single" w:sz="4" w:space="0" w:color="000000"/>
            </w:tcBorders>
            <w:shd w:val="clear" w:color="auto" w:fill="D2D2D2"/>
          </w:tcPr>
          <w:p>
            <w:pPr/>
          </w:p>
        </w:tc>
        <w:tc>
          <w:tcPr>
            <w:tcW w:w="993" w:type="dxa"/>
            <w:vMerge/>
            <w:tcBorders>
              <w:left w:val="single" w:sz="12" w:space="0" w:color="D2D2D2"/>
              <w:bottom w:val="single" w:sz="4" w:space="0" w:color="000000"/>
              <w:right w:val="single" w:sz="4" w:space="0" w:color="000000"/>
            </w:tcBorders>
          </w:tcPr>
          <w:p>
            <w:pPr/>
          </w:p>
        </w:tc>
      </w:tr>
      <w:tr>
        <w:trPr>
          <w:trHeight w:val="394" w:hRule="exact"/>
        </w:trPr>
        <w:tc>
          <w:tcPr>
            <w:tcW w:w="9669" w:type="dxa"/>
            <w:gridSpan w:val="10"/>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3111"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211" w:hRule="exact"/>
        </w:trPr>
        <w:tc>
          <w:tcPr>
            <w:tcW w:w="1097" w:type="dxa"/>
            <w:tcBorders>
              <w:top w:val="single" w:sz="4" w:space="0" w:color="000000"/>
              <w:left w:val="single" w:sz="4" w:space="0" w:color="000000"/>
              <w:bottom w:val="nil" w:sz="6" w:space="0" w:color="auto"/>
              <w:right w:val="single" w:sz="4" w:space="0" w:color="000000"/>
            </w:tcBorders>
            <w:shd w:val="clear" w:color="auto" w:fill="D2D2D2"/>
          </w:tcPr>
          <w:p>
            <w:pPr/>
          </w:p>
        </w:tc>
        <w:tc>
          <w:tcPr>
            <w:tcW w:w="656"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99"/>
              <w:ind w:left="230" w:right="54" w:hanging="180"/>
              <w:jc w:val="left"/>
              <w:rPr>
                <w:rFonts w:ascii="宋体" w:hAnsi="宋体" w:cs="宋体" w:eastAsia="宋体" w:hint="default"/>
                <w:sz w:val="18"/>
                <w:szCs w:val="18"/>
              </w:rPr>
            </w:pPr>
            <w:r>
              <w:rPr>
                <w:rFonts w:ascii="宋体" w:hAnsi="宋体" w:cs="宋体" w:eastAsia="宋体" w:hint="default"/>
                <w:sz w:val="18"/>
                <w:szCs w:val="18"/>
              </w:rPr>
              <w:t>股东性 质</w:t>
            </w:r>
          </w:p>
        </w:tc>
        <w:tc>
          <w:tcPr>
            <w:tcW w:w="1033" w:type="dxa"/>
            <w:tcBorders>
              <w:top w:val="single" w:sz="4" w:space="0" w:color="000000"/>
              <w:left w:val="single" w:sz="4" w:space="0" w:color="000000"/>
              <w:bottom w:val="nil" w:sz="6" w:space="0" w:color="auto"/>
              <w:right w:val="single" w:sz="4" w:space="0" w:color="000000"/>
            </w:tcBorders>
            <w:shd w:val="clear" w:color="auto" w:fill="D2D2D2"/>
          </w:tcPr>
          <w:p>
            <w:pPr/>
          </w:p>
        </w:tc>
        <w:tc>
          <w:tcPr>
            <w:tcW w:w="1084"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99"/>
              <w:ind w:left="267" w:right="85" w:hanging="180"/>
              <w:jc w:val="left"/>
              <w:rPr>
                <w:rFonts w:ascii="宋体" w:hAnsi="宋体" w:cs="宋体" w:eastAsia="宋体" w:hint="default"/>
                <w:sz w:val="18"/>
                <w:szCs w:val="18"/>
              </w:rPr>
            </w:pPr>
            <w:r>
              <w:rPr>
                <w:rFonts w:ascii="宋体" w:hAnsi="宋体" w:cs="宋体" w:eastAsia="宋体" w:hint="default"/>
                <w:sz w:val="18"/>
                <w:szCs w:val="18"/>
              </w:rPr>
              <w:t>报告期末持 股数量</w:t>
            </w:r>
          </w:p>
        </w:tc>
        <w:tc>
          <w:tcPr>
            <w:tcW w:w="1136"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99"/>
              <w:ind w:left="200" w:right="24" w:hanging="180"/>
              <w:jc w:val="left"/>
              <w:rPr>
                <w:rFonts w:ascii="宋体" w:hAnsi="宋体" w:cs="宋体" w:eastAsia="宋体" w:hint="default"/>
                <w:sz w:val="18"/>
                <w:szCs w:val="18"/>
              </w:rPr>
            </w:pPr>
            <w:r>
              <w:rPr>
                <w:rFonts w:ascii="宋体" w:hAnsi="宋体" w:cs="宋体" w:eastAsia="宋体" w:hint="default"/>
                <w:sz w:val="18"/>
                <w:szCs w:val="18"/>
              </w:rPr>
              <w:t>报告期内增减 变动情况</w:t>
            </w:r>
          </w:p>
        </w:tc>
        <w:tc>
          <w:tcPr>
            <w:tcW w:w="1232"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99"/>
              <w:ind w:left="69" w:right="70"/>
              <w:jc w:val="left"/>
              <w:rPr>
                <w:rFonts w:ascii="宋体" w:hAnsi="宋体" w:cs="宋体" w:eastAsia="宋体" w:hint="default"/>
                <w:sz w:val="18"/>
                <w:szCs w:val="18"/>
              </w:rPr>
            </w:pPr>
            <w:r>
              <w:rPr>
                <w:rFonts w:ascii="宋体" w:hAnsi="宋体" w:cs="宋体" w:eastAsia="宋体" w:hint="default"/>
                <w:sz w:val="18"/>
                <w:szCs w:val="18"/>
              </w:rPr>
              <w:t>持有有限售条 件的股份数量</w:t>
            </w:r>
          </w:p>
        </w:tc>
        <w:tc>
          <w:tcPr>
            <w:tcW w:w="118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99"/>
              <w:ind w:left="43" w:right="44"/>
              <w:jc w:val="left"/>
              <w:rPr>
                <w:rFonts w:ascii="宋体" w:hAnsi="宋体" w:cs="宋体" w:eastAsia="宋体" w:hint="default"/>
                <w:sz w:val="18"/>
                <w:szCs w:val="18"/>
              </w:rPr>
            </w:pPr>
            <w:r>
              <w:rPr>
                <w:rFonts w:ascii="宋体" w:hAnsi="宋体" w:cs="宋体" w:eastAsia="宋体" w:hint="default"/>
                <w:sz w:val="18"/>
                <w:szCs w:val="18"/>
              </w:rPr>
              <w:t>持有无限售条 件的股份数量</w:t>
            </w:r>
          </w:p>
        </w:tc>
        <w:tc>
          <w:tcPr>
            <w:tcW w:w="225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86"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190" w:hRule="exact"/>
        </w:trPr>
        <w:tc>
          <w:tcPr>
            <w:tcW w:w="10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85"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656" w:type="dxa"/>
            <w:vMerge/>
            <w:tcBorders>
              <w:left w:val="single" w:sz="4" w:space="0" w:color="000000"/>
              <w:right w:val="single" w:sz="4" w:space="0" w:color="000000"/>
            </w:tcBorders>
            <w:shd w:val="clear" w:color="auto" w:fill="D2D2D2"/>
          </w:tcPr>
          <w:p>
            <w:pPr/>
          </w:p>
        </w:tc>
        <w:tc>
          <w:tcPr>
            <w:tcW w:w="103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52"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1084" w:type="dxa"/>
            <w:vMerge/>
            <w:tcBorders>
              <w:left w:val="single" w:sz="4" w:space="0" w:color="000000"/>
              <w:right w:val="single" w:sz="4" w:space="0" w:color="000000"/>
            </w:tcBorders>
            <w:shd w:val="clear" w:color="auto" w:fill="D2D2D2"/>
          </w:tcPr>
          <w:p>
            <w:pPr/>
          </w:p>
        </w:tc>
        <w:tc>
          <w:tcPr>
            <w:tcW w:w="1136" w:type="dxa"/>
            <w:vMerge/>
            <w:tcBorders>
              <w:left w:val="single" w:sz="4" w:space="0" w:color="000000"/>
              <w:right w:val="single" w:sz="4" w:space="0" w:color="000000"/>
            </w:tcBorders>
            <w:shd w:val="clear" w:color="auto" w:fill="D2D2D2"/>
          </w:tcPr>
          <w:p>
            <w:pPr/>
          </w:p>
        </w:tc>
        <w:tc>
          <w:tcPr>
            <w:tcW w:w="1232" w:type="dxa"/>
            <w:vMerge/>
            <w:tcBorders>
              <w:left w:val="single" w:sz="4" w:space="0" w:color="000000"/>
              <w:right w:val="single" w:sz="4" w:space="0" w:color="000000"/>
            </w:tcBorders>
            <w:shd w:val="clear" w:color="auto" w:fill="D2D2D2"/>
          </w:tcPr>
          <w:p>
            <w:pPr/>
          </w:p>
        </w:tc>
        <w:tc>
          <w:tcPr>
            <w:tcW w:w="1180" w:type="dxa"/>
            <w:gridSpan w:val="2"/>
            <w:vMerge/>
            <w:tcBorders>
              <w:left w:val="single" w:sz="4" w:space="0" w:color="000000"/>
              <w:right w:val="single" w:sz="4" w:space="0" w:color="000000"/>
            </w:tcBorders>
            <w:shd w:val="clear" w:color="auto" w:fill="D2D2D2"/>
          </w:tcPr>
          <w:p>
            <w:pPr/>
          </w:p>
        </w:tc>
        <w:tc>
          <w:tcPr>
            <w:tcW w:w="2251"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097" w:type="dxa"/>
            <w:vMerge/>
            <w:tcBorders>
              <w:left w:val="single" w:sz="4" w:space="0" w:color="000000"/>
              <w:bottom w:val="nil" w:sz="6" w:space="0" w:color="auto"/>
              <w:right w:val="single" w:sz="4" w:space="0" w:color="000000"/>
            </w:tcBorders>
            <w:shd w:val="clear" w:color="auto" w:fill="D2D2D2"/>
          </w:tcPr>
          <w:p>
            <w:pPr/>
          </w:p>
        </w:tc>
        <w:tc>
          <w:tcPr>
            <w:tcW w:w="656" w:type="dxa"/>
            <w:vMerge/>
            <w:tcBorders>
              <w:left w:val="single" w:sz="4" w:space="0" w:color="000000"/>
              <w:right w:val="single" w:sz="4" w:space="0" w:color="000000"/>
            </w:tcBorders>
            <w:shd w:val="clear" w:color="auto" w:fill="D2D2D2"/>
          </w:tcPr>
          <w:p>
            <w:pPr/>
          </w:p>
        </w:tc>
        <w:tc>
          <w:tcPr>
            <w:tcW w:w="1033" w:type="dxa"/>
            <w:vMerge/>
            <w:tcBorders>
              <w:left w:val="single" w:sz="4" w:space="0" w:color="000000"/>
              <w:bottom w:val="nil" w:sz="6" w:space="0" w:color="auto"/>
              <w:right w:val="single" w:sz="4" w:space="0" w:color="000000"/>
            </w:tcBorders>
            <w:shd w:val="clear" w:color="auto" w:fill="D2D2D2"/>
          </w:tcPr>
          <w:p>
            <w:pPr/>
          </w:p>
        </w:tc>
        <w:tc>
          <w:tcPr>
            <w:tcW w:w="1084" w:type="dxa"/>
            <w:vMerge/>
            <w:tcBorders>
              <w:left w:val="single" w:sz="4" w:space="0" w:color="000000"/>
              <w:right w:val="single" w:sz="4" w:space="0" w:color="000000"/>
            </w:tcBorders>
            <w:shd w:val="clear" w:color="auto" w:fill="D2D2D2"/>
          </w:tcPr>
          <w:p>
            <w:pPr/>
          </w:p>
        </w:tc>
        <w:tc>
          <w:tcPr>
            <w:tcW w:w="1136" w:type="dxa"/>
            <w:vMerge/>
            <w:tcBorders>
              <w:left w:val="single" w:sz="4" w:space="0" w:color="000000"/>
              <w:right w:val="single" w:sz="4" w:space="0" w:color="000000"/>
            </w:tcBorders>
            <w:shd w:val="clear" w:color="auto" w:fill="D2D2D2"/>
          </w:tcPr>
          <w:p>
            <w:pPr/>
          </w:p>
        </w:tc>
        <w:tc>
          <w:tcPr>
            <w:tcW w:w="1232" w:type="dxa"/>
            <w:vMerge/>
            <w:tcBorders>
              <w:left w:val="single" w:sz="4" w:space="0" w:color="000000"/>
              <w:right w:val="single" w:sz="4" w:space="0" w:color="000000"/>
            </w:tcBorders>
            <w:shd w:val="clear" w:color="auto" w:fill="D2D2D2"/>
          </w:tcPr>
          <w:p>
            <w:pPr/>
          </w:p>
        </w:tc>
        <w:tc>
          <w:tcPr>
            <w:tcW w:w="1180" w:type="dxa"/>
            <w:gridSpan w:val="2"/>
            <w:vMerge/>
            <w:tcBorders>
              <w:left w:val="single" w:sz="4" w:space="0" w:color="000000"/>
              <w:right w:val="single" w:sz="4" w:space="0" w:color="000000"/>
            </w:tcBorders>
            <w:shd w:val="clear" w:color="auto" w:fill="D2D2D2"/>
          </w:tcPr>
          <w:p>
            <w:pPr/>
          </w:p>
        </w:tc>
        <w:tc>
          <w:tcPr>
            <w:tcW w:w="125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58"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9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09"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184" w:hRule="exact"/>
        </w:trPr>
        <w:tc>
          <w:tcPr>
            <w:tcW w:w="1097" w:type="dxa"/>
            <w:tcBorders>
              <w:top w:val="nil" w:sz="6" w:space="0" w:color="auto"/>
              <w:left w:val="single" w:sz="4" w:space="0" w:color="000000"/>
              <w:bottom w:val="single" w:sz="4" w:space="0" w:color="000000"/>
              <w:right w:val="single" w:sz="4" w:space="0" w:color="000000"/>
            </w:tcBorders>
            <w:shd w:val="clear" w:color="auto" w:fill="D2D2D2"/>
          </w:tcPr>
          <w:p>
            <w:pPr/>
          </w:p>
        </w:tc>
        <w:tc>
          <w:tcPr>
            <w:tcW w:w="656" w:type="dxa"/>
            <w:vMerge/>
            <w:tcBorders>
              <w:left w:val="single" w:sz="4" w:space="0" w:color="000000"/>
              <w:bottom w:val="single" w:sz="4" w:space="0" w:color="000000"/>
              <w:right w:val="single" w:sz="4" w:space="0" w:color="000000"/>
            </w:tcBorders>
            <w:shd w:val="clear" w:color="auto" w:fill="D2D2D2"/>
          </w:tcPr>
          <w:p>
            <w:pPr/>
          </w:p>
        </w:tc>
        <w:tc>
          <w:tcPr>
            <w:tcW w:w="1033" w:type="dxa"/>
            <w:tcBorders>
              <w:top w:val="nil" w:sz="6" w:space="0" w:color="auto"/>
              <w:left w:val="single" w:sz="4" w:space="0" w:color="000000"/>
              <w:bottom w:val="single" w:sz="4" w:space="0" w:color="000000"/>
              <w:right w:val="single" w:sz="4" w:space="0" w:color="000000"/>
            </w:tcBorders>
            <w:shd w:val="clear" w:color="auto" w:fill="D2D2D2"/>
          </w:tcPr>
          <w:p>
            <w:pPr/>
          </w:p>
        </w:tc>
        <w:tc>
          <w:tcPr>
            <w:tcW w:w="1084" w:type="dxa"/>
            <w:vMerge/>
            <w:tcBorders>
              <w:left w:val="single" w:sz="4" w:space="0" w:color="000000"/>
              <w:bottom w:val="single" w:sz="4" w:space="0" w:color="000000"/>
              <w:right w:val="single" w:sz="4" w:space="0" w:color="000000"/>
            </w:tcBorders>
            <w:shd w:val="clear" w:color="auto" w:fill="D2D2D2"/>
          </w:tcPr>
          <w:p>
            <w:pPr/>
          </w:p>
        </w:tc>
        <w:tc>
          <w:tcPr>
            <w:tcW w:w="1136" w:type="dxa"/>
            <w:vMerge/>
            <w:tcBorders>
              <w:left w:val="single" w:sz="4" w:space="0" w:color="000000"/>
              <w:bottom w:val="single" w:sz="4" w:space="0" w:color="000000"/>
              <w:right w:val="single" w:sz="4" w:space="0" w:color="000000"/>
            </w:tcBorders>
            <w:shd w:val="clear" w:color="auto" w:fill="D2D2D2"/>
          </w:tcPr>
          <w:p>
            <w:pPr/>
          </w:p>
        </w:tc>
        <w:tc>
          <w:tcPr>
            <w:tcW w:w="1232" w:type="dxa"/>
            <w:vMerge/>
            <w:tcBorders>
              <w:left w:val="single" w:sz="4" w:space="0" w:color="000000"/>
              <w:bottom w:val="single" w:sz="4" w:space="0" w:color="000000"/>
              <w:right w:val="single" w:sz="4" w:space="0" w:color="000000"/>
            </w:tcBorders>
            <w:shd w:val="clear" w:color="auto" w:fill="D2D2D2"/>
          </w:tcPr>
          <w:p>
            <w:pPr/>
          </w:p>
        </w:tc>
        <w:tc>
          <w:tcPr>
            <w:tcW w:w="1180" w:type="dxa"/>
            <w:gridSpan w:val="2"/>
            <w:vMerge/>
            <w:tcBorders>
              <w:left w:val="single" w:sz="4" w:space="0" w:color="000000"/>
              <w:bottom w:val="single" w:sz="4" w:space="0" w:color="000000"/>
              <w:right w:val="single" w:sz="4" w:space="0" w:color="000000"/>
            </w:tcBorders>
            <w:shd w:val="clear" w:color="auto" w:fill="D2D2D2"/>
          </w:tcPr>
          <w:p>
            <w:pPr/>
          </w:p>
        </w:tc>
        <w:tc>
          <w:tcPr>
            <w:tcW w:w="1258" w:type="dxa"/>
            <w:vMerge/>
            <w:tcBorders>
              <w:left w:val="single" w:sz="4" w:space="0" w:color="000000"/>
              <w:bottom w:val="single" w:sz="4" w:space="0" w:color="000000"/>
              <w:right w:val="single" w:sz="4" w:space="0" w:color="000000"/>
            </w:tcBorders>
            <w:shd w:val="clear" w:color="auto" w:fill="D2D2D2"/>
          </w:tcPr>
          <w:p>
            <w:pPr/>
          </w:p>
        </w:tc>
        <w:tc>
          <w:tcPr>
            <w:tcW w:w="993" w:type="dxa"/>
            <w:vMerge/>
            <w:tcBorders>
              <w:left w:val="single" w:sz="4" w:space="0" w:color="000000"/>
              <w:bottom w:val="single" w:sz="4" w:space="0" w:color="000000"/>
              <w:right w:val="single" w:sz="4" w:space="0" w:color="000000"/>
            </w:tcBorders>
            <w:shd w:val="clear" w:color="auto" w:fill="D2D2D2"/>
          </w:tcPr>
          <w:p>
            <w:pPr/>
          </w:p>
        </w:tc>
      </w:tr>
      <w:tr>
        <w:trPr>
          <w:trHeight w:val="1048"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24" w:right="161"/>
              <w:jc w:val="both"/>
              <w:rPr>
                <w:rFonts w:ascii="宋体" w:hAnsi="宋体" w:cs="宋体" w:eastAsia="宋体" w:hint="default"/>
                <w:sz w:val="18"/>
                <w:szCs w:val="18"/>
              </w:rPr>
            </w:pPr>
            <w:r>
              <w:rPr>
                <w:rFonts w:ascii="宋体" w:hAnsi="宋体" w:cs="宋体" w:eastAsia="宋体" w:hint="default"/>
                <w:sz w:val="18"/>
                <w:szCs w:val="18"/>
              </w:rPr>
              <w:t>拉萨市达实 投资发展有 限公司</w:t>
            </w:r>
          </w:p>
        </w:tc>
        <w:tc>
          <w:tcPr>
            <w:tcW w:w="656" w:type="dxa"/>
            <w:tcBorders>
              <w:top w:val="single" w:sz="18" w:space="0" w:color="D2D2D2"/>
              <w:left w:val="single" w:sz="4" w:space="0" w:color="000000"/>
              <w:bottom w:val="single" w:sz="4" w:space="0" w:color="000000"/>
              <w:right w:val="single" w:sz="4" w:space="0" w:color="000000"/>
            </w:tcBorders>
          </w:tcPr>
          <w:p>
            <w:pPr>
              <w:pStyle w:val="TableParagraph"/>
              <w:spacing w:line="316" w:lineRule="auto" w:before="53"/>
              <w:ind w:left="23" w:right="80"/>
              <w:jc w:val="both"/>
              <w:rPr>
                <w:rFonts w:ascii="宋体" w:hAnsi="宋体" w:cs="宋体" w:eastAsia="宋体" w:hint="default"/>
                <w:sz w:val="18"/>
                <w:szCs w:val="18"/>
              </w:rPr>
            </w:pPr>
            <w:r>
              <w:rPr>
                <w:rFonts w:ascii="宋体" w:hAnsi="宋体" w:cs="宋体" w:eastAsia="宋体" w:hint="default"/>
                <w:sz w:val="18"/>
                <w:szCs w:val="18"/>
              </w:rPr>
              <w:t>境内非 国有法 人</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z w:val="18"/>
              </w:rPr>
              <w:t>16.04%</w:t>
            </w:r>
          </w:p>
        </w:tc>
        <w:tc>
          <w:tcPr>
            <w:tcW w:w="1084" w:type="dxa"/>
            <w:tcBorders>
              <w:top w:val="single" w:sz="18" w:space="0" w:color="D2D2D2"/>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310,346,881</w:t>
            </w:r>
          </w:p>
        </w:tc>
        <w:tc>
          <w:tcPr>
            <w:tcW w:w="1136" w:type="dxa"/>
            <w:tcBorders>
              <w:top w:val="single" w:sz="18" w:space="0" w:color="D2D2D2"/>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7" w:right="0"/>
              <w:jc w:val="left"/>
              <w:rPr>
                <w:rFonts w:ascii="Times New Roman" w:hAnsi="Times New Roman" w:cs="Times New Roman" w:eastAsia="Times New Roman" w:hint="default"/>
                <w:sz w:val="18"/>
                <w:szCs w:val="18"/>
              </w:rPr>
            </w:pPr>
            <w:r>
              <w:rPr>
                <w:rFonts w:ascii="Times New Roman"/>
                <w:sz w:val="18"/>
              </w:rPr>
              <w:t>-51,402,700</w:t>
            </w:r>
          </w:p>
        </w:tc>
        <w:tc>
          <w:tcPr>
            <w:tcW w:w="1232" w:type="dxa"/>
            <w:tcBorders>
              <w:top w:val="single" w:sz="18" w:space="0" w:color="D2D2D2"/>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180" w:type="dxa"/>
            <w:gridSpan w:val="2"/>
            <w:tcBorders>
              <w:top w:val="single" w:sz="18" w:space="0" w:color="D2D2D2"/>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242" w:right="0"/>
              <w:jc w:val="left"/>
              <w:rPr>
                <w:rFonts w:ascii="Times New Roman" w:hAnsi="Times New Roman" w:cs="Times New Roman" w:eastAsia="Times New Roman" w:hint="default"/>
                <w:sz w:val="18"/>
                <w:szCs w:val="18"/>
              </w:rPr>
            </w:pPr>
            <w:r>
              <w:rPr>
                <w:rFonts w:ascii="Times New Roman"/>
                <w:sz w:val="18"/>
              </w:rPr>
              <w:t>310,346,881</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left="18"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180,840,000</w:t>
            </w:r>
          </w:p>
        </w:tc>
      </w:tr>
      <w:tr>
        <w:trPr>
          <w:trHeight w:val="715"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刘磅</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80"/>
              <w:jc w:val="left"/>
              <w:rPr>
                <w:rFonts w:ascii="宋体" w:hAnsi="宋体" w:cs="宋体" w:eastAsia="宋体" w:hint="default"/>
                <w:sz w:val="18"/>
                <w:szCs w:val="18"/>
              </w:rPr>
            </w:pPr>
            <w:r>
              <w:rPr>
                <w:rFonts w:ascii="宋体" w:hAnsi="宋体" w:cs="宋体" w:eastAsia="宋体" w:hint="default"/>
                <w:sz w:val="18"/>
                <w:szCs w:val="18"/>
              </w:rPr>
              <w:t>境内自 然人</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6.77%</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131,057,031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7" w:right="0"/>
              <w:jc w:val="left"/>
              <w:rPr>
                <w:rFonts w:ascii="Times New Roman" w:hAnsi="Times New Roman" w:cs="Times New Roman" w:eastAsia="Times New Roman" w:hint="default"/>
                <w:sz w:val="18"/>
                <w:szCs w:val="18"/>
              </w:rPr>
            </w:pPr>
            <w:r>
              <w:rPr>
                <w:rFonts w:ascii="Times New Roman"/>
                <w:sz w:val="18"/>
              </w:rPr>
              <w:t>-43,680,000</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131,052,773</w:t>
            </w:r>
          </w:p>
        </w:tc>
        <w:tc>
          <w:tcPr>
            <w:tcW w:w="11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36" w:right="0"/>
              <w:jc w:val="left"/>
              <w:rPr>
                <w:rFonts w:ascii="Times New Roman" w:hAnsi="Times New Roman" w:cs="Times New Roman" w:eastAsia="Times New Roman" w:hint="default"/>
                <w:sz w:val="18"/>
                <w:szCs w:val="18"/>
              </w:rPr>
            </w:pPr>
            <w:r>
              <w:rPr>
                <w:rFonts w:ascii="Times New Roman"/>
                <w:sz w:val="18"/>
              </w:rPr>
              <w:t>4,258</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8"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94,970,000</w:t>
            </w:r>
          </w:p>
        </w:tc>
      </w:tr>
      <w:tr>
        <w:trPr>
          <w:trHeight w:val="2273"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9"/>
              <w:jc w:val="left"/>
              <w:rPr>
                <w:rFonts w:ascii="宋体" w:hAnsi="宋体" w:cs="宋体" w:eastAsia="宋体" w:hint="default"/>
                <w:sz w:val="18"/>
                <w:szCs w:val="18"/>
              </w:rPr>
            </w:pPr>
            <w:r>
              <w:rPr>
                <w:rFonts w:ascii="宋体" w:hAnsi="宋体" w:cs="宋体" w:eastAsia="宋体" w:hint="default"/>
                <w:sz w:val="18"/>
                <w:szCs w:val="18"/>
              </w:rPr>
              <w:t>深圳市投控 资本有限公 司－深圳投 控共赢股权 投资基金合 </w:t>
            </w:r>
            <w:r>
              <w:rPr>
                <w:rFonts w:ascii="宋体" w:hAnsi="宋体" w:cs="宋体" w:eastAsia="宋体" w:hint="default"/>
                <w:spacing w:val="-7"/>
                <w:sz w:val="18"/>
                <w:szCs w:val="18"/>
              </w:rPr>
              <w:t>伙企业（有限</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合伙）</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4.92%</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95,108,000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17" w:right="0"/>
              <w:jc w:val="left"/>
              <w:rPr>
                <w:rFonts w:ascii="Times New Roman" w:hAnsi="Times New Roman" w:cs="Times New Roman" w:eastAsia="Times New Roman" w:hint="default"/>
                <w:sz w:val="18"/>
                <w:szCs w:val="18"/>
              </w:rPr>
            </w:pPr>
            <w:r>
              <w:rPr>
                <w:rFonts w:ascii="Times New Roman"/>
                <w:sz w:val="18"/>
              </w:rPr>
              <w:t>95,108,000</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1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331" w:right="0"/>
              <w:jc w:val="left"/>
              <w:rPr>
                <w:rFonts w:ascii="Times New Roman" w:hAnsi="Times New Roman" w:cs="Times New Roman" w:eastAsia="Times New Roman" w:hint="default"/>
                <w:sz w:val="18"/>
                <w:szCs w:val="18"/>
              </w:rPr>
            </w:pPr>
            <w:r>
              <w:rPr>
                <w:rFonts w:ascii="Times New Roman"/>
                <w:sz w:val="18"/>
              </w:rPr>
              <w:t>95,108,000</w:t>
            </w:r>
          </w:p>
        </w:tc>
        <w:tc>
          <w:tcPr>
            <w:tcW w:w="1258"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贾虹</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80"/>
              <w:jc w:val="left"/>
              <w:rPr>
                <w:rFonts w:ascii="宋体" w:hAnsi="宋体" w:cs="宋体" w:eastAsia="宋体" w:hint="default"/>
                <w:sz w:val="18"/>
                <w:szCs w:val="18"/>
              </w:rPr>
            </w:pPr>
            <w:r>
              <w:rPr>
                <w:rFonts w:ascii="宋体" w:hAnsi="宋体" w:cs="宋体" w:eastAsia="宋体" w:hint="default"/>
                <w:sz w:val="18"/>
                <w:szCs w:val="18"/>
              </w:rPr>
              <w:t>境内自 然人</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4.63%</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89,533,516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7" w:right="0"/>
              <w:jc w:val="left"/>
              <w:rPr>
                <w:rFonts w:ascii="Times New Roman" w:hAnsi="Times New Roman" w:cs="Times New Roman" w:eastAsia="Times New Roman" w:hint="default"/>
                <w:sz w:val="18"/>
                <w:szCs w:val="18"/>
              </w:rPr>
            </w:pPr>
            <w:r>
              <w:rPr>
                <w:rFonts w:ascii="Times New Roman"/>
                <w:sz w:val="18"/>
              </w:rPr>
              <w:t>-29,833,184</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89,525,025</w:t>
            </w:r>
          </w:p>
        </w:tc>
        <w:tc>
          <w:tcPr>
            <w:tcW w:w="11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36" w:right="0"/>
              <w:jc w:val="left"/>
              <w:rPr>
                <w:rFonts w:ascii="Times New Roman" w:hAnsi="Times New Roman" w:cs="Times New Roman" w:eastAsia="Times New Roman" w:hint="default"/>
                <w:sz w:val="18"/>
                <w:szCs w:val="18"/>
              </w:rPr>
            </w:pPr>
            <w:r>
              <w:rPr>
                <w:rFonts w:ascii="Times New Roman"/>
                <w:sz w:val="18"/>
              </w:rPr>
              <w:t>8,491</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8"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63,250,000</w:t>
            </w:r>
          </w:p>
        </w:tc>
      </w:tr>
      <w:tr>
        <w:trPr>
          <w:trHeight w:val="713"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房志刚</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80"/>
              <w:jc w:val="left"/>
              <w:rPr>
                <w:rFonts w:ascii="宋体" w:hAnsi="宋体" w:cs="宋体" w:eastAsia="宋体" w:hint="default"/>
                <w:sz w:val="18"/>
                <w:szCs w:val="18"/>
              </w:rPr>
            </w:pPr>
            <w:r>
              <w:rPr>
                <w:rFonts w:ascii="宋体" w:hAnsi="宋体" w:cs="宋体" w:eastAsia="宋体" w:hint="default"/>
                <w:sz w:val="18"/>
                <w:szCs w:val="18"/>
              </w:rPr>
              <w:t>境内自 然人</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pacing w:val="-2"/>
                <w:sz w:val="18"/>
              </w:rPr>
              <w:t>4.11%</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79,538,740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7" w:right="0"/>
              <w:jc w:val="left"/>
              <w:rPr>
                <w:rFonts w:ascii="Times New Roman" w:hAnsi="Times New Roman" w:cs="Times New Roman" w:eastAsia="Times New Roman" w:hint="default"/>
                <w:sz w:val="18"/>
                <w:szCs w:val="18"/>
              </w:rPr>
            </w:pPr>
            <w:r>
              <w:rPr>
                <w:rFonts w:ascii="Times New Roman"/>
                <w:sz w:val="18"/>
              </w:rPr>
              <w:t>-18,128,900</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1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31" w:right="0"/>
              <w:jc w:val="left"/>
              <w:rPr>
                <w:rFonts w:ascii="Times New Roman" w:hAnsi="Times New Roman" w:cs="Times New Roman" w:eastAsia="Times New Roman" w:hint="default"/>
                <w:sz w:val="18"/>
                <w:szCs w:val="18"/>
              </w:rPr>
            </w:pPr>
            <w:r>
              <w:rPr>
                <w:rFonts w:ascii="Times New Roman"/>
                <w:sz w:val="18"/>
              </w:rPr>
              <w:t>79,538,740</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8"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47,360,000</w:t>
            </w:r>
          </w:p>
        </w:tc>
      </w:tr>
      <w:tr>
        <w:trPr>
          <w:trHeight w:val="1028"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61"/>
              <w:jc w:val="both"/>
              <w:rPr>
                <w:rFonts w:ascii="宋体" w:hAnsi="宋体" w:cs="宋体" w:eastAsia="宋体" w:hint="default"/>
                <w:sz w:val="18"/>
                <w:szCs w:val="18"/>
              </w:rPr>
            </w:pPr>
            <w:r>
              <w:rPr>
                <w:rFonts w:ascii="宋体" w:hAnsi="宋体" w:cs="宋体" w:eastAsia="宋体" w:hint="default"/>
                <w:sz w:val="18"/>
                <w:szCs w:val="18"/>
              </w:rPr>
              <w:t>中信兴业投 资集团有限 公司</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80"/>
              <w:jc w:val="left"/>
              <w:rPr>
                <w:rFonts w:ascii="宋体" w:hAnsi="宋体" w:cs="宋体" w:eastAsia="宋体" w:hint="default"/>
                <w:sz w:val="18"/>
                <w:szCs w:val="18"/>
              </w:rPr>
            </w:pPr>
            <w:r>
              <w:rPr>
                <w:rFonts w:ascii="宋体" w:hAnsi="宋体" w:cs="宋体" w:eastAsia="宋体" w:hint="default"/>
                <w:sz w:val="18"/>
                <w:szCs w:val="18"/>
              </w:rPr>
              <w:t>国有法 人</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0.93%</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18,043,184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7" w:right="0"/>
              <w:jc w:val="left"/>
              <w:rPr>
                <w:rFonts w:ascii="Times New Roman" w:hAnsi="Times New Roman" w:cs="Times New Roman" w:eastAsia="Times New Roman" w:hint="default"/>
                <w:sz w:val="18"/>
                <w:szCs w:val="18"/>
              </w:rPr>
            </w:pPr>
            <w:r>
              <w:rPr>
                <w:rFonts w:ascii="Times New Roman"/>
                <w:sz w:val="18"/>
              </w:rPr>
              <w:t>18,043,184</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1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31" w:right="0"/>
              <w:jc w:val="left"/>
              <w:rPr>
                <w:rFonts w:ascii="Times New Roman" w:hAnsi="Times New Roman" w:cs="Times New Roman" w:eastAsia="Times New Roman" w:hint="default"/>
                <w:sz w:val="18"/>
                <w:szCs w:val="18"/>
              </w:rPr>
            </w:pPr>
            <w:r>
              <w:rPr>
                <w:rFonts w:ascii="Times New Roman"/>
                <w:sz w:val="18"/>
              </w:rPr>
              <w:t>18,043,184</w:t>
            </w:r>
          </w:p>
        </w:tc>
        <w:tc>
          <w:tcPr>
            <w:tcW w:w="1258"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李葛卫</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80"/>
              <w:jc w:val="left"/>
              <w:rPr>
                <w:rFonts w:ascii="宋体" w:hAnsi="宋体" w:cs="宋体" w:eastAsia="宋体" w:hint="default"/>
                <w:sz w:val="18"/>
                <w:szCs w:val="18"/>
              </w:rPr>
            </w:pPr>
            <w:r>
              <w:rPr>
                <w:rFonts w:ascii="宋体" w:hAnsi="宋体" w:cs="宋体" w:eastAsia="宋体" w:hint="default"/>
                <w:sz w:val="18"/>
                <w:szCs w:val="18"/>
              </w:rPr>
              <w:t>境内自 然人</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0.67%</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13,000,021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7" w:right="0"/>
              <w:jc w:val="left"/>
              <w:rPr>
                <w:rFonts w:ascii="Times New Roman" w:hAnsi="Times New Roman" w:cs="Times New Roman" w:eastAsia="Times New Roman" w:hint="default"/>
                <w:sz w:val="18"/>
                <w:szCs w:val="18"/>
              </w:rPr>
            </w:pPr>
            <w:r>
              <w:rPr>
                <w:rFonts w:ascii="Times New Roman"/>
                <w:sz w:val="18"/>
              </w:rPr>
              <w:t>1,900,021</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1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31" w:right="0"/>
              <w:jc w:val="left"/>
              <w:rPr>
                <w:rFonts w:ascii="Times New Roman" w:hAnsi="Times New Roman" w:cs="Times New Roman" w:eastAsia="Times New Roman" w:hint="default"/>
                <w:sz w:val="18"/>
                <w:szCs w:val="18"/>
              </w:rPr>
            </w:pPr>
            <w:r>
              <w:rPr>
                <w:rFonts w:ascii="Times New Roman"/>
                <w:sz w:val="18"/>
              </w:rPr>
              <w:t>13,000,021</w:t>
            </w:r>
          </w:p>
        </w:tc>
        <w:tc>
          <w:tcPr>
            <w:tcW w:w="1258"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苏俊锋</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80"/>
              <w:jc w:val="left"/>
              <w:rPr>
                <w:rFonts w:ascii="宋体" w:hAnsi="宋体" w:cs="宋体" w:eastAsia="宋体" w:hint="default"/>
                <w:sz w:val="18"/>
                <w:szCs w:val="18"/>
              </w:rPr>
            </w:pPr>
            <w:r>
              <w:rPr>
                <w:rFonts w:ascii="宋体" w:hAnsi="宋体" w:cs="宋体" w:eastAsia="宋体" w:hint="default"/>
                <w:sz w:val="18"/>
                <w:szCs w:val="18"/>
              </w:rPr>
              <w:t>境内自 然人</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0.60%</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11,678,531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7" w:right="0"/>
              <w:jc w:val="left"/>
              <w:rPr>
                <w:rFonts w:ascii="Times New Roman" w:hAnsi="Times New Roman" w:cs="Times New Roman" w:eastAsia="Times New Roman" w:hint="default"/>
                <w:sz w:val="18"/>
                <w:szCs w:val="18"/>
              </w:rPr>
            </w:pPr>
            <w:r>
              <w:rPr>
                <w:rFonts w:ascii="Times New Roman"/>
                <w:sz w:val="18"/>
              </w:rPr>
              <w:t>2,000,000</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9,258,898</w:t>
            </w:r>
          </w:p>
        </w:tc>
        <w:tc>
          <w:tcPr>
            <w:tcW w:w="11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22" w:right="0"/>
              <w:jc w:val="left"/>
              <w:rPr>
                <w:rFonts w:ascii="Times New Roman" w:hAnsi="Times New Roman" w:cs="Times New Roman" w:eastAsia="Times New Roman" w:hint="default"/>
                <w:sz w:val="18"/>
                <w:szCs w:val="18"/>
              </w:rPr>
            </w:pPr>
            <w:r>
              <w:rPr>
                <w:rFonts w:ascii="Times New Roman"/>
                <w:sz w:val="18"/>
              </w:rPr>
              <w:t>2,419,633</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8"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6,500,000</w:t>
            </w:r>
          </w:p>
        </w:tc>
      </w:tr>
      <w:tr>
        <w:trPr>
          <w:trHeight w:val="713"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程朋胜</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80"/>
              <w:jc w:val="left"/>
              <w:rPr>
                <w:rFonts w:ascii="宋体" w:hAnsi="宋体" w:cs="宋体" w:eastAsia="宋体" w:hint="default"/>
                <w:sz w:val="18"/>
                <w:szCs w:val="18"/>
              </w:rPr>
            </w:pPr>
            <w:r>
              <w:rPr>
                <w:rFonts w:ascii="宋体" w:hAnsi="宋体" w:cs="宋体" w:eastAsia="宋体" w:hint="default"/>
                <w:sz w:val="18"/>
                <w:szCs w:val="18"/>
              </w:rPr>
              <w:t>境内自 然人</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0.59%</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11,359,378</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7" w:right="0"/>
              <w:jc w:val="left"/>
              <w:rPr>
                <w:rFonts w:ascii="Times New Roman" w:hAnsi="Times New Roman" w:cs="Times New Roman" w:eastAsia="Times New Roman" w:hint="default"/>
                <w:sz w:val="18"/>
                <w:szCs w:val="18"/>
              </w:rPr>
            </w:pPr>
            <w:r>
              <w:rPr>
                <w:rFonts w:ascii="Times New Roman"/>
                <w:sz w:val="18"/>
              </w:rPr>
              <w:t>0</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8,519,533</w:t>
            </w:r>
          </w:p>
        </w:tc>
        <w:tc>
          <w:tcPr>
            <w:tcW w:w="11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22" w:right="0"/>
              <w:jc w:val="left"/>
              <w:rPr>
                <w:rFonts w:ascii="Times New Roman" w:hAnsi="Times New Roman" w:cs="Times New Roman" w:eastAsia="Times New Roman" w:hint="default"/>
                <w:sz w:val="18"/>
                <w:szCs w:val="18"/>
              </w:rPr>
            </w:pPr>
            <w:r>
              <w:rPr>
                <w:rFonts w:ascii="Times New Roman"/>
                <w:sz w:val="18"/>
              </w:rPr>
              <w:t>2,839,845</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8"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6,500,000</w:t>
            </w:r>
          </w:p>
        </w:tc>
      </w:tr>
      <w:tr>
        <w:trPr>
          <w:trHeight w:val="403"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王丹宇</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3" w:right="0"/>
              <w:jc w:val="left"/>
              <w:rPr>
                <w:rFonts w:ascii="宋体" w:hAnsi="宋体" w:cs="宋体" w:eastAsia="宋体" w:hint="default"/>
                <w:sz w:val="18"/>
                <w:szCs w:val="18"/>
              </w:rPr>
            </w:pPr>
            <w:r>
              <w:rPr>
                <w:rFonts w:ascii="宋体" w:hAnsi="宋体" w:cs="宋体" w:eastAsia="宋体" w:hint="default"/>
                <w:sz w:val="18"/>
                <w:szCs w:val="18"/>
              </w:rPr>
              <w:t>境内自</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0.52%</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5"/>
              <w:jc w:val="right"/>
              <w:rPr>
                <w:rFonts w:ascii="Times New Roman" w:hAnsi="Times New Roman" w:cs="Times New Roman" w:eastAsia="Times New Roman" w:hint="default"/>
                <w:sz w:val="18"/>
                <w:szCs w:val="18"/>
              </w:rPr>
            </w:pPr>
            <w:r>
              <w:rPr>
                <w:rFonts w:ascii="Times New Roman"/>
                <w:spacing w:val="-1"/>
                <w:sz w:val="18"/>
              </w:rPr>
              <w:t>10,000,000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 w:right="0"/>
              <w:jc w:val="left"/>
              <w:rPr>
                <w:rFonts w:ascii="Times New Roman" w:hAnsi="Times New Roman" w:cs="Times New Roman" w:eastAsia="Times New Roman" w:hint="default"/>
                <w:sz w:val="18"/>
                <w:szCs w:val="18"/>
              </w:rPr>
            </w:pPr>
            <w:r>
              <w:rPr>
                <w:rFonts w:ascii="Times New Roman"/>
                <w:sz w:val="18"/>
              </w:rPr>
              <w:t>-238,000</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1" w:right="0"/>
              <w:jc w:val="left"/>
              <w:rPr>
                <w:rFonts w:ascii="Times New Roman" w:hAnsi="Times New Roman" w:cs="Times New Roman" w:eastAsia="Times New Roman" w:hint="default"/>
                <w:sz w:val="18"/>
                <w:szCs w:val="18"/>
              </w:rPr>
            </w:pPr>
            <w:r>
              <w:rPr>
                <w:rFonts w:ascii="Times New Roman"/>
                <w:sz w:val="18"/>
              </w:rPr>
              <w:t>10,000,000</w:t>
            </w:r>
          </w:p>
        </w:tc>
        <w:tc>
          <w:tcPr>
            <w:tcW w:w="1258"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097"/>
        <w:gridCol w:w="650"/>
        <w:gridCol w:w="1045"/>
        <w:gridCol w:w="1073"/>
        <w:gridCol w:w="1142"/>
        <w:gridCol w:w="1232"/>
        <w:gridCol w:w="1174"/>
        <w:gridCol w:w="1258"/>
        <w:gridCol w:w="998"/>
      </w:tblGrid>
      <w:tr>
        <w:trPr>
          <w:trHeight w:val="363" w:hRule="exact"/>
        </w:trPr>
        <w:tc>
          <w:tcPr>
            <w:tcW w:w="1097" w:type="dxa"/>
            <w:tcBorders>
              <w:top w:val="single" w:sz="4" w:space="0" w:color="000000"/>
              <w:left w:val="single" w:sz="4" w:space="0" w:color="000000"/>
              <w:bottom w:val="single" w:sz="4" w:space="0" w:color="000000"/>
              <w:right w:val="single" w:sz="4" w:space="0" w:color="000000"/>
            </w:tcBorders>
          </w:tcPr>
          <w:p>
            <w:pP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然人</w:t>
            </w:r>
          </w:p>
        </w:tc>
        <w:tc>
          <w:tcPr>
            <w:tcW w:w="1045"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14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1174"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1748"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7922" w:type="dxa"/>
            <w:gridSpan w:val="7"/>
            <w:vMerge w:val="restart"/>
            <w:tcBorders>
              <w:top w:val="single" w:sz="4" w:space="0" w:color="000000"/>
              <w:left w:val="single" w:sz="9" w:space="0" w:color="D2D2D2"/>
              <w:right w:val="single" w:sz="4" w:space="0" w:color="000000"/>
            </w:tcBorders>
          </w:tcPr>
          <w:p>
            <w:pPr>
              <w:pStyle w:val="TableParagraph"/>
              <w:spacing w:line="316" w:lineRule="auto" w:before="49"/>
              <w:ind w:left="17" w:right="21"/>
              <w:jc w:val="both"/>
              <w:rPr>
                <w:rFonts w:ascii="宋体" w:hAnsi="宋体" w:cs="宋体" w:eastAsia="宋体" w:hint="default"/>
                <w:sz w:val="18"/>
                <w:szCs w:val="18"/>
              </w:rPr>
            </w:pPr>
            <w:r>
              <w:rPr>
                <w:rFonts w:ascii="宋体" w:hAnsi="宋体" w:cs="宋体" w:eastAsia="宋体" w:hint="default"/>
                <w:spacing w:val="-2"/>
                <w:sz w:val="18"/>
                <w:szCs w:val="18"/>
              </w:rPr>
              <w:t>拉萨市达实投资发展有限公司为控股股东；刘磅先生为公司实际控制人、董事长、总经理；贾虹女士</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2"/>
                <w:sz w:val="18"/>
                <w:szCs w:val="18"/>
              </w:rPr>
              <w:t>曾任公司董事；房志刚先生为公司全资子公司久信医疗创始人，曾任久信医疗总经理；程朋胜先生为</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2"/>
                <w:sz w:val="18"/>
                <w:szCs w:val="18"/>
              </w:rPr>
              <w:t>公司副总经理、董事；苏俊锋先生为公司副总经理、董事。除上述情形外，公司未知其他股东是否存</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在关联关系，也未知是否属于一致行动人。</w:t>
            </w:r>
          </w:p>
        </w:tc>
      </w:tr>
      <w:tr>
        <w:trPr>
          <w:trHeight w:val="703" w:hRule="exact"/>
        </w:trPr>
        <w:tc>
          <w:tcPr>
            <w:tcW w:w="1748"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24" w:right="93"/>
              <w:jc w:val="left"/>
              <w:rPr>
                <w:rFonts w:ascii="宋体" w:hAnsi="宋体" w:cs="宋体" w:eastAsia="宋体" w:hint="default"/>
                <w:sz w:val="18"/>
                <w:szCs w:val="18"/>
              </w:rPr>
            </w:pPr>
            <w:r>
              <w:rPr>
                <w:rFonts w:ascii="宋体" w:hAnsi="宋体" w:cs="宋体" w:eastAsia="宋体" w:hint="default"/>
                <w:sz w:val="18"/>
                <w:szCs w:val="18"/>
              </w:rPr>
              <w:t>上述股东关联关系或 一致行动的说明</w:t>
            </w:r>
          </w:p>
        </w:tc>
        <w:tc>
          <w:tcPr>
            <w:tcW w:w="7922" w:type="dxa"/>
            <w:gridSpan w:val="7"/>
            <w:vMerge/>
            <w:tcBorders>
              <w:left w:val="single" w:sz="9" w:space="0" w:color="D2D2D2"/>
              <w:right w:val="single" w:sz="4" w:space="0" w:color="000000"/>
            </w:tcBorders>
          </w:tcPr>
          <w:p>
            <w:pPr/>
          </w:p>
        </w:tc>
      </w:tr>
      <w:tr>
        <w:trPr>
          <w:trHeight w:val="317" w:hRule="exact"/>
        </w:trPr>
        <w:tc>
          <w:tcPr>
            <w:tcW w:w="1748"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7922" w:type="dxa"/>
            <w:gridSpan w:val="7"/>
            <w:vMerge/>
            <w:tcBorders>
              <w:left w:val="single" w:sz="9" w:space="0" w:color="D2D2D2"/>
              <w:bottom w:val="single" w:sz="4" w:space="0" w:color="000000"/>
              <w:right w:val="single" w:sz="4" w:space="0" w:color="000000"/>
            </w:tcBorders>
          </w:tcPr>
          <w:p>
            <w:pPr/>
          </w:p>
        </w:tc>
      </w:tr>
      <w:tr>
        <w:trPr>
          <w:trHeight w:val="403" w:hRule="exact"/>
        </w:trPr>
        <w:tc>
          <w:tcPr>
            <w:tcW w:w="9669"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名无限售条件股东持股情况</w:t>
            </w:r>
          </w:p>
        </w:tc>
      </w:tr>
      <w:tr>
        <w:trPr>
          <w:trHeight w:val="206" w:hRule="exact"/>
        </w:trPr>
        <w:tc>
          <w:tcPr>
            <w:tcW w:w="1748"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5665" w:type="dxa"/>
            <w:gridSpan w:val="5"/>
            <w:tcBorders>
              <w:top w:val="single" w:sz="4" w:space="0" w:color="000000"/>
              <w:left w:val="single" w:sz="4" w:space="0" w:color="000000"/>
              <w:bottom w:val="nil" w:sz="6" w:space="0" w:color="auto"/>
              <w:right w:val="single" w:sz="4" w:space="0" w:color="000000"/>
            </w:tcBorders>
            <w:shd w:val="clear" w:color="auto" w:fill="D2D2D2"/>
          </w:tcPr>
          <w:p>
            <w:pPr/>
          </w:p>
        </w:tc>
        <w:tc>
          <w:tcPr>
            <w:tcW w:w="225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190" w:hRule="exact"/>
        </w:trPr>
        <w:tc>
          <w:tcPr>
            <w:tcW w:w="1748"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509"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5665" w:type="dxa"/>
            <w:gridSpan w:val="5"/>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478"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2257"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748" w:type="dxa"/>
            <w:gridSpan w:val="2"/>
            <w:vMerge/>
            <w:tcBorders>
              <w:left w:val="single" w:sz="4" w:space="0" w:color="000000"/>
              <w:bottom w:val="nil" w:sz="6" w:space="0" w:color="auto"/>
              <w:right w:val="single" w:sz="4" w:space="0" w:color="000000"/>
            </w:tcBorders>
            <w:shd w:val="clear" w:color="auto" w:fill="D2D2D2"/>
          </w:tcPr>
          <w:p>
            <w:pPr/>
          </w:p>
        </w:tc>
        <w:tc>
          <w:tcPr>
            <w:tcW w:w="5665" w:type="dxa"/>
            <w:gridSpan w:val="5"/>
            <w:vMerge/>
            <w:tcBorders>
              <w:left w:val="single" w:sz="4" w:space="0" w:color="000000"/>
              <w:bottom w:val="nil" w:sz="6" w:space="0" w:color="auto"/>
              <w:right w:val="single" w:sz="4" w:space="0" w:color="000000"/>
            </w:tcBorders>
            <w:shd w:val="clear" w:color="auto" w:fill="D2D2D2"/>
          </w:tcPr>
          <w:p>
            <w:pPr/>
          </w:p>
        </w:tc>
        <w:tc>
          <w:tcPr>
            <w:tcW w:w="125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64"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9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4"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206" w:hRule="exact"/>
        </w:trPr>
        <w:tc>
          <w:tcPr>
            <w:tcW w:w="1748"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5665" w:type="dxa"/>
            <w:gridSpan w:val="5"/>
            <w:tcBorders>
              <w:top w:val="nil" w:sz="6" w:space="0" w:color="auto"/>
              <w:left w:val="single" w:sz="4" w:space="0" w:color="000000"/>
              <w:bottom w:val="single" w:sz="4" w:space="0" w:color="000000"/>
              <w:right w:val="single" w:sz="4" w:space="0" w:color="000000"/>
            </w:tcBorders>
            <w:shd w:val="clear" w:color="auto" w:fill="D2D2D2"/>
          </w:tcPr>
          <w:p>
            <w:pPr/>
          </w:p>
        </w:tc>
        <w:tc>
          <w:tcPr>
            <w:tcW w:w="1258" w:type="dxa"/>
            <w:vMerge/>
            <w:tcBorders>
              <w:left w:val="single" w:sz="4" w:space="0" w:color="000000"/>
              <w:bottom w:val="single" w:sz="4" w:space="0" w:color="000000"/>
              <w:right w:val="single" w:sz="4" w:space="0" w:color="000000"/>
            </w:tcBorders>
            <w:shd w:val="clear" w:color="auto" w:fill="D2D2D2"/>
          </w:tcPr>
          <w:p>
            <w:pPr/>
          </w:p>
        </w:tc>
        <w:tc>
          <w:tcPr>
            <w:tcW w:w="998" w:type="dxa"/>
            <w:vMerge/>
            <w:tcBorders>
              <w:left w:val="single" w:sz="4" w:space="0" w:color="000000"/>
              <w:bottom w:val="single" w:sz="4" w:space="0" w:color="000000"/>
              <w:right w:val="single" w:sz="4" w:space="0" w:color="000000"/>
            </w:tcBorders>
            <w:shd w:val="clear" w:color="auto" w:fill="D2D2D2"/>
          </w:tcPr>
          <w:p>
            <w:pPr/>
          </w:p>
        </w:tc>
      </w:tr>
      <w:tr>
        <w:trPr>
          <w:trHeight w:val="713" w:hRule="exact"/>
        </w:trPr>
        <w:tc>
          <w:tcPr>
            <w:tcW w:w="1748"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93"/>
              <w:jc w:val="left"/>
              <w:rPr>
                <w:rFonts w:ascii="宋体" w:hAnsi="宋体" w:cs="宋体" w:eastAsia="宋体" w:hint="default"/>
                <w:sz w:val="18"/>
                <w:szCs w:val="18"/>
              </w:rPr>
            </w:pPr>
            <w:r>
              <w:rPr>
                <w:rFonts w:ascii="宋体" w:hAnsi="宋体" w:cs="宋体" w:eastAsia="宋体" w:hint="default"/>
                <w:sz w:val="18"/>
                <w:szCs w:val="18"/>
              </w:rPr>
              <w:t>拉萨市达实投资发展 有限公司</w:t>
            </w:r>
          </w:p>
        </w:tc>
        <w:tc>
          <w:tcPr>
            <w:tcW w:w="566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310,346,881</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310,346,881</w:t>
            </w:r>
          </w:p>
        </w:tc>
      </w:tr>
      <w:tr>
        <w:trPr>
          <w:trHeight w:val="1340" w:hRule="exact"/>
        </w:trPr>
        <w:tc>
          <w:tcPr>
            <w:tcW w:w="1748" w:type="dxa"/>
            <w:gridSpan w:val="2"/>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93"/>
              <w:jc w:val="both"/>
              <w:rPr>
                <w:rFonts w:ascii="宋体" w:hAnsi="宋体" w:cs="宋体" w:eastAsia="宋体" w:hint="default"/>
                <w:sz w:val="18"/>
                <w:szCs w:val="18"/>
              </w:rPr>
            </w:pPr>
            <w:r>
              <w:rPr>
                <w:rFonts w:ascii="宋体" w:hAnsi="宋体" w:cs="宋体" w:eastAsia="宋体" w:hint="default"/>
                <w:sz w:val="18"/>
                <w:szCs w:val="18"/>
              </w:rPr>
              <w:t>深圳市投控资本有限 公司－深圳投控共赢 股权投资基金合伙企 业（有限合伙）</w:t>
            </w:r>
          </w:p>
        </w:tc>
        <w:tc>
          <w:tcPr>
            <w:tcW w:w="566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95,108,000</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95,108,000</w:t>
            </w:r>
          </w:p>
        </w:tc>
      </w:tr>
      <w:tr>
        <w:trPr>
          <w:trHeight w:val="401" w:hRule="exact"/>
        </w:trPr>
        <w:tc>
          <w:tcPr>
            <w:tcW w:w="174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房志刚</w:t>
            </w:r>
          </w:p>
        </w:tc>
        <w:tc>
          <w:tcPr>
            <w:tcW w:w="566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79,538,740</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79,538,740</w:t>
            </w:r>
          </w:p>
        </w:tc>
      </w:tr>
      <w:tr>
        <w:trPr>
          <w:trHeight w:val="715" w:hRule="exact"/>
        </w:trPr>
        <w:tc>
          <w:tcPr>
            <w:tcW w:w="1748"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93"/>
              <w:jc w:val="left"/>
              <w:rPr>
                <w:rFonts w:ascii="宋体" w:hAnsi="宋体" w:cs="宋体" w:eastAsia="宋体" w:hint="default"/>
                <w:sz w:val="18"/>
                <w:szCs w:val="18"/>
              </w:rPr>
            </w:pPr>
            <w:r>
              <w:rPr>
                <w:rFonts w:ascii="宋体" w:hAnsi="宋体" w:cs="宋体" w:eastAsia="宋体" w:hint="default"/>
                <w:sz w:val="18"/>
                <w:szCs w:val="18"/>
              </w:rPr>
              <w:t>中信兴业投资集团有 限公司</w:t>
            </w:r>
          </w:p>
        </w:tc>
        <w:tc>
          <w:tcPr>
            <w:tcW w:w="566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18,043,184</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18,043,184</w:t>
            </w:r>
          </w:p>
        </w:tc>
      </w:tr>
      <w:tr>
        <w:trPr>
          <w:trHeight w:val="401" w:hRule="exact"/>
        </w:trPr>
        <w:tc>
          <w:tcPr>
            <w:tcW w:w="174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李葛卫</w:t>
            </w:r>
          </w:p>
        </w:tc>
        <w:tc>
          <w:tcPr>
            <w:tcW w:w="566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13,000,021</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13,000,021</w:t>
            </w:r>
          </w:p>
        </w:tc>
      </w:tr>
      <w:tr>
        <w:trPr>
          <w:trHeight w:val="403" w:hRule="exact"/>
        </w:trPr>
        <w:tc>
          <w:tcPr>
            <w:tcW w:w="174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王丹宇</w:t>
            </w:r>
          </w:p>
        </w:tc>
        <w:tc>
          <w:tcPr>
            <w:tcW w:w="566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w:t>
            </w:r>
          </w:p>
        </w:tc>
      </w:tr>
      <w:tr>
        <w:trPr>
          <w:trHeight w:val="713" w:hRule="exact"/>
        </w:trPr>
        <w:tc>
          <w:tcPr>
            <w:tcW w:w="1748"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93"/>
              <w:jc w:val="left"/>
              <w:rPr>
                <w:rFonts w:ascii="宋体" w:hAnsi="宋体" w:cs="宋体" w:eastAsia="宋体" w:hint="default"/>
                <w:sz w:val="18"/>
                <w:szCs w:val="18"/>
              </w:rPr>
            </w:pPr>
            <w:r>
              <w:rPr>
                <w:rFonts w:ascii="宋体" w:hAnsi="宋体" w:cs="宋体" w:eastAsia="宋体" w:hint="default"/>
                <w:sz w:val="18"/>
                <w:szCs w:val="18"/>
              </w:rPr>
              <w:t>香港中央结算有限公 司</w:t>
            </w:r>
          </w:p>
        </w:tc>
        <w:tc>
          <w:tcPr>
            <w:tcW w:w="566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7,939,373</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7,939,373</w:t>
            </w:r>
          </w:p>
        </w:tc>
      </w:tr>
      <w:tr>
        <w:trPr>
          <w:trHeight w:val="715" w:hRule="exact"/>
        </w:trPr>
        <w:tc>
          <w:tcPr>
            <w:tcW w:w="1748"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93"/>
              <w:jc w:val="left"/>
              <w:rPr>
                <w:rFonts w:ascii="宋体" w:hAnsi="宋体" w:cs="宋体" w:eastAsia="宋体" w:hint="default"/>
                <w:sz w:val="18"/>
                <w:szCs w:val="18"/>
              </w:rPr>
            </w:pPr>
            <w:r>
              <w:rPr>
                <w:rFonts w:ascii="宋体" w:hAnsi="宋体" w:cs="宋体" w:eastAsia="宋体" w:hint="default"/>
                <w:sz w:val="18"/>
                <w:szCs w:val="18"/>
              </w:rPr>
              <w:t>中国节能减排有限公 司</w:t>
            </w:r>
          </w:p>
        </w:tc>
        <w:tc>
          <w:tcPr>
            <w:tcW w:w="566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7,832,400</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7,832,400</w:t>
            </w:r>
          </w:p>
        </w:tc>
      </w:tr>
      <w:tr>
        <w:trPr>
          <w:trHeight w:val="713" w:hRule="exact"/>
        </w:trPr>
        <w:tc>
          <w:tcPr>
            <w:tcW w:w="1748"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93"/>
              <w:jc w:val="left"/>
              <w:rPr>
                <w:rFonts w:ascii="Times New Roman" w:hAnsi="Times New Roman" w:cs="Times New Roman" w:eastAsia="Times New Roman" w:hint="default"/>
                <w:sz w:val="18"/>
                <w:szCs w:val="18"/>
              </w:rPr>
            </w:pPr>
            <w:r>
              <w:rPr>
                <w:rFonts w:ascii="宋体" w:hAnsi="宋体" w:cs="宋体" w:eastAsia="宋体" w:hint="default"/>
                <w:sz w:val="18"/>
                <w:szCs w:val="18"/>
              </w:rPr>
              <w:t>中意人寿保险有限公 司－分红产品</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w:t>
            </w:r>
          </w:p>
        </w:tc>
        <w:tc>
          <w:tcPr>
            <w:tcW w:w="566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6,414,221</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6,414,221</w:t>
            </w:r>
          </w:p>
        </w:tc>
      </w:tr>
      <w:tr>
        <w:trPr>
          <w:trHeight w:val="403" w:hRule="exact"/>
        </w:trPr>
        <w:tc>
          <w:tcPr>
            <w:tcW w:w="174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徐谌</w:t>
            </w:r>
          </w:p>
        </w:tc>
        <w:tc>
          <w:tcPr>
            <w:tcW w:w="566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5,770,000</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5,770,000</w:t>
            </w:r>
          </w:p>
        </w:tc>
      </w:tr>
      <w:tr>
        <w:trPr>
          <w:trHeight w:val="1961" w:hRule="exact"/>
        </w:trPr>
        <w:tc>
          <w:tcPr>
            <w:tcW w:w="174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名无限售流通股</w:t>
            </w:r>
          </w:p>
          <w:p>
            <w:pPr>
              <w:pStyle w:val="TableParagraph"/>
              <w:spacing w:line="309" w:lineRule="auto" w:before="63"/>
              <w:ind w:left="24" w:right="17"/>
              <w:jc w:val="left"/>
              <w:rPr>
                <w:rFonts w:ascii="宋体" w:hAnsi="宋体" w:cs="宋体" w:eastAsia="宋体" w:hint="default"/>
                <w:sz w:val="18"/>
                <w:szCs w:val="18"/>
              </w:rPr>
            </w:pPr>
            <w:r>
              <w:rPr>
                <w:rFonts w:ascii="宋体" w:hAnsi="宋体" w:cs="宋体" w:eastAsia="宋体" w:hint="default"/>
                <w:sz w:val="18"/>
                <w:szCs w:val="18"/>
              </w:rPr>
              <w:t>股东之间，以及前</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 和前</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名股东之间关 联关系或一致行动的 说明</w:t>
            </w:r>
          </w:p>
        </w:tc>
        <w:tc>
          <w:tcPr>
            <w:tcW w:w="7922"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316" w:lineRule="auto"/>
              <w:ind w:left="23" w:right="23"/>
              <w:jc w:val="left"/>
              <w:rPr>
                <w:rFonts w:ascii="宋体" w:hAnsi="宋体" w:cs="宋体" w:eastAsia="宋体" w:hint="default"/>
                <w:sz w:val="18"/>
                <w:szCs w:val="18"/>
              </w:rPr>
            </w:pPr>
            <w:r>
              <w:rPr>
                <w:rFonts w:ascii="宋体" w:hAnsi="宋体" w:cs="宋体" w:eastAsia="宋体" w:hint="default"/>
                <w:spacing w:val="-2"/>
                <w:sz w:val="18"/>
                <w:szCs w:val="18"/>
              </w:rPr>
              <w:t>拉萨市达实投资发展有限公司为控股股东；房志刚先生为公司全资子公司久信医疗创始人，曾任久信</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医疗总经理。除上述情形外，公司未知其他股东是否存在关联关系，也未知是否属于一致行动人。</w:t>
            </w:r>
          </w:p>
        </w:tc>
      </w:tr>
      <w:tr>
        <w:trPr>
          <w:trHeight w:val="1339" w:hRule="exact"/>
        </w:trPr>
        <w:tc>
          <w:tcPr>
            <w:tcW w:w="174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49"/>
              <w:ind w:left="24" w:right="17"/>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名普通股股东参 与融资融券业务情况 </w:t>
            </w:r>
            <w:r>
              <w:rPr>
                <w:rFonts w:ascii="宋体" w:hAnsi="宋体" w:cs="宋体" w:eastAsia="宋体" w:hint="default"/>
                <w:spacing w:val="-12"/>
                <w:sz w:val="18"/>
                <w:szCs w:val="18"/>
              </w:rPr>
              <w:t>说明（如有）（参见注</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7922"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09" w:lineRule="auto"/>
              <w:ind w:left="23" w:right="141"/>
              <w:jc w:val="left"/>
              <w:rPr>
                <w:rFonts w:ascii="宋体" w:hAnsi="宋体" w:cs="宋体" w:eastAsia="宋体" w:hint="default"/>
                <w:sz w:val="18"/>
                <w:szCs w:val="18"/>
              </w:rPr>
            </w:pPr>
            <w:r>
              <w:rPr>
                <w:rFonts w:ascii="宋体" w:hAnsi="宋体" w:cs="宋体" w:eastAsia="宋体" w:hint="default"/>
                <w:sz w:val="18"/>
                <w:szCs w:val="18"/>
              </w:rPr>
              <w:t>拉萨市达实投资发展有限公司通过东北证券股份有限公司客户信用交易担保证券账户持有 </w:t>
            </w:r>
            <w:r>
              <w:rPr>
                <w:rFonts w:ascii="Times New Roman" w:hAnsi="Times New Roman" w:cs="Times New Roman" w:eastAsia="Times New Roman" w:hint="default"/>
                <w:sz w:val="18"/>
                <w:szCs w:val="18"/>
              </w:rPr>
              <w:t>108,100,250 </w:t>
            </w:r>
            <w:r>
              <w:rPr>
                <w:rFonts w:ascii="宋体" w:hAnsi="宋体" w:cs="宋体" w:eastAsia="宋体" w:hint="default"/>
                <w:sz w:val="18"/>
                <w:szCs w:val="18"/>
              </w:rPr>
              <w:t>股股份；李葛卫通过国都证券股份有限公司客户信用交易担保证券账户持有</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13,000,021 </w:t>
            </w:r>
            <w:r>
              <w:rPr>
                <w:rFonts w:ascii="宋体" w:hAnsi="宋体" w:cs="宋体" w:eastAsia="宋体" w:hint="default"/>
                <w:sz w:val="18"/>
                <w:szCs w:val="18"/>
              </w:rPr>
              <w:t>股股份。</w:t>
            </w:r>
          </w:p>
        </w:tc>
      </w:tr>
    </w:tbl>
    <w:p>
      <w:pPr>
        <w:pStyle w:val="BodyText"/>
        <w:spacing w:line="240" w:lineRule="auto" w:before="49"/>
        <w:ind w:right="1133"/>
        <w:jc w:val="left"/>
      </w:pPr>
      <w:r>
        <w:rPr/>
        <w:t>公司前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7"/>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名无限售条件普通股股东在报告期内是否进行约定购回交易</w:t>
      </w:r>
    </w:p>
    <w:p>
      <w:pPr>
        <w:pStyle w:val="BodyText"/>
        <w:spacing w:line="240" w:lineRule="auto" w:before="101"/>
        <w:ind w:right="1133"/>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pStyle w:val="BodyText"/>
        <w:spacing w:line="240" w:lineRule="auto" w:before="103"/>
        <w:ind w:right="1133"/>
        <w:jc w:val="left"/>
      </w:pPr>
      <w:r>
        <w:rPr/>
        <w:t>公司前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7"/>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名无限售条件普通股股东在报告期内未进行约定购回交易。</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1133"/>
        <w:jc w:val="left"/>
        <w:rPr>
          <w:b w:val="0"/>
          <w:bCs w:val="0"/>
        </w:rPr>
      </w:pPr>
      <w:bookmarkStart w:name="2、公司控股股东情况" w:id="117"/>
      <w:bookmarkEnd w:id="117"/>
      <w:r>
        <w:rPr>
          <w:b w:val="0"/>
          <w:bCs w:val="0"/>
        </w:rPr>
      </w:r>
      <w:r>
        <w:rPr>
          <w:rFonts w:ascii="Times New Roman" w:hAnsi="Times New Roman" w:cs="Times New Roman" w:eastAsia="Times New Roman" w:hint="default"/>
        </w:rPr>
        <w:t>2</w:t>
      </w:r>
      <w:r>
        <w:rPr/>
        <w:t>、公司控股股东情况</w:t>
      </w:r>
      <w:r>
        <w:rPr>
          <w:b w:val="0"/>
          <w:bCs w:val="0"/>
        </w:rPr>
      </w:r>
    </w:p>
    <w:p>
      <w:pPr>
        <w:spacing w:line="240" w:lineRule="auto" w:before="5"/>
        <w:rPr>
          <w:rFonts w:ascii="宋体" w:hAnsi="宋体" w:cs="宋体" w:eastAsia="宋体" w:hint="default"/>
          <w:b/>
          <w:bCs/>
          <w:sz w:val="26"/>
          <w:szCs w:val="26"/>
        </w:rPr>
      </w:pPr>
    </w:p>
    <w:p>
      <w:pPr>
        <w:pStyle w:val="BodyText"/>
        <w:spacing w:line="357" w:lineRule="auto"/>
        <w:ind w:right="8594"/>
        <w:jc w:val="left"/>
      </w:pPr>
      <w:r>
        <w:rPr/>
        <w:t>控股股东性质：自然人控股 控股股东类型：法人</w:t>
      </w:r>
    </w:p>
    <w:tbl>
      <w:tblPr>
        <w:tblW w:w="0" w:type="auto"/>
        <w:jc w:val="left"/>
        <w:tblInd w:w="148" w:type="dxa"/>
        <w:tblLayout w:type="fixed"/>
        <w:tblCellMar>
          <w:top w:w="0" w:type="dxa"/>
          <w:left w:w="0" w:type="dxa"/>
          <w:bottom w:w="0" w:type="dxa"/>
          <w:right w:w="0" w:type="dxa"/>
        </w:tblCellMar>
        <w:tblLook w:val="01E0"/>
      </w:tblPr>
      <w:tblGrid>
        <w:gridCol w:w="2062"/>
        <w:gridCol w:w="862"/>
        <w:gridCol w:w="840"/>
        <w:gridCol w:w="1003"/>
        <w:gridCol w:w="4902"/>
      </w:tblGrid>
      <w:tr>
        <w:trPr>
          <w:trHeight w:val="1025" w:hRule="exact"/>
        </w:trPr>
        <w:tc>
          <w:tcPr>
            <w:tcW w:w="2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485" w:right="0"/>
              <w:jc w:val="left"/>
              <w:rPr>
                <w:rFonts w:ascii="宋体" w:hAnsi="宋体" w:cs="宋体" w:eastAsia="宋体" w:hint="default"/>
                <w:sz w:val="18"/>
                <w:szCs w:val="18"/>
              </w:rPr>
            </w:pPr>
            <w:r>
              <w:rPr>
                <w:rFonts w:ascii="宋体" w:hAnsi="宋体" w:cs="宋体" w:eastAsia="宋体" w:hint="default"/>
                <w:sz w:val="18"/>
                <w:szCs w:val="18"/>
              </w:rPr>
              <w:t>控股股东名称</w:t>
            </w:r>
          </w:p>
        </w:tc>
        <w:tc>
          <w:tcPr>
            <w:tcW w:w="8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40" w:right="39" w:firstLine="2"/>
              <w:jc w:val="center"/>
              <w:rPr>
                <w:rFonts w:ascii="宋体" w:hAnsi="宋体" w:cs="宋体" w:eastAsia="宋体" w:hint="default"/>
                <w:sz w:val="18"/>
                <w:szCs w:val="18"/>
              </w:rPr>
            </w:pPr>
            <w:r>
              <w:rPr>
                <w:rFonts w:ascii="宋体" w:hAnsi="宋体" w:cs="宋体" w:eastAsia="宋体" w:hint="default"/>
                <w:sz w:val="18"/>
                <w:szCs w:val="18"/>
              </w:rPr>
              <w:t>法定代表 人</w:t>
            </w:r>
            <w:r>
              <w:rPr>
                <w:rFonts w:ascii="Times New Roman" w:hAnsi="Times New Roman" w:cs="Times New Roman" w:eastAsia="Times New Roman" w:hint="default"/>
                <w:sz w:val="18"/>
                <w:szCs w:val="18"/>
              </w:rPr>
              <w:t>/</w:t>
            </w:r>
            <w:r>
              <w:rPr>
                <w:rFonts w:ascii="宋体" w:hAnsi="宋体" w:cs="宋体" w:eastAsia="宋体" w:hint="default"/>
                <w:sz w:val="18"/>
                <w:szCs w:val="18"/>
              </w:rPr>
              <w:t>单位负 责人</w:t>
            </w:r>
          </w:p>
        </w:tc>
        <w:tc>
          <w:tcPr>
            <w:tcW w:w="8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55" w:right="0"/>
              <w:jc w:val="left"/>
              <w:rPr>
                <w:rFonts w:ascii="宋体" w:hAnsi="宋体" w:cs="宋体" w:eastAsia="宋体" w:hint="default"/>
                <w:sz w:val="18"/>
                <w:szCs w:val="18"/>
              </w:rPr>
            </w:pPr>
            <w:r>
              <w:rPr>
                <w:rFonts w:ascii="宋体" w:hAnsi="宋体" w:cs="宋体" w:eastAsia="宋体" w:hint="default"/>
                <w:sz w:val="18"/>
                <w:szCs w:val="18"/>
              </w:rPr>
              <w:t>成立日期</w:t>
            </w:r>
          </w:p>
        </w:tc>
        <w:tc>
          <w:tcPr>
            <w:tcW w:w="10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407" w:right="43" w:hanging="360"/>
              <w:jc w:val="left"/>
              <w:rPr>
                <w:rFonts w:ascii="宋体" w:hAnsi="宋体" w:cs="宋体" w:eastAsia="宋体" w:hint="default"/>
                <w:sz w:val="18"/>
                <w:szCs w:val="18"/>
              </w:rPr>
            </w:pPr>
            <w:r>
              <w:rPr>
                <w:rFonts w:ascii="宋体" w:hAnsi="宋体" w:cs="宋体" w:eastAsia="宋体" w:hint="default"/>
                <w:sz w:val="18"/>
                <w:szCs w:val="18"/>
              </w:rPr>
              <w:t>组织机构代 码</w:t>
            </w:r>
          </w:p>
        </w:tc>
        <w:tc>
          <w:tcPr>
            <w:tcW w:w="49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主要经营业务</w:t>
            </w:r>
          </w:p>
        </w:tc>
      </w:tr>
      <w:tr>
        <w:trPr>
          <w:trHeight w:val="1027" w:hRule="exact"/>
        </w:trPr>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4" w:lineRule="auto"/>
              <w:ind w:left="24" w:right="46"/>
              <w:jc w:val="left"/>
              <w:rPr>
                <w:rFonts w:ascii="宋体" w:hAnsi="宋体" w:cs="宋体" w:eastAsia="宋体" w:hint="default"/>
                <w:sz w:val="18"/>
                <w:szCs w:val="18"/>
              </w:rPr>
            </w:pPr>
            <w:r>
              <w:rPr>
                <w:rFonts w:ascii="宋体" w:hAnsi="宋体" w:cs="宋体" w:eastAsia="宋体" w:hint="default"/>
                <w:sz w:val="18"/>
                <w:szCs w:val="18"/>
              </w:rPr>
              <w:t>拉萨市达实投资发展有限 公司</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刘昂</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1997 </w:t>
            </w:r>
            <w:r>
              <w:rPr>
                <w:rFonts w:ascii="宋体" w:hAnsi="宋体" w:cs="宋体" w:eastAsia="宋体" w:hint="default"/>
                <w:sz w:val="18"/>
                <w:szCs w:val="18"/>
              </w:rPr>
              <w:t>年</w:t>
            </w:r>
            <w:r>
              <w:rPr>
                <w:rFonts w:ascii="宋体" w:hAnsi="宋体" w:cs="宋体" w:eastAsia="宋体" w:hint="default"/>
                <w:spacing w:val="-73"/>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27933775-0</w:t>
            </w:r>
          </w:p>
        </w:tc>
        <w:tc>
          <w:tcPr>
            <w:tcW w:w="49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23"/>
              <w:jc w:val="left"/>
              <w:rPr>
                <w:rFonts w:ascii="宋体" w:hAnsi="宋体" w:cs="宋体" w:eastAsia="宋体" w:hint="default"/>
                <w:sz w:val="18"/>
                <w:szCs w:val="18"/>
              </w:rPr>
            </w:pPr>
            <w:r>
              <w:rPr>
                <w:rFonts w:ascii="宋体" w:hAnsi="宋体" w:cs="宋体" w:eastAsia="宋体" w:hint="default"/>
                <w:spacing w:val="-4"/>
                <w:sz w:val="18"/>
                <w:szCs w:val="18"/>
              </w:rPr>
              <w:t>投资兴办实业（具体项目另报）；国内商业、物资供销业；软</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1"/>
                <w:sz w:val="18"/>
                <w:szCs w:val="18"/>
              </w:rPr>
              <w:t>件技术开发、经济信息咨询；通讯产品销售及研发；自营和代</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理各类商品及技术的净出口业务</w:t>
            </w:r>
          </w:p>
        </w:tc>
      </w:tr>
      <w:tr>
        <w:trPr>
          <w:trHeight w:val="1028" w:hRule="exact"/>
        </w:trPr>
        <w:tc>
          <w:tcPr>
            <w:tcW w:w="2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4" w:right="45"/>
              <w:jc w:val="both"/>
              <w:rPr>
                <w:rFonts w:ascii="宋体" w:hAnsi="宋体" w:cs="宋体" w:eastAsia="宋体" w:hint="default"/>
                <w:sz w:val="18"/>
                <w:szCs w:val="18"/>
              </w:rPr>
            </w:pPr>
            <w:r>
              <w:rPr>
                <w:rFonts w:ascii="宋体" w:hAnsi="宋体" w:cs="宋体" w:eastAsia="宋体" w:hint="default"/>
                <w:sz w:val="18"/>
                <w:szCs w:val="18"/>
              </w:rPr>
              <w:t>控股股东报告期内控股和 参股的其他境内外上市公 司的股权情况</w:t>
            </w:r>
          </w:p>
        </w:tc>
        <w:tc>
          <w:tcPr>
            <w:tcW w:w="7607"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日，拉萨市达实投资发展有限公司持有深圳市天健（集团）股份有限公司</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（股票简称：天健集团，股票代码：</w:t>
            </w:r>
            <w:r>
              <w:rPr>
                <w:rFonts w:ascii="Times New Roman" w:hAnsi="Times New Roman" w:cs="Times New Roman" w:eastAsia="Times New Roman" w:hint="default"/>
                <w:sz w:val="18"/>
                <w:szCs w:val="18"/>
              </w:rPr>
              <w:t>000090</w:t>
            </w:r>
            <w:r>
              <w:rPr>
                <w:rFonts w:ascii="宋体" w:hAnsi="宋体" w:cs="宋体" w:eastAsia="宋体" w:hint="default"/>
                <w:sz w:val="18"/>
                <w:szCs w:val="18"/>
              </w:rPr>
              <w:t>）</w:t>
            </w:r>
            <w:r>
              <w:rPr>
                <w:rFonts w:ascii="Times New Roman" w:hAnsi="Times New Roman" w:cs="Times New Roman" w:eastAsia="Times New Roman" w:hint="default"/>
                <w:sz w:val="18"/>
                <w:szCs w:val="18"/>
              </w:rPr>
              <w:t>12,806,731</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股股份。</w:t>
            </w:r>
          </w:p>
        </w:tc>
      </w:tr>
    </w:tbl>
    <w:p>
      <w:pPr>
        <w:pStyle w:val="BodyText"/>
        <w:spacing w:line="240" w:lineRule="auto" w:before="70"/>
        <w:ind w:right="1133"/>
        <w:jc w:val="left"/>
      </w:pPr>
      <w:r>
        <w:rPr/>
        <w:t>控股股东报告期内变更</w:t>
      </w:r>
    </w:p>
    <w:p>
      <w:pPr>
        <w:pStyle w:val="BodyText"/>
        <w:spacing w:line="340" w:lineRule="auto" w:before="115"/>
        <w:ind w:right="7321"/>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公司报告期控股股东未发生变更。</w:t>
      </w:r>
    </w:p>
    <w:p>
      <w:pPr>
        <w:spacing w:line="240" w:lineRule="auto" w:before="3"/>
        <w:rPr>
          <w:rFonts w:ascii="宋体" w:hAnsi="宋体" w:cs="宋体" w:eastAsia="宋体" w:hint="default"/>
          <w:sz w:val="21"/>
          <w:szCs w:val="21"/>
        </w:rPr>
      </w:pPr>
    </w:p>
    <w:p>
      <w:pPr>
        <w:pStyle w:val="Heading4"/>
        <w:spacing w:line="240" w:lineRule="auto"/>
        <w:ind w:right="1133"/>
        <w:jc w:val="left"/>
        <w:rPr>
          <w:b w:val="0"/>
          <w:bCs w:val="0"/>
        </w:rPr>
      </w:pPr>
      <w:bookmarkStart w:name="3、公司实际控制人及其一致行动人" w:id="118"/>
      <w:bookmarkEnd w:id="118"/>
      <w:r>
        <w:rPr>
          <w:b w:val="0"/>
          <w:bCs w:val="0"/>
        </w:rPr>
      </w:r>
      <w:r>
        <w:rPr>
          <w:rFonts w:ascii="Times New Roman" w:hAnsi="Times New Roman" w:cs="Times New Roman" w:eastAsia="Times New Roman" w:hint="default"/>
        </w:rPr>
        <w:t>3</w:t>
      </w:r>
      <w:r>
        <w:rPr/>
        <w:t>、公司实际控制人及其一致行动人</w:t>
      </w:r>
      <w:r>
        <w:rPr>
          <w:b w:val="0"/>
          <w:bCs w:val="0"/>
        </w:rPr>
      </w:r>
    </w:p>
    <w:p>
      <w:pPr>
        <w:spacing w:line="240" w:lineRule="auto" w:before="4"/>
        <w:rPr>
          <w:rFonts w:ascii="宋体" w:hAnsi="宋体" w:cs="宋体" w:eastAsia="宋体" w:hint="default"/>
          <w:b/>
          <w:bCs/>
          <w:sz w:val="26"/>
          <w:szCs w:val="26"/>
        </w:rPr>
      </w:pPr>
    </w:p>
    <w:p>
      <w:pPr>
        <w:pStyle w:val="BodyText"/>
        <w:spacing w:line="360" w:lineRule="auto"/>
        <w:ind w:right="8414"/>
        <w:jc w:val="left"/>
      </w:pPr>
      <w:r>
        <w:rPr/>
        <w:t>实际控制人性质：境内自然人 实际控制人类型：自然人</w:t>
      </w:r>
    </w:p>
    <w:tbl>
      <w:tblPr>
        <w:tblW w:w="0" w:type="auto"/>
        <w:jc w:val="left"/>
        <w:tblInd w:w="148" w:type="dxa"/>
        <w:tblLayout w:type="fixed"/>
        <w:tblCellMar>
          <w:top w:w="0" w:type="dxa"/>
          <w:left w:w="0" w:type="dxa"/>
          <w:bottom w:w="0" w:type="dxa"/>
          <w:right w:w="0" w:type="dxa"/>
        </w:tblCellMar>
        <w:tblLook w:val="01E0"/>
      </w:tblPr>
      <w:tblGrid>
        <w:gridCol w:w="2393"/>
        <w:gridCol w:w="2391"/>
        <w:gridCol w:w="2163"/>
        <w:gridCol w:w="2624"/>
      </w:tblGrid>
      <w:tr>
        <w:trPr>
          <w:trHeight w:val="404"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2" w:right="0"/>
              <w:jc w:val="left"/>
              <w:rPr>
                <w:rFonts w:ascii="宋体" w:hAnsi="宋体" w:cs="宋体" w:eastAsia="宋体" w:hint="default"/>
                <w:sz w:val="18"/>
                <w:szCs w:val="18"/>
              </w:rPr>
            </w:pPr>
            <w:r>
              <w:rPr>
                <w:rFonts w:ascii="宋体" w:hAnsi="宋体" w:cs="宋体" w:eastAsia="宋体" w:hint="default"/>
                <w:sz w:val="18"/>
                <w:szCs w:val="18"/>
              </w:rPr>
              <w:t>实际控制人姓名</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0" w:right="0"/>
              <w:jc w:val="left"/>
              <w:rPr>
                <w:rFonts w:ascii="宋体" w:hAnsi="宋体" w:cs="宋体" w:eastAsia="宋体" w:hint="default"/>
                <w:sz w:val="18"/>
                <w:szCs w:val="18"/>
              </w:rPr>
            </w:pPr>
            <w:r>
              <w:rPr>
                <w:rFonts w:ascii="宋体" w:hAnsi="宋体" w:cs="宋体" w:eastAsia="宋体" w:hint="default"/>
                <w:sz w:val="18"/>
                <w:szCs w:val="18"/>
              </w:rPr>
              <w:t>与实际控制人关系</w:t>
            </w:r>
          </w:p>
        </w:tc>
        <w:tc>
          <w:tcPr>
            <w:tcW w:w="2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5"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刘磅</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本人</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717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1995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月创立本公司，一直担任本公司董事长、总经理。</w:t>
            </w:r>
          </w:p>
        </w:tc>
      </w:tr>
      <w:tr>
        <w:trPr>
          <w:trHeight w:val="715"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03"/>
              <w:jc w:val="left"/>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年曾控股的境内外上 市公司情况</w:t>
            </w:r>
          </w:p>
        </w:tc>
        <w:tc>
          <w:tcPr>
            <w:tcW w:w="717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Style w:val="BodyText"/>
        <w:spacing w:line="240" w:lineRule="auto" w:before="65"/>
        <w:ind w:right="1133"/>
        <w:jc w:val="left"/>
      </w:pPr>
      <w:r>
        <w:rPr/>
        <w:t>实际控制人报告期内变更</w:t>
      </w:r>
    </w:p>
    <w:p>
      <w:pPr>
        <w:pStyle w:val="BodyText"/>
        <w:spacing w:line="348" w:lineRule="auto" w:before="115"/>
        <w:ind w:right="67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公司报告期实际控制人未发生变更。 公司与实际控制人之间的产权及控制关系的方框图</w:t>
      </w:r>
    </w:p>
    <w:p>
      <w:pPr>
        <w:spacing w:after="0" w:line="348" w:lineRule="auto"/>
        <w:jc w:val="left"/>
        <w:sectPr>
          <w:pgSz w:w="11910" w:h="16840"/>
          <w:pgMar w:header="745" w:footer="980" w:top="1060" w:bottom="1160" w:left="980" w:right="0"/>
        </w:sectPr>
      </w:pPr>
    </w:p>
    <w:p>
      <w:pPr>
        <w:spacing w:line="240" w:lineRule="auto" w:before="3"/>
        <w:rPr>
          <w:rFonts w:ascii="宋体" w:hAnsi="宋体" w:cs="宋体" w:eastAsia="宋体" w:hint="default"/>
          <w:sz w:val="29"/>
          <w:szCs w:val="29"/>
        </w:rPr>
      </w:pPr>
    </w:p>
    <w:p>
      <w:pPr>
        <w:spacing w:line="5280" w:lineRule="exact"/>
        <w:ind w:left="1355" w:right="0" w:firstLine="0"/>
        <w:rPr>
          <w:rFonts w:ascii="宋体" w:hAnsi="宋体" w:cs="宋体" w:eastAsia="宋体" w:hint="default"/>
          <w:sz w:val="20"/>
          <w:szCs w:val="20"/>
        </w:rPr>
      </w:pPr>
      <w:r>
        <w:rPr>
          <w:rFonts w:ascii="宋体" w:hAnsi="宋体" w:cs="宋体" w:eastAsia="宋体" w:hint="default"/>
          <w:position w:val="-105"/>
          <w:sz w:val="20"/>
          <w:szCs w:val="20"/>
        </w:rPr>
        <w:drawing>
          <wp:inline distT="0" distB="0" distL="0" distR="0">
            <wp:extent cx="4591850" cy="3352800"/>
            <wp:effectExtent l="0" t="0" r="0" b="0"/>
            <wp:docPr id="9" name="image6.jpeg" descr=""/>
            <wp:cNvGraphicFramePr>
              <a:graphicFrameLocks noChangeAspect="1"/>
            </wp:cNvGraphicFramePr>
            <a:graphic>
              <a:graphicData uri="http://schemas.openxmlformats.org/drawingml/2006/picture">
                <pic:pic>
                  <pic:nvPicPr>
                    <pic:cNvPr id="10" name="image6.jpeg"/>
                    <pic:cNvPicPr/>
                  </pic:nvPicPr>
                  <pic:blipFill>
                    <a:blip r:embed="rId16" cstate="print"/>
                    <a:stretch>
                      <a:fillRect/>
                    </a:stretch>
                  </pic:blipFill>
                  <pic:spPr>
                    <a:xfrm>
                      <a:off x="0" y="0"/>
                      <a:ext cx="4591850" cy="3352800"/>
                    </a:xfrm>
                    <a:prstGeom prst="rect">
                      <a:avLst/>
                    </a:prstGeom>
                  </pic:spPr>
                </pic:pic>
              </a:graphicData>
            </a:graphic>
          </wp:inline>
        </w:drawing>
      </w:r>
      <w:r>
        <w:rPr>
          <w:rFonts w:ascii="宋体" w:hAnsi="宋体" w:cs="宋体" w:eastAsia="宋体" w:hint="default"/>
          <w:position w:val="-105"/>
          <w:sz w:val="20"/>
          <w:szCs w:val="20"/>
        </w:rPr>
      </w:r>
    </w:p>
    <w:p>
      <w:pPr>
        <w:spacing w:line="240" w:lineRule="auto" w:before="10"/>
        <w:rPr>
          <w:rFonts w:ascii="宋体" w:hAnsi="宋体" w:cs="宋体" w:eastAsia="宋体" w:hint="default"/>
          <w:sz w:val="13"/>
          <w:szCs w:val="13"/>
        </w:rPr>
      </w:pPr>
    </w:p>
    <w:p>
      <w:pPr>
        <w:pStyle w:val="BodyText"/>
        <w:spacing w:line="240" w:lineRule="auto" w:before="44"/>
        <w:ind w:right="1133"/>
        <w:jc w:val="left"/>
      </w:pPr>
      <w:r>
        <w:rPr/>
        <w:t>实际控制人通过信托或其他资产管理方式控制公司</w:t>
      </w:r>
    </w:p>
    <w:p>
      <w:pPr>
        <w:spacing w:line="240" w:lineRule="auto" w:before="1"/>
        <w:rPr>
          <w:rFonts w:ascii="宋体" w:hAnsi="宋体" w:cs="宋体" w:eastAsia="宋体" w:hint="default"/>
          <w:sz w:val="21"/>
          <w:szCs w:val="21"/>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4"/>
        <w:spacing w:line="240" w:lineRule="auto"/>
        <w:ind w:right="1133"/>
        <w:jc w:val="left"/>
        <w:rPr>
          <w:b w:val="0"/>
          <w:bCs w:val="0"/>
        </w:rPr>
      </w:pPr>
      <w:bookmarkStart w:name="4、其他持股在10%以上的法人股东" w:id="119"/>
      <w:bookmarkEnd w:id="119"/>
      <w:r>
        <w:rPr>
          <w:b w:val="0"/>
          <w:bCs w:val="0"/>
        </w:rPr>
      </w:r>
      <w:r>
        <w:rPr>
          <w:rFonts w:ascii="Times New Roman" w:hAnsi="Times New Roman" w:cs="Times New Roman" w:eastAsia="Times New Roman" w:hint="default"/>
        </w:rPr>
        <w:t>4</w:t>
      </w:r>
      <w:r>
        <w:rPr/>
        <w:t>、其他持股在</w:t>
      </w:r>
      <w:r>
        <w:rPr>
          <w:spacing w:val="-52"/>
        </w:rPr>
        <w:t> </w:t>
      </w:r>
      <w:r>
        <w:rPr>
          <w:rFonts w:ascii="Times New Roman" w:hAnsi="Times New Roman" w:cs="Times New Roman" w:eastAsia="Times New Roman" w:hint="default"/>
        </w:rPr>
        <w:t>10%</w:t>
      </w:r>
      <w:r>
        <w:rPr/>
        <w:t>以上的法人股东</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4"/>
        <w:spacing w:line="240" w:lineRule="auto"/>
        <w:ind w:right="1133"/>
        <w:jc w:val="left"/>
        <w:rPr>
          <w:b w:val="0"/>
          <w:bCs w:val="0"/>
        </w:rPr>
      </w:pPr>
      <w:bookmarkStart w:name="5、控股股东、实际控制人、重组方及其他承诺主体股份限制减持情况" w:id="120"/>
      <w:bookmarkEnd w:id="120"/>
      <w:r>
        <w:rPr>
          <w:b w:val="0"/>
          <w:bCs w:val="0"/>
        </w:rPr>
      </w: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365" w:right="1133"/>
        <w:jc w:val="left"/>
        <w:rPr>
          <w:b w:val="0"/>
          <w:bCs w:val="0"/>
        </w:rPr>
      </w:pPr>
      <w:bookmarkStart w:name="_TOC_250006" w:id="121"/>
      <w:bookmarkStart w:name="第七节优先股相关情况" w:id="122"/>
      <w:r>
        <w:rPr>
          <w:b w:val="0"/>
          <w:bCs w:val="0"/>
        </w:rPr>
      </w:r>
      <w:r>
        <w:rPr/>
        <w:t>第七节优先股相关情况</w:t>
      </w:r>
      <w:bookmarkEnd w:id="121"/>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9"/>
          <w:szCs w:val="19"/>
        </w:rPr>
      </w:pPr>
    </w:p>
    <w:p>
      <w:pPr>
        <w:pStyle w:val="BodyText"/>
        <w:spacing w:line="338" w:lineRule="auto" w:before="44"/>
        <w:ind w:right="85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报告期公司不存在优先股。</w:t>
      </w:r>
    </w:p>
    <w:p>
      <w:pPr>
        <w:spacing w:after="0" w:line="338"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2723" w:right="1133"/>
        <w:jc w:val="left"/>
        <w:rPr>
          <w:b w:val="0"/>
          <w:bCs w:val="0"/>
        </w:rPr>
      </w:pPr>
      <w:bookmarkStart w:name="_TOC_250005" w:id="123"/>
      <w:bookmarkStart w:name="第八节可转换公司债券相关情况" w:id="124"/>
      <w:r>
        <w:rPr>
          <w:b w:val="0"/>
          <w:bCs w:val="0"/>
        </w:rPr>
      </w:r>
      <w:r>
        <w:rPr/>
        <w:t>第八节可转换公司债券相关情况</w:t>
      </w:r>
      <w:bookmarkEnd w:id="123"/>
      <w:r>
        <w:rPr>
          <w:b w:val="0"/>
          <w:bCs w:val="0"/>
        </w:rPr>
      </w:r>
    </w:p>
    <w:p>
      <w:pPr>
        <w:spacing w:line="240" w:lineRule="auto" w:before="9"/>
        <w:rPr>
          <w:rFonts w:ascii="宋体" w:hAnsi="宋体" w:cs="宋体" w:eastAsia="宋体" w:hint="default"/>
          <w:b/>
          <w:bCs/>
          <w:sz w:val="42"/>
          <w:szCs w:val="42"/>
        </w:rPr>
      </w:pPr>
    </w:p>
    <w:p>
      <w:pPr>
        <w:pStyle w:val="BodyText"/>
        <w:spacing w:line="338" w:lineRule="auto"/>
        <w:ind w:right="787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报告期公司不存在可转换公司债券。</w:t>
      </w:r>
    </w:p>
    <w:p>
      <w:pPr>
        <w:spacing w:after="0" w:line="338"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1758" w:right="1133"/>
        <w:jc w:val="left"/>
        <w:rPr>
          <w:b w:val="0"/>
          <w:bCs w:val="0"/>
        </w:rPr>
      </w:pPr>
      <w:bookmarkStart w:name="_TOC_250004" w:id="125"/>
      <w:bookmarkStart w:name="第九节董事、监事、高级管理人员和员工情况" w:id="126"/>
      <w:r>
        <w:rPr>
          <w:b w:val="0"/>
          <w:bCs w:val="0"/>
        </w:rPr>
      </w:r>
      <w:r>
        <w:rPr/>
        <w:t>第九节董事、监事、高级管理人员和员工情况</w:t>
      </w:r>
      <w:bookmarkEnd w:id="125"/>
      <w:r>
        <w:rPr>
          <w:b w:val="0"/>
          <w:bCs w:val="0"/>
        </w:rPr>
      </w:r>
    </w:p>
    <w:p>
      <w:pPr>
        <w:spacing w:line="240" w:lineRule="auto" w:before="2"/>
        <w:rPr>
          <w:rFonts w:ascii="宋体" w:hAnsi="宋体" w:cs="宋体" w:eastAsia="宋体" w:hint="default"/>
          <w:b/>
          <w:bCs/>
          <w:sz w:val="39"/>
          <w:szCs w:val="39"/>
        </w:rPr>
      </w:pPr>
    </w:p>
    <w:p>
      <w:pPr>
        <w:pStyle w:val="Heading2"/>
        <w:spacing w:line="240" w:lineRule="auto"/>
        <w:ind w:right="1133"/>
        <w:jc w:val="left"/>
        <w:rPr>
          <w:b w:val="0"/>
          <w:bCs w:val="0"/>
        </w:rPr>
      </w:pPr>
      <w:bookmarkStart w:name="一、董事、监事和高级管理人员持股变动" w:id="127"/>
      <w:bookmarkEnd w:id="127"/>
      <w:r>
        <w:rPr>
          <w:b w:val="0"/>
          <w:bCs w:val="0"/>
        </w:rPr>
      </w:r>
      <w:r>
        <w:rPr/>
        <w:t>一、董事、监事和高级管理人员持股变动</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800"/>
        <w:gridCol w:w="797"/>
        <w:gridCol w:w="797"/>
        <w:gridCol w:w="797"/>
        <w:gridCol w:w="797"/>
        <w:gridCol w:w="797"/>
        <w:gridCol w:w="800"/>
        <w:gridCol w:w="797"/>
        <w:gridCol w:w="799"/>
        <w:gridCol w:w="797"/>
        <w:gridCol w:w="799"/>
        <w:gridCol w:w="797"/>
      </w:tblGrid>
      <w:tr>
        <w:trPr>
          <w:trHeight w:val="1027" w:hRule="exact"/>
        </w:trPr>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14"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13"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33"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13"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13"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13" w:right="31"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13" w:right="34"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3" w:right="31"/>
              <w:jc w:val="left"/>
              <w:rPr>
                <w:rFonts w:ascii="宋体" w:hAnsi="宋体" w:cs="宋体" w:eastAsia="宋体" w:hint="default"/>
                <w:sz w:val="18"/>
                <w:szCs w:val="18"/>
              </w:rPr>
            </w:pPr>
            <w:r>
              <w:rPr>
                <w:rFonts w:ascii="宋体" w:hAnsi="宋体" w:cs="宋体" w:eastAsia="宋体" w:hint="default"/>
                <w:sz w:val="18"/>
                <w:szCs w:val="18"/>
              </w:rPr>
              <w:t>期初持股 数（股）</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3" w:right="35"/>
              <w:jc w:val="left"/>
              <w:rPr>
                <w:rFonts w:ascii="宋体" w:hAnsi="宋体" w:cs="宋体" w:eastAsia="宋体" w:hint="default"/>
                <w:sz w:val="18"/>
                <w:szCs w:val="18"/>
              </w:rPr>
            </w:pPr>
            <w:r>
              <w:rPr>
                <w:rFonts w:ascii="宋体" w:hAnsi="宋体" w:cs="宋体" w:eastAsia="宋体" w:hint="default"/>
                <w:sz w:val="18"/>
                <w:szCs w:val="18"/>
              </w:rPr>
              <w:t>本期增持 股份数量</w:t>
            </w:r>
          </w:p>
          <w:p>
            <w:pPr>
              <w:pStyle w:val="TableParagraph"/>
              <w:spacing w:line="240" w:lineRule="auto" w:before="19"/>
              <w:ind w:left="124"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3" w:right="32"/>
              <w:jc w:val="left"/>
              <w:rPr>
                <w:rFonts w:ascii="宋体" w:hAnsi="宋体" w:cs="宋体" w:eastAsia="宋体" w:hint="default"/>
                <w:sz w:val="18"/>
                <w:szCs w:val="18"/>
              </w:rPr>
            </w:pPr>
            <w:r>
              <w:rPr>
                <w:rFonts w:ascii="宋体" w:hAnsi="宋体" w:cs="宋体" w:eastAsia="宋体" w:hint="default"/>
                <w:sz w:val="18"/>
                <w:szCs w:val="18"/>
              </w:rPr>
              <w:t>本期减持 股份数量</w:t>
            </w:r>
          </w:p>
          <w:p>
            <w:pPr>
              <w:pStyle w:val="TableParagraph"/>
              <w:spacing w:line="240" w:lineRule="auto" w:before="19"/>
              <w:ind w:left="124"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4" w:right="-44" w:firstLine="9"/>
              <w:jc w:val="left"/>
              <w:rPr>
                <w:rFonts w:ascii="宋体" w:hAnsi="宋体" w:cs="宋体" w:eastAsia="宋体" w:hint="default"/>
                <w:sz w:val="18"/>
                <w:szCs w:val="18"/>
              </w:rPr>
            </w:pPr>
            <w:r>
              <w:rPr>
                <w:rFonts w:ascii="宋体" w:hAnsi="宋体" w:cs="宋体" w:eastAsia="宋体" w:hint="default"/>
                <w:sz w:val="18"/>
                <w:szCs w:val="18"/>
              </w:rPr>
              <w:t>其他增减 </w:t>
            </w:r>
            <w:r>
              <w:rPr>
                <w:rFonts w:ascii="宋体" w:hAnsi="宋体" w:cs="宋体" w:eastAsia="宋体" w:hint="default"/>
                <w:spacing w:val="-19"/>
                <w:sz w:val="18"/>
                <w:szCs w:val="18"/>
              </w:rPr>
              <w:t>变动（股）</w:t>
            </w:r>
            <w:r>
              <w:rPr>
                <w:rFonts w:ascii="宋体" w:hAnsi="宋体" w:cs="宋体" w:eastAsia="宋体" w:hint="default"/>
                <w:sz w:val="18"/>
                <w:szCs w:val="18"/>
              </w:rPr>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3" w:right="31"/>
              <w:jc w:val="left"/>
              <w:rPr>
                <w:rFonts w:ascii="宋体" w:hAnsi="宋体" w:cs="宋体" w:eastAsia="宋体" w:hint="default"/>
                <w:sz w:val="18"/>
                <w:szCs w:val="18"/>
              </w:rPr>
            </w:pPr>
            <w:r>
              <w:rPr>
                <w:rFonts w:ascii="宋体" w:hAnsi="宋体" w:cs="宋体" w:eastAsia="宋体" w:hint="default"/>
                <w:sz w:val="18"/>
                <w:szCs w:val="18"/>
              </w:rPr>
              <w:t>期末持股 数（股）</w:t>
            </w:r>
          </w:p>
        </w:tc>
      </w:tr>
      <w:tr>
        <w:trPr>
          <w:trHeight w:val="102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刘磅</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4" w:lineRule="auto"/>
              <w:ind w:left="23" w:right="41"/>
              <w:jc w:val="left"/>
              <w:rPr>
                <w:rFonts w:ascii="宋体" w:hAnsi="宋体" w:cs="宋体" w:eastAsia="宋体" w:hint="default"/>
                <w:sz w:val="18"/>
                <w:szCs w:val="18"/>
              </w:rPr>
            </w:pPr>
            <w:r>
              <w:rPr>
                <w:rFonts w:ascii="宋体" w:hAnsi="宋体" w:cs="宋体" w:eastAsia="宋体" w:hint="default"/>
                <w:sz w:val="18"/>
                <w:szCs w:val="18"/>
              </w:rPr>
              <w:t>董事长、 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1995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174,737,0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31</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43,680,00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131,057,0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31</w:t>
            </w:r>
          </w:p>
        </w:tc>
      </w:tr>
      <w:tr>
        <w:trPr>
          <w:trHeight w:val="1027"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程朋胜</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3" w:right="41"/>
              <w:jc w:val="left"/>
              <w:rPr>
                <w:rFonts w:ascii="宋体" w:hAnsi="宋体" w:cs="宋体" w:eastAsia="宋体" w:hint="default"/>
                <w:sz w:val="18"/>
                <w:szCs w:val="18"/>
              </w:rPr>
            </w:pPr>
            <w:r>
              <w:rPr>
                <w:rFonts w:ascii="宋体" w:hAnsi="宋体" w:cs="宋体" w:eastAsia="宋体" w:hint="default"/>
                <w:sz w:val="18"/>
                <w:szCs w:val="18"/>
              </w:rPr>
              <w:t>董事、副 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w w:val="95"/>
                <w:sz w:val="18"/>
              </w:rPr>
              <w:t>11,359,37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w w:val="95"/>
                <w:sz w:val="18"/>
              </w:rPr>
              <w:t>11,359,37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r>
      <w:tr>
        <w:trPr>
          <w:trHeight w:val="102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刘昂</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1027"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吕枫</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3" w:right="41"/>
              <w:jc w:val="left"/>
              <w:rPr>
                <w:rFonts w:ascii="宋体" w:hAnsi="宋体" w:cs="宋体" w:eastAsia="宋体" w:hint="default"/>
                <w:sz w:val="18"/>
                <w:szCs w:val="18"/>
              </w:rPr>
            </w:pPr>
            <w:r>
              <w:rPr>
                <w:rFonts w:ascii="宋体" w:hAnsi="宋体" w:cs="宋体" w:eastAsia="宋体" w:hint="default"/>
                <w:sz w:val="18"/>
                <w:szCs w:val="18"/>
              </w:rPr>
              <w:t>董事、副 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9,623,974</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9,623,974</w:t>
            </w:r>
          </w:p>
        </w:tc>
      </w:tr>
      <w:tr>
        <w:trPr>
          <w:trHeight w:val="102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4" w:right="0"/>
              <w:jc w:val="left"/>
              <w:rPr>
                <w:rFonts w:ascii="宋体" w:hAnsi="宋体" w:cs="宋体" w:eastAsia="宋体" w:hint="default"/>
                <w:sz w:val="18"/>
                <w:szCs w:val="18"/>
              </w:rPr>
            </w:pPr>
            <w:r>
              <w:rPr>
                <w:rFonts w:ascii="宋体" w:hAnsi="宋体" w:cs="宋体" w:eastAsia="宋体" w:hint="default"/>
                <w:sz w:val="18"/>
                <w:szCs w:val="18"/>
              </w:rPr>
              <w:t>苏俊锋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4" w:lineRule="auto"/>
              <w:ind w:left="23" w:right="41"/>
              <w:jc w:val="left"/>
              <w:rPr>
                <w:rFonts w:ascii="宋体" w:hAnsi="宋体" w:cs="宋体" w:eastAsia="宋体" w:hint="default"/>
                <w:sz w:val="18"/>
                <w:szCs w:val="18"/>
              </w:rPr>
            </w:pPr>
            <w:r>
              <w:rPr>
                <w:rFonts w:ascii="宋体" w:hAnsi="宋体" w:cs="宋体" w:eastAsia="宋体" w:hint="default"/>
                <w:sz w:val="18"/>
                <w:szCs w:val="18"/>
              </w:rPr>
              <w:t>董事、副 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9,678,531</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2,000,000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w w:val="95"/>
                <w:sz w:val="18"/>
              </w:rPr>
              <w:t>11,678,53</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1</w:t>
            </w:r>
          </w:p>
        </w:tc>
      </w:tr>
      <w:tr>
        <w:trPr>
          <w:trHeight w:val="1027"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王礼贵</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102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王晓东</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72,000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61,000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133,000</w:t>
            </w:r>
          </w:p>
        </w:tc>
      </w:tr>
      <w:tr>
        <w:trPr>
          <w:trHeight w:val="1028"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赵诚</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16</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102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孔祥云</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65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1027"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陈以增</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舒骋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8" w:type="dxa"/>
        <w:tblLayout w:type="fixed"/>
        <w:tblCellMar>
          <w:top w:w="0" w:type="dxa"/>
          <w:left w:w="0" w:type="dxa"/>
          <w:bottom w:w="0" w:type="dxa"/>
          <w:right w:w="0" w:type="dxa"/>
        </w:tblCellMar>
        <w:tblLook w:val="01E0"/>
      </w:tblPr>
      <w:tblGrid>
        <w:gridCol w:w="800"/>
        <w:gridCol w:w="797"/>
        <w:gridCol w:w="797"/>
        <w:gridCol w:w="797"/>
        <w:gridCol w:w="797"/>
        <w:gridCol w:w="797"/>
        <w:gridCol w:w="800"/>
        <w:gridCol w:w="797"/>
        <w:gridCol w:w="799"/>
        <w:gridCol w:w="797"/>
        <w:gridCol w:w="799"/>
        <w:gridCol w:w="797"/>
      </w:tblGrid>
      <w:tr>
        <w:trPr>
          <w:trHeight w:val="675" w:hRule="exact"/>
        </w:trPr>
        <w:tc>
          <w:tcPr>
            <w:tcW w:w="800"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李继朝</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3" w:right="41"/>
              <w:jc w:val="left"/>
              <w:rPr>
                <w:rFonts w:ascii="宋体" w:hAnsi="宋体" w:cs="宋体" w:eastAsia="宋体" w:hint="default"/>
                <w:sz w:val="18"/>
                <w:szCs w:val="18"/>
              </w:rPr>
            </w:pPr>
            <w:r>
              <w:rPr>
                <w:rFonts w:ascii="宋体" w:hAnsi="宋体" w:cs="宋体" w:eastAsia="宋体" w:hint="default"/>
                <w:sz w:val="18"/>
                <w:szCs w:val="18"/>
              </w:rPr>
              <w:t>监事会主 席</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14</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1027"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沈冰</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102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沈冰</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1028"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4" w:right="0"/>
              <w:jc w:val="left"/>
              <w:rPr>
                <w:rFonts w:ascii="宋体" w:hAnsi="宋体" w:cs="宋体" w:eastAsia="宋体" w:hint="default"/>
                <w:sz w:val="18"/>
                <w:szCs w:val="18"/>
              </w:rPr>
            </w:pPr>
            <w:r>
              <w:rPr>
                <w:rFonts w:ascii="宋体" w:hAnsi="宋体" w:cs="宋体" w:eastAsia="宋体" w:hint="default"/>
                <w:sz w:val="18"/>
                <w:szCs w:val="18"/>
              </w:rPr>
              <w:t>甘岱松</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16</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102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郑雪丹</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1027"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黄德强</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1,373,800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4,500,000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5,873,800</w:t>
            </w:r>
          </w:p>
        </w:tc>
      </w:tr>
      <w:tr>
        <w:trPr>
          <w:trHeight w:val="102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林雨斌</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41"/>
              <w:jc w:val="left"/>
              <w:rPr>
                <w:rFonts w:ascii="宋体" w:hAnsi="宋体" w:cs="宋体" w:eastAsia="宋体" w:hint="default"/>
                <w:sz w:val="18"/>
                <w:szCs w:val="18"/>
              </w:rPr>
            </w:pPr>
            <w:r>
              <w:rPr>
                <w:rFonts w:ascii="宋体" w:hAnsi="宋体" w:cs="宋体" w:eastAsia="宋体" w:hint="default"/>
                <w:sz w:val="18"/>
                <w:szCs w:val="18"/>
              </w:rPr>
              <w:t>副总经 理、董事 会秘书</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6,777,753</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6,777,753</w:t>
            </w:r>
          </w:p>
        </w:tc>
      </w:tr>
      <w:tr>
        <w:trPr>
          <w:trHeight w:val="1027"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黄天朗</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5,544,300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5,544,300</w:t>
            </w: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219,166,7</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67</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6,561,000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43,680,00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182,047,7</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67</w:t>
            </w:r>
          </w:p>
        </w:tc>
      </w:tr>
    </w:tbl>
    <w:p>
      <w:pPr>
        <w:spacing w:line="240" w:lineRule="auto" w:before="1"/>
        <w:rPr>
          <w:rFonts w:ascii="宋体" w:hAnsi="宋体" w:cs="宋体" w:eastAsia="宋体" w:hint="default"/>
          <w:b/>
          <w:bCs/>
          <w:sz w:val="18"/>
          <w:szCs w:val="18"/>
        </w:rPr>
      </w:pPr>
    </w:p>
    <w:p>
      <w:pPr>
        <w:pStyle w:val="Heading2"/>
        <w:spacing w:line="240" w:lineRule="auto" w:before="26"/>
        <w:ind w:right="1133"/>
        <w:jc w:val="left"/>
        <w:rPr>
          <w:b w:val="0"/>
          <w:bCs w:val="0"/>
        </w:rPr>
      </w:pPr>
      <w:bookmarkStart w:name="二、公司董事、监事、高级管理人员变动情况" w:id="128"/>
      <w:bookmarkEnd w:id="128"/>
      <w:r>
        <w:rPr>
          <w:b w:val="0"/>
          <w:bCs w:val="0"/>
        </w:rPr>
      </w:r>
      <w:r>
        <w:rPr/>
        <w:t>二、公司董事、监事、高级管理人员变动情况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30"/>
        <w:gridCol w:w="1330"/>
        <w:gridCol w:w="1332"/>
        <w:gridCol w:w="1330"/>
        <w:gridCol w:w="4246"/>
      </w:tblGrid>
      <w:tr>
        <w:trPr>
          <w:trHeight w:val="401" w:hRule="exact"/>
        </w:trPr>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11"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3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类型</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4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715"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王礼贵</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4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第六届董事会任期届满</w:t>
            </w:r>
          </w:p>
        </w:tc>
      </w:tr>
      <w:tr>
        <w:trPr>
          <w:trHeight w:val="713"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王晓东</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4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第六届董事会任期届满</w:t>
            </w:r>
          </w:p>
        </w:tc>
      </w:tr>
      <w:tr>
        <w:trPr>
          <w:trHeight w:val="715"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赵诚</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4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第六届董事会任期届满</w:t>
            </w:r>
          </w:p>
        </w:tc>
      </w:tr>
      <w:tr>
        <w:trPr>
          <w:trHeight w:val="401"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沈冰</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tc>
        <w:tc>
          <w:tcPr>
            <w:tcW w:w="4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第六届监事会任期届满</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330"/>
        <w:gridCol w:w="1330"/>
        <w:gridCol w:w="1332"/>
        <w:gridCol w:w="1330"/>
        <w:gridCol w:w="4246"/>
      </w:tblGrid>
      <w:tr>
        <w:trPr>
          <w:trHeight w:val="363" w:hRule="exact"/>
        </w:trPr>
        <w:tc>
          <w:tcPr>
            <w:tcW w:w="1330"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
        </w:tc>
        <w:tc>
          <w:tcPr>
            <w:tcW w:w="1332"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4246"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孔祥云</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任免</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424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7"/>
              <w:jc w:val="left"/>
              <w:rPr>
                <w:rFonts w:ascii="宋体" w:hAnsi="宋体" w:cs="宋体" w:eastAsia="宋体" w:hint="default"/>
                <w:sz w:val="18"/>
                <w:szCs w:val="18"/>
              </w:rPr>
            </w:pPr>
            <w:r>
              <w:rPr>
                <w:rFonts w:ascii="宋体" w:hAnsi="宋体" w:cs="宋体" w:eastAsia="宋体" w:hint="default"/>
                <w:sz w:val="18"/>
                <w:szCs w:val="18"/>
              </w:rPr>
              <w:t>经公司第六届董事会提名，聘任孔祥云先生为公司第 </w:t>
            </w:r>
            <w:r>
              <w:rPr>
                <w:rFonts w:ascii="宋体" w:hAnsi="宋体" w:cs="宋体" w:eastAsia="宋体" w:hint="default"/>
                <w:spacing w:val="-3"/>
                <w:sz w:val="18"/>
                <w:szCs w:val="18"/>
              </w:rPr>
              <w:t>七届董事会独立董事，任期自</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年第二次临时股东</w:t>
            </w:r>
          </w:p>
          <w:p>
            <w:pPr>
              <w:pStyle w:val="TableParagraph"/>
              <w:spacing w:line="248" w:lineRule="exact"/>
              <w:ind w:left="23" w:right="0"/>
              <w:jc w:val="left"/>
              <w:rPr>
                <w:rFonts w:ascii="宋体" w:hAnsi="宋体" w:cs="宋体" w:eastAsia="宋体" w:hint="default"/>
                <w:sz w:val="18"/>
                <w:szCs w:val="18"/>
              </w:rPr>
            </w:pPr>
            <w:r>
              <w:rPr>
                <w:rFonts w:ascii="宋体" w:hAnsi="宋体" w:cs="宋体" w:eastAsia="宋体" w:hint="default"/>
                <w:sz w:val="18"/>
                <w:szCs w:val="18"/>
              </w:rPr>
              <w:t>大会审议批准之日起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1027"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陈以增</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任免</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424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7"/>
              <w:jc w:val="left"/>
              <w:rPr>
                <w:rFonts w:ascii="宋体" w:hAnsi="宋体" w:cs="宋体" w:eastAsia="宋体" w:hint="default"/>
                <w:sz w:val="18"/>
                <w:szCs w:val="18"/>
              </w:rPr>
            </w:pPr>
            <w:r>
              <w:rPr>
                <w:rFonts w:ascii="宋体" w:hAnsi="宋体" w:cs="宋体" w:eastAsia="宋体" w:hint="default"/>
                <w:sz w:val="18"/>
                <w:szCs w:val="18"/>
              </w:rPr>
              <w:t>经公司第六届董事会提名，聘任陈以增先生为公司第 </w:t>
            </w:r>
            <w:r>
              <w:rPr>
                <w:rFonts w:ascii="宋体" w:hAnsi="宋体" w:cs="宋体" w:eastAsia="宋体" w:hint="default"/>
                <w:spacing w:val="-3"/>
                <w:sz w:val="18"/>
                <w:szCs w:val="18"/>
              </w:rPr>
              <w:t>七届董事会独立董事，任期自</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年第二次临时股东</w:t>
            </w:r>
          </w:p>
          <w:p>
            <w:pPr>
              <w:pStyle w:val="TableParagraph"/>
              <w:spacing w:line="248" w:lineRule="exact"/>
              <w:ind w:left="23" w:right="0"/>
              <w:jc w:val="left"/>
              <w:rPr>
                <w:rFonts w:ascii="宋体" w:hAnsi="宋体" w:cs="宋体" w:eastAsia="宋体" w:hint="default"/>
                <w:sz w:val="18"/>
                <w:szCs w:val="18"/>
              </w:rPr>
            </w:pPr>
            <w:r>
              <w:rPr>
                <w:rFonts w:ascii="宋体" w:hAnsi="宋体" w:cs="宋体" w:eastAsia="宋体" w:hint="default"/>
                <w:sz w:val="18"/>
                <w:szCs w:val="18"/>
              </w:rPr>
              <w:t>大会审议批准之日起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1025"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舒骋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任免</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424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7"/>
              <w:jc w:val="left"/>
              <w:rPr>
                <w:rFonts w:ascii="宋体" w:hAnsi="宋体" w:cs="宋体" w:eastAsia="宋体" w:hint="default"/>
                <w:sz w:val="18"/>
                <w:szCs w:val="18"/>
              </w:rPr>
            </w:pPr>
            <w:r>
              <w:rPr>
                <w:rFonts w:ascii="宋体" w:hAnsi="宋体" w:cs="宋体" w:eastAsia="宋体" w:hint="default"/>
                <w:sz w:val="18"/>
                <w:szCs w:val="18"/>
              </w:rPr>
              <w:t>经公司第六届董事会提名，聘任舒骋先生为公司第七 </w:t>
            </w:r>
            <w:r>
              <w:rPr>
                <w:rFonts w:ascii="宋体" w:hAnsi="宋体" w:cs="宋体" w:eastAsia="宋体" w:hint="default"/>
                <w:spacing w:val="-4"/>
                <w:sz w:val="18"/>
                <w:szCs w:val="18"/>
              </w:rPr>
              <w:t>届董事会独立董事，任期自</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年第二次临时股东大</w:t>
            </w:r>
          </w:p>
          <w:p>
            <w:pPr>
              <w:pStyle w:val="TableParagraph"/>
              <w:spacing w:line="248" w:lineRule="exact"/>
              <w:ind w:left="23" w:right="0"/>
              <w:jc w:val="left"/>
              <w:rPr>
                <w:rFonts w:ascii="宋体" w:hAnsi="宋体" w:cs="宋体" w:eastAsia="宋体" w:hint="default"/>
                <w:sz w:val="18"/>
                <w:szCs w:val="18"/>
              </w:rPr>
            </w:pPr>
            <w:r>
              <w:rPr>
                <w:rFonts w:ascii="宋体" w:hAnsi="宋体" w:cs="宋体" w:eastAsia="宋体" w:hint="default"/>
                <w:sz w:val="18"/>
                <w:szCs w:val="18"/>
              </w:rPr>
              <w:t>会审议批准之日起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1028"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4" w:right="0"/>
              <w:jc w:val="left"/>
              <w:rPr>
                <w:rFonts w:ascii="宋体" w:hAnsi="宋体" w:cs="宋体" w:eastAsia="宋体" w:hint="default"/>
                <w:sz w:val="18"/>
                <w:szCs w:val="18"/>
              </w:rPr>
            </w:pPr>
            <w:r>
              <w:rPr>
                <w:rFonts w:ascii="宋体" w:hAnsi="宋体" w:cs="宋体" w:eastAsia="宋体" w:hint="default"/>
                <w:sz w:val="18"/>
                <w:szCs w:val="18"/>
              </w:rPr>
              <w:t>沈冰</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4" w:right="0"/>
              <w:jc w:val="left"/>
              <w:rPr>
                <w:rFonts w:ascii="宋体" w:hAnsi="宋体" w:cs="宋体" w:eastAsia="宋体" w:hint="default"/>
                <w:sz w:val="18"/>
                <w:szCs w:val="18"/>
              </w:rPr>
            </w:pPr>
            <w:r>
              <w:rPr>
                <w:rFonts w:ascii="宋体" w:hAnsi="宋体" w:cs="宋体" w:eastAsia="宋体" w:hint="default"/>
                <w:sz w:val="18"/>
                <w:szCs w:val="18"/>
              </w:rPr>
              <w:t>任免</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424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20"/>
              <w:jc w:val="left"/>
              <w:rPr>
                <w:rFonts w:ascii="宋体" w:hAnsi="宋体" w:cs="宋体" w:eastAsia="宋体" w:hint="default"/>
                <w:sz w:val="18"/>
                <w:szCs w:val="18"/>
              </w:rPr>
            </w:pPr>
            <w:r>
              <w:rPr>
                <w:rFonts w:ascii="宋体" w:hAnsi="宋体" w:cs="宋体" w:eastAsia="宋体" w:hint="default"/>
                <w:sz w:val="18"/>
                <w:szCs w:val="18"/>
              </w:rPr>
              <w:t>经公司第六届董事会提名，聘任沈冰先生为公司第七 </w:t>
            </w:r>
            <w:r>
              <w:rPr>
                <w:rFonts w:ascii="宋体" w:hAnsi="宋体" w:cs="宋体" w:eastAsia="宋体" w:hint="default"/>
                <w:spacing w:val="-4"/>
                <w:sz w:val="18"/>
                <w:szCs w:val="18"/>
              </w:rPr>
              <w:t>届董事会董事，任期自</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年第二次临时股东大会审</w:t>
            </w:r>
          </w:p>
          <w:p>
            <w:pPr>
              <w:pStyle w:val="TableParagraph"/>
              <w:spacing w:line="246" w:lineRule="exact"/>
              <w:ind w:left="23" w:right="0"/>
              <w:jc w:val="left"/>
              <w:rPr>
                <w:rFonts w:ascii="宋体" w:hAnsi="宋体" w:cs="宋体" w:eastAsia="宋体" w:hint="default"/>
                <w:sz w:val="18"/>
                <w:szCs w:val="18"/>
              </w:rPr>
            </w:pPr>
            <w:r>
              <w:rPr>
                <w:rFonts w:ascii="宋体" w:hAnsi="宋体" w:cs="宋体" w:eastAsia="宋体" w:hint="default"/>
                <w:sz w:val="18"/>
                <w:szCs w:val="18"/>
              </w:rPr>
              <w:t>议批准之日起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1025"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郑雪丹</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任免</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424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9"/>
              <w:jc w:val="left"/>
              <w:rPr>
                <w:rFonts w:ascii="宋体" w:hAnsi="宋体" w:cs="宋体" w:eastAsia="宋体" w:hint="default"/>
                <w:sz w:val="18"/>
                <w:szCs w:val="18"/>
              </w:rPr>
            </w:pPr>
            <w:r>
              <w:rPr>
                <w:rFonts w:ascii="宋体" w:hAnsi="宋体" w:cs="宋体" w:eastAsia="宋体" w:hint="default"/>
                <w:sz w:val="18"/>
                <w:szCs w:val="18"/>
              </w:rPr>
              <w:t>经公司第六届监事会提名，聘任郑雪丹先生为公司第 </w:t>
            </w:r>
            <w:r>
              <w:rPr>
                <w:rFonts w:ascii="宋体" w:hAnsi="宋体" w:cs="宋体" w:eastAsia="宋体" w:hint="default"/>
                <w:spacing w:val="-4"/>
                <w:sz w:val="18"/>
                <w:szCs w:val="18"/>
              </w:rPr>
              <w:t>七届监事会监事，任期自</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年第二次临时股东大会</w:t>
            </w:r>
          </w:p>
          <w:p>
            <w:pPr>
              <w:pStyle w:val="TableParagraph"/>
              <w:spacing w:line="248" w:lineRule="exact"/>
              <w:ind w:left="23" w:right="0"/>
              <w:jc w:val="left"/>
              <w:rPr>
                <w:rFonts w:ascii="宋体" w:hAnsi="宋体" w:cs="宋体" w:eastAsia="宋体" w:hint="default"/>
                <w:sz w:val="18"/>
                <w:szCs w:val="18"/>
              </w:rPr>
            </w:pPr>
            <w:r>
              <w:rPr>
                <w:rFonts w:ascii="宋体" w:hAnsi="宋体" w:cs="宋体" w:eastAsia="宋体" w:hint="default"/>
                <w:sz w:val="18"/>
                <w:szCs w:val="18"/>
              </w:rPr>
              <w:t>审议批准之日起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bl>
    <w:p>
      <w:pPr>
        <w:spacing w:line="240" w:lineRule="auto" w:before="1"/>
        <w:rPr>
          <w:rFonts w:ascii="宋体" w:hAnsi="宋体" w:cs="宋体" w:eastAsia="宋体" w:hint="default"/>
          <w:sz w:val="18"/>
          <w:szCs w:val="18"/>
        </w:rPr>
      </w:pPr>
    </w:p>
    <w:p>
      <w:pPr>
        <w:pStyle w:val="Heading2"/>
        <w:spacing w:line="240" w:lineRule="auto" w:before="26"/>
        <w:ind w:right="1133"/>
        <w:jc w:val="left"/>
        <w:rPr>
          <w:b w:val="0"/>
          <w:bCs w:val="0"/>
        </w:rPr>
      </w:pPr>
      <w:bookmarkStart w:name="三、任职情况" w:id="129"/>
      <w:bookmarkEnd w:id="129"/>
      <w:r>
        <w:rPr>
          <w:b w:val="0"/>
          <w:bCs w:val="0"/>
        </w:rPr>
      </w:r>
      <w:r>
        <w:rPr/>
        <w:t>三、任职情况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1133"/>
        <w:jc w:val="left"/>
      </w:pPr>
      <w:r>
        <w:rPr/>
        <w:t>公司现任董事、监事、高级管理人员专业背景、主要工作经历以及目前在公司的主要职责</w:t>
      </w:r>
    </w:p>
    <w:p>
      <w:pPr>
        <w:spacing w:line="240" w:lineRule="auto" w:before="0"/>
        <w:rPr>
          <w:rFonts w:ascii="宋体" w:hAnsi="宋体" w:cs="宋体" w:eastAsia="宋体" w:hint="default"/>
          <w:sz w:val="15"/>
          <w:szCs w:val="15"/>
        </w:rPr>
      </w:pPr>
    </w:p>
    <w:p>
      <w:pPr>
        <w:pStyle w:val="Heading6"/>
        <w:spacing w:line="240" w:lineRule="auto"/>
        <w:ind w:right="1133"/>
        <w:jc w:val="left"/>
        <w:rPr>
          <w:b w:val="0"/>
          <w:bCs w:val="0"/>
        </w:rPr>
      </w:pPr>
      <w:r>
        <w:rPr/>
        <w:t>（一）董事最近</w:t>
      </w:r>
      <w:r>
        <w:rPr>
          <w:rFonts w:ascii="Times New Roman" w:hAnsi="Times New Roman" w:cs="Times New Roman" w:eastAsia="Times New Roman" w:hint="default"/>
        </w:rPr>
        <w:t>5</w:t>
      </w:r>
      <w:r>
        <w:rPr/>
        <w:t>年的主要工作经历</w:t>
      </w:r>
      <w:r>
        <w:rPr>
          <w:b w:val="0"/>
          <w:bCs w:val="0"/>
        </w:rPr>
      </w:r>
    </w:p>
    <w:p>
      <w:pPr>
        <w:spacing w:line="240" w:lineRule="auto" w:before="9"/>
        <w:rPr>
          <w:rFonts w:ascii="宋体" w:hAnsi="宋体" w:cs="宋体" w:eastAsia="宋体" w:hint="default"/>
          <w:b/>
          <w:bCs/>
          <w:sz w:val="19"/>
          <w:szCs w:val="19"/>
        </w:rPr>
      </w:pPr>
    </w:p>
    <w:p>
      <w:pPr>
        <w:pStyle w:val="BodyText"/>
        <w:spacing w:line="240" w:lineRule="auto"/>
        <w:ind w:left="573" w:right="1133"/>
        <w:jc w:val="left"/>
      </w:pPr>
      <w:r>
        <w:rPr>
          <w:rFonts w:ascii="Times New Roman" w:hAnsi="Times New Roman" w:cs="Times New Roman" w:eastAsia="Times New Roman" w:hint="default"/>
        </w:rPr>
        <w:t>1</w:t>
      </w:r>
      <w:r>
        <w:rPr/>
        <w:t>、刘磅简历</w:t>
      </w:r>
    </w:p>
    <w:p>
      <w:pPr>
        <w:spacing w:line="240" w:lineRule="auto" w:before="11"/>
        <w:rPr>
          <w:rFonts w:ascii="宋体" w:hAnsi="宋体" w:cs="宋体" w:eastAsia="宋体" w:hint="default"/>
          <w:sz w:val="19"/>
          <w:szCs w:val="19"/>
        </w:rPr>
      </w:pPr>
    </w:p>
    <w:p>
      <w:pPr>
        <w:pStyle w:val="BodyText"/>
        <w:spacing w:line="468" w:lineRule="auto"/>
        <w:ind w:right="1131" w:firstLine="420"/>
        <w:jc w:val="both"/>
      </w:pPr>
      <w:r>
        <w:rPr/>
        <w:t>刘磅先生，</w:t>
      </w:r>
      <w:r>
        <w:rPr>
          <w:rFonts w:ascii="Times New Roman" w:hAnsi="Times New Roman" w:cs="Times New Roman" w:eastAsia="Times New Roman" w:hint="default"/>
        </w:rPr>
        <w:t>1963</w:t>
      </w:r>
      <w:r>
        <w:rPr/>
        <w:t>年</w:t>
      </w:r>
      <w:r>
        <w:rPr>
          <w:rFonts w:ascii="Times New Roman" w:hAnsi="Times New Roman" w:cs="Times New Roman" w:eastAsia="Times New Roman" w:hint="default"/>
        </w:rPr>
        <w:t>10</w:t>
      </w:r>
      <w:r>
        <w:rPr/>
        <w:t>月出生</w:t>
      </w:r>
      <w:r>
        <w:rPr>
          <w:rFonts w:ascii="Times New Roman" w:hAnsi="Times New Roman" w:cs="Times New Roman" w:eastAsia="Times New Roman" w:hint="default"/>
        </w:rPr>
        <w:t>,</w:t>
      </w:r>
      <w:r>
        <w:rPr>
          <w:rFonts w:ascii="Times New Roman" w:hAnsi="Times New Roman" w:cs="Times New Roman" w:eastAsia="Times New Roman" w:hint="default"/>
          <w:spacing w:val="26"/>
        </w:rPr>
        <w:t> </w:t>
      </w:r>
      <w:r>
        <w:rPr/>
        <w:t>研究生学历、教授级高级工程师，深圳达实智能股份有限公司主要创始人。</w:t>
      </w:r>
      <w:r>
        <w:rPr>
          <w:rFonts w:ascii="Times New Roman" w:hAnsi="Times New Roman" w:cs="Times New Roman" w:eastAsia="Times New Roman" w:hint="default"/>
        </w:rPr>
        <w:t>1995</w:t>
      </w:r>
      <w:r>
        <w:rPr/>
        <w:t>年</w:t>
      </w:r>
      <w:r>
        <w:rPr>
          <w:rFonts w:ascii="Times New Roman" w:hAnsi="Times New Roman" w:cs="Times New Roman" w:eastAsia="Times New Roman" w:hint="default"/>
        </w:rPr>
        <w:t>3</w:t>
      </w:r>
      <w:r>
        <w:rPr/>
        <w:t>月创 </w:t>
      </w:r>
      <w:r>
        <w:rPr>
          <w:spacing w:val="-2"/>
        </w:rPr>
        <w:t>立深圳达实智能股份有限公司，曾任公司第一至六届董事会董事长，深圳市三、四届人大代表，人大科技组组长，深圳市南</w:t>
      </w:r>
      <w:r>
        <w:rPr>
          <w:spacing w:val="-67"/>
        </w:rPr>
        <w:t> </w:t>
      </w:r>
      <w:r>
        <w:rPr>
          <w:spacing w:val="-67"/>
        </w:rPr>
      </w:r>
      <w:r>
        <w:rPr>
          <w:spacing w:val="-2"/>
        </w:rPr>
        <w:t>山区第一届政协委员。现任深圳达实智能股份有限公司董事长、总经理，深圳达实融资租赁有限公司董事长，深圳市第六届</w:t>
      </w:r>
      <w:r>
        <w:rPr>
          <w:spacing w:val="-64"/>
        </w:rPr>
        <w:t> </w:t>
      </w:r>
      <w:r>
        <w:rPr>
          <w:spacing w:val="-64"/>
        </w:rPr>
      </w:r>
      <w:r>
        <w:rPr/>
        <w:t>人大代表。</w:t>
      </w:r>
    </w:p>
    <w:p>
      <w:pPr>
        <w:pStyle w:val="BodyText"/>
        <w:spacing w:line="487" w:lineRule="auto" w:before="102"/>
        <w:ind w:left="573" w:right="1119"/>
        <w:jc w:val="left"/>
      </w:pPr>
      <w:r>
        <w:rPr>
          <w:rFonts w:ascii="Times New Roman" w:hAnsi="Times New Roman" w:cs="Times New Roman" w:eastAsia="Times New Roman" w:hint="default"/>
        </w:rPr>
        <w:t>2</w:t>
      </w:r>
      <w:r>
        <w:rPr/>
        <w:t>、刘昂简历 </w:t>
      </w:r>
      <w:r>
        <w:rPr>
          <w:spacing w:val="-1"/>
        </w:rPr>
        <w:t>刘昂先生，</w:t>
      </w:r>
      <w:r>
        <w:rPr>
          <w:rFonts w:ascii="Times New Roman" w:hAnsi="Times New Roman" w:cs="Times New Roman" w:eastAsia="Times New Roman" w:hint="default"/>
          <w:spacing w:val="-1"/>
        </w:rPr>
        <w:t>1967</w:t>
      </w:r>
      <w:r>
        <w:rPr>
          <w:spacing w:val="-1"/>
        </w:rPr>
        <w:t>年</w:t>
      </w:r>
      <w:r>
        <w:rPr>
          <w:rFonts w:ascii="Times New Roman" w:hAnsi="Times New Roman" w:cs="Times New Roman" w:eastAsia="Times New Roman" w:hint="default"/>
          <w:spacing w:val="-1"/>
        </w:rPr>
        <w:t>8</w:t>
      </w:r>
      <w:r>
        <w:rPr>
          <w:spacing w:val="-1"/>
        </w:rPr>
        <w:t>月出生，英国威尔士大学管理学硕士，公司第一至六届董事会董事。</w:t>
      </w:r>
      <w:r>
        <w:rPr>
          <w:rFonts w:ascii="Times New Roman" w:hAnsi="Times New Roman" w:cs="Times New Roman" w:eastAsia="Times New Roman" w:hint="default"/>
          <w:spacing w:val="-1"/>
        </w:rPr>
        <w:t>1995</w:t>
      </w:r>
      <w:r>
        <w:rPr>
          <w:spacing w:val="-1"/>
        </w:rPr>
        <w:t>年参与组建本公司。现任</w:t>
      </w:r>
    </w:p>
    <w:p>
      <w:pPr>
        <w:pStyle w:val="BodyText"/>
        <w:spacing w:line="477" w:lineRule="auto" w:before="13"/>
        <w:ind w:right="0"/>
        <w:jc w:val="left"/>
      </w:pPr>
      <w:r>
        <w:rPr>
          <w:spacing w:val="-4"/>
        </w:rPr>
        <w:t>公司第七届董事会董事，拉萨市达实投资发展有限公司执行董事、总经理，深圳市达实数字科技有限公司执行董事、总经理，</w:t>
      </w:r>
      <w:r>
        <w:rPr>
          <w:spacing w:val="-46"/>
        </w:rPr>
        <w:t> </w:t>
      </w:r>
      <w:r>
        <w:rPr>
          <w:spacing w:val="-46"/>
        </w:rPr>
      </w:r>
      <w:r>
        <w:rPr>
          <w:spacing w:val="-2"/>
        </w:rPr>
        <w:t>深圳市达实股权投资发展有限公司执行董事兼总经理，合肥达实数字科技有限公司执行董事、总经理，合肥中正物业管理有</w:t>
      </w:r>
      <w:r>
        <w:rPr>
          <w:spacing w:val="-65"/>
        </w:rPr>
        <w:t> </w:t>
      </w:r>
      <w:r>
        <w:rPr>
          <w:spacing w:val="-65"/>
        </w:rPr>
      </w:r>
      <w:r>
        <w:rPr/>
        <w:t>限公司执行董事、总经理，深圳市诺达自动化技术有限公司副董事长，深圳市英唐智能控制股份有限公司监事会主席。</w:t>
      </w:r>
    </w:p>
    <w:p>
      <w:pPr>
        <w:pStyle w:val="BodyText"/>
        <w:spacing w:line="489" w:lineRule="auto" w:before="95"/>
        <w:ind w:left="573" w:right="1119"/>
        <w:jc w:val="left"/>
      </w:pPr>
      <w:r>
        <w:rPr>
          <w:rFonts w:ascii="Times New Roman" w:hAnsi="Times New Roman" w:cs="Times New Roman" w:eastAsia="Times New Roman" w:hint="default"/>
        </w:rPr>
        <w:t>3</w:t>
      </w:r>
      <w:r>
        <w:rPr/>
        <w:t>、程朋胜简历 </w:t>
      </w:r>
      <w:r>
        <w:rPr>
          <w:spacing w:val="-1"/>
        </w:rPr>
        <w:t>程朋胜先生，</w:t>
      </w:r>
      <w:r>
        <w:rPr>
          <w:rFonts w:ascii="Times New Roman" w:hAnsi="Times New Roman" w:cs="Times New Roman" w:eastAsia="Times New Roman" w:hint="default"/>
          <w:spacing w:val="-1"/>
        </w:rPr>
        <w:t>1964</w:t>
      </w:r>
      <w:r>
        <w:rPr>
          <w:spacing w:val="-1"/>
        </w:rPr>
        <w:t>年</w:t>
      </w:r>
      <w:r>
        <w:rPr>
          <w:rFonts w:ascii="Times New Roman" w:hAnsi="Times New Roman" w:cs="Times New Roman" w:eastAsia="Times New Roman" w:hint="default"/>
          <w:spacing w:val="-1"/>
        </w:rPr>
        <w:t>4</w:t>
      </w:r>
      <w:r>
        <w:rPr>
          <w:spacing w:val="-1"/>
        </w:rPr>
        <w:t>月出生，工学硕士，教授级高级工程师，深圳达实智能股份有限公司主要创始人之一。</w:t>
      </w:r>
      <w:r>
        <w:rPr>
          <w:rFonts w:ascii="Times New Roman" w:hAnsi="Times New Roman" w:cs="Times New Roman" w:eastAsia="Times New Roman" w:hint="default"/>
          <w:spacing w:val="-1"/>
        </w:rPr>
        <w:t>1995</w:t>
      </w:r>
      <w:r>
        <w:rPr>
          <w:spacing w:val="-1"/>
        </w:rPr>
        <w:t>年参</w:t>
      </w:r>
    </w:p>
    <w:p>
      <w:pPr>
        <w:pStyle w:val="BodyText"/>
        <w:spacing w:line="477" w:lineRule="auto" w:before="11"/>
        <w:ind w:right="1129"/>
        <w:jc w:val="left"/>
      </w:pPr>
      <w:r>
        <w:rPr>
          <w:spacing w:val="-2"/>
        </w:rPr>
        <w:t>与组建深圳达实智能股份有限公司，曾任公司第一至六届董事会董事。现任公司第七届董事会董事、副总经理、研发中心主</w:t>
      </w:r>
      <w:r>
        <w:rPr>
          <w:spacing w:val="-64"/>
        </w:rPr>
        <w:t> </w:t>
      </w:r>
      <w:r>
        <w:rPr>
          <w:spacing w:val="-64"/>
        </w:rPr>
      </w:r>
      <w:r>
        <w:rPr/>
        <w:t>任、国家博士后科研工作站负责人，深圳达实信息技术有限公司董事，江苏达实久信医疗科技有限公司董事。</w:t>
      </w:r>
    </w:p>
    <w:p>
      <w:pPr>
        <w:spacing w:after="0" w:line="477"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489" w:lineRule="auto"/>
        <w:ind w:left="573" w:right="1193"/>
        <w:jc w:val="left"/>
      </w:pPr>
      <w:r>
        <w:rPr>
          <w:rFonts w:ascii="Times New Roman" w:hAnsi="Times New Roman" w:cs="Times New Roman" w:eastAsia="Times New Roman" w:hint="default"/>
        </w:rPr>
        <w:t>4</w:t>
      </w:r>
      <w:r>
        <w:rPr/>
        <w:t>、吕枫简历 吕枫先生，</w:t>
      </w:r>
      <w:r>
        <w:rPr>
          <w:rFonts w:ascii="Times New Roman" w:hAnsi="Times New Roman" w:cs="Times New Roman" w:eastAsia="Times New Roman" w:hint="default"/>
        </w:rPr>
        <w:t>1968</w:t>
      </w:r>
      <w:r>
        <w:rPr/>
        <w:t>年</w:t>
      </w:r>
      <w:r>
        <w:rPr>
          <w:rFonts w:ascii="Times New Roman" w:hAnsi="Times New Roman" w:cs="Times New Roman" w:eastAsia="Times New Roman" w:hint="default"/>
        </w:rPr>
        <w:t>1</w:t>
      </w:r>
      <w:r>
        <w:rPr/>
        <w:t>月出生，南开大学物理学学士，清华大学工商管理硕士（</w:t>
      </w:r>
      <w:r>
        <w:rPr>
          <w:rFonts w:ascii="Times New Roman" w:hAnsi="Times New Roman" w:cs="Times New Roman" w:eastAsia="Times New Roman" w:hint="default"/>
        </w:rPr>
        <w:t>MBA</w:t>
      </w:r>
      <w:r>
        <w:rPr/>
        <w:t>），高级经济师。</w:t>
      </w:r>
      <w:r>
        <w:rPr>
          <w:rFonts w:ascii="Times New Roman" w:hAnsi="Times New Roman" w:cs="Times New Roman" w:eastAsia="Times New Roman" w:hint="default"/>
        </w:rPr>
        <w:t>2001</w:t>
      </w:r>
      <w:r>
        <w:rPr/>
        <w:t>年</w:t>
      </w:r>
      <w:r>
        <w:rPr>
          <w:rFonts w:ascii="Times New Roman" w:hAnsi="Times New Roman" w:cs="Times New Roman" w:eastAsia="Times New Roman" w:hint="default"/>
        </w:rPr>
        <w:t>10</w:t>
      </w:r>
      <w:r>
        <w:rPr/>
        <w:t>月进入</w:t>
      </w:r>
    </w:p>
    <w:p>
      <w:pPr>
        <w:pStyle w:val="BodyText"/>
        <w:spacing w:line="477" w:lineRule="auto" w:before="11"/>
        <w:ind w:right="1130"/>
        <w:jc w:val="both"/>
      </w:pPr>
      <w:r>
        <w:rPr>
          <w:spacing w:val="-2"/>
        </w:rPr>
        <w:t>深圳达实智能股份有限公司，现任公司第七届董事会董事、副总经理，融智节能环保（深圳）有限公司董事长，上海达实联</w:t>
      </w:r>
      <w:r>
        <w:rPr>
          <w:spacing w:val="-68"/>
        </w:rPr>
        <w:t> </w:t>
      </w:r>
      <w:r>
        <w:rPr>
          <w:spacing w:val="-68"/>
        </w:rPr>
      </w:r>
      <w:r>
        <w:rPr>
          <w:spacing w:val="-2"/>
        </w:rPr>
        <w:t>欣科技发展有限公司董事，江苏达实久信医疗科技有限公司董事，北京达实德润能源科技有限公司董事，雄安达实智慧科技</w:t>
      </w:r>
      <w:r>
        <w:rPr>
          <w:spacing w:val="-63"/>
        </w:rPr>
        <w:t> </w:t>
      </w:r>
      <w:r>
        <w:rPr>
          <w:spacing w:val="-63"/>
        </w:rPr>
      </w:r>
      <w:r>
        <w:rPr/>
        <w:t>有限公司执行董事、总经理，上海腾隆变配电设备管理有限公司董事。</w:t>
      </w:r>
    </w:p>
    <w:p>
      <w:pPr>
        <w:pStyle w:val="BodyText"/>
        <w:spacing w:line="489" w:lineRule="auto" w:before="92"/>
        <w:ind w:left="573" w:right="1133"/>
        <w:jc w:val="left"/>
      </w:pPr>
      <w:r>
        <w:rPr>
          <w:rFonts w:ascii="Times New Roman" w:hAnsi="Times New Roman" w:cs="Times New Roman" w:eastAsia="Times New Roman" w:hint="default"/>
        </w:rPr>
        <w:t>5</w:t>
      </w:r>
      <w:r>
        <w:rPr/>
        <w:t>、苏俊锋简历 </w:t>
      </w:r>
      <w:r>
        <w:rPr>
          <w:spacing w:val="-2"/>
        </w:rPr>
        <w:t>苏俊锋先生，</w:t>
      </w:r>
      <w:r>
        <w:rPr>
          <w:rFonts w:ascii="Times New Roman" w:hAnsi="Times New Roman" w:cs="Times New Roman" w:eastAsia="Times New Roman" w:hint="default"/>
          <w:spacing w:val="-2"/>
        </w:rPr>
        <w:t>1971</w:t>
      </w:r>
      <w:r>
        <w:rPr>
          <w:spacing w:val="-2"/>
        </w:rPr>
        <w:t>年</w:t>
      </w:r>
      <w:r>
        <w:rPr>
          <w:rFonts w:ascii="Times New Roman" w:hAnsi="Times New Roman" w:cs="Times New Roman" w:eastAsia="Times New Roman" w:hint="default"/>
          <w:spacing w:val="-2"/>
        </w:rPr>
        <w:t>6</w:t>
      </w:r>
      <w:r>
        <w:rPr>
          <w:spacing w:val="-2"/>
        </w:rPr>
        <w:t>月出生，华中理工大学工学硕士研究生毕业，高级工程师。担任高速铁路建造技术国家工程实验</w:t>
      </w:r>
    </w:p>
    <w:p>
      <w:pPr>
        <w:pStyle w:val="BodyText"/>
        <w:spacing w:line="463" w:lineRule="auto" w:before="11"/>
        <w:ind w:right="1130"/>
        <w:jc w:val="both"/>
      </w:pPr>
      <w:r>
        <w:rPr>
          <w:spacing w:val="-2"/>
        </w:rPr>
        <w:t>室常务理事，深圳市城市轨道交通协会副会长及产业设备委员会副主任，深圳市智能建筑协会副会长，深圳市广西商会常务</w:t>
      </w:r>
      <w:r>
        <w:rPr>
          <w:spacing w:val="-63"/>
        </w:rPr>
        <w:t> </w:t>
      </w:r>
      <w:r>
        <w:rPr>
          <w:spacing w:val="-63"/>
        </w:rPr>
      </w:r>
      <w:r>
        <w:rPr>
          <w:spacing w:val="-2"/>
        </w:rPr>
        <w:t>副会长等社会职务。</w:t>
      </w:r>
      <w:r>
        <w:rPr>
          <w:rFonts w:ascii="Times New Roman" w:hAnsi="Times New Roman" w:cs="Times New Roman" w:eastAsia="Times New Roman" w:hint="default"/>
          <w:spacing w:val="-2"/>
        </w:rPr>
        <w:t>1996</w:t>
      </w:r>
      <w:r>
        <w:rPr>
          <w:spacing w:val="-2"/>
        </w:rPr>
        <w:t>年进入深圳达实智能股份有限公司，现任公司第七届董事会董事、副总经理，深圳市云玺互联网服</w:t>
      </w:r>
      <w:r>
        <w:rPr>
          <w:spacing w:val="-61"/>
        </w:rPr>
        <w:t> </w:t>
      </w:r>
      <w:r>
        <w:rPr>
          <w:spacing w:val="-61"/>
        </w:rPr>
      </w:r>
      <w:r>
        <w:rPr/>
        <w:t>务有限公司董事。</w:t>
      </w:r>
    </w:p>
    <w:p>
      <w:pPr>
        <w:pStyle w:val="BodyText"/>
        <w:spacing w:line="487" w:lineRule="auto" w:before="106"/>
        <w:ind w:left="573" w:right="1153"/>
        <w:jc w:val="left"/>
      </w:pPr>
      <w:r>
        <w:rPr>
          <w:rFonts w:ascii="Times New Roman" w:hAnsi="Times New Roman" w:cs="Times New Roman" w:eastAsia="Times New Roman" w:hint="default"/>
        </w:rPr>
        <w:t>6</w:t>
      </w:r>
      <w:r>
        <w:rPr/>
        <w:t>、孔祥云简历 孔祥云先生，</w:t>
      </w:r>
      <w:r>
        <w:rPr>
          <w:rFonts w:ascii="Times New Roman" w:hAnsi="Times New Roman" w:cs="Times New Roman" w:eastAsia="Times New Roman" w:hint="default"/>
        </w:rPr>
        <w:t>1954</w:t>
      </w:r>
      <w:r>
        <w:rPr/>
        <w:t>年</w:t>
      </w:r>
      <w:r>
        <w:rPr>
          <w:rFonts w:ascii="Times New Roman" w:hAnsi="Times New Roman" w:cs="Times New Roman" w:eastAsia="Times New Roman" w:hint="default"/>
        </w:rPr>
        <w:t>10</w:t>
      </w:r>
      <w:r>
        <w:rPr/>
        <w:t>月出生。江西财经大学经济学学士，江西财经大学经济学硕士学位；</w:t>
      </w:r>
      <w:r>
        <w:rPr>
          <w:rFonts w:ascii="Times New Roman" w:hAnsi="Times New Roman" w:cs="Times New Roman" w:eastAsia="Times New Roman" w:hint="default"/>
        </w:rPr>
        <w:t>1994</w:t>
      </w:r>
      <w:r>
        <w:rPr/>
        <w:t>年奥地利维也纳经济</w:t>
      </w:r>
    </w:p>
    <w:p>
      <w:pPr>
        <w:pStyle w:val="BodyText"/>
        <w:spacing w:line="477" w:lineRule="auto" w:before="13"/>
        <w:ind w:right="1034"/>
        <w:jc w:val="left"/>
      </w:pPr>
      <w:r>
        <w:rPr>
          <w:spacing w:val="-2"/>
        </w:rPr>
        <w:t>大学访问学者；会计学副教授、高级会计师。历任江西财经大学财会系教研室副主任、审计监察处副处长、处长，江西华财</w:t>
      </w:r>
      <w:r>
        <w:rPr>
          <w:spacing w:val="-68"/>
        </w:rPr>
        <w:t> </w:t>
      </w:r>
      <w:r>
        <w:rPr>
          <w:spacing w:val="-68"/>
        </w:rPr>
      </w:r>
      <w:r>
        <w:rPr/>
        <w:t>大厦实业投资公司总经理，中国投资银行深圳分行财会部总经理、稽核部总经理，国家开发银行深圳分行计划财务处处长、</w:t>
      </w:r>
      <w:r>
        <w:rPr/>
        <w:t> </w:t>
      </w:r>
      <w:r>
        <w:rPr>
          <w:spacing w:val="-2"/>
        </w:rPr>
        <w:t>经营管理处处长、客户处处长、金融合作处处长，平安银行总行公司业务二部总经理，平安银行深圳分行副行长。现任公司</w:t>
      </w:r>
      <w:r>
        <w:rPr>
          <w:spacing w:val="-67"/>
        </w:rPr>
        <w:t> </w:t>
      </w:r>
      <w:r>
        <w:rPr>
          <w:spacing w:val="-67"/>
        </w:rPr>
      </w:r>
      <w:r>
        <w:rPr>
          <w:spacing w:val="-2"/>
        </w:rPr>
        <w:t>第七届董事会独立董事，深圳市长盈精密技术股份有限公司独立董事、海能达通信股份有限公司独立董事、深圳市振业（集</w:t>
      </w:r>
      <w:r>
        <w:rPr>
          <w:spacing w:val="-64"/>
        </w:rPr>
        <w:t> </w:t>
      </w:r>
      <w:r>
        <w:rPr>
          <w:spacing w:val="-64"/>
        </w:rPr>
      </w:r>
      <w:r>
        <w:rPr>
          <w:spacing w:val="-2"/>
        </w:rPr>
        <w:t>团）股份有限公司独立董事、华孚时尚股份有限公司独立董事、平安信托有限责任公司监事，兼任江西财经大学会计学院和</w:t>
      </w:r>
      <w:r>
        <w:rPr>
          <w:spacing w:val="-64"/>
        </w:rPr>
        <w:t> </w:t>
      </w:r>
      <w:r>
        <w:rPr>
          <w:spacing w:val="-64"/>
        </w:rPr>
      </w:r>
      <w:r>
        <w:rPr/>
        <w:t>深圳大学金融学院研究生校外导师、国家审计署驻深圳特派员办事处特聘外部专家。</w:t>
      </w:r>
    </w:p>
    <w:p>
      <w:pPr>
        <w:pStyle w:val="BodyText"/>
        <w:spacing w:line="489" w:lineRule="auto" w:before="95"/>
        <w:ind w:left="573" w:right="1034"/>
        <w:jc w:val="left"/>
      </w:pPr>
      <w:r>
        <w:rPr>
          <w:rFonts w:ascii="Times New Roman" w:hAnsi="Times New Roman" w:cs="Times New Roman" w:eastAsia="Times New Roman" w:hint="default"/>
        </w:rPr>
        <w:t>7</w:t>
      </w:r>
      <w:r>
        <w:rPr/>
        <w:t>、舒骋简历 </w:t>
      </w:r>
      <w:r>
        <w:rPr>
          <w:spacing w:val="-3"/>
        </w:rPr>
        <w:t>舒骋先生，</w:t>
      </w:r>
      <w:r>
        <w:rPr>
          <w:rFonts w:ascii="Times New Roman" w:hAnsi="Times New Roman" w:cs="Times New Roman" w:eastAsia="Times New Roman" w:hint="default"/>
          <w:spacing w:val="-3"/>
        </w:rPr>
        <w:t>1976</w:t>
      </w:r>
      <w:r>
        <w:rPr>
          <w:spacing w:val="-3"/>
        </w:rPr>
        <w:t>年</w:t>
      </w:r>
      <w:r>
        <w:rPr>
          <w:rFonts w:ascii="Times New Roman" w:hAnsi="Times New Roman" w:cs="Times New Roman" w:eastAsia="Times New Roman" w:hint="default"/>
          <w:spacing w:val="-3"/>
        </w:rPr>
        <w:t>2</w:t>
      </w:r>
      <w:r>
        <w:rPr>
          <w:spacing w:val="-3"/>
        </w:rPr>
        <w:t>月出生，中南大学应用物理工学学士，中国科学院数学研究所（与贵州大学联合培养）、清华大学、</w:t>
      </w:r>
    </w:p>
    <w:p>
      <w:pPr>
        <w:pStyle w:val="BodyText"/>
        <w:spacing w:line="451" w:lineRule="auto" w:before="11"/>
        <w:ind w:right="1034"/>
        <w:jc w:val="left"/>
      </w:pPr>
      <w:r>
        <w:rPr>
          <w:spacing w:val="-1"/>
        </w:rPr>
        <w:t>北京大学计算机科学</w:t>
      </w:r>
      <w:r>
        <w:rPr>
          <w:rFonts w:ascii="Times New Roman" w:hAnsi="Times New Roman" w:cs="Times New Roman" w:eastAsia="Times New Roman" w:hint="default"/>
          <w:spacing w:val="-1"/>
        </w:rPr>
        <w:t>/</w:t>
      </w:r>
      <w:r>
        <w:rPr>
          <w:spacing w:val="-1"/>
        </w:rPr>
        <w:t>工商管理硕士。师从著名的人工智能科学家陆汝钤院士与王翰虎教授，深入进行人工智能的体系研究。</w:t>
      </w:r>
      <w:r>
        <w:rPr>
          <w:spacing w:val="-79"/>
        </w:rPr>
        <w:t> </w:t>
      </w:r>
      <w:r>
        <w:rPr>
          <w:spacing w:val="-79"/>
        </w:rPr>
      </w:r>
      <w:r>
        <w:rPr/>
        <w:t>后在美国西北大学凯洛格管理学院就读</w:t>
      </w:r>
      <w:r>
        <w:rPr>
          <w:rFonts w:ascii="Times New Roman" w:hAnsi="Times New Roman" w:cs="Times New Roman" w:eastAsia="Times New Roman" w:hint="default"/>
        </w:rPr>
        <w:t>“</w:t>
      </w:r>
      <w:r>
        <w:rPr/>
        <w:t>整合营销传播</w:t>
      </w:r>
      <w:r>
        <w:rPr>
          <w:rFonts w:ascii="Times New Roman" w:hAnsi="Times New Roman" w:cs="Times New Roman" w:eastAsia="Times New Roman" w:hint="default"/>
        </w:rPr>
        <w:t>”</w:t>
      </w:r>
      <w:r>
        <w:rPr/>
        <w:t>专业</w:t>
      </w:r>
      <w:r>
        <w:rPr>
          <w:rFonts w:ascii="Times New Roman" w:hAnsi="Times New Roman" w:cs="Times New Roman" w:eastAsia="Times New Roman" w:hint="default"/>
        </w:rPr>
        <w:t>MBA</w:t>
      </w:r>
      <w:r>
        <w:rPr>
          <w:rFonts w:ascii="Times New Roman" w:hAnsi="Times New Roman" w:cs="Times New Roman" w:eastAsia="Times New Roman" w:hint="default"/>
          <w:spacing w:val="31"/>
        </w:rPr>
        <w:t> </w:t>
      </w:r>
      <w:r>
        <w:rPr>
          <w:spacing w:val="-6"/>
        </w:rPr>
        <w:t>课程（与微软公司合办）。曾在微软负责微软中国</w:t>
      </w:r>
      <w:r>
        <w:rPr>
          <w:rFonts w:ascii="Times New Roman" w:hAnsi="Times New Roman" w:cs="Times New Roman" w:eastAsia="Times New Roman" w:hint="default"/>
          <w:spacing w:val="-6"/>
        </w:rPr>
        <w:t>Windows</w:t>
      </w:r>
      <w:r>
        <w:rPr>
          <w:rFonts w:ascii="Times New Roman" w:hAnsi="Times New Roman" w:cs="Times New Roman" w:eastAsia="Times New Roman" w:hint="default"/>
          <w:spacing w:val="-35"/>
        </w:rPr>
        <w:t> </w:t>
      </w:r>
      <w:r>
        <w:rPr>
          <w:rFonts w:ascii="Times New Roman" w:hAnsi="Times New Roman" w:cs="Times New Roman" w:eastAsia="Times New Roman" w:hint="default"/>
          <w:spacing w:val="-35"/>
        </w:rPr>
      </w:r>
      <w:r>
        <w:rPr/>
        <w:t>操作系统平台产品研发与市场营销。现任随锐科技集团股份有限公司董事长兼</w:t>
      </w:r>
      <w:r>
        <w:rPr>
          <w:spacing w:val="-17"/>
        </w:rPr>
        <w:t> </w:t>
      </w:r>
      <w:r>
        <w:rPr>
          <w:rFonts w:ascii="Times New Roman" w:hAnsi="Times New Roman" w:cs="Times New Roman" w:eastAsia="Times New Roman" w:hint="default"/>
        </w:rPr>
        <w:t>CEO</w:t>
      </w:r>
      <w:r>
        <w:rPr/>
        <w:t>，随锐（北京）投资管理有限公司执行 董事，金驰骋（北京）投资管理有限公司执行董事，北京随锐呈现科技有限公司执行董事，氮氧</w:t>
      </w:r>
      <w:r>
        <w:rPr>
          <w:rFonts w:ascii="Times New Roman" w:hAnsi="Times New Roman" w:cs="Times New Roman" w:eastAsia="Times New Roman" w:hint="default"/>
        </w:rPr>
        <w:t>(</w:t>
      </w:r>
      <w:r>
        <w:rPr/>
        <w:t>杭州</w:t>
      </w:r>
      <w:r>
        <w:rPr>
          <w:rFonts w:ascii="Times New Roman" w:hAnsi="Times New Roman" w:cs="Times New Roman" w:eastAsia="Times New Roman" w:hint="default"/>
        </w:rPr>
        <w:t>)</w:t>
      </w:r>
      <w:r>
        <w:rPr/>
        <w:t>科技有限公司、江西 金驰骋投资管理有限公司、深圳市六度人和科技有限公司、浙江随锐智能科技有限公司董事，公司第七届董事会独立董事。</w:t>
      </w:r>
    </w:p>
    <w:p>
      <w:pPr>
        <w:pStyle w:val="BodyText"/>
        <w:spacing w:line="489" w:lineRule="auto" w:before="112"/>
        <w:ind w:left="573" w:right="1117"/>
        <w:jc w:val="left"/>
      </w:pPr>
      <w:r>
        <w:rPr>
          <w:rFonts w:ascii="Times New Roman" w:hAnsi="Times New Roman" w:cs="Times New Roman" w:eastAsia="Times New Roman" w:hint="default"/>
        </w:rPr>
        <w:t>8</w:t>
      </w:r>
      <w:r>
        <w:rPr/>
        <w:t>、陈以增简历 </w:t>
      </w:r>
      <w:r>
        <w:rPr>
          <w:spacing w:val="-1"/>
        </w:rPr>
        <w:t>陈以增先生，</w:t>
      </w:r>
      <w:r>
        <w:rPr>
          <w:rFonts w:ascii="Times New Roman" w:hAnsi="Times New Roman" w:cs="Times New Roman" w:eastAsia="Times New Roman" w:hint="default"/>
          <w:spacing w:val="-1"/>
        </w:rPr>
        <w:t>1971</w:t>
      </w:r>
      <w:r>
        <w:rPr>
          <w:spacing w:val="-1"/>
        </w:rPr>
        <w:t>年</w:t>
      </w:r>
      <w:r>
        <w:rPr>
          <w:rFonts w:ascii="Times New Roman" w:hAnsi="Times New Roman" w:cs="Times New Roman" w:eastAsia="Times New Roman" w:hint="default"/>
          <w:spacing w:val="-1"/>
        </w:rPr>
        <w:t>9</w:t>
      </w:r>
      <w:r>
        <w:rPr>
          <w:spacing w:val="-1"/>
        </w:rPr>
        <w:t>月出生，北京航空航天大学硕士，东北大学博士，香港理工大学博士后，长期从事工业工程与金</w:t>
      </w:r>
    </w:p>
    <w:p>
      <w:pPr>
        <w:pStyle w:val="BodyText"/>
        <w:spacing w:line="477" w:lineRule="auto" w:before="11"/>
        <w:ind w:right="1142"/>
        <w:jc w:val="left"/>
      </w:pPr>
      <w:r>
        <w:rPr/>
        <w:t>融系统工程方面的教学、</w:t>
      </w:r>
      <w:r>
        <w:rPr>
          <w:spacing w:val="-18"/>
        </w:rPr>
        <w:t> </w:t>
      </w:r>
      <w:r>
        <w:rPr/>
        <w:t>科研工作，入选中国高被引学者。曾任上海大学管理学院教授、博士生导师、系主任、副院长，</w:t>
      </w:r>
      <w:r>
        <w:rPr/>
        <w:t> 上海市 </w:t>
      </w:r>
      <w:r>
        <w:rPr>
          <w:rFonts w:ascii="Times New Roman" w:hAnsi="Times New Roman" w:cs="Times New Roman" w:eastAsia="Times New Roman" w:hint="default"/>
        </w:rPr>
        <w:t>MBA</w:t>
      </w:r>
      <w:r>
        <w:rPr>
          <w:rFonts w:ascii="Times New Roman" w:hAnsi="Times New Roman" w:cs="Times New Roman" w:eastAsia="Times New Roman" w:hint="default"/>
          <w:spacing w:val="7"/>
        </w:rPr>
        <w:t> </w:t>
      </w:r>
      <w:r>
        <w:rPr/>
        <w:t>教执委、中国质量协会学术教育工作委员会委员、上海质量协会常务理事、上海运筹协会理事。现任公司第</w:t>
      </w:r>
    </w:p>
    <w:p>
      <w:pPr>
        <w:spacing w:after="0" w:line="477"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240" w:lineRule="auto"/>
        <w:ind w:right="1133"/>
        <w:jc w:val="left"/>
      </w:pPr>
      <w:r>
        <w:rPr/>
        <w:t>七届董事会独立董事。</w:t>
      </w:r>
    </w:p>
    <w:p>
      <w:pPr>
        <w:spacing w:line="240" w:lineRule="auto" w:before="12"/>
        <w:rPr>
          <w:rFonts w:ascii="宋体" w:hAnsi="宋体" w:cs="宋体" w:eastAsia="宋体" w:hint="default"/>
          <w:sz w:val="20"/>
          <w:szCs w:val="20"/>
        </w:rPr>
      </w:pPr>
    </w:p>
    <w:p>
      <w:pPr>
        <w:pStyle w:val="BodyText"/>
        <w:spacing w:line="487" w:lineRule="auto"/>
        <w:ind w:left="573" w:right="1133"/>
        <w:jc w:val="left"/>
      </w:pPr>
      <w:r>
        <w:rPr>
          <w:rFonts w:ascii="Times New Roman" w:hAnsi="Times New Roman" w:cs="Times New Roman" w:eastAsia="Times New Roman" w:hint="default"/>
        </w:rPr>
        <w:t>9</w:t>
      </w:r>
      <w:r>
        <w:rPr/>
        <w:t>、沈冰简历 </w:t>
      </w:r>
      <w:r>
        <w:rPr>
          <w:spacing w:val="-2"/>
        </w:rPr>
        <w:t>沈冰先生，</w:t>
      </w:r>
      <w:r>
        <w:rPr>
          <w:rFonts w:ascii="Times New Roman" w:hAnsi="Times New Roman" w:cs="Times New Roman" w:eastAsia="Times New Roman" w:hint="default"/>
          <w:spacing w:val="-2"/>
        </w:rPr>
        <w:t>1971</w:t>
      </w:r>
      <w:r>
        <w:rPr>
          <w:spacing w:val="-2"/>
        </w:rPr>
        <w:t>年</w:t>
      </w:r>
      <w:r>
        <w:rPr>
          <w:rFonts w:ascii="Times New Roman" w:hAnsi="Times New Roman" w:cs="Times New Roman" w:eastAsia="Times New Roman" w:hint="default"/>
          <w:spacing w:val="-2"/>
        </w:rPr>
        <w:t>4</w:t>
      </w:r>
      <w:r>
        <w:rPr>
          <w:spacing w:val="-2"/>
        </w:rPr>
        <w:t>月出生，硕士学历。曾任公司市场部经理、战略发展部经理、事业部经理、第六届监事会监事。现</w:t>
      </w:r>
    </w:p>
    <w:p>
      <w:pPr>
        <w:pStyle w:val="BodyText"/>
        <w:spacing w:line="240" w:lineRule="auto" w:before="13"/>
        <w:ind w:right="1133"/>
        <w:jc w:val="left"/>
      </w:pPr>
      <w:r>
        <w:rPr/>
        <w:t>任公司第七届董事会董事，深圳市诺达自动化技术有限公司董事长兼总经理。</w:t>
      </w:r>
    </w:p>
    <w:p>
      <w:pPr>
        <w:spacing w:line="240" w:lineRule="auto" w:before="12"/>
        <w:rPr>
          <w:rFonts w:ascii="宋体" w:hAnsi="宋体" w:cs="宋体" w:eastAsia="宋体" w:hint="default"/>
          <w:sz w:val="20"/>
          <w:szCs w:val="20"/>
        </w:rPr>
      </w:pPr>
    </w:p>
    <w:p>
      <w:pPr>
        <w:pStyle w:val="Heading6"/>
        <w:spacing w:line="240" w:lineRule="auto"/>
        <w:ind w:right="1133"/>
        <w:jc w:val="left"/>
        <w:rPr>
          <w:b w:val="0"/>
          <w:bCs w:val="0"/>
        </w:rPr>
      </w:pPr>
      <w:r>
        <w:rPr/>
        <w:t>（二）监事最近</w:t>
      </w:r>
      <w:r>
        <w:rPr>
          <w:rFonts w:ascii="Times New Roman" w:hAnsi="Times New Roman" w:cs="Times New Roman" w:eastAsia="Times New Roman" w:hint="default"/>
        </w:rPr>
        <w:t>5</w:t>
      </w:r>
      <w:r>
        <w:rPr/>
        <w:t>年的主要工作经历</w:t>
      </w:r>
      <w:r>
        <w:rPr>
          <w:b w:val="0"/>
          <w:bCs w:val="0"/>
        </w:rPr>
      </w:r>
    </w:p>
    <w:p>
      <w:pPr>
        <w:spacing w:line="240" w:lineRule="auto" w:before="11"/>
        <w:rPr>
          <w:rFonts w:ascii="宋体" w:hAnsi="宋体" w:cs="宋体" w:eastAsia="宋体" w:hint="default"/>
          <w:b/>
          <w:bCs/>
          <w:sz w:val="19"/>
          <w:szCs w:val="19"/>
        </w:rPr>
      </w:pPr>
    </w:p>
    <w:p>
      <w:pPr>
        <w:pStyle w:val="BodyText"/>
        <w:spacing w:line="487" w:lineRule="auto"/>
        <w:ind w:left="573" w:right="1153"/>
        <w:jc w:val="left"/>
      </w:pPr>
      <w:r>
        <w:rPr>
          <w:rFonts w:ascii="Times New Roman" w:hAnsi="Times New Roman" w:cs="Times New Roman" w:eastAsia="Times New Roman" w:hint="default"/>
        </w:rPr>
        <w:t>1</w:t>
      </w:r>
      <w:r>
        <w:rPr/>
        <w:t>、李继朝简历 李继朝先生，</w:t>
      </w:r>
      <w:r>
        <w:rPr>
          <w:rFonts w:ascii="Times New Roman" w:hAnsi="Times New Roman" w:cs="Times New Roman" w:eastAsia="Times New Roman" w:hint="default"/>
        </w:rPr>
        <w:t>1966</w:t>
      </w:r>
      <w:r>
        <w:rPr/>
        <w:t>年</w:t>
      </w:r>
      <w:r>
        <w:rPr>
          <w:rFonts w:ascii="Times New Roman" w:hAnsi="Times New Roman" w:cs="Times New Roman" w:eastAsia="Times New Roman" w:hint="default"/>
        </w:rPr>
        <w:t>6</w:t>
      </w:r>
      <w:r>
        <w:rPr/>
        <w:t>月出生，</w:t>
      </w:r>
      <w:r>
        <w:rPr>
          <w:rFonts w:ascii="Times New Roman" w:hAnsi="Times New Roman" w:cs="Times New Roman" w:eastAsia="Times New Roman" w:hint="default"/>
        </w:rPr>
        <w:t>1992</w:t>
      </w:r>
      <w:r>
        <w:rPr/>
        <w:t>年毕业于大连理工大学高分子材料专业，硕士研究生学历。</w:t>
      </w:r>
      <w:r>
        <w:rPr>
          <w:rFonts w:ascii="Times New Roman" w:hAnsi="Times New Roman" w:cs="Times New Roman" w:eastAsia="Times New Roman" w:hint="default"/>
        </w:rPr>
        <w:t>1998</w:t>
      </w:r>
      <w:r>
        <w:rPr/>
        <w:t>年</w:t>
      </w:r>
      <w:r>
        <w:rPr>
          <w:rFonts w:ascii="Times New Roman" w:hAnsi="Times New Roman" w:cs="Times New Roman" w:eastAsia="Times New Roman" w:hint="default"/>
        </w:rPr>
        <w:t>7</w:t>
      </w:r>
      <w:r>
        <w:rPr/>
        <w:t>月开始在中兴</w:t>
      </w:r>
    </w:p>
    <w:p>
      <w:pPr>
        <w:pStyle w:val="BodyText"/>
        <w:spacing w:line="477" w:lineRule="auto" w:before="13"/>
        <w:ind w:right="0"/>
        <w:jc w:val="left"/>
      </w:pPr>
      <w:r>
        <w:rPr>
          <w:spacing w:val="-2"/>
        </w:rPr>
        <w:t>通讯工作十六年，历任薪酬部长、总裁办主任、手机产品总经理。曾任公司第六届监事会监事长，现任公司第七届监事会监</w:t>
      </w:r>
      <w:r>
        <w:rPr>
          <w:spacing w:val="-67"/>
        </w:rPr>
        <w:t> </w:t>
      </w:r>
      <w:r>
        <w:rPr>
          <w:spacing w:val="-67"/>
        </w:rPr>
      </w:r>
      <w:r>
        <w:rPr>
          <w:spacing w:val="-2"/>
        </w:rPr>
        <w:t>事长、首席战略咨询专家，深圳市亿芯通讯有限公司执行董事，深圳国侨岭南基金管理有限公司执行董事，深圳和宁环境科</w:t>
      </w:r>
      <w:r>
        <w:rPr>
          <w:spacing w:val="-63"/>
        </w:rPr>
        <w:t> </w:t>
      </w:r>
      <w:r>
        <w:rPr>
          <w:spacing w:val="-63"/>
        </w:rPr>
      </w:r>
      <w:r>
        <w:rPr>
          <w:spacing w:val="-4"/>
        </w:rPr>
        <w:t>技有限公司执行董事，深圳市高新技术企业金融服务促进会会长，深圳市科协专家委专家，深圳市发展改革委员会技术专家，</w:t>
      </w:r>
      <w:r>
        <w:rPr>
          <w:spacing w:val="-44"/>
        </w:rPr>
        <w:t> </w:t>
      </w:r>
      <w:r>
        <w:rPr>
          <w:spacing w:val="-44"/>
        </w:rPr>
      </w:r>
      <w:r>
        <w:rPr/>
        <w:t>深圳市源合高新产业投资有限公司董事，深圳市糖果互动科技有限公司监事。</w:t>
      </w:r>
    </w:p>
    <w:p>
      <w:pPr>
        <w:pStyle w:val="BodyText"/>
        <w:spacing w:line="489" w:lineRule="auto" w:before="95"/>
        <w:ind w:left="573" w:right="1153"/>
        <w:jc w:val="left"/>
      </w:pPr>
      <w:r>
        <w:rPr>
          <w:rFonts w:ascii="Times New Roman" w:hAnsi="Times New Roman" w:cs="Times New Roman" w:eastAsia="Times New Roman" w:hint="default"/>
        </w:rPr>
        <w:t>2</w:t>
      </w:r>
      <w:r>
        <w:rPr/>
        <w:t>、郑雪丹简历 郑雪丹先生，</w:t>
      </w:r>
      <w:r>
        <w:rPr>
          <w:rFonts w:ascii="Times New Roman" w:hAnsi="Times New Roman" w:cs="Times New Roman" w:eastAsia="Times New Roman" w:hint="default"/>
        </w:rPr>
        <w:t>1979</w:t>
      </w:r>
      <w:r>
        <w:rPr/>
        <w:t>年</w:t>
      </w:r>
      <w:r>
        <w:rPr>
          <w:rFonts w:ascii="Times New Roman" w:hAnsi="Times New Roman" w:cs="Times New Roman" w:eastAsia="Times New Roman" w:hint="default"/>
        </w:rPr>
        <w:t>5</w:t>
      </w:r>
      <w:r>
        <w:rPr/>
        <w:t>月出生，中南大学国际会计硕士。</w:t>
      </w:r>
      <w:r>
        <w:rPr>
          <w:rFonts w:ascii="Times New Roman" w:hAnsi="Times New Roman" w:cs="Times New Roman" w:eastAsia="Times New Roman" w:hint="default"/>
        </w:rPr>
        <w:t>2005</w:t>
      </w:r>
      <w:r>
        <w:rPr/>
        <w:t>年</w:t>
      </w:r>
      <w:r>
        <w:rPr>
          <w:rFonts w:ascii="Times New Roman" w:hAnsi="Times New Roman" w:cs="Times New Roman" w:eastAsia="Times New Roman" w:hint="default"/>
        </w:rPr>
        <w:t>3</w:t>
      </w:r>
      <w:r>
        <w:rPr/>
        <w:t>月起在深圳达实智能股份有限公司工作，任财务部副</w:t>
      </w:r>
    </w:p>
    <w:p>
      <w:pPr>
        <w:pStyle w:val="BodyText"/>
        <w:spacing w:line="477" w:lineRule="auto" w:before="11"/>
        <w:ind w:right="1129"/>
        <w:jc w:val="left"/>
      </w:pPr>
      <w:r>
        <w:rPr>
          <w:spacing w:val="-2"/>
        </w:rPr>
        <w:t>经理。现任深圳市诺达自动化技术有限公司常务副总经理、深圳市力聚投资发展有限公司执行董事兼总经理、公司第七届监</w:t>
      </w:r>
      <w:r>
        <w:rPr>
          <w:spacing w:val="-63"/>
        </w:rPr>
        <w:t> </w:t>
      </w:r>
      <w:r>
        <w:rPr>
          <w:spacing w:val="-63"/>
        </w:rPr>
      </w:r>
      <w:r>
        <w:rPr/>
        <w:t>事会监事。</w:t>
      </w:r>
    </w:p>
    <w:p>
      <w:pPr>
        <w:pStyle w:val="BodyText"/>
        <w:spacing w:line="489" w:lineRule="auto" w:before="93"/>
        <w:ind w:left="573" w:right="1153"/>
        <w:jc w:val="left"/>
      </w:pPr>
      <w:r>
        <w:rPr>
          <w:rFonts w:ascii="Times New Roman" w:hAnsi="Times New Roman" w:cs="Times New Roman" w:eastAsia="Times New Roman" w:hint="default"/>
        </w:rPr>
        <w:t>3</w:t>
      </w:r>
      <w:r>
        <w:rPr/>
        <w:t>、甘岱松简历 甘岱松先生，</w:t>
      </w:r>
      <w:r>
        <w:rPr>
          <w:rFonts w:ascii="Times New Roman" w:hAnsi="Times New Roman" w:cs="Times New Roman" w:eastAsia="Times New Roman" w:hint="default"/>
        </w:rPr>
        <w:t>1973</w:t>
      </w:r>
      <w:r>
        <w:rPr/>
        <w:t>年</w:t>
      </w:r>
      <w:r>
        <w:rPr>
          <w:rFonts w:ascii="Times New Roman" w:hAnsi="Times New Roman" w:cs="Times New Roman" w:eastAsia="Times New Roman" w:hint="default"/>
        </w:rPr>
        <w:t>8</w:t>
      </w:r>
      <w:r>
        <w:rPr/>
        <w:t>月出生，本科学历。曾任深圳市和发实业有限公司副总经理，</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7</w:t>
      </w:r>
      <w:r>
        <w:rPr/>
        <w:t>月进入本公司，曾任公司</w:t>
      </w:r>
    </w:p>
    <w:p>
      <w:pPr>
        <w:pStyle w:val="BodyText"/>
        <w:spacing w:line="477" w:lineRule="auto" w:before="11"/>
        <w:ind w:right="1129"/>
        <w:jc w:val="left"/>
      </w:pPr>
      <w:r>
        <w:rPr>
          <w:spacing w:val="-2"/>
        </w:rPr>
        <w:t>建筑智能化事业部副总经理、公司第五届监事会主席、第六届监事会监事，现任公司第七届监事会监事、数据中心事业部总</w:t>
      </w:r>
      <w:r>
        <w:rPr>
          <w:spacing w:val="-65"/>
        </w:rPr>
        <w:t> </w:t>
      </w:r>
      <w:r>
        <w:rPr>
          <w:spacing w:val="-65"/>
        </w:rPr>
      </w:r>
      <w:r>
        <w:rPr/>
        <w:t>经理。</w:t>
      </w:r>
    </w:p>
    <w:p>
      <w:pPr>
        <w:pStyle w:val="Heading6"/>
        <w:spacing w:line="240" w:lineRule="auto" w:before="95"/>
        <w:ind w:right="1133"/>
        <w:jc w:val="left"/>
        <w:rPr>
          <w:b w:val="0"/>
          <w:bCs w:val="0"/>
        </w:rPr>
      </w:pPr>
      <w:r>
        <w:rPr/>
        <w:t>（三）高级管理人员最近</w:t>
      </w:r>
      <w:r>
        <w:rPr>
          <w:rFonts w:ascii="Times New Roman" w:hAnsi="Times New Roman" w:cs="Times New Roman" w:eastAsia="Times New Roman" w:hint="default"/>
        </w:rPr>
        <w:t>5</w:t>
      </w:r>
      <w:r>
        <w:rPr/>
        <w:t>年的主要工作经历</w:t>
      </w:r>
      <w:r>
        <w:rPr>
          <w:b w:val="0"/>
          <w:bCs w:val="0"/>
        </w:rPr>
      </w:r>
    </w:p>
    <w:p>
      <w:pPr>
        <w:spacing w:line="240" w:lineRule="auto" w:before="9"/>
        <w:rPr>
          <w:rFonts w:ascii="宋体" w:hAnsi="宋体" w:cs="宋体" w:eastAsia="宋体" w:hint="default"/>
          <w:b/>
          <w:bCs/>
          <w:sz w:val="19"/>
          <w:szCs w:val="19"/>
        </w:rPr>
      </w:pPr>
    </w:p>
    <w:p>
      <w:pPr>
        <w:pStyle w:val="BodyText"/>
        <w:spacing w:line="240" w:lineRule="auto"/>
        <w:ind w:left="573" w:right="1133"/>
        <w:jc w:val="left"/>
      </w:pPr>
      <w:r>
        <w:rPr>
          <w:rFonts w:ascii="Times New Roman" w:hAnsi="Times New Roman" w:cs="Times New Roman" w:eastAsia="Times New Roman" w:hint="default"/>
        </w:rPr>
        <w:t>1</w:t>
      </w:r>
      <w:r>
        <w:rPr/>
        <w:t>、总经理刘磅先生最近</w:t>
      </w:r>
      <w:r>
        <w:rPr>
          <w:rFonts w:ascii="Times New Roman" w:hAnsi="Times New Roman" w:cs="Times New Roman" w:eastAsia="Times New Roman" w:hint="default"/>
        </w:rPr>
        <w:t>5</w:t>
      </w:r>
      <w:r>
        <w:rPr/>
        <w:t>年的主要工作经历参见董事最近</w:t>
      </w:r>
      <w:r>
        <w:rPr>
          <w:rFonts w:ascii="Times New Roman" w:hAnsi="Times New Roman" w:cs="Times New Roman" w:eastAsia="Times New Roman" w:hint="default"/>
        </w:rPr>
        <w:t>5</w:t>
      </w:r>
      <w:r>
        <w:rPr/>
        <w:t>年的主要工作经历。</w:t>
      </w:r>
    </w:p>
    <w:p>
      <w:pPr>
        <w:spacing w:line="240" w:lineRule="auto" w:before="11"/>
        <w:rPr>
          <w:rFonts w:ascii="宋体" w:hAnsi="宋体" w:cs="宋体" w:eastAsia="宋体" w:hint="default"/>
          <w:sz w:val="19"/>
          <w:szCs w:val="19"/>
        </w:rPr>
      </w:pPr>
    </w:p>
    <w:p>
      <w:pPr>
        <w:pStyle w:val="BodyText"/>
        <w:spacing w:line="240" w:lineRule="auto"/>
        <w:ind w:left="573" w:right="1133"/>
        <w:jc w:val="left"/>
      </w:pPr>
      <w:r>
        <w:rPr>
          <w:rFonts w:ascii="Times New Roman" w:hAnsi="Times New Roman" w:cs="Times New Roman" w:eastAsia="Times New Roman" w:hint="default"/>
        </w:rPr>
        <w:t>2</w:t>
      </w:r>
      <w:r>
        <w:rPr/>
        <w:t>、副总经理程朋胜先生最近</w:t>
      </w:r>
      <w:r>
        <w:rPr>
          <w:rFonts w:ascii="Times New Roman" w:hAnsi="Times New Roman" w:cs="Times New Roman" w:eastAsia="Times New Roman" w:hint="default"/>
        </w:rPr>
        <w:t>5</w:t>
      </w:r>
      <w:r>
        <w:rPr/>
        <w:t>年的主要工作经历参见董事最近</w:t>
      </w:r>
      <w:r>
        <w:rPr>
          <w:rFonts w:ascii="Times New Roman" w:hAnsi="Times New Roman" w:cs="Times New Roman" w:eastAsia="Times New Roman" w:hint="default"/>
        </w:rPr>
        <w:t>5</w:t>
      </w:r>
      <w:r>
        <w:rPr/>
        <w:t>年的主要工作经历。</w:t>
      </w:r>
    </w:p>
    <w:p>
      <w:pPr>
        <w:spacing w:line="240" w:lineRule="auto" w:before="12"/>
        <w:rPr>
          <w:rFonts w:ascii="宋体" w:hAnsi="宋体" w:cs="宋体" w:eastAsia="宋体" w:hint="default"/>
          <w:sz w:val="19"/>
          <w:szCs w:val="19"/>
        </w:rPr>
      </w:pPr>
    </w:p>
    <w:p>
      <w:pPr>
        <w:pStyle w:val="BodyText"/>
        <w:spacing w:line="240" w:lineRule="auto"/>
        <w:ind w:left="573" w:right="1133"/>
        <w:jc w:val="left"/>
      </w:pPr>
      <w:r>
        <w:rPr>
          <w:rFonts w:ascii="Times New Roman" w:hAnsi="Times New Roman" w:cs="Times New Roman" w:eastAsia="Times New Roman" w:hint="default"/>
        </w:rPr>
        <w:t>3</w:t>
      </w:r>
      <w:r>
        <w:rPr/>
        <w:t>、苏俊锋先生最近</w:t>
      </w:r>
      <w:r>
        <w:rPr>
          <w:rFonts w:ascii="Times New Roman" w:hAnsi="Times New Roman" w:cs="Times New Roman" w:eastAsia="Times New Roman" w:hint="default"/>
        </w:rPr>
        <w:t>5</w:t>
      </w:r>
      <w:r>
        <w:rPr/>
        <w:t>年的主要工作经历参见董事最近</w:t>
      </w:r>
      <w:r>
        <w:rPr>
          <w:rFonts w:ascii="Times New Roman" w:hAnsi="Times New Roman" w:cs="Times New Roman" w:eastAsia="Times New Roman" w:hint="default"/>
        </w:rPr>
        <w:t>5</w:t>
      </w:r>
      <w:r>
        <w:rPr/>
        <w:t>年的主要工作经历。</w:t>
      </w:r>
    </w:p>
    <w:p>
      <w:pPr>
        <w:spacing w:line="240" w:lineRule="auto" w:before="9"/>
        <w:rPr>
          <w:rFonts w:ascii="宋体" w:hAnsi="宋体" w:cs="宋体" w:eastAsia="宋体" w:hint="default"/>
          <w:sz w:val="19"/>
          <w:szCs w:val="19"/>
        </w:rPr>
      </w:pPr>
    </w:p>
    <w:p>
      <w:pPr>
        <w:pStyle w:val="BodyText"/>
        <w:spacing w:line="240" w:lineRule="auto"/>
        <w:ind w:left="573" w:right="1133"/>
        <w:jc w:val="left"/>
      </w:pPr>
      <w:r>
        <w:rPr>
          <w:rFonts w:ascii="Times New Roman" w:hAnsi="Times New Roman" w:cs="Times New Roman" w:eastAsia="Times New Roman" w:hint="default"/>
        </w:rPr>
        <w:t>4</w:t>
      </w:r>
      <w:r>
        <w:rPr/>
        <w:t>、吕枫先生最近</w:t>
      </w:r>
      <w:r>
        <w:rPr>
          <w:rFonts w:ascii="Times New Roman" w:hAnsi="Times New Roman" w:cs="Times New Roman" w:eastAsia="Times New Roman" w:hint="default"/>
        </w:rPr>
        <w:t>5</w:t>
      </w:r>
      <w:r>
        <w:rPr/>
        <w:t>年的主要工作经历参见董事最近</w:t>
      </w:r>
      <w:r>
        <w:rPr>
          <w:rFonts w:ascii="Times New Roman" w:hAnsi="Times New Roman" w:cs="Times New Roman" w:eastAsia="Times New Roman" w:hint="default"/>
        </w:rPr>
        <w:t>5</w:t>
      </w:r>
      <w:r>
        <w:rPr/>
        <w:t>年的主要工作经历。</w:t>
      </w:r>
    </w:p>
    <w:p>
      <w:pPr>
        <w:spacing w:line="240" w:lineRule="auto" w:before="11"/>
        <w:rPr>
          <w:rFonts w:ascii="宋体" w:hAnsi="宋体" w:cs="宋体" w:eastAsia="宋体" w:hint="default"/>
          <w:sz w:val="19"/>
          <w:szCs w:val="19"/>
        </w:rPr>
      </w:pPr>
    </w:p>
    <w:p>
      <w:pPr>
        <w:pStyle w:val="BodyText"/>
        <w:spacing w:line="489" w:lineRule="auto"/>
        <w:ind w:left="573" w:right="1153"/>
        <w:jc w:val="left"/>
      </w:pPr>
      <w:r>
        <w:rPr>
          <w:rFonts w:ascii="Times New Roman" w:hAnsi="Times New Roman" w:cs="Times New Roman" w:eastAsia="Times New Roman" w:hint="default"/>
        </w:rPr>
        <w:t>5</w:t>
      </w:r>
      <w:r>
        <w:rPr/>
        <w:t>、黄德强简历 黄德强先生，</w:t>
      </w:r>
      <w:r>
        <w:rPr>
          <w:rFonts w:ascii="Times New Roman" w:hAnsi="Times New Roman" w:cs="Times New Roman" w:eastAsia="Times New Roman" w:hint="default"/>
        </w:rPr>
        <w:t>1981</w:t>
      </w:r>
      <w:r>
        <w:rPr/>
        <w:t>年</w:t>
      </w:r>
      <w:r>
        <w:rPr>
          <w:rFonts w:ascii="Times New Roman" w:hAnsi="Times New Roman" w:cs="Times New Roman" w:eastAsia="Times New Roman" w:hint="default"/>
        </w:rPr>
        <w:t>4</w:t>
      </w:r>
      <w:r>
        <w:rPr/>
        <w:t>月出生，毕业于电子科技大学，本科学历。</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6</w:t>
      </w:r>
      <w:r>
        <w:rPr/>
        <w:t>月进入深圳达实智能股份有限公司，先后担</w:t>
      </w:r>
    </w:p>
    <w:p>
      <w:pPr>
        <w:pStyle w:val="BodyText"/>
        <w:spacing w:line="451" w:lineRule="auto" w:before="11"/>
        <w:ind w:right="0"/>
        <w:jc w:val="left"/>
      </w:pPr>
      <w:r>
        <w:rPr>
          <w:spacing w:val="-2"/>
        </w:rPr>
        <w:t>任公司节能事业部销售经理、销售总监、副总经理、总经理。</w:t>
      </w:r>
      <w:r>
        <w:rPr>
          <w:rFonts w:ascii="Times New Roman" w:hAnsi="Times New Roman" w:cs="Times New Roman" w:eastAsia="Times New Roman" w:hint="default"/>
          <w:spacing w:val="-2"/>
        </w:rPr>
        <w:t>2015</w:t>
      </w:r>
      <w:r>
        <w:rPr>
          <w:spacing w:val="-2"/>
        </w:rPr>
        <w:t>年在节能事业部基础上创立了智慧医院事业部并同时兼任</w:t>
      </w:r>
      <w:r>
        <w:rPr>
          <w:spacing w:val="-60"/>
        </w:rPr>
        <w:t> </w:t>
      </w:r>
      <w:r>
        <w:rPr>
          <w:spacing w:val="-2"/>
        </w:rPr>
        <w:t>两个事业部总经理。现任深圳达实智能股份有限公司副总经理，分管智慧医院事业部，江苏达实久信医疗科技有限公司董事</w:t>
      </w:r>
    </w:p>
    <w:p>
      <w:pPr>
        <w:spacing w:after="0" w:line="451"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240" w:lineRule="auto"/>
        <w:ind w:right="0"/>
        <w:jc w:val="both"/>
      </w:pPr>
      <w:r>
        <w:rPr/>
        <w:t>长、深圳达实智慧医疗有限公司执行董事、总经理，江苏达实久信数字医疗科技有限公司执行董事。</w:t>
      </w:r>
    </w:p>
    <w:p>
      <w:pPr>
        <w:spacing w:line="240" w:lineRule="auto" w:before="12"/>
        <w:rPr>
          <w:rFonts w:ascii="宋体" w:hAnsi="宋体" w:cs="宋体" w:eastAsia="宋体" w:hint="default"/>
          <w:sz w:val="20"/>
          <w:szCs w:val="20"/>
        </w:rPr>
      </w:pPr>
    </w:p>
    <w:p>
      <w:pPr>
        <w:pStyle w:val="BodyText"/>
        <w:spacing w:line="487" w:lineRule="auto"/>
        <w:ind w:left="573" w:right="1163"/>
        <w:jc w:val="left"/>
      </w:pPr>
      <w:r>
        <w:rPr>
          <w:rFonts w:ascii="Times New Roman" w:hAnsi="Times New Roman" w:cs="Times New Roman" w:eastAsia="Times New Roman" w:hint="default"/>
        </w:rPr>
        <w:t>6</w:t>
      </w:r>
      <w:r>
        <w:rPr/>
        <w:t>、林雨斌简历 林雨斌先生，</w:t>
      </w:r>
      <w:r>
        <w:rPr>
          <w:rFonts w:ascii="Times New Roman" w:hAnsi="Times New Roman" w:cs="Times New Roman" w:eastAsia="Times New Roman" w:hint="default"/>
        </w:rPr>
        <w:t>1976</w:t>
      </w:r>
      <w:r>
        <w:rPr/>
        <w:t>年</w:t>
      </w:r>
      <w:r>
        <w:rPr>
          <w:rFonts w:ascii="Times New Roman" w:hAnsi="Times New Roman" w:cs="Times New Roman" w:eastAsia="Times New Roman" w:hint="default"/>
        </w:rPr>
        <w:t>6</w:t>
      </w:r>
      <w:r>
        <w:rPr/>
        <w:t>月出生，本科学历。第八届至第十二届《新财富》金牌董秘，</w:t>
      </w:r>
      <w:r>
        <w:rPr>
          <w:rFonts w:ascii="Times New Roman" w:hAnsi="Times New Roman" w:cs="Times New Roman" w:eastAsia="Times New Roman" w:hint="default"/>
        </w:rPr>
        <w:t>2017</w:t>
      </w:r>
      <w:r>
        <w:rPr/>
        <w:t>年入选《新财富》</w:t>
      </w:r>
      <w:r>
        <w:rPr>
          <w:rFonts w:ascii="Times New Roman" w:hAnsi="Times New Roman" w:cs="Times New Roman" w:eastAsia="Times New Roman" w:hint="default"/>
        </w:rPr>
        <w:t>“</w:t>
      </w:r>
      <w:r>
        <w:rPr/>
        <w:t>金牌董秘</w:t>
      </w:r>
    </w:p>
    <w:p>
      <w:pPr>
        <w:pStyle w:val="BodyText"/>
        <w:spacing w:line="458" w:lineRule="auto" w:before="13"/>
        <w:ind w:right="1130"/>
        <w:jc w:val="both"/>
      </w:pPr>
      <w:r>
        <w:rPr/>
        <w:t>名人堂</w:t>
      </w:r>
      <w:r>
        <w:rPr>
          <w:rFonts w:ascii="Times New Roman" w:hAnsi="Times New Roman" w:cs="Times New Roman" w:eastAsia="Times New Roman" w:hint="default"/>
        </w:rPr>
        <w:t>”</w:t>
      </w:r>
      <w:r>
        <w:rPr/>
        <w:t>。曾任南天电子信息产业股份有限公司投资发展部经理、证券事务代表，云南医药工业股份有限公司董事会秘书兼 </w:t>
      </w:r>
      <w:r>
        <w:rPr>
          <w:spacing w:val="-2"/>
        </w:rPr>
        <w:t>总经理助理，广州高信创业投资有限公司投资总监等职务。</w:t>
      </w:r>
      <w:r>
        <w:rPr>
          <w:rFonts w:ascii="Times New Roman" w:hAnsi="Times New Roman" w:cs="Times New Roman" w:eastAsia="Times New Roman" w:hint="default"/>
          <w:spacing w:val="-2"/>
        </w:rPr>
        <w:t>2009</w:t>
      </w:r>
      <w:r>
        <w:rPr>
          <w:spacing w:val="-2"/>
        </w:rPr>
        <w:t>年</w:t>
      </w:r>
      <w:r>
        <w:rPr>
          <w:rFonts w:ascii="Times New Roman" w:hAnsi="Times New Roman" w:cs="Times New Roman" w:eastAsia="Times New Roman" w:hint="default"/>
          <w:spacing w:val="-2"/>
        </w:rPr>
        <w:t>10</w:t>
      </w:r>
      <w:r>
        <w:rPr>
          <w:spacing w:val="-2"/>
        </w:rPr>
        <w:t>月取得深圳证券交易所《董事会秘书资格证书》。</w:t>
      </w:r>
      <w:r>
        <w:rPr>
          <w:rFonts w:ascii="Times New Roman" w:hAnsi="Times New Roman" w:cs="Times New Roman" w:eastAsia="Times New Roman" w:hint="default"/>
          <w:spacing w:val="-2"/>
        </w:rPr>
        <w:t>2010</w:t>
      </w:r>
      <w:r>
        <w:rPr>
          <w:rFonts w:ascii="Times New Roman" w:hAnsi="Times New Roman" w:cs="Times New Roman" w:eastAsia="Times New Roman" w:hint="default"/>
          <w:spacing w:val="-10"/>
        </w:rPr>
        <w:t> </w:t>
      </w:r>
      <w:r>
        <w:rPr>
          <w:rFonts w:ascii="Times New Roman" w:hAnsi="Times New Roman" w:cs="Times New Roman" w:eastAsia="Times New Roman" w:hint="default"/>
          <w:spacing w:val="-10"/>
        </w:rPr>
      </w:r>
      <w:r>
        <w:rPr/>
        <w:t>年</w:t>
      </w:r>
      <w:r>
        <w:rPr>
          <w:rFonts w:ascii="Times New Roman" w:hAnsi="Times New Roman" w:cs="Times New Roman" w:eastAsia="Times New Roman" w:hint="default"/>
        </w:rPr>
        <w:t>7</w:t>
      </w:r>
      <w:r>
        <w:rPr/>
        <w:t>月进入深圳达实智能股份有限公司。现任深圳达实智能股份有限公司副总经理、董事会秘书，深圳市小鹿暖暖科技有限 </w:t>
      </w:r>
      <w:r>
        <w:rPr>
          <w:spacing w:val="-2"/>
        </w:rPr>
        <w:t>公司董事长，深圳达实融资租赁有限公司董事兼总经理，昌都市达实投资咨询有限公司执行董事兼总经理，北京天健源达科</w:t>
      </w:r>
      <w:r>
        <w:rPr>
          <w:spacing w:val="-63"/>
        </w:rPr>
        <w:t> </w:t>
      </w:r>
      <w:r>
        <w:rPr>
          <w:spacing w:val="-63"/>
        </w:rPr>
      </w:r>
      <w:r>
        <w:rPr/>
        <w:t>技股份有限公司监事，合肥达实信息科技有限公司执行董事兼总经理，云浮市济天企业管理有限公司执行董事。</w:t>
      </w:r>
    </w:p>
    <w:p>
      <w:pPr>
        <w:pStyle w:val="BodyText"/>
        <w:spacing w:line="489" w:lineRule="auto" w:before="110"/>
        <w:ind w:left="573" w:right="1028"/>
        <w:jc w:val="left"/>
      </w:pPr>
      <w:r>
        <w:rPr>
          <w:rFonts w:ascii="Times New Roman" w:hAnsi="Times New Roman" w:cs="Times New Roman" w:eastAsia="Times New Roman" w:hint="default"/>
        </w:rPr>
        <w:t>7</w:t>
      </w:r>
      <w:r>
        <w:rPr/>
        <w:t>、黄天朗简历 </w:t>
      </w:r>
      <w:r>
        <w:rPr>
          <w:spacing w:val="-1"/>
        </w:rPr>
        <w:t>黄天朗先生，</w:t>
      </w:r>
      <w:r>
        <w:rPr>
          <w:rFonts w:ascii="Times New Roman" w:hAnsi="Times New Roman" w:cs="Times New Roman" w:eastAsia="Times New Roman" w:hint="default"/>
          <w:spacing w:val="-1"/>
        </w:rPr>
        <w:t>1970</w:t>
      </w:r>
      <w:r>
        <w:rPr>
          <w:spacing w:val="-1"/>
        </w:rPr>
        <w:t>年</w:t>
      </w:r>
      <w:r>
        <w:rPr>
          <w:rFonts w:ascii="Times New Roman" w:hAnsi="Times New Roman" w:cs="Times New Roman" w:eastAsia="Times New Roman" w:hint="default"/>
          <w:spacing w:val="-1"/>
        </w:rPr>
        <w:t>10</w:t>
      </w:r>
      <w:r>
        <w:rPr>
          <w:spacing w:val="-1"/>
        </w:rPr>
        <w:t>月出生，本科学历，会计师，注册税务师。曾任深圳市汇凯进出口有限公司计划财务部副经理，</w:t>
      </w:r>
    </w:p>
    <w:p>
      <w:pPr>
        <w:pStyle w:val="BodyText"/>
        <w:spacing w:line="451" w:lineRule="auto" w:before="11"/>
        <w:ind w:right="1130"/>
        <w:jc w:val="both"/>
      </w:pPr>
      <w:r>
        <w:rPr>
          <w:spacing w:val="-2"/>
        </w:rPr>
        <w:t>汇凯（南美）有限公司副总经理。</w:t>
      </w:r>
      <w:r>
        <w:rPr>
          <w:rFonts w:ascii="Times New Roman" w:hAnsi="Times New Roman" w:cs="Times New Roman" w:eastAsia="Times New Roman" w:hint="default"/>
          <w:spacing w:val="-2"/>
        </w:rPr>
        <w:t>1999</w:t>
      </w:r>
      <w:r>
        <w:rPr>
          <w:spacing w:val="-2"/>
        </w:rPr>
        <w:t>年</w:t>
      </w:r>
      <w:r>
        <w:rPr>
          <w:rFonts w:ascii="Times New Roman" w:hAnsi="Times New Roman" w:cs="Times New Roman" w:eastAsia="Times New Roman" w:hint="default"/>
          <w:spacing w:val="-2"/>
        </w:rPr>
        <w:t>11</w:t>
      </w:r>
      <w:r>
        <w:rPr>
          <w:spacing w:val="-2"/>
        </w:rPr>
        <w:t>月进入深圳达实智能股份有限公司财务部，现任深圳达实智能股份有限公司财务</w:t>
      </w:r>
      <w:r>
        <w:rPr>
          <w:spacing w:val="-58"/>
        </w:rPr>
        <w:t> </w:t>
      </w:r>
      <w:r>
        <w:rPr>
          <w:spacing w:val="-58"/>
        </w:rPr>
      </w:r>
      <w:r>
        <w:rPr/>
        <w:t>总监，深圳达实信息技术有限公司董事。</w:t>
      </w:r>
    </w:p>
    <w:p>
      <w:pPr>
        <w:pStyle w:val="BodyText"/>
        <w:spacing w:line="240" w:lineRule="auto" w:before="33"/>
        <w:ind w:right="0"/>
        <w:jc w:val="both"/>
      </w:pPr>
      <w:r>
        <w:rPr/>
        <w:t>在股东单位任职情况</w:t>
      </w:r>
    </w:p>
    <w:p>
      <w:pPr>
        <w:pStyle w:val="BodyText"/>
        <w:spacing w:line="240" w:lineRule="auto" w:before="117"/>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217"/>
        <w:gridCol w:w="3231"/>
        <w:gridCol w:w="1078"/>
        <w:gridCol w:w="1212"/>
        <w:gridCol w:w="1347"/>
        <w:gridCol w:w="1486"/>
      </w:tblGrid>
      <w:tr>
        <w:trPr>
          <w:trHeight w:val="713" w:hRule="exact"/>
        </w:trPr>
        <w:tc>
          <w:tcPr>
            <w:tcW w:w="12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64" w:right="0"/>
              <w:jc w:val="left"/>
              <w:rPr>
                <w:rFonts w:ascii="宋体" w:hAnsi="宋体" w:cs="宋体" w:eastAsia="宋体" w:hint="default"/>
                <w:sz w:val="18"/>
                <w:szCs w:val="18"/>
              </w:rPr>
            </w:pPr>
            <w:r>
              <w:rPr>
                <w:rFonts w:ascii="宋体" w:hAnsi="宋体" w:cs="宋体" w:eastAsia="宋体" w:hint="default"/>
                <w:sz w:val="18"/>
                <w:szCs w:val="18"/>
              </w:rPr>
              <w:t>任职人员姓名</w:t>
            </w:r>
          </w:p>
        </w:tc>
        <w:tc>
          <w:tcPr>
            <w:tcW w:w="3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70" w:right="0"/>
              <w:jc w:val="left"/>
              <w:rPr>
                <w:rFonts w:ascii="宋体" w:hAnsi="宋体" w:cs="宋体" w:eastAsia="宋体" w:hint="default"/>
                <w:sz w:val="18"/>
                <w:szCs w:val="18"/>
              </w:rPr>
            </w:pPr>
            <w:r>
              <w:rPr>
                <w:rFonts w:ascii="宋体" w:hAnsi="宋体" w:cs="宋体" w:eastAsia="宋体" w:hint="default"/>
                <w:sz w:val="18"/>
                <w:szCs w:val="18"/>
              </w:rPr>
              <w:t>股东单位名称</w:t>
            </w:r>
          </w:p>
        </w:tc>
        <w:tc>
          <w:tcPr>
            <w:tcW w:w="10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84" w:right="82"/>
              <w:jc w:val="left"/>
              <w:rPr>
                <w:rFonts w:ascii="宋体" w:hAnsi="宋体" w:cs="宋体" w:eastAsia="宋体" w:hint="default"/>
                <w:sz w:val="18"/>
                <w:szCs w:val="18"/>
              </w:rPr>
            </w:pPr>
            <w:r>
              <w:rPr>
                <w:rFonts w:ascii="宋体" w:hAnsi="宋体" w:cs="宋体" w:eastAsia="宋体" w:hint="default"/>
                <w:sz w:val="18"/>
                <w:szCs w:val="18"/>
              </w:rPr>
              <w:t>在股东单位 担任的职务</w:t>
            </w:r>
          </w:p>
        </w:tc>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62"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3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14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96" w:right="107" w:hanging="89"/>
              <w:jc w:val="left"/>
              <w:rPr>
                <w:rFonts w:ascii="宋体" w:hAnsi="宋体" w:cs="宋体" w:eastAsia="宋体" w:hint="default"/>
                <w:sz w:val="18"/>
                <w:szCs w:val="18"/>
              </w:rPr>
            </w:pPr>
            <w:r>
              <w:rPr>
                <w:rFonts w:ascii="宋体" w:hAnsi="宋体" w:cs="宋体" w:eastAsia="宋体" w:hint="default"/>
                <w:sz w:val="18"/>
                <w:szCs w:val="18"/>
              </w:rPr>
              <w:t>在股东单位是否 领取报酬津贴</w:t>
            </w:r>
          </w:p>
        </w:tc>
      </w:tr>
      <w:tr>
        <w:trPr>
          <w:trHeight w:val="716"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刘昂</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拉萨市达实投资发展有限公司</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2"/>
              <w:jc w:val="left"/>
              <w:rPr>
                <w:rFonts w:ascii="宋体" w:hAnsi="宋体" w:cs="宋体" w:eastAsia="宋体" w:hint="default"/>
                <w:sz w:val="18"/>
                <w:szCs w:val="18"/>
              </w:rPr>
            </w:pPr>
            <w:r>
              <w:rPr>
                <w:rFonts w:ascii="宋体" w:hAnsi="宋体" w:cs="宋体" w:eastAsia="宋体" w:hint="default"/>
                <w:spacing w:val="-10"/>
                <w:sz w:val="18"/>
                <w:szCs w:val="18"/>
              </w:rPr>
              <w:t>执行董事、总</w:t>
            </w:r>
            <w:r>
              <w:rPr>
                <w:rFonts w:ascii="宋体" w:hAnsi="宋体" w:cs="宋体" w:eastAsia="宋体" w:hint="default"/>
                <w:sz w:val="18"/>
                <w:szCs w:val="18"/>
              </w:rPr>
              <w:t> 经理</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1997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47"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pStyle w:val="BodyText"/>
        <w:spacing w:line="240" w:lineRule="auto" w:before="49"/>
        <w:ind w:right="1133"/>
        <w:jc w:val="left"/>
      </w:pPr>
      <w:r>
        <w:rPr/>
        <w:t>在其他单位任职情况</w:t>
      </w:r>
    </w:p>
    <w:p>
      <w:pPr>
        <w:pStyle w:val="BodyText"/>
        <w:spacing w:line="240" w:lineRule="auto" w:before="115"/>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852"/>
        <w:gridCol w:w="2977"/>
        <w:gridCol w:w="1274"/>
        <w:gridCol w:w="1560"/>
        <w:gridCol w:w="1561"/>
        <w:gridCol w:w="1344"/>
      </w:tblGrid>
      <w:tr>
        <w:trPr>
          <w:trHeight w:val="713" w:hRule="exact"/>
        </w:trPr>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0" w:right="60" w:hanging="181"/>
              <w:jc w:val="left"/>
              <w:rPr>
                <w:rFonts w:ascii="宋体" w:hAnsi="宋体" w:cs="宋体" w:eastAsia="宋体" w:hint="default"/>
                <w:sz w:val="18"/>
                <w:szCs w:val="18"/>
              </w:rPr>
            </w:pPr>
            <w:r>
              <w:rPr>
                <w:rFonts w:ascii="宋体" w:hAnsi="宋体" w:cs="宋体" w:eastAsia="宋体" w:hint="default"/>
                <w:sz w:val="18"/>
                <w:szCs w:val="18"/>
              </w:rPr>
              <w:t>任职人员 姓名</w:t>
            </w:r>
          </w:p>
        </w:tc>
        <w:tc>
          <w:tcPr>
            <w:tcW w:w="29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943" w:right="0"/>
              <w:jc w:val="left"/>
              <w:rPr>
                <w:rFonts w:ascii="宋体" w:hAnsi="宋体" w:cs="宋体" w:eastAsia="宋体" w:hint="default"/>
                <w:sz w:val="18"/>
                <w:szCs w:val="18"/>
              </w:rPr>
            </w:pPr>
            <w:r>
              <w:rPr>
                <w:rFonts w:ascii="宋体" w:hAnsi="宋体" w:cs="宋体" w:eastAsia="宋体" w:hint="default"/>
                <w:sz w:val="18"/>
                <w:szCs w:val="18"/>
              </w:rPr>
              <w:t>其他单位名称</w:t>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73" w:right="89" w:hanging="180"/>
              <w:jc w:val="left"/>
              <w:rPr>
                <w:rFonts w:ascii="宋体" w:hAnsi="宋体" w:cs="宋体" w:eastAsia="宋体" w:hint="default"/>
                <w:sz w:val="18"/>
                <w:szCs w:val="18"/>
              </w:rPr>
            </w:pPr>
            <w:r>
              <w:rPr>
                <w:rFonts w:ascii="宋体" w:hAnsi="宋体" w:cs="宋体" w:eastAsia="宋体" w:hint="default"/>
                <w:sz w:val="18"/>
                <w:szCs w:val="18"/>
              </w:rPr>
              <w:t>在其他单位担 任的职务</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任期起始日期</w:t>
            </w:r>
          </w:p>
        </w:tc>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任期终止日期</w:t>
            </w:r>
          </w:p>
        </w:tc>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7" w:right="35" w:hanging="89"/>
              <w:jc w:val="left"/>
              <w:rPr>
                <w:rFonts w:ascii="宋体" w:hAnsi="宋体" w:cs="宋体" w:eastAsia="宋体" w:hint="default"/>
                <w:sz w:val="18"/>
                <w:szCs w:val="18"/>
              </w:rPr>
            </w:pPr>
            <w:r>
              <w:rPr>
                <w:rFonts w:ascii="宋体" w:hAnsi="宋体" w:cs="宋体" w:eastAsia="宋体" w:hint="default"/>
                <w:sz w:val="18"/>
                <w:szCs w:val="18"/>
              </w:rPr>
              <w:t>在其他单位是否 领取报酬津贴</w:t>
            </w:r>
          </w:p>
        </w:tc>
      </w:tr>
      <w:tr>
        <w:trPr>
          <w:trHeight w:val="40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刘磅</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深圳达实融资租赁有限公司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法人、董事长</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刘磅</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上海达实自动化工程有限公司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1999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13 </w:t>
            </w:r>
            <w:r>
              <w:rPr>
                <w:rFonts w:ascii="宋体" w:hAnsi="宋体" w:cs="宋体" w:eastAsia="宋体" w:hint="default"/>
                <w:sz w:val="18"/>
                <w:szCs w:val="18"/>
              </w:rPr>
              <w:t>日</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刘磅</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深圳达实信息技术有限公司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日</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程朋胜</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江苏达实久信医疗科技有限公司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程朋胜</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深圳达实信息技术有限公司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程朋胜</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深圳达实智慧医疗有限公司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刘昂</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深圳市达实智慧供应链有限公司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刘昂</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合肥达实数字科技有限公司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8"/>
              <w:jc w:val="left"/>
              <w:rPr>
                <w:rFonts w:ascii="宋体" w:hAnsi="宋体" w:cs="宋体" w:eastAsia="宋体" w:hint="default"/>
                <w:sz w:val="18"/>
                <w:szCs w:val="18"/>
              </w:rPr>
            </w:pPr>
            <w:r>
              <w:rPr>
                <w:rFonts w:ascii="宋体" w:hAnsi="宋体" w:cs="宋体" w:eastAsia="宋体" w:hint="default"/>
                <w:sz w:val="18"/>
                <w:szCs w:val="18"/>
              </w:rPr>
              <w:t>执行董事兼总 经理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刘昂</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合肥达实科技发展有限责任公司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8"/>
              <w:jc w:val="left"/>
              <w:rPr>
                <w:rFonts w:ascii="宋体" w:hAnsi="宋体" w:cs="宋体" w:eastAsia="宋体" w:hint="default"/>
                <w:sz w:val="18"/>
                <w:szCs w:val="18"/>
              </w:rPr>
            </w:pPr>
            <w:r>
              <w:rPr>
                <w:rFonts w:ascii="宋体" w:hAnsi="宋体" w:cs="宋体" w:eastAsia="宋体" w:hint="default"/>
                <w:sz w:val="18"/>
                <w:szCs w:val="18"/>
              </w:rPr>
              <w:t>执行董事兼总 经理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852"/>
        <w:gridCol w:w="2977"/>
        <w:gridCol w:w="1274"/>
        <w:gridCol w:w="1560"/>
        <w:gridCol w:w="1561"/>
        <w:gridCol w:w="1344"/>
      </w:tblGrid>
      <w:tr>
        <w:trPr>
          <w:trHeight w:val="401"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刘昂</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深圳市诺达自动化技术有限公司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刘昂</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合肥中正物业管理有限公司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58"/>
              <w:jc w:val="left"/>
              <w:rPr>
                <w:rFonts w:ascii="宋体" w:hAnsi="宋体" w:cs="宋体" w:eastAsia="宋体" w:hint="default"/>
                <w:sz w:val="18"/>
                <w:szCs w:val="18"/>
              </w:rPr>
            </w:pPr>
            <w:r>
              <w:rPr>
                <w:rFonts w:ascii="宋体" w:hAnsi="宋体" w:cs="宋体" w:eastAsia="宋体" w:hint="default"/>
                <w:sz w:val="18"/>
                <w:szCs w:val="18"/>
              </w:rPr>
              <w:t>执行董事兼总 经理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6"/>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刘昂</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深圳市英唐智能控制股份有限公司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刘昂</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深圳市达实数字科技有限公司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58"/>
              <w:jc w:val="left"/>
              <w:rPr>
                <w:rFonts w:ascii="宋体" w:hAnsi="宋体" w:cs="宋体" w:eastAsia="宋体" w:hint="default"/>
                <w:sz w:val="18"/>
                <w:szCs w:val="18"/>
              </w:rPr>
            </w:pPr>
            <w:r>
              <w:rPr>
                <w:rFonts w:ascii="宋体" w:hAnsi="宋体" w:cs="宋体" w:eastAsia="宋体" w:hint="default"/>
                <w:sz w:val="18"/>
                <w:szCs w:val="18"/>
              </w:rPr>
              <w:t>执行董事兼总 经理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1998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刘昂</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深圳市达实股权投资发展有限公司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8"/>
              <w:jc w:val="left"/>
              <w:rPr>
                <w:rFonts w:ascii="宋体" w:hAnsi="宋体" w:cs="宋体" w:eastAsia="宋体" w:hint="default"/>
                <w:sz w:val="18"/>
                <w:szCs w:val="18"/>
              </w:rPr>
            </w:pPr>
            <w:r>
              <w:rPr>
                <w:rFonts w:ascii="宋体" w:hAnsi="宋体" w:cs="宋体" w:eastAsia="宋体" w:hint="default"/>
                <w:sz w:val="18"/>
                <w:szCs w:val="18"/>
              </w:rPr>
              <w:t>执行董事兼总 经理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刘昂</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深圳达实物业服务有限公司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苏俊锋</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深圳市云玺互联网服务有限公司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4"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吕枫</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上海达实联欣科技发展有限公司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吕枫</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北京达实德润能源科技有限公司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吕枫</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融智节能环保（深圳）有限公司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吕枫</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江苏达实久信医疗科技有限公司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吕枫</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雄安达实智慧科技有限公司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58"/>
              <w:jc w:val="left"/>
              <w:rPr>
                <w:rFonts w:ascii="宋体" w:hAnsi="宋体" w:cs="宋体" w:eastAsia="宋体" w:hint="default"/>
                <w:sz w:val="18"/>
                <w:szCs w:val="18"/>
              </w:rPr>
            </w:pPr>
            <w:r>
              <w:rPr>
                <w:rFonts w:ascii="宋体" w:hAnsi="宋体" w:cs="宋体" w:eastAsia="宋体" w:hint="default"/>
                <w:sz w:val="18"/>
                <w:szCs w:val="18"/>
              </w:rPr>
              <w:t>执行董事兼总 经理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吕枫</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山东茗信股权投资管理有限公司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吕枫</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上海腾隆变配电设备管理有限公司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黄德强</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江苏达实久信医疗科技有限公司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6"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黄德强</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深圳达实智慧医疗有限公司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58"/>
              <w:jc w:val="left"/>
              <w:rPr>
                <w:rFonts w:ascii="宋体" w:hAnsi="宋体" w:cs="宋体" w:eastAsia="宋体" w:hint="default"/>
                <w:sz w:val="18"/>
                <w:szCs w:val="18"/>
              </w:rPr>
            </w:pPr>
            <w:r>
              <w:rPr>
                <w:rFonts w:ascii="宋体" w:hAnsi="宋体" w:cs="宋体" w:eastAsia="宋体" w:hint="default"/>
                <w:sz w:val="18"/>
                <w:szCs w:val="18"/>
              </w:rPr>
              <w:t>执行董事兼总 经理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黄德强</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江苏达实久信数字医疗科技有限公司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黄天朗</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深圳达实信息技术有限公司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林雨斌</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云浮市济天企业管理有限公司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林雨斌</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深圳达实融资租赁有限公司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董事、总经理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林雨斌</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昌都市达实投资咨询有限公司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8"/>
              <w:jc w:val="left"/>
              <w:rPr>
                <w:rFonts w:ascii="宋体" w:hAnsi="宋体" w:cs="宋体" w:eastAsia="宋体" w:hint="default"/>
                <w:sz w:val="18"/>
                <w:szCs w:val="18"/>
              </w:rPr>
            </w:pPr>
            <w:r>
              <w:rPr>
                <w:rFonts w:ascii="宋体" w:hAnsi="宋体" w:cs="宋体" w:eastAsia="宋体" w:hint="default"/>
                <w:sz w:val="18"/>
                <w:szCs w:val="18"/>
              </w:rPr>
              <w:t>执行董事兼总 经理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林雨斌</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深圳市小鹿暖暖科技有限公司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林雨斌</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合肥达实信息科技有限公司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58"/>
              <w:jc w:val="left"/>
              <w:rPr>
                <w:rFonts w:ascii="宋体" w:hAnsi="宋体" w:cs="宋体" w:eastAsia="宋体" w:hint="default"/>
                <w:sz w:val="18"/>
                <w:szCs w:val="18"/>
              </w:rPr>
            </w:pPr>
            <w:r>
              <w:rPr>
                <w:rFonts w:ascii="宋体" w:hAnsi="宋体" w:cs="宋体" w:eastAsia="宋体" w:hint="default"/>
                <w:sz w:val="18"/>
                <w:szCs w:val="18"/>
              </w:rPr>
              <w:t>执行董事兼总 经理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林雨斌</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北京天健源达科技股份有限公司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沈冰</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深圳市诺达自动化技术有限公司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8"/>
              <w:jc w:val="left"/>
              <w:rPr>
                <w:rFonts w:ascii="宋体" w:hAnsi="宋体" w:cs="宋体" w:eastAsia="宋体" w:hint="default"/>
                <w:sz w:val="18"/>
                <w:szCs w:val="18"/>
              </w:rPr>
            </w:pPr>
            <w:r>
              <w:rPr>
                <w:rFonts w:ascii="宋体" w:hAnsi="宋体" w:cs="宋体" w:eastAsia="宋体" w:hint="default"/>
                <w:sz w:val="18"/>
                <w:szCs w:val="18"/>
              </w:rPr>
              <w:t>董事长兼总经 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沈冰</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深圳市科昊达投资发展有限公司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李继朝</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深圳市亿芯通讯有限公司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6"/>
                <w:sz w:val="18"/>
                <w:szCs w:val="18"/>
              </w:rPr>
              <w:t>执行董事、法人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李继朝</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深圳国侨岭南基金管理有限公司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6"/>
                <w:sz w:val="18"/>
                <w:szCs w:val="18"/>
              </w:rPr>
              <w:t>执行董事，法人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852"/>
        <w:gridCol w:w="2977"/>
        <w:gridCol w:w="1274"/>
        <w:gridCol w:w="1560"/>
        <w:gridCol w:w="1561"/>
        <w:gridCol w:w="1344"/>
      </w:tblGrid>
      <w:tr>
        <w:trPr>
          <w:trHeight w:val="71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李继朝</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深圳和宁环境科技有限公司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58"/>
              <w:jc w:val="left"/>
              <w:rPr>
                <w:rFonts w:ascii="宋体" w:hAnsi="宋体" w:cs="宋体" w:eastAsia="宋体" w:hint="default"/>
                <w:sz w:val="18"/>
                <w:szCs w:val="18"/>
              </w:rPr>
            </w:pPr>
            <w:r>
              <w:rPr>
                <w:rFonts w:ascii="宋体" w:hAnsi="宋体" w:cs="宋体" w:eastAsia="宋体" w:hint="default"/>
                <w:sz w:val="18"/>
                <w:szCs w:val="18"/>
              </w:rPr>
              <w:t>执行董事、法 人、总经理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李继朝</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深圳市源合高新产业投资有限公司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李继朝</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深圳市糖果互动科技有限公司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郑雪丹</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深圳市力聚投资发展有限公司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9"/>
              <w:jc w:val="left"/>
              <w:rPr>
                <w:rFonts w:ascii="宋体" w:hAnsi="宋体" w:cs="宋体" w:eastAsia="宋体" w:hint="default"/>
                <w:sz w:val="18"/>
                <w:szCs w:val="18"/>
              </w:rPr>
            </w:pPr>
            <w:r>
              <w:rPr>
                <w:rFonts w:ascii="宋体" w:hAnsi="宋体" w:cs="宋体" w:eastAsia="宋体" w:hint="default"/>
                <w:spacing w:val="-6"/>
                <w:sz w:val="18"/>
                <w:szCs w:val="18"/>
              </w:rPr>
              <w:t>执行董事、总经</w:t>
            </w:r>
            <w:r>
              <w:rPr>
                <w:rFonts w:ascii="宋体" w:hAnsi="宋体" w:cs="宋体" w:eastAsia="宋体" w:hint="default"/>
                <w:sz w:val="18"/>
                <w:szCs w:val="18"/>
              </w:rPr>
              <w:t> 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郑雪丹</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深圳市诺达自动化技术有限公司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舒骋</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随锐科技集团股份有限公司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58"/>
              <w:jc w:val="left"/>
              <w:rPr>
                <w:rFonts w:ascii="宋体" w:hAnsi="宋体" w:cs="宋体" w:eastAsia="宋体" w:hint="default"/>
                <w:sz w:val="18"/>
                <w:szCs w:val="18"/>
              </w:rPr>
            </w:pPr>
            <w:r>
              <w:rPr>
                <w:rFonts w:ascii="宋体" w:hAnsi="宋体" w:cs="宋体" w:eastAsia="宋体" w:hint="default"/>
                <w:sz w:val="18"/>
                <w:szCs w:val="18"/>
              </w:rPr>
              <w:t>执行董事兼总 经理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舒骋</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随锐（北京）投资管理有限公司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4"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舒骋</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金驰骋（北京）投资管理有限公司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舒骋</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北京随锐呈现科技有限公司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日</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舒骋</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氮氧</w:t>
            </w:r>
            <w:r>
              <w:rPr>
                <w:rFonts w:ascii="Times New Roman" w:hAnsi="Times New Roman" w:cs="Times New Roman" w:eastAsia="Times New Roman" w:hint="default"/>
                <w:sz w:val="18"/>
                <w:szCs w:val="18"/>
              </w:rPr>
              <w:t>(</w:t>
            </w:r>
            <w:r>
              <w:rPr>
                <w:rFonts w:ascii="宋体" w:hAnsi="宋体" w:cs="宋体" w:eastAsia="宋体" w:hint="default"/>
                <w:sz w:val="18"/>
                <w:szCs w:val="18"/>
              </w:rPr>
              <w:t>杭州</w:t>
            </w:r>
            <w:r>
              <w:rPr>
                <w:rFonts w:ascii="Times New Roman" w:hAnsi="Times New Roman" w:cs="Times New Roman" w:eastAsia="Times New Roman" w:hint="default"/>
                <w:sz w:val="18"/>
                <w:szCs w:val="18"/>
              </w:rPr>
              <w:t>)</w:t>
            </w:r>
            <w:r>
              <w:rPr>
                <w:rFonts w:ascii="宋体" w:hAnsi="宋体" w:cs="宋体" w:eastAsia="宋体" w:hint="default"/>
                <w:sz w:val="18"/>
                <w:szCs w:val="18"/>
              </w:rPr>
              <w:t>科技有限公司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舒骋</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江西金驰骋投资管理有限公司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舒骋</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深圳市六度人和科技有限公司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舒骋</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浙江随锐智能科技有限公司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孔祥云</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深圳市长盈精密技术股份有限公司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孔祥云</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华孚时尚股份有限公司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孔祥云</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海能达通信股份有限公司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孔祥云</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深圳市振业（集团）股份有限公司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孔祥云</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平安信托有限责任公司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日</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pStyle w:val="BodyText"/>
        <w:spacing w:line="240" w:lineRule="auto" w:before="49"/>
        <w:ind w:right="1133"/>
        <w:jc w:val="left"/>
      </w:pPr>
      <w:r>
        <w:rPr/>
        <w:t>公司现任及报告期内离任董事、监事和高级管理人员近三年证券监管机构处罚的情况</w:t>
      </w:r>
    </w:p>
    <w:p>
      <w:pPr>
        <w:pStyle w:val="BodyText"/>
        <w:spacing w:line="240" w:lineRule="auto" w:before="115"/>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pStyle w:val="Heading2"/>
        <w:spacing w:line="240" w:lineRule="auto"/>
        <w:ind w:right="1133"/>
        <w:jc w:val="left"/>
        <w:rPr>
          <w:b w:val="0"/>
          <w:bCs w:val="0"/>
        </w:rPr>
      </w:pPr>
      <w:bookmarkStart w:name="四、董事、监事、高级管理人员报酬情况" w:id="130"/>
      <w:bookmarkEnd w:id="130"/>
      <w:r>
        <w:rPr>
          <w:b w:val="0"/>
          <w:bCs w:val="0"/>
        </w:rPr>
      </w:r>
      <w:r>
        <w:rPr/>
        <w:t>四、董事、监事、高级管理人员报酬情况</w:t>
      </w:r>
      <w:r>
        <w:rPr>
          <w:b w:val="0"/>
          <w:bCs w:val="0"/>
        </w:rPr>
      </w:r>
    </w:p>
    <w:p>
      <w:pPr>
        <w:spacing w:line="240" w:lineRule="auto" w:before="6"/>
        <w:rPr>
          <w:rFonts w:ascii="宋体" w:hAnsi="宋体" w:cs="宋体" w:eastAsia="宋体" w:hint="default"/>
          <w:b/>
          <w:bCs/>
          <w:sz w:val="26"/>
          <w:szCs w:val="26"/>
        </w:rPr>
      </w:pPr>
    </w:p>
    <w:p>
      <w:pPr>
        <w:pStyle w:val="BodyText"/>
        <w:spacing w:line="439" w:lineRule="auto"/>
        <w:ind w:left="513" w:right="0" w:hanging="361"/>
        <w:jc w:val="left"/>
      </w:pPr>
      <w:r>
        <w:rPr/>
        <w:t>董事、监事、高级管理人员报酬的决策程序、确定依据、实际支付情况 </w:t>
      </w:r>
      <w:r>
        <w:rPr>
          <w:spacing w:val="-4"/>
        </w:rPr>
        <w:t>根据公司《董事、监事及高级管理人员薪酬管理制度》，公司董事薪酬由董事会薪酬与考核委员会提出，经董事会审议，</w:t>
      </w:r>
    </w:p>
    <w:p>
      <w:pPr>
        <w:pStyle w:val="BodyText"/>
        <w:spacing w:line="463" w:lineRule="auto" w:before="83"/>
        <w:ind w:right="1034"/>
        <w:jc w:val="left"/>
      </w:pPr>
      <w:r>
        <w:rPr/>
        <w:t>监事薪酬经监事会审议后，提交股东大会审议批准。公司每年度给予每位独立董事津贴人民币</w:t>
      </w:r>
      <w:r>
        <w:rPr>
          <w:rFonts w:ascii="Times New Roman" w:hAnsi="Times New Roman" w:cs="Times New Roman" w:eastAsia="Times New Roman" w:hint="default"/>
        </w:rPr>
        <w:t>8</w:t>
      </w:r>
      <w:r>
        <w:rPr/>
        <w:t>万元（税前）。高级管理人 员实行年薪制，其薪酬由基本工资和绩效奖金两部分构成。基本工资结合行业薪酬水平、岗位职责和履职情况，按月支付。 绩效奖金是以年度目标绩效奖金为基础，与公司年度经营绩效相挂钩，年终根据当年考核结果统算兑付。</w:t>
      </w:r>
    </w:p>
    <w:p>
      <w:pPr>
        <w:pStyle w:val="BodyText"/>
        <w:spacing w:line="463" w:lineRule="auto" w:before="65"/>
        <w:ind w:right="0" w:firstLine="360"/>
        <w:jc w:val="left"/>
      </w:pPr>
      <w:r>
        <w:rPr>
          <w:rFonts w:ascii="Times New Roman" w:hAnsi="Times New Roman" w:cs="Times New Roman" w:eastAsia="Times New Roman" w:hint="default"/>
          <w:spacing w:val="-2"/>
        </w:rPr>
        <w:t>2019</w:t>
      </w:r>
      <w:r>
        <w:rPr>
          <w:spacing w:val="-2"/>
        </w:rPr>
        <w:t>年度，公司按照《董事、监事及高级管理人员薪酬管理制度》向独立董事陈以增、孔祥云发放了津贴，独立董事舒</w:t>
      </w:r>
      <w:r>
        <w:rPr/>
        <w:t> </w:t>
      </w:r>
      <w:r>
        <w:rPr>
          <w:spacing w:val="-4"/>
        </w:rPr>
        <w:t>骋未领取津贴。公司非独立董事、监事未以董事、监事的职务在公司领取薪酬或津贴，按其在公司担任的管理职务领取薪酬。</w:t>
      </w:r>
      <w:r>
        <w:rPr>
          <w:spacing w:val="-46"/>
        </w:rPr>
        <w:t> </w:t>
      </w:r>
      <w:r>
        <w:rPr>
          <w:spacing w:val="-46"/>
        </w:rPr>
      </w:r>
      <w:r>
        <w:rPr/>
        <w:t>上述发放计划已经公司</w:t>
      </w:r>
      <w:r>
        <w:rPr>
          <w:rFonts w:ascii="Times New Roman" w:hAnsi="Times New Roman" w:cs="Times New Roman" w:eastAsia="Times New Roman" w:hint="default"/>
        </w:rPr>
        <w:t>2018</w:t>
      </w:r>
      <w:r>
        <w:rPr/>
        <w:t>年度股东大会审议通过。</w:t>
      </w:r>
    </w:p>
    <w:p>
      <w:pPr>
        <w:spacing w:after="0" w:line="463" w:lineRule="auto"/>
        <w:jc w:val="left"/>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right="1133"/>
        <w:jc w:val="left"/>
      </w:pPr>
      <w:r>
        <w:rPr/>
        <w:t>公司报告期内董事、监事和高级管理人员报酬情况</w:t>
      </w:r>
    </w:p>
    <w:p>
      <w:pPr>
        <w:pStyle w:val="BodyText"/>
        <w:spacing w:line="240" w:lineRule="auto" w:before="117"/>
        <w:ind w:left="0" w:right="1131"/>
        <w:jc w:val="right"/>
      </w:pPr>
      <w:r>
        <w:rPr/>
        <w:t>单位：万元</w:t>
      </w:r>
    </w:p>
    <w:p>
      <w:pPr>
        <w:spacing w:line="240" w:lineRule="auto" w:before="2"/>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682"/>
        <w:gridCol w:w="2120"/>
        <w:gridCol w:w="475"/>
        <w:gridCol w:w="475"/>
        <w:gridCol w:w="886"/>
        <w:gridCol w:w="2530"/>
        <w:gridCol w:w="2530"/>
      </w:tblGrid>
      <w:tr>
        <w:trPr>
          <w:trHeight w:val="403" w:hRule="exact"/>
        </w:trPr>
        <w:tc>
          <w:tcPr>
            <w:tcW w:w="6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56"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2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4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2"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4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0"/>
              <w:jc w:val="right"/>
              <w:rPr>
                <w:rFonts w:ascii="宋体" w:hAnsi="宋体" w:cs="宋体" w:eastAsia="宋体" w:hint="default"/>
                <w:sz w:val="18"/>
                <w:szCs w:val="18"/>
              </w:rPr>
            </w:pPr>
            <w:r>
              <w:rPr>
                <w:rFonts w:ascii="宋体" w:hAnsi="宋体" w:cs="宋体" w:eastAsia="宋体" w:hint="default"/>
                <w:sz w:val="18"/>
                <w:szCs w:val="18"/>
              </w:rPr>
              <w:t>年龄</w:t>
            </w:r>
          </w:p>
        </w:tc>
        <w:tc>
          <w:tcPr>
            <w:tcW w:w="8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9"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2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9" w:right="0"/>
              <w:jc w:val="left"/>
              <w:rPr>
                <w:rFonts w:ascii="宋体" w:hAnsi="宋体" w:cs="宋体" w:eastAsia="宋体" w:hint="default"/>
                <w:sz w:val="18"/>
                <w:szCs w:val="18"/>
              </w:rPr>
            </w:pPr>
            <w:r>
              <w:rPr>
                <w:rFonts w:ascii="宋体" w:hAnsi="宋体" w:cs="宋体" w:eastAsia="宋体" w:hint="default"/>
                <w:sz w:val="18"/>
                <w:szCs w:val="18"/>
              </w:rPr>
              <w:t>从公司获得的税前报酬总额</w:t>
            </w:r>
          </w:p>
        </w:tc>
        <w:tc>
          <w:tcPr>
            <w:tcW w:w="2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9" w:right="0"/>
              <w:jc w:val="left"/>
              <w:rPr>
                <w:rFonts w:ascii="宋体" w:hAnsi="宋体" w:cs="宋体" w:eastAsia="宋体" w:hint="default"/>
                <w:sz w:val="18"/>
                <w:szCs w:val="18"/>
              </w:rPr>
            </w:pPr>
            <w:r>
              <w:rPr>
                <w:rFonts w:ascii="宋体" w:hAnsi="宋体" w:cs="宋体" w:eastAsia="宋体" w:hint="default"/>
                <w:sz w:val="18"/>
                <w:szCs w:val="18"/>
              </w:rPr>
              <w:t>是否在公司关联方获取报酬</w:t>
            </w:r>
          </w:p>
        </w:tc>
      </w:tr>
      <w:tr>
        <w:trPr>
          <w:trHeight w:val="401" w:hRule="exact"/>
        </w:trPr>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刘磅</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董事长、总经理</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56</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137.18</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程朋胜</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董事、副总经理</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55</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122.29</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刘昂</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52</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吕枫</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董事、副总经理</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51</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78.67</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苏俊锋</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董事、副总经理</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48</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150.09</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王礼贵</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58</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5.2</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王晓东</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59</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5.2</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赵诚</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45</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5.2</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李继朝</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53</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7.8</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沈冰</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48</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甘岱松</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46</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41.87</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黄德强</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38</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136.97</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林雨斌</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副总经理、董事会秘书</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43</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107.11</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黄天朗</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49</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88.98</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孔祥云</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65</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2.8</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4" w:hRule="exact"/>
        </w:trPr>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陈以增</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48</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2.8</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舒骋</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43</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郑雪丹</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6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4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4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892.16</w:t>
            </w:r>
          </w:p>
        </w:tc>
        <w:tc>
          <w:tcPr>
            <w:tcW w:w="2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745" w:footer="980" w:top="1060" w:bottom="1160" w:left="980" w:right="0"/>
        </w:sectPr>
      </w:pPr>
    </w:p>
    <w:p>
      <w:pPr>
        <w:pStyle w:val="BodyText"/>
        <w:spacing w:line="240" w:lineRule="auto" w:before="49"/>
        <w:ind w:right="-20"/>
        <w:jc w:val="left"/>
      </w:pPr>
      <w:r>
        <w:rPr/>
        <w:t>公司董事、高级管理人员报告期内被授予的股权激励情况</w:t>
      </w:r>
    </w:p>
    <w:p>
      <w:pPr>
        <w:pStyle w:val="BodyText"/>
        <w:spacing w:line="240" w:lineRule="auto" w:before="117"/>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pStyle w:val="BodyText"/>
        <w:spacing w:line="240" w:lineRule="auto"/>
        <w:ind w:right="0"/>
        <w:jc w:val="left"/>
      </w:pPr>
      <w:r>
        <w:rPr/>
        <w:t>单位：股</w:t>
      </w:r>
    </w:p>
    <w:p>
      <w:pPr>
        <w:spacing w:after="0" w:line="240" w:lineRule="auto"/>
        <w:jc w:val="left"/>
        <w:sectPr>
          <w:type w:val="continuous"/>
          <w:pgSz w:w="11910" w:h="16840"/>
          <w:pgMar w:top="1060" w:bottom="1160" w:left="980" w:right="0"/>
          <w:cols w:num="2" w:equalWidth="0">
            <w:col w:w="4653" w:space="4267"/>
            <w:col w:w="2010"/>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708"/>
        <w:gridCol w:w="710"/>
        <w:gridCol w:w="708"/>
        <w:gridCol w:w="709"/>
        <w:gridCol w:w="878"/>
        <w:gridCol w:w="886"/>
        <w:gridCol w:w="804"/>
        <w:gridCol w:w="691"/>
        <w:gridCol w:w="1286"/>
        <w:gridCol w:w="1114"/>
        <w:gridCol w:w="1174"/>
      </w:tblGrid>
      <w:tr>
        <w:trPr>
          <w:trHeight w:val="1340" w:hRule="exact"/>
        </w:trPr>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70"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79" w:right="77"/>
              <w:jc w:val="both"/>
              <w:rPr>
                <w:rFonts w:ascii="宋体" w:hAnsi="宋体" w:cs="宋体" w:eastAsia="宋体" w:hint="default"/>
                <w:sz w:val="18"/>
                <w:szCs w:val="18"/>
              </w:rPr>
            </w:pPr>
            <w:r>
              <w:rPr>
                <w:rFonts w:ascii="宋体" w:hAnsi="宋体" w:cs="宋体" w:eastAsia="宋体" w:hint="default"/>
                <w:sz w:val="18"/>
                <w:szCs w:val="18"/>
              </w:rPr>
              <w:t>报告期 内可行 权股数</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79" w:right="77"/>
              <w:jc w:val="both"/>
              <w:rPr>
                <w:rFonts w:ascii="宋体" w:hAnsi="宋体" w:cs="宋体" w:eastAsia="宋体" w:hint="default"/>
                <w:sz w:val="18"/>
                <w:szCs w:val="18"/>
              </w:rPr>
            </w:pPr>
            <w:r>
              <w:rPr>
                <w:rFonts w:ascii="宋体" w:hAnsi="宋体" w:cs="宋体" w:eastAsia="宋体" w:hint="default"/>
                <w:sz w:val="18"/>
                <w:szCs w:val="18"/>
              </w:rPr>
              <w:t>报告期 内已行 权股数</w:t>
            </w:r>
          </w:p>
        </w:tc>
        <w:tc>
          <w:tcPr>
            <w:tcW w:w="8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4" w:right="72" w:firstLine="50"/>
              <w:jc w:val="both"/>
              <w:rPr>
                <w:rFonts w:ascii="宋体" w:hAnsi="宋体" w:cs="宋体" w:eastAsia="宋体" w:hint="default"/>
                <w:sz w:val="18"/>
                <w:szCs w:val="18"/>
              </w:rPr>
            </w:pPr>
            <w:r>
              <w:rPr>
                <w:rFonts w:ascii="宋体" w:hAnsi="宋体" w:cs="宋体" w:eastAsia="宋体" w:hint="default"/>
                <w:sz w:val="18"/>
                <w:szCs w:val="18"/>
              </w:rPr>
              <w:t>报告期内 已行权股 数行权价 </w:t>
            </w:r>
            <w:r>
              <w:rPr>
                <w:rFonts w:ascii="宋体" w:hAnsi="宋体" w:cs="宋体" w:eastAsia="宋体" w:hint="default"/>
                <w:spacing w:val="-8"/>
                <w:sz w:val="18"/>
                <w:szCs w:val="18"/>
              </w:rPr>
              <w:t>格（元</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股</w:t>
            </w:r>
          </w:p>
        </w:tc>
        <w:tc>
          <w:tcPr>
            <w:tcW w:w="8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2"/>
                <w:szCs w:val="12"/>
              </w:rPr>
            </w:pPr>
          </w:p>
          <w:p>
            <w:pPr>
              <w:pStyle w:val="TableParagraph"/>
              <w:spacing w:line="312" w:lineRule="exact"/>
              <w:ind w:left="52" w:right="51" w:firstLine="2"/>
              <w:jc w:val="center"/>
              <w:rPr>
                <w:rFonts w:ascii="宋体" w:hAnsi="宋体" w:cs="宋体" w:eastAsia="宋体" w:hint="default"/>
                <w:sz w:val="18"/>
                <w:szCs w:val="18"/>
              </w:rPr>
            </w:pPr>
            <w:r>
              <w:rPr>
                <w:rFonts w:ascii="宋体" w:hAnsi="宋体" w:cs="宋体" w:eastAsia="宋体" w:hint="default"/>
                <w:sz w:val="18"/>
                <w:szCs w:val="18"/>
              </w:rPr>
              <w:t>报告期末 市价（元</w:t>
            </w:r>
            <w:r>
              <w:rPr>
                <w:rFonts w:ascii="Times New Roman" w:hAnsi="Times New Roman" w:cs="Times New Roman" w:eastAsia="Times New Roman" w:hint="default"/>
                <w:sz w:val="18"/>
                <w:szCs w:val="18"/>
              </w:rPr>
              <w:t>/ </w:t>
            </w:r>
            <w:r>
              <w:rPr>
                <w:rFonts w:ascii="宋体" w:hAnsi="宋体" w:cs="宋体" w:eastAsia="宋体" w:hint="default"/>
                <w:sz w:val="18"/>
                <w:szCs w:val="18"/>
              </w:rPr>
              <w:t>股）</w:t>
            </w:r>
          </w:p>
          <w:p>
            <w:pPr>
              <w:pStyle w:val="TableParagraph"/>
              <w:spacing w:line="120" w:lineRule="exact"/>
              <w:ind w:left="-123" w:right="0"/>
              <w:jc w:val="left"/>
              <w:rPr>
                <w:rFonts w:ascii="宋体" w:hAnsi="宋体" w:cs="宋体" w:eastAsia="宋体" w:hint="default"/>
                <w:sz w:val="18"/>
                <w:szCs w:val="18"/>
              </w:rPr>
            </w:pPr>
            <w:r>
              <w:rPr>
                <w:rFonts w:ascii="宋体" w:hAnsi="宋体" w:cs="宋体" w:eastAsia="宋体" w:hint="default"/>
                <w:sz w:val="18"/>
                <w:szCs w:val="18"/>
              </w:rPr>
              <w:t>）</w:t>
            </w:r>
          </w:p>
        </w:tc>
        <w:tc>
          <w:tcPr>
            <w:tcW w:w="8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8" w:right="34"/>
              <w:jc w:val="both"/>
              <w:rPr>
                <w:rFonts w:ascii="宋体" w:hAnsi="宋体" w:cs="宋体" w:eastAsia="宋体" w:hint="default"/>
                <w:sz w:val="18"/>
                <w:szCs w:val="18"/>
              </w:rPr>
            </w:pPr>
            <w:r>
              <w:rPr>
                <w:rFonts w:ascii="宋体" w:hAnsi="宋体" w:cs="宋体" w:eastAsia="宋体" w:hint="default"/>
                <w:sz w:val="18"/>
                <w:szCs w:val="18"/>
              </w:rPr>
              <w:t>期初持有 限制性股 票数量</w:t>
            </w:r>
          </w:p>
        </w:tc>
        <w:tc>
          <w:tcPr>
            <w:tcW w:w="6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69" w:right="71"/>
              <w:jc w:val="both"/>
              <w:rPr>
                <w:rFonts w:ascii="宋体" w:hAnsi="宋体" w:cs="宋体" w:eastAsia="宋体" w:hint="default"/>
                <w:sz w:val="18"/>
                <w:szCs w:val="18"/>
              </w:rPr>
            </w:pPr>
            <w:r>
              <w:rPr>
                <w:rFonts w:ascii="宋体" w:hAnsi="宋体" w:cs="宋体" w:eastAsia="宋体" w:hint="default"/>
                <w:sz w:val="18"/>
                <w:szCs w:val="18"/>
              </w:rPr>
              <w:t>本期已 解锁股 份数量</w:t>
            </w:r>
          </w:p>
        </w:tc>
        <w:tc>
          <w:tcPr>
            <w:tcW w:w="1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98" w:right="96"/>
              <w:jc w:val="center"/>
              <w:rPr>
                <w:rFonts w:ascii="宋体" w:hAnsi="宋体" w:cs="宋体" w:eastAsia="宋体" w:hint="default"/>
                <w:sz w:val="18"/>
                <w:szCs w:val="18"/>
              </w:rPr>
            </w:pPr>
            <w:r>
              <w:rPr>
                <w:rFonts w:ascii="宋体" w:hAnsi="宋体" w:cs="宋体" w:eastAsia="宋体" w:hint="default"/>
                <w:sz w:val="18"/>
                <w:szCs w:val="18"/>
              </w:rPr>
              <w:t>报告期新授予 限制性股票数 量</w:t>
            </w:r>
          </w:p>
        </w:tc>
        <w:tc>
          <w:tcPr>
            <w:tcW w:w="11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00" w:right="101"/>
              <w:jc w:val="left"/>
              <w:rPr>
                <w:rFonts w:ascii="宋体" w:hAnsi="宋体" w:cs="宋体" w:eastAsia="宋体" w:hint="default"/>
                <w:sz w:val="18"/>
                <w:szCs w:val="18"/>
              </w:rPr>
            </w:pPr>
            <w:r>
              <w:rPr>
                <w:rFonts w:ascii="宋体" w:hAnsi="宋体" w:cs="宋体" w:eastAsia="宋体" w:hint="default"/>
                <w:sz w:val="18"/>
                <w:szCs w:val="18"/>
              </w:rPr>
              <w:t>限制性股票 的授予价格</w:t>
            </w:r>
          </w:p>
          <w:p>
            <w:pPr>
              <w:pStyle w:val="TableParagraph"/>
              <w:spacing w:line="240" w:lineRule="auto" w:before="19"/>
              <w:ind w:left="165" w:right="0"/>
              <w:jc w:val="left"/>
              <w:rPr>
                <w:rFonts w:ascii="宋体" w:hAnsi="宋体" w:cs="宋体" w:eastAsia="宋体" w:hint="default"/>
                <w:sz w:val="18"/>
                <w:szCs w:val="18"/>
              </w:rPr>
            </w:pP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1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131" w:right="41" w:hanging="92"/>
              <w:jc w:val="left"/>
              <w:rPr>
                <w:rFonts w:ascii="宋体" w:hAnsi="宋体" w:cs="宋体" w:eastAsia="宋体" w:hint="default"/>
                <w:sz w:val="18"/>
                <w:szCs w:val="18"/>
              </w:rPr>
            </w:pPr>
            <w:r>
              <w:rPr>
                <w:rFonts w:ascii="宋体" w:hAnsi="宋体" w:cs="宋体" w:eastAsia="宋体" w:hint="default"/>
                <w:sz w:val="18"/>
                <w:szCs w:val="18"/>
              </w:rPr>
              <w:t>期末持有限制 性股票数量</w:t>
            </w:r>
          </w:p>
        </w:tc>
      </w:tr>
      <w:tr>
        <w:trPr>
          <w:trHeight w:val="713"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苏俊锋</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6" w:right="19"/>
              <w:jc w:val="left"/>
              <w:rPr>
                <w:rFonts w:ascii="宋体" w:hAnsi="宋体" w:cs="宋体" w:eastAsia="宋体" w:hint="default"/>
                <w:sz w:val="18"/>
                <w:szCs w:val="18"/>
              </w:rPr>
            </w:pPr>
            <w:r>
              <w:rPr>
                <w:rFonts w:ascii="宋体" w:hAnsi="宋体" w:cs="宋体" w:eastAsia="宋体" w:hint="default"/>
                <w:spacing w:val="-17"/>
                <w:sz w:val="18"/>
                <w:szCs w:val="18"/>
              </w:rPr>
              <w:t>董事、副</w:t>
            </w:r>
            <w:r>
              <w:rPr>
                <w:rFonts w:ascii="宋体" w:hAnsi="宋体" w:cs="宋体" w:eastAsia="宋体" w:hint="default"/>
                <w:sz w:val="18"/>
                <w:szCs w:val="18"/>
              </w:rPr>
              <w:t> 总经理</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3.61</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1.9</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2,000,000</w:t>
            </w:r>
          </w:p>
        </w:tc>
      </w:tr>
      <w:tr>
        <w:trPr>
          <w:trHeight w:val="715"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黄德强</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132"/>
              <w:jc w:val="left"/>
              <w:rPr>
                <w:rFonts w:ascii="宋体" w:hAnsi="宋体" w:cs="宋体" w:eastAsia="宋体" w:hint="default"/>
                <w:sz w:val="18"/>
                <w:szCs w:val="18"/>
              </w:rPr>
            </w:pPr>
            <w:r>
              <w:rPr>
                <w:rFonts w:ascii="宋体" w:hAnsi="宋体" w:cs="宋体" w:eastAsia="宋体" w:hint="default"/>
                <w:sz w:val="18"/>
                <w:szCs w:val="18"/>
              </w:rPr>
              <w:t>副总经 理</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3.61</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4,500,000</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1.9</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4,500,000</w:t>
            </w:r>
          </w:p>
        </w:tc>
      </w:tr>
      <w:tr>
        <w:trPr>
          <w:trHeight w:val="401" w:hRule="exact"/>
        </w:trPr>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8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6,500,000</w:t>
            </w:r>
          </w:p>
        </w:tc>
        <w:tc>
          <w:tcPr>
            <w:tcW w:w="11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17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6,500,000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1133"/>
        <w:jc w:val="left"/>
        <w:rPr>
          <w:b w:val="0"/>
          <w:bCs w:val="0"/>
        </w:rPr>
      </w:pPr>
      <w:bookmarkStart w:name="五、公司员工情况" w:id="131"/>
      <w:bookmarkEnd w:id="131"/>
      <w:r>
        <w:rPr>
          <w:b w:val="0"/>
          <w:bCs w:val="0"/>
        </w:rPr>
      </w:r>
      <w:r>
        <w:rPr/>
        <w:t>五、公司员工情况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1133"/>
        <w:jc w:val="left"/>
        <w:rPr>
          <w:b w:val="0"/>
          <w:bCs w:val="0"/>
        </w:rPr>
      </w:pPr>
      <w:bookmarkStart w:name="1、员工数量、专业构成及教育程度" w:id="132"/>
      <w:bookmarkEnd w:id="132"/>
      <w:r>
        <w:rPr>
          <w:b w:val="0"/>
          <w:bCs w:val="0"/>
        </w:rPr>
      </w:r>
      <w:r>
        <w:rPr>
          <w:rFonts w:ascii="Times New Roman" w:hAnsi="Times New Roman" w:cs="Times New Roman" w:eastAsia="Times New Roman" w:hint="default"/>
        </w:rPr>
        <w:t>1</w:t>
      </w:r>
      <w:r>
        <w:rPr/>
        <w:t>、员工数量、专业构成及教育程度</w:t>
      </w:r>
      <w:r>
        <w:rPr>
          <w:b w:val="0"/>
          <w:bCs w:val="0"/>
        </w:rPr>
      </w:r>
    </w:p>
    <w:p>
      <w:pPr>
        <w:spacing w:line="240" w:lineRule="auto" w:before="7"/>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4765"/>
        <w:gridCol w:w="4794"/>
      </w:tblGrid>
      <w:tr>
        <w:trPr>
          <w:trHeight w:val="403"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1,005</w:t>
            </w:r>
          </w:p>
        </w:tc>
      </w:tr>
      <w:tr>
        <w:trPr>
          <w:trHeight w:val="401"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1,182</w:t>
            </w:r>
          </w:p>
        </w:tc>
      </w:tr>
      <w:tr>
        <w:trPr>
          <w:trHeight w:val="403"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2,187</w:t>
            </w:r>
          </w:p>
        </w:tc>
      </w:tr>
      <w:tr>
        <w:trPr>
          <w:trHeight w:val="401"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2,187</w:t>
            </w:r>
          </w:p>
        </w:tc>
      </w:tr>
      <w:tr>
        <w:trPr>
          <w:trHeight w:val="408"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w:t>
            </w:r>
          </w:p>
        </w:tc>
      </w:tr>
      <w:tr>
        <w:trPr>
          <w:trHeight w:val="391" w:hRule="exact"/>
        </w:trPr>
        <w:tc>
          <w:tcPr>
            <w:tcW w:w="955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1" w:right="12"/>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409"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 w:right="0"/>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584"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401"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87</w:t>
            </w:r>
          </w:p>
        </w:tc>
      </w:tr>
      <w:tr>
        <w:trPr>
          <w:trHeight w:val="403"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315</w:t>
            </w:r>
          </w:p>
        </w:tc>
      </w:tr>
      <w:tr>
        <w:trPr>
          <w:trHeight w:val="401"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1,379</w:t>
            </w:r>
          </w:p>
        </w:tc>
      </w:tr>
      <w:tr>
        <w:trPr>
          <w:trHeight w:val="403"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54</w:t>
            </w:r>
          </w:p>
        </w:tc>
      </w:tr>
      <w:tr>
        <w:trPr>
          <w:trHeight w:val="401"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352</w:t>
            </w:r>
          </w:p>
        </w:tc>
      </w:tr>
      <w:tr>
        <w:trPr>
          <w:trHeight w:val="408"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2,187</w:t>
            </w:r>
          </w:p>
        </w:tc>
      </w:tr>
      <w:tr>
        <w:trPr>
          <w:trHeight w:val="391" w:hRule="exact"/>
        </w:trPr>
        <w:tc>
          <w:tcPr>
            <w:tcW w:w="955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1" w:right="12"/>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08"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1"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401" w:hRule="exact"/>
        </w:trPr>
        <w:tc>
          <w:tcPr>
            <w:tcW w:w="4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研究生及以上</w:t>
            </w:r>
          </w:p>
        </w:tc>
        <w:tc>
          <w:tcPr>
            <w:tcW w:w="4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81</w:t>
            </w:r>
          </w:p>
        </w:tc>
      </w:tr>
      <w:tr>
        <w:trPr>
          <w:trHeight w:val="403" w:hRule="exact"/>
        </w:trPr>
        <w:tc>
          <w:tcPr>
            <w:tcW w:w="4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本科</w:t>
            </w:r>
          </w:p>
        </w:tc>
        <w:tc>
          <w:tcPr>
            <w:tcW w:w="4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1,019</w:t>
            </w:r>
          </w:p>
        </w:tc>
      </w:tr>
      <w:tr>
        <w:trPr>
          <w:trHeight w:val="401" w:hRule="exact"/>
        </w:trPr>
        <w:tc>
          <w:tcPr>
            <w:tcW w:w="4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专科</w:t>
            </w:r>
          </w:p>
        </w:tc>
        <w:tc>
          <w:tcPr>
            <w:tcW w:w="4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824</w:t>
            </w:r>
          </w:p>
        </w:tc>
      </w:tr>
      <w:tr>
        <w:trPr>
          <w:trHeight w:val="403" w:hRule="exact"/>
        </w:trPr>
        <w:tc>
          <w:tcPr>
            <w:tcW w:w="4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专科及以下</w:t>
            </w:r>
          </w:p>
        </w:tc>
        <w:tc>
          <w:tcPr>
            <w:tcW w:w="4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263</w:t>
            </w:r>
          </w:p>
        </w:tc>
      </w:tr>
      <w:tr>
        <w:trPr>
          <w:trHeight w:val="401"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2,187</w:t>
            </w:r>
          </w:p>
        </w:tc>
      </w:tr>
    </w:tbl>
    <w:p>
      <w:pPr>
        <w:spacing w:line="240" w:lineRule="auto" w:before="3"/>
        <w:rPr>
          <w:rFonts w:ascii="宋体" w:hAnsi="宋体" w:cs="宋体" w:eastAsia="宋体" w:hint="default"/>
          <w:b/>
          <w:bCs/>
          <w:sz w:val="19"/>
          <w:szCs w:val="19"/>
        </w:rPr>
      </w:pPr>
    </w:p>
    <w:p>
      <w:pPr>
        <w:pStyle w:val="Heading4"/>
        <w:spacing w:line="240" w:lineRule="auto" w:before="36"/>
        <w:ind w:right="0"/>
        <w:jc w:val="both"/>
        <w:rPr>
          <w:b w:val="0"/>
          <w:bCs w:val="0"/>
        </w:rPr>
      </w:pPr>
      <w:bookmarkStart w:name="2、薪酬政策" w:id="133"/>
      <w:bookmarkEnd w:id="133"/>
      <w:r>
        <w:rPr>
          <w:b w:val="0"/>
          <w:bCs w:val="0"/>
        </w:rPr>
      </w:r>
      <w:r>
        <w:rPr>
          <w:rFonts w:ascii="Times New Roman" w:hAnsi="Times New Roman" w:cs="Times New Roman" w:eastAsia="Times New Roman" w:hint="default"/>
        </w:rPr>
        <w:t>2</w:t>
      </w:r>
      <w:r>
        <w:rPr/>
        <w:t>、薪酬政策</w:t>
      </w:r>
      <w:r>
        <w:rPr>
          <w:b w:val="0"/>
          <w:bCs w:val="0"/>
        </w:rPr>
      </w:r>
    </w:p>
    <w:p>
      <w:pPr>
        <w:spacing w:line="240" w:lineRule="auto" w:before="5"/>
        <w:rPr>
          <w:rFonts w:ascii="宋体" w:hAnsi="宋体" w:cs="宋体" w:eastAsia="宋体" w:hint="default"/>
          <w:b/>
          <w:bCs/>
          <w:sz w:val="32"/>
          <w:szCs w:val="32"/>
        </w:rPr>
      </w:pPr>
    </w:p>
    <w:p>
      <w:pPr>
        <w:pStyle w:val="BodyText"/>
        <w:spacing w:line="477" w:lineRule="auto"/>
        <w:ind w:right="1034" w:firstLine="360"/>
        <w:jc w:val="left"/>
      </w:pPr>
      <w:r>
        <w:rPr/>
        <w:t>通过对战略目标、任务的管理，公司设计了具有竞争性的员工薪酬体系，建立了良好的内部级别认证制度及晋升通道， 实施了公平公正的绩效考核机制，不断提升员工对于薪酬的满意度。</w:t>
      </w:r>
    </w:p>
    <w:p>
      <w:pPr>
        <w:pStyle w:val="BodyText"/>
        <w:spacing w:line="487" w:lineRule="auto" w:before="95"/>
        <w:ind w:left="573" w:right="1133" w:hanging="421"/>
        <w:jc w:val="left"/>
      </w:pP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 </w:t>
      </w:r>
      <w:r>
        <w:rPr>
          <w:spacing w:val="15"/>
        </w:rPr>
        <w:t>本报告期公司职工薪酬总额</w:t>
      </w:r>
      <w:r>
        <w:rPr>
          <w:spacing w:val="-62"/>
        </w:rPr>
        <w:t> </w:t>
      </w:r>
      <w:r>
        <w:rPr>
          <w:rFonts w:ascii="Times New Roman" w:hAnsi="Times New Roman" w:cs="Times New Roman" w:eastAsia="Times New Roman" w:hint="default"/>
        </w:rPr>
        <w:t>368,018,311.44</w:t>
      </w:r>
      <w:r>
        <w:rPr>
          <w:rFonts w:ascii="Times New Roman" w:hAnsi="Times New Roman" w:cs="Times New Roman" w:eastAsia="Times New Roman" w:hint="default"/>
          <w:spacing w:val="-20"/>
        </w:rPr>
        <w:t> </w:t>
      </w:r>
      <w:r>
        <w:rPr>
          <w:spacing w:val="8"/>
        </w:rPr>
        <w:t>元，</w:t>
      </w:r>
      <w:r>
        <w:rPr>
          <w:spacing w:val="-69"/>
        </w:rPr>
        <w:t> </w:t>
      </w:r>
      <w:r>
        <w:rPr>
          <w:spacing w:val="15"/>
        </w:rPr>
        <w:t>占公司营业总成本比重为</w:t>
      </w:r>
      <w:r>
        <w:rPr>
          <w:spacing w:val="-65"/>
        </w:rPr>
        <w:t> </w:t>
      </w:r>
      <w:r>
        <w:rPr>
          <w:rFonts w:ascii="Times New Roman" w:hAnsi="Times New Roman" w:cs="Times New Roman" w:eastAsia="Times New Roman" w:hint="default"/>
          <w:spacing w:val="2"/>
        </w:rPr>
        <w:t>17.61%</w:t>
      </w:r>
      <w:r>
        <w:rPr>
          <w:spacing w:val="2"/>
        </w:rPr>
        <w:t>；</w:t>
      </w:r>
      <w:r>
        <w:rPr>
          <w:spacing w:val="-69"/>
        </w:rPr>
        <w:t> </w:t>
      </w:r>
      <w:r>
        <w:rPr>
          <w:spacing w:val="15"/>
        </w:rPr>
        <w:t>薪酬总额中计入成本部分为</w:t>
      </w:r>
    </w:p>
    <w:p>
      <w:pPr>
        <w:pStyle w:val="BodyText"/>
        <w:spacing w:line="451" w:lineRule="auto" w:before="13"/>
        <w:ind w:right="1129"/>
        <w:jc w:val="both"/>
      </w:pPr>
      <w:r>
        <w:rPr>
          <w:rFonts w:ascii="Times New Roman" w:hAnsi="Times New Roman" w:cs="Times New Roman" w:eastAsia="Times New Roman" w:hint="default"/>
        </w:rPr>
        <w:t>311,806,104.73</w:t>
      </w:r>
      <w:r>
        <w:rPr/>
        <w:t>元，占营业总成本比重为</w:t>
      </w:r>
      <w:r>
        <w:rPr>
          <w:spacing w:val="-55"/>
        </w:rPr>
        <w:t> </w:t>
      </w:r>
      <w:r>
        <w:rPr>
          <w:rFonts w:ascii="Times New Roman" w:hAnsi="Times New Roman" w:cs="Times New Roman" w:eastAsia="Times New Roman" w:hint="default"/>
        </w:rPr>
        <w:t>14.92%</w:t>
      </w:r>
      <w:r>
        <w:rPr/>
        <w:t>，公司职工薪酬总额占营业总成本比重较低，公司利润对职工薪酬总额变化 </w:t>
      </w:r>
      <w:r>
        <w:rPr>
          <w:spacing w:val="-1"/>
        </w:rPr>
        <w:t>敏感性较低。报告期内，公司核心技术人员数占比</w:t>
      </w:r>
      <w:r>
        <w:rPr>
          <w:rFonts w:ascii="Times New Roman" w:hAnsi="Times New Roman" w:cs="Times New Roman" w:eastAsia="Times New Roman" w:hint="default"/>
          <w:spacing w:val="-1"/>
        </w:rPr>
        <w:t>10.38%</w:t>
      </w:r>
      <w:r>
        <w:rPr>
          <w:spacing w:val="-1"/>
        </w:rPr>
        <w:t>，较去年增长</w:t>
      </w:r>
      <w:r>
        <w:rPr>
          <w:rFonts w:ascii="Times New Roman" w:hAnsi="Times New Roman" w:cs="Times New Roman" w:eastAsia="Times New Roman" w:hint="default"/>
          <w:spacing w:val="-1"/>
        </w:rPr>
        <w:t>0.62%</w:t>
      </w:r>
      <w:r>
        <w:rPr>
          <w:spacing w:val="-1"/>
        </w:rPr>
        <w:t>，核心技术人员的人力成本占公司职工薪酬总</w:t>
      </w:r>
      <w:r>
        <w:rPr>
          <w:spacing w:val="-53"/>
        </w:rPr>
        <w:t> </w:t>
      </w:r>
      <w:r>
        <w:rPr>
          <w:spacing w:val="-53"/>
        </w:rPr>
      </w:r>
      <w:r>
        <w:rPr/>
        <w:t>额的</w:t>
      </w:r>
      <w:r>
        <w:rPr>
          <w:rFonts w:ascii="Times New Roman" w:hAnsi="Times New Roman" w:cs="Times New Roman" w:eastAsia="Times New Roman" w:hint="default"/>
        </w:rPr>
        <w:t>16.3%</w:t>
      </w:r>
      <w:r>
        <w:rPr/>
        <w:t>，较去年增长</w:t>
      </w:r>
      <w:r>
        <w:rPr>
          <w:rFonts w:ascii="Times New Roman" w:hAnsi="Times New Roman" w:cs="Times New Roman" w:eastAsia="Times New Roman" w:hint="default"/>
        </w:rPr>
        <w:t>0.95%</w:t>
      </w:r>
      <w:r>
        <w:rPr/>
        <w:t>。</w:t>
      </w:r>
    </w:p>
    <w:p>
      <w:pPr>
        <w:spacing w:after="0" w:line="451" w:lineRule="auto"/>
        <w:jc w:val="both"/>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1133"/>
        <w:jc w:val="left"/>
        <w:rPr>
          <w:b w:val="0"/>
          <w:bCs w:val="0"/>
        </w:rPr>
      </w:pPr>
      <w:bookmarkStart w:name="3、培训计划" w:id="134"/>
      <w:bookmarkEnd w:id="134"/>
      <w:r>
        <w:rPr>
          <w:b w:val="0"/>
          <w:bCs w:val="0"/>
        </w:rPr>
      </w:r>
      <w:r>
        <w:rPr>
          <w:rFonts w:ascii="Times New Roman" w:hAnsi="Times New Roman" w:cs="Times New Roman" w:eastAsia="Times New Roman" w:hint="default"/>
        </w:rPr>
        <w:t>3</w:t>
      </w:r>
      <w:r>
        <w:rPr/>
        <w:t>、培训计划</w:t>
      </w:r>
      <w:r>
        <w:rPr>
          <w:b w:val="0"/>
          <w:bCs w:val="0"/>
        </w:rPr>
      </w:r>
    </w:p>
    <w:p>
      <w:pPr>
        <w:spacing w:line="240" w:lineRule="auto" w:before="5"/>
        <w:rPr>
          <w:rFonts w:ascii="宋体" w:hAnsi="宋体" w:cs="宋体" w:eastAsia="宋体" w:hint="default"/>
          <w:b/>
          <w:bCs/>
          <w:sz w:val="32"/>
          <w:szCs w:val="32"/>
        </w:rPr>
      </w:pPr>
    </w:p>
    <w:p>
      <w:pPr>
        <w:pStyle w:val="BodyText"/>
        <w:spacing w:line="477" w:lineRule="auto"/>
        <w:ind w:right="1034" w:firstLine="360"/>
        <w:jc w:val="left"/>
      </w:pPr>
      <w:r>
        <w:rPr/>
        <w:t>公司自上而下构建了完善的培训体系，培训内容涵盖了新员工培训、专项技术、管理技能、经验交流等多方面的内容， </w:t>
      </w:r>
      <w:r>
        <w:rPr>
          <w:spacing w:val="-2"/>
        </w:rPr>
        <w:t>积极寻求各种有效的培训资源（如高校、政府、社会培训学校及内部优秀师资挖掘与培养等），同时组织员工参加各类职业</w:t>
      </w:r>
      <w:r>
        <w:rPr>
          <w:spacing w:val="-65"/>
        </w:rPr>
        <w:t> </w:t>
      </w:r>
      <w:r>
        <w:rPr>
          <w:spacing w:val="-65"/>
        </w:rPr>
      </w:r>
      <w:r>
        <w:rPr/>
        <w:t>资格考试，提升员工的工作技术水平，将</w:t>
      </w:r>
      <w:r>
        <w:rPr>
          <w:rFonts w:ascii="Times New Roman" w:hAnsi="Times New Roman" w:cs="Times New Roman" w:eastAsia="Times New Roman" w:hint="default"/>
        </w:rPr>
        <w:t>“</w:t>
      </w:r>
      <w:r>
        <w:rPr/>
        <w:t>分享</w:t>
      </w:r>
      <w:r>
        <w:rPr>
          <w:rFonts w:ascii="Times New Roman" w:hAnsi="Times New Roman" w:cs="Times New Roman" w:eastAsia="Times New Roman" w:hint="default"/>
        </w:rPr>
        <w:t>”</w:t>
      </w:r>
      <w:r>
        <w:rPr/>
        <w:t>的理念贯穿于整个培训体系。</w:t>
      </w:r>
    </w:p>
    <w:p>
      <w:pPr>
        <w:spacing w:line="240" w:lineRule="auto" w:before="12"/>
        <w:rPr>
          <w:rFonts w:ascii="宋体" w:hAnsi="宋体" w:cs="宋体" w:eastAsia="宋体" w:hint="default"/>
          <w:sz w:val="16"/>
          <w:szCs w:val="16"/>
        </w:rPr>
      </w:pPr>
    </w:p>
    <w:p>
      <w:pPr>
        <w:pStyle w:val="Heading4"/>
        <w:spacing w:line="240" w:lineRule="auto"/>
        <w:ind w:right="1133"/>
        <w:jc w:val="left"/>
        <w:rPr>
          <w:b w:val="0"/>
          <w:bCs w:val="0"/>
        </w:rPr>
      </w:pPr>
      <w:bookmarkStart w:name="4、劳务外包情况" w:id="135"/>
      <w:bookmarkEnd w:id="135"/>
      <w:r>
        <w:rPr>
          <w:b w:val="0"/>
          <w:bCs w:val="0"/>
        </w:rPr>
      </w:r>
      <w:r>
        <w:rPr>
          <w:rFonts w:ascii="Times New Roman" w:hAnsi="Times New Roman" w:cs="Times New Roman" w:eastAsia="Times New Roman" w:hint="default"/>
        </w:rPr>
        <w:t>4</w:t>
      </w:r>
      <w:r>
        <w:rPr/>
        <w:t>、劳务外包情况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right="1756"/>
        <w:jc w:val="center"/>
        <w:rPr>
          <w:b w:val="0"/>
          <w:bCs w:val="0"/>
        </w:rPr>
      </w:pPr>
      <w:bookmarkStart w:name="_TOC_250003" w:id="136"/>
      <w:bookmarkStart w:name="第十节公司治理" w:id="137"/>
      <w:r>
        <w:rPr>
          <w:b w:val="0"/>
          <w:bCs w:val="0"/>
        </w:rPr>
      </w:r>
      <w:r>
        <w:rPr/>
        <w:t>第十节公司治理</w:t>
      </w:r>
      <w:bookmarkEnd w:id="136"/>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before="26"/>
        <w:ind w:right="1133"/>
        <w:jc w:val="left"/>
        <w:rPr>
          <w:b w:val="0"/>
          <w:bCs w:val="0"/>
        </w:rPr>
      </w:pPr>
      <w:bookmarkStart w:name="一、公司治理的基本状况" w:id="138"/>
      <w:bookmarkEnd w:id="138"/>
      <w:r>
        <w:rPr>
          <w:b w:val="0"/>
          <w:bCs w:val="0"/>
        </w:rPr>
      </w:r>
      <w:r>
        <w:rPr/>
        <w:t>一、公司治理的基本状况</w:t>
      </w:r>
      <w:r>
        <w:rPr>
          <w:b w:val="0"/>
          <w:bCs w:val="0"/>
        </w:rPr>
      </w:r>
    </w:p>
    <w:p>
      <w:pPr>
        <w:spacing w:line="240" w:lineRule="auto" w:before="4"/>
        <w:rPr>
          <w:rFonts w:ascii="宋体" w:hAnsi="宋体" w:cs="宋体" w:eastAsia="宋体" w:hint="default"/>
          <w:b/>
          <w:bCs/>
          <w:sz w:val="32"/>
          <w:szCs w:val="32"/>
        </w:rPr>
      </w:pPr>
    </w:p>
    <w:p>
      <w:pPr>
        <w:pStyle w:val="BodyText"/>
        <w:spacing w:line="477" w:lineRule="auto"/>
        <w:ind w:right="1132" w:firstLine="360"/>
        <w:jc w:val="both"/>
      </w:pPr>
      <w:r>
        <w:rPr>
          <w:spacing w:val="-2"/>
        </w:rPr>
        <w:t>报告期内，公司严格按照《公司法》、《证券法》、《深圳证券交易所股票上市规则》、《深圳证券交易所中小企业板</w:t>
      </w:r>
      <w:r>
        <w:rPr/>
        <w:t> </w:t>
      </w:r>
      <w:r>
        <w:rPr>
          <w:spacing w:val="-2"/>
        </w:rPr>
        <w:t>上市公司规范运作指引》和其他相关法律、法规的有关规定，不断完善公司法人治理结构，健全内部控制体系，规范公司运</w:t>
      </w:r>
      <w:r>
        <w:rPr>
          <w:spacing w:val="-66"/>
        </w:rPr>
        <w:t> </w:t>
      </w:r>
      <w:r>
        <w:rPr>
          <w:spacing w:val="-66"/>
        </w:rPr>
      </w:r>
      <w:r>
        <w:rPr>
          <w:spacing w:val="-2"/>
        </w:rPr>
        <w:t>作，保证公司高效运转。截至报告期末，公司治理的实际状况基本符合中国证监会发布的有关上市公司治理的规范性文件要</w:t>
      </w:r>
      <w:r>
        <w:rPr>
          <w:spacing w:val="-66"/>
        </w:rPr>
        <w:t> </w:t>
      </w:r>
      <w:r>
        <w:rPr>
          <w:spacing w:val="-66"/>
        </w:rPr>
      </w:r>
      <w:r>
        <w:rPr/>
        <w:t>求。</w:t>
      </w:r>
    </w:p>
    <w:p>
      <w:pPr>
        <w:pStyle w:val="BodyText"/>
        <w:spacing w:line="451" w:lineRule="auto" w:before="55"/>
        <w:ind w:left="513" w:right="1129" w:hanging="361"/>
        <w:jc w:val="left"/>
      </w:pPr>
      <w:r>
        <w:rPr>
          <w:rFonts w:ascii="Times New Roman" w:hAnsi="Times New Roman" w:cs="Times New Roman" w:eastAsia="Times New Roman" w:hint="default"/>
          <w:b/>
          <w:bCs/>
        </w:rPr>
        <w:t>1</w:t>
      </w:r>
      <w:r>
        <w:rPr>
          <w:rFonts w:ascii="宋体" w:hAnsi="宋体" w:cs="宋体" w:eastAsia="宋体" w:hint="default"/>
          <w:b/>
          <w:bCs/>
        </w:rPr>
        <w:t>、股东与股东大会</w:t>
      </w:r>
      <w:r>
        <w:rPr>
          <w:rFonts w:ascii="宋体" w:hAnsi="宋体" w:cs="宋体" w:eastAsia="宋体" w:hint="default"/>
          <w:b/>
          <w:bCs/>
          <w:w w:val="99"/>
        </w:rPr>
        <w:t> </w:t>
      </w:r>
      <w:r>
        <w:rPr>
          <w:spacing w:val="-2"/>
        </w:rPr>
        <w:t>公司严格按照《公司法》、《上市公司股东大会规则》、《公司章程》、《股东大会议事规则》等法律法则的要求，规</w:t>
      </w:r>
    </w:p>
    <w:p>
      <w:pPr>
        <w:pStyle w:val="BodyText"/>
        <w:spacing w:line="477" w:lineRule="auto" w:before="74"/>
        <w:ind w:right="1133"/>
        <w:jc w:val="both"/>
      </w:pPr>
      <w:r>
        <w:rPr>
          <w:spacing w:val="-2"/>
        </w:rPr>
        <w:t>范股东大会的召集、召开、表决程序，并聘请律师进行见证。股东大会会议记录保存完整，提案审议程序符合规定。公司治</w:t>
      </w:r>
      <w:r>
        <w:rPr>
          <w:spacing w:val="-68"/>
        </w:rPr>
        <w:t> </w:t>
      </w:r>
      <w:r>
        <w:rPr>
          <w:spacing w:val="-68"/>
        </w:rPr>
      </w:r>
      <w:r>
        <w:rPr/>
        <w:t>理结构确保所有股东，特别是中小股东享有平等的权利。</w:t>
      </w:r>
    </w:p>
    <w:p>
      <w:pPr>
        <w:pStyle w:val="BodyText"/>
        <w:spacing w:line="451" w:lineRule="auto" w:before="54"/>
        <w:ind w:left="513" w:right="1129" w:hanging="361"/>
        <w:jc w:val="left"/>
      </w:pPr>
      <w:r>
        <w:rPr>
          <w:rFonts w:ascii="Times New Roman" w:hAnsi="Times New Roman" w:cs="Times New Roman" w:eastAsia="Times New Roman" w:hint="default"/>
          <w:b/>
          <w:bCs/>
        </w:rPr>
        <w:t>2</w:t>
      </w:r>
      <w:r>
        <w:rPr>
          <w:rFonts w:ascii="宋体" w:hAnsi="宋体" w:cs="宋体" w:eastAsia="宋体" w:hint="default"/>
          <w:b/>
          <w:bCs/>
        </w:rPr>
        <w:t>、控股股东与上市公司</w:t>
      </w:r>
      <w:r>
        <w:rPr>
          <w:rFonts w:ascii="宋体" w:hAnsi="宋体" w:cs="宋体" w:eastAsia="宋体" w:hint="default"/>
          <w:b/>
          <w:bCs/>
          <w:w w:val="99"/>
        </w:rPr>
        <w:t> </w:t>
      </w:r>
      <w:r>
        <w:rPr>
          <w:spacing w:val="-2"/>
        </w:rPr>
        <w:t>公司严格根据《上市公司治理准则》、《深圳证券交易所股票上市规则》、《公司章程》等制度规范股东行为，控股股</w:t>
      </w:r>
    </w:p>
    <w:p>
      <w:pPr>
        <w:pStyle w:val="BodyText"/>
        <w:spacing w:line="477" w:lineRule="auto" w:before="74"/>
        <w:ind w:right="1133"/>
        <w:jc w:val="both"/>
      </w:pPr>
      <w:r>
        <w:rPr>
          <w:spacing w:val="-2"/>
        </w:rPr>
        <w:t>东通过股东大会行使股东权利，不存在违规占用上市公司资产侵害公司权益的情形，未发生超越股东大会及董事会而直接干</w:t>
      </w:r>
      <w:r>
        <w:rPr>
          <w:spacing w:val="-64"/>
        </w:rPr>
        <w:t> </w:t>
      </w:r>
      <w:r>
        <w:rPr>
          <w:spacing w:val="-64"/>
        </w:rPr>
      </w:r>
      <w:r>
        <w:rPr>
          <w:spacing w:val="-2"/>
        </w:rPr>
        <w:t>预公司经营与决策的行为。公司具有独立的业务和经营自主能力，在业务、资产、人员、机构、财务等方面均独立于控股股</w:t>
      </w:r>
      <w:r>
        <w:rPr>
          <w:spacing w:val="-70"/>
        </w:rPr>
        <w:t> </w:t>
      </w:r>
      <w:r>
        <w:rPr>
          <w:spacing w:val="-70"/>
        </w:rPr>
      </w:r>
      <w:r>
        <w:rPr/>
        <w:t>东。控股股东亦严格遵守相关承诺。</w:t>
      </w:r>
    </w:p>
    <w:p>
      <w:pPr>
        <w:pStyle w:val="BodyText"/>
        <w:spacing w:line="451" w:lineRule="auto" w:before="54"/>
        <w:ind w:left="513" w:right="1123" w:hanging="361"/>
        <w:jc w:val="left"/>
        <w:rPr>
          <w:rFonts w:ascii="Times New Roman" w:hAnsi="Times New Roman" w:cs="Times New Roman" w:eastAsia="Times New Roman" w:hint="default"/>
        </w:rPr>
      </w:pPr>
      <w:r>
        <w:rPr>
          <w:rFonts w:ascii="Times New Roman" w:hAnsi="Times New Roman" w:cs="Times New Roman" w:eastAsia="Times New Roman" w:hint="default"/>
          <w:b/>
          <w:bCs/>
        </w:rPr>
        <w:t>3</w:t>
      </w:r>
      <w:r>
        <w:rPr>
          <w:rFonts w:ascii="宋体" w:hAnsi="宋体" w:cs="宋体" w:eastAsia="宋体" w:hint="default"/>
          <w:b/>
          <w:bCs/>
        </w:rPr>
        <w:t>、董事与董事会</w:t>
      </w:r>
      <w:r>
        <w:rPr>
          <w:rFonts w:ascii="宋体" w:hAnsi="宋体" w:cs="宋体" w:eastAsia="宋体" w:hint="default"/>
          <w:b/>
          <w:bCs/>
          <w:w w:val="99"/>
        </w:rPr>
        <w:t> </w:t>
      </w:r>
      <w:r>
        <w:rPr/>
        <w:t>公司第六届董事会由</w:t>
      </w:r>
      <w:r>
        <w:rPr>
          <w:rFonts w:ascii="Times New Roman" w:hAnsi="Times New Roman" w:cs="Times New Roman" w:eastAsia="Times New Roman" w:hint="default"/>
        </w:rPr>
        <w:t>9</w:t>
      </w:r>
      <w:r>
        <w:rPr/>
        <w:t>名董事组成，其中独立董事</w:t>
      </w:r>
      <w:r>
        <w:rPr>
          <w:rFonts w:ascii="Times New Roman" w:hAnsi="Times New Roman" w:cs="Times New Roman" w:eastAsia="Times New Roman" w:hint="default"/>
        </w:rPr>
        <w:t>3</w:t>
      </w:r>
      <w:r>
        <w:rPr/>
        <w:t>名，</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5</w:t>
      </w:r>
      <w:r>
        <w:rPr/>
        <w:t>日董事贾虹女士因个人原因离职，董事会人数变为</w:t>
      </w:r>
      <w:r>
        <w:rPr>
          <w:rFonts w:ascii="Times New Roman" w:hAnsi="Times New Roman" w:cs="Times New Roman" w:eastAsia="Times New Roman" w:hint="default"/>
        </w:rPr>
        <w:t>8</w:t>
      </w:r>
    </w:p>
    <w:p>
      <w:pPr>
        <w:pStyle w:val="BodyText"/>
        <w:spacing w:line="468" w:lineRule="auto" w:before="43"/>
        <w:ind w:right="1034"/>
        <w:jc w:val="left"/>
      </w:pPr>
      <w:r>
        <w:rPr/>
        <w:t>人。第七届董事会于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5</w:t>
      </w:r>
      <w:r>
        <w:rPr/>
        <w:t>日成立，由</w:t>
      </w:r>
      <w:r>
        <w:rPr>
          <w:rFonts w:ascii="Times New Roman" w:hAnsi="Times New Roman" w:cs="Times New Roman" w:eastAsia="Times New Roman" w:hint="default"/>
        </w:rPr>
        <w:t>9</w:t>
      </w:r>
      <w:r>
        <w:rPr/>
        <w:t>名董事组成，其中独立董事</w:t>
      </w:r>
      <w:r>
        <w:rPr>
          <w:rFonts w:ascii="Times New Roman" w:hAnsi="Times New Roman" w:cs="Times New Roman" w:eastAsia="Times New Roman" w:hint="default"/>
        </w:rPr>
        <w:t>3</w:t>
      </w:r>
      <w:r>
        <w:rPr/>
        <w:t>名，董事会的人数、构成及选聘程序均符合法律、 </w:t>
      </w:r>
      <w:r>
        <w:rPr>
          <w:spacing w:val="-2"/>
        </w:rPr>
        <w:t>法规和《公司章程》的规定。公司全体董事均能够按照相关法律、法规及《公司章程》的规定召开会议，依法履行职责。董</w:t>
      </w:r>
      <w:r>
        <w:rPr>
          <w:spacing w:val="-68"/>
        </w:rPr>
        <w:t> </w:t>
      </w:r>
      <w:r>
        <w:rPr>
          <w:spacing w:val="-68"/>
        </w:rPr>
      </w:r>
      <w:r>
        <w:rPr>
          <w:spacing w:val="-2"/>
        </w:rPr>
        <w:t>事会下设战略发展委员会、审计委员会、薪酬与考核委员会、提名委员会等四个专门委员会。股东大会对董事会的授权权限</w:t>
      </w:r>
      <w:r>
        <w:rPr>
          <w:spacing w:val="-65"/>
        </w:rPr>
        <w:t> </w:t>
      </w:r>
      <w:r>
        <w:rPr>
          <w:spacing w:val="-65"/>
        </w:rPr>
      </w:r>
      <w:r>
        <w:rPr/>
        <w:t>合理合法，独立董事能够不受影响的独立履行职责。</w:t>
      </w:r>
    </w:p>
    <w:p>
      <w:pPr>
        <w:pStyle w:val="BodyText"/>
        <w:spacing w:line="451" w:lineRule="auto" w:before="62"/>
        <w:ind w:left="513" w:right="1033" w:hanging="361"/>
        <w:jc w:val="left"/>
      </w:pPr>
      <w:r>
        <w:rPr>
          <w:rFonts w:ascii="Times New Roman" w:hAnsi="Times New Roman" w:cs="Times New Roman" w:eastAsia="Times New Roman" w:hint="default"/>
          <w:b/>
          <w:bCs/>
        </w:rPr>
        <w:t>4</w:t>
      </w:r>
      <w:r>
        <w:rPr>
          <w:rFonts w:ascii="宋体" w:hAnsi="宋体" w:cs="宋体" w:eastAsia="宋体" w:hint="default"/>
          <w:b/>
          <w:bCs/>
        </w:rPr>
        <w:t>、监事与监事会</w:t>
      </w:r>
      <w:r>
        <w:rPr>
          <w:rFonts w:ascii="宋体" w:hAnsi="宋体" w:cs="宋体" w:eastAsia="宋体" w:hint="default"/>
          <w:b/>
          <w:bCs/>
          <w:w w:val="99"/>
        </w:rPr>
        <w:t> </w:t>
      </w:r>
      <w:r>
        <w:rPr/>
        <w:t>公司监事会由</w:t>
      </w:r>
      <w:r>
        <w:rPr>
          <w:rFonts w:ascii="Times New Roman" w:hAnsi="Times New Roman" w:cs="Times New Roman" w:eastAsia="Times New Roman" w:hint="default"/>
        </w:rPr>
        <w:t>3</w:t>
      </w:r>
      <w:r>
        <w:rPr/>
        <w:t>名监事组成，其中职工代表监事</w:t>
      </w:r>
      <w:r>
        <w:rPr>
          <w:rFonts w:ascii="Times New Roman" w:hAnsi="Times New Roman" w:cs="Times New Roman" w:eastAsia="Times New Roman" w:hint="default"/>
        </w:rPr>
        <w:t>1</w:t>
      </w:r>
      <w:r>
        <w:rPr/>
        <w:t>名。监事会的人数、构成及选聘程序均符合法律、法规和《公司章程》</w:t>
      </w:r>
    </w:p>
    <w:p>
      <w:pPr>
        <w:pStyle w:val="BodyText"/>
        <w:spacing w:line="477" w:lineRule="auto" w:before="43"/>
        <w:ind w:right="1131"/>
        <w:jc w:val="both"/>
      </w:pPr>
      <w:r>
        <w:rPr>
          <w:spacing w:val="-2"/>
        </w:rPr>
        <w:t>的规定。公司全体监事均能够按照相关法律、法规及《公司章程》的规定召开会议，依法履行职责，出席股东大会、列席现</w:t>
      </w:r>
      <w:r>
        <w:rPr>
          <w:spacing w:val="-72"/>
        </w:rPr>
        <w:t> </w:t>
      </w:r>
      <w:r>
        <w:rPr>
          <w:spacing w:val="-72"/>
        </w:rPr>
      </w:r>
      <w:r>
        <w:rPr>
          <w:spacing w:val="-2"/>
        </w:rPr>
        <w:t>场董事会。按规定的程序对公司重大事项、财务状况、董事和高级管理人员履行职责的情况等事项进行了有效的监督，维护</w:t>
      </w:r>
      <w:r>
        <w:rPr>
          <w:spacing w:val="-64"/>
        </w:rPr>
        <w:t> </w:t>
      </w:r>
      <w:r>
        <w:rPr>
          <w:spacing w:val="-64"/>
        </w:rPr>
      </w:r>
      <w:r>
        <w:rPr/>
        <w:t>了公司及股东的合法权益。</w:t>
      </w:r>
    </w:p>
    <w:p>
      <w:pPr>
        <w:pStyle w:val="Heading6"/>
        <w:spacing w:line="240" w:lineRule="auto" w:before="54"/>
        <w:ind w:right="1133"/>
        <w:jc w:val="left"/>
        <w:rPr>
          <w:b w:val="0"/>
          <w:bCs w:val="0"/>
        </w:rPr>
      </w:pPr>
      <w:r>
        <w:rPr>
          <w:rFonts w:ascii="Times New Roman" w:hAnsi="Times New Roman" w:cs="Times New Roman" w:eastAsia="Times New Roman" w:hint="default"/>
        </w:rPr>
        <w:t>5</w:t>
      </w:r>
      <w:r>
        <w:rPr/>
        <w:t>、关于相关利益者</w:t>
      </w:r>
      <w:r>
        <w:rPr>
          <w:b w:val="0"/>
          <w:bCs w:val="0"/>
        </w:rPr>
      </w:r>
    </w:p>
    <w:p>
      <w:pPr>
        <w:spacing w:after="0" w:line="240" w:lineRule="auto"/>
        <w:jc w:val="left"/>
        <w:sectPr>
          <w:pgSz w:w="11910" w:h="16840"/>
          <w:pgMar w:header="745" w:footer="980" w:top="1060" w:bottom="1160" w:left="980" w:right="0"/>
        </w:sect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5"/>
          <w:szCs w:val="15"/>
        </w:rPr>
      </w:pPr>
    </w:p>
    <w:p>
      <w:pPr>
        <w:pStyle w:val="BodyText"/>
        <w:spacing w:line="477" w:lineRule="auto"/>
        <w:ind w:right="1129" w:firstLine="360"/>
        <w:jc w:val="left"/>
      </w:pPr>
      <w:r>
        <w:rPr>
          <w:spacing w:val="-2"/>
        </w:rPr>
        <w:t>公司能够充分尊重和维护客户、股东、员工等相关利益者的合法权益，积极与相关利益者合作，加强与各方的沟通和交</w:t>
      </w:r>
      <w:r>
        <w:rPr/>
        <w:t> 流，实现股东、员工、社会等各方利益的均衡，以推动公司持续、稳定、健康地发展。</w:t>
      </w:r>
    </w:p>
    <w:p>
      <w:pPr>
        <w:spacing w:line="451" w:lineRule="auto" w:before="54"/>
        <w:ind w:left="513" w:right="0" w:hanging="36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6</w:t>
      </w:r>
      <w:r>
        <w:rPr>
          <w:rFonts w:ascii="宋体" w:hAnsi="宋体" w:cs="宋体" w:eastAsia="宋体" w:hint="default"/>
          <w:b/>
          <w:bCs/>
          <w:sz w:val="18"/>
          <w:szCs w:val="18"/>
        </w:rPr>
        <w:t>、公司信息披露与透明度情况</w:t>
      </w:r>
      <w:r>
        <w:rPr>
          <w:rFonts w:ascii="宋体" w:hAnsi="宋体" w:cs="宋体" w:eastAsia="宋体" w:hint="default"/>
          <w:b/>
          <w:bCs/>
          <w:w w:val="99"/>
          <w:sz w:val="18"/>
          <w:szCs w:val="18"/>
        </w:rPr>
        <w:t> </w:t>
      </w:r>
      <w:r>
        <w:rPr>
          <w:rFonts w:ascii="宋体" w:hAnsi="宋体" w:cs="宋体" w:eastAsia="宋体" w:hint="default"/>
          <w:spacing w:val="-2"/>
          <w:sz w:val="18"/>
          <w:szCs w:val="18"/>
        </w:rPr>
        <w:t>公司已建立《信息披露管理制度》及《重大信息内部报告制度》，公司重大事件的报告、传递、审核、披露程序均根据</w:t>
      </w:r>
    </w:p>
    <w:p>
      <w:pPr>
        <w:pStyle w:val="BodyText"/>
        <w:spacing w:line="477" w:lineRule="auto" w:before="74"/>
        <w:ind w:right="1129"/>
        <w:jc w:val="left"/>
      </w:pPr>
      <w:r>
        <w:rPr>
          <w:spacing w:val="-2"/>
        </w:rPr>
        <w:t>《公司章程》、各项议事规则及上述制度的相关规定执行。公司所有信息披露均严格的审批程序，在中国证监会指定信息披</w:t>
      </w:r>
      <w:r>
        <w:rPr>
          <w:spacing w:val="-64"/>
        </w:rPr>
        <w:t> </w:t>
      </w:r>
      <w:r>
        <w:rPr>
          <w:spacing w:val="-64"/>
        </w:rPr>
      </w:r>
      <w:r>
        <w:rPr/>
        <w:t>露媒体上真实、准确、完整、及时地披露，确保所有投资者公平获取公司信息。</w:t>
      </w:r>
    </w:p>
    <w:p>
      <w:pPr>
        <w:pStyle w:val="BodyText"/>
        <w:spacing w:line="451" w:lineRule="auto" w:before="54"/>
        <w:ind w:left="513" w:right="1129" w:hanging="361"/>
        <w:jc w:val="left"/>
      </w:pPr>
      <w:r>
        <w:rPr>
          <w:rFonts w:ascii="Times New Roman" w:hAnsi="Times New Roman" w:cs="Times New Roman" w:eastAsia="Times New Roman" w:hint="default"/>
          <w:b/>
          <w:bCs/>
        </w:rPr>
        <w:t>7</w:t>
      </w:r>
      <w:r>
        <w:rPr>
          <w:rFonts w:ascii="宋体" w:hAnsi="宋体" w:cs="宋体" w:eastAsia="宋体" w:hint="default"/>
          <w:b/>
          <w:bCs/>
        </w:rPr>
        <w:t>、公司与投资者</w:t>
      </w:r>
      <w:r>
        <w:rPr>
          <w:rFonts w:ascii="宋体" w:hAnsi="宋体" w:cs="宋体" w:eastAsia="宋体" w:hint="default"/>
          <w:b/>
          <w:bCs/>
          <w:w w:val="99"/>
        </w:rPr>
        <w:t> </w:t>
      </w:r>
      <w:r>
        <w:rPr/>
        <w:t>公司指定董事会秘书为投资者关系工作的第一负责人，并将每月的</w:t>
      </w:r>
      <w:r>
        <w:rPr>
          <w:rFonts w:ascii="Times New Roman" w:hAnsi="Times New Roman" w:cs="Times New Roman" w:eastAsia="Times New Roman" w:hint="default"/>
        </w:rPr>
        <w:t>8</w:t>
      </w:r>
      <w:r>
        <w:rPr/>
        <w:t>日作为</w:t>
      </w:r>
      <w:r>
        <w:rPr>
          <w:rFonts w:ascii="Times New Roman" w:hAnsi="Times New Roman" w:cs="Times New Roman" w:eastAsia="Times New Roman" w:hint="default"/>
        </w:rPr>
        <w:t>“</w:t>
      </w:r>
      <w:r>
        <w:rPr/>
        <w:t>投资者接待日</w:t>
      </w:r>
      <w:r>
        <w:rPr>
          <w:rFonts w:ascii="Times New Roman" w:hAnsi="Times New Roman" w:cs="Times New Roman" w:eastAsia="Times New Roman" w:hint="default"/>
        </w:rPr>
        <w:t>”</w:t>
      </w:r>
      <w:r>
        <w:rPr/>
        <w:t>，充分与投资者进行交流。</w:t>
      </w:r>
    </w:p>
    <w:p>
      <w:pPr>
        <w:pStyle w:val="BodyText"/>
        <w:spacing w:line="240" w:lineRule="auto" w:before="44"/>
        <w:ind w:right="1133"/>
        <w:jc w:val="left"/>
      </w:pPr>
      <w:r>
        <w:rPr/>
        <w:t>证券部负责投资者关系管理工作的日常事务，通过电话、实地、互动易及公司网站等多种渠道保持与投资者的顺利沟通。</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20"/>
          <w:szCs w:val="20"/>
        </w:rPr>
      </w:pPr>
    </w:p>
    <w:p>
      <w:pPr>
        <w:pStyle w:val="BodyText"/>
        <w:spacing w:line="240" w:lineRule="auto"/>
        <w:ind w:right="1133"/>
        <w:jc w:val="left"/>
      </w:pPr>
      <w:r>
        <w:rPr/>
        <w:t>公司治理的实际状况与中国证监会发布的有关上市公司治理的规范性文件是否存在重大差异</w:t>
      </w:r>
    </w:p>
    <w:p>
      <w:pPr>
        <w:pStyle w:val="BodyText"/>
        <w:spacing w:line="340" w:lineRule="auto" w:before="115"/>
        <w:ind w:right="355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否 公司治理的实际状况与中国证监会发布的有关上市公司治理的规范性文件不存在重大差异。</w:t>
      </w:r>
    </w:p>
    <w:p>
      <w:pPr>
        <w:spacing w:line="240" w:lineRule="auto" w:before="6"/>
        <w:rPr>
          <w:rFonts w:ascii="宋体" w:hAnsi="宋体" w:cs="宋体" w:eastAsia="宋体" w:hint="default"/>
          <w:sz w:val="19"/>
          <w:szCs w:val="19"/>
        </w:rPr>
      </w:pPr>
    </w:p>
    <w:p>
      <w:pPr>
        <w:pStyle w:val="Heading2"/>
        <w:spacing w:line="240" w:lineRule="auto"/>
        <w:ind w:right="1133"/>
        <w:jc w:val="left"/>
        <w:rPr>
          <w:b w:val="0"/>
          <w:bCs w:val="0"/>
        </w:rPr>
      </w:pPr>
      <w:bookmarkStart w:name="二、公司相对于控股股东在业务、人员、资产、机构、财务等方面的独立情况" w:id="139"/>
      <w:bookmarkEnd w:id="139"/>
      <w:r>
        <w:rPr>
          <w:b w:val="0"/>
          <w:bCs w:val="0"/>
        </w:rPr>
      </w:r>
      <w:r>
        <w:rPr/>
        <w:t>二、公司相对于控股股东在业务、人员、资产、机构、财务等方面的独立情况</w:t>
      </w:r>
      <w:r>
        <w:rPr>
          <w:b w:val="0"/>
          <w:bCs w:val="0"/>
        </w:rPr>
      </w:r>
    </w:p>
    <w:p>
      <w:pPr>
        <w:spacing w:line="240" w:lineRule="auto" w:before="7"/>
        <w:rPr>
          <w:rFonts w:ascii="宋体" w:hAnsi="宋体" w:cs="宋体" w:eastAsia="宋体" w:hint="default"/>
          <w:b/>
          <w:bCs/>
          <w:sz w:val="32"/>
          <w:szCs w:val="32"/>
        </w:rPr>
      </w:pPr>
    </w:p>
    <w:p>
      <w:pPr>
        <w:pStyle w:val="BodyText"/>
        <w:spacing w:line="477" w:lineRule="auto"/>
        <w:ind w:right="1034" w:firstLine="360"/>
        <w:jc w:val="left"/>
      </w:pPr>
      <w:r>
        <w:rPr/>
        <w:t>公司严格按照《公司法》、《证券法》等有关法律、法规和《公司章程》的要求规范运作，与控股股东在业务、人员、 资产、机构、财务等方面完全分开，具有独立完整的业务及自主经营能力。</w:t>
      </w:r>
    </w:p>
    <w:p>
      <w:pPr>
        <w:pStyle w:val="BodyText"/>
        <w:spacing w:line="451" w:lineRule="auto" w:before="54"/>
        <w:ind w:right="1124" w:firstLine="360"/>
        <w:jc w:val="left"/>
      </w:pPr>
      <w:r>
        <w:rPr>
          <w:rFonts w:ascii="Times New Roman" w:hAnsi="Times New Roman" w:cs="Times New Roman" w:eastAsia="Times New Roman" w:hint="default"/>
        </w:rPr>
        <w:t>1</w:t>
      </w:r>
      <w:r>
        <w:rPr/>
        <w:t>、业务方面：公司业务结构完整，自主独立经营，与控股股东之间无同业竞争，控股股东未曾利用控股股东地位干涉 公司决策和生产经营活动；</w:t>
      </w:r>
    </w:p>
    <w:p>
      <w:pPr>
        <w:pStyle w:val="BodyText"/>
        <w:spacing w:line="451" w:lineRule="auto" w:before="71"/>
        <w:ind w:right="1124" w:firstLine="360"/>
        <w:jc w:val="left"/>
      </w:pPr>
      <w:r>
        <w:rPr>
          <w:rFonts w:ascii="Times New Roman" w:hAnsi="Times New Roman" w:cs="Times New Roman" w:eastAsia="Times New Roman" w:hint="default"/>
        </w:rPr>
        <w:t>2</w:t>
      </w:r>
      <w:r>
        <w:rPr/>
        <w:t>、人员方面：公司在劳动、人事及工资管理等各方面均独立于控股股东。高级管理人员均在公司领取报酬，未在控股 股东或股东关联单位担任除董事以外的任何职务；</w:t>
      </w:r>
    </w:p>
    <w:p>
      <w:pPr>
        <w:pStyle w:val="BodyText"/>
        <w:spacing w:line="240" w:lineRule="auto" w:before="74"/>
        <w:ind w:left="513" w:right="0"/>
        <w:jc w:val="left"/>
      </w:pPr>
      <w:r>
        <w:rPr>
          <w:rFonts w:ascii="Times New Roman" w:hAnsi="Times New Roman" w:cs="Times New Roman" w:eastAsia="Times New Roman" w:hint="default"/>
        </w:rPr>
        <w:t>3</w:t>
      </w:r>
      <w:r>
        <w:rPr/>
        <w:t>、资产方面：公司生产经营场所及土地使用权情况、商标注册及使用情况独立，各发起人投入股份公司的资产权属明</w:t>
      </w:r>
    </w:p>
    <w:p>
      <w:pPr>
        <w:spacing w:line="240" w:lineRule="auto" w:before="9"/>
        <w:rPr>
          <w:rFonts w:ascii="宋体" w:hAnsi="宋体" w:cs="宋体" w:eastAsia="宋体" w:hint="default"/>
          <w:sz w:val="16"/>
          <w:szCs w:val="16"/>
        </w:rPr>
      </w:pPr>
    </w:p>
    <w:p>
      <w:pPr>
        <w:pStyle w:val="BodyText"/>
        <w:spacing w:line="240" w:lineRule="auto"/>
        <w:ind w:right="1133"/>
        <w:jc w:val="left"/>
      </w:pPr>
      <w:r>
        <w:rPr/>
        <w:t>确；</w:t>
      </w:r>
    </w:p>
    <w:p>
      <w:pPr>
        <w:spacing w:line="240" w:lineRule="auto" w:before="10"/>
        <w:rPr>
          <w:rFonts w:ascii="宋体" w:hAnsi="宋体" w:cs="宋体" w:eastAsia="宋体" w:hint="default"/>
          <w:sz w:val="17"/>
          <w:szCs w:val="17"/>
        </w:rPr>
      </w:pPr>
    </w:p>
    <w:p>
      <w:pPr>
        <w:pStyle w:val="BodyText"/>
        <w:spacing w:line="240" w:lineRule="auto"/>
        <w:ind w:left="513" w:right="1133"/>
        <w:jc w:val="left"/>
      </w:pPr>
      <w:r>
        <w:rPr>
          <w:rFonts w:ascii="Times New Roman" w:hAnsi="Times New Roman" w:cs="Times New Roman" w:eastAsia="Times New Roman" w:hint="default"/>
        </w:rPr>
        <w:t>4</w:t>
      </w:r>
      <w:r>
        <w:rPr/>
        <w:t>、机构方面：公司组织体系健全，董事会、监事会、管理层及部门运作独立，不存在与控股股东之间的从属关系；</w:t>
      </w:r>
    </w:p>
    <w:p>
      <w:pPr>
        <w:spacing w:line="240" w:lineRule="auto" w:before="9"/>
        <w:rPr>
          <w:rFonts w:ascii="宋体" w:hAnsi="宋体" w:cs="宋体" w:eastAsia="宋体" w:hint="default"/>
          <w:sz w:val="16"/>
          <w:szCs w:val="16"/>
        </w:rPr>
      </w:pPr>
    </w:p>
    <w:p>
      <w:pPr>
        <w:pStyle w:val="BodyText"/>
        <w:spacing w:line="240" w:lineRule="auto"/>
        <w:ind w:left="513" w:right="0"/>
        <w:jc w:val="left"/>
      </w:pPr>
      <w:r>
        <w:rPr>
          <w:rFonts w:ascii="Times New Roman" w:hAnsi="Times New Roman" w:cs="Times New Roman" w:eastAsia="Times New Roman" w:hint="default"/>
        </w:rPr>
        <w:t>5</w:t>
      </w:r>
      <w:r>
        <w:rPr/>
        <w:t>、财务方面：设有独立的财务部门，并建立了独立的会计核算体系和财务管理制度，独立在银行开户、并依法独立纳</w:t>
      </w:r>
    </w:p>
    <w:p>
      <w:pPr>
        <w:spacing w:line="240" w:lineRule="auto" w:before="10"/>
        <w:rPr>
          <w:rFonts w:ascii="宋体" w:hAnsi="宋体" w:cs="宋体" w:eastAsia="宋体" w:hint="default"/>
          <w:sz w:val="16"/>
          <w:szCs w:val="16"/>
        </w:rPr>
      </w:pPr>
    </w:p>
    <w:p>
      <w:pPr>
        <w:pStyle w:val="BodyText"/>
        <w:spacing w:line="240" w:lineRule="auto"/>
        <w:ind w:right="1133"/>
        <w:jc w:val="left"/>
      </w:pPr>
      <w:r>
        <w:rPr/>
        <w:t>税。</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pStyle w:val="Heading2"/>
        <w:spacing w:line="240" w:lineRule="auto"/>
        <w:ind w:right="1133"/>
        <w:jc w:val="left"/>
        <w:rPr>
          <w:b w:val="0"/>
          <w:bCs w:val="0"/>
        </w:rPr>
      </w:pPr>
      <w:bookmarkStart w:name="三、同业竞争情况" w:id="140"/>
      <w:bookmarkEnd w:id="140"/>
      <w:r>
        <w:rPr>
          <w:b w:val="0"/>
          <w:bCs w:val="0"/>
        </w:rPr>
      </w:r>
      <w:r>
        <w:rPr/>
        <w:t>三、同业竞争情况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80"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1133"/>
        <w:jc w:val="left"/>
        <w:rPr>
          <w:b w:val="0"/>
          <w:bCs w:val="0"/>
        </w:rPr>
      </w:pPr>
      <w:bookmarkStart w:name="四、报告期内召开的年度股东大会和临时股东大会的有关情况" w:id="141"/>
      <w:bookmarkEnd w:id="141"/>
      <w:r>
        <w:rPr>
          <w:b w:val="0"/>
          <w:bCs w:val="0"/>
        </w:rPr>
      </w:r>
      <w:r>
        <w:rPr/>
        <w:t>四、报告期内召开的年度股东大会和临时股东大会的有关情况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1133"/>
        <w:jc w:val="left"/>
        <w:rPr>
          <w:b w:val="0"/>
          <w:bCs w:val="0"/>
        </w:rPr>
      </w:pPr>
      <w:bookmarkStart w:name="1、本报告期股东大会情况" w:id="142"/>
      <w:bookmarkEnd w:id="142"/>
      <w:r>
        <w:rPr>
          <w:b w:val="0"/>
          <w:bCs w:val="0"/>
        </w:rPr>
      </w:r>
      <w:r>
        <w:rPr>
          <w:rFonts w:ascii="Times New Roman" w:hAnsi="Times New Roman" w:cs="Times New Roman" w:eastAsia="Times New Roman" w:hint="default"/>
        </w:rPr>
        <w:t>1</w:t>
      </w:r>
      <w:r>
        <w:rPr/>
        <w:t>、本报告期股东大会情况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7"/>
          <w:szCs w:val="17"/>
        </w:rPr>
      </w:pPr>
    </w:p>
    <w:p>
      <w:pPr>
        <w:pStyle w:val="BodyText"/>
        <w:spacing w:line="240" w:lineRule="auto" w:before="44"/>
        <w:ind w:left="0" w:right="1150"/>
        <w:jc w:val="right"/>
      </w:pPr>
      <w:r>
        <w:rPr/>
        <w:pict>
          <v:shape style="position:absolute;margin-left:56.400002pt;margin-top:-439.978302pt;width:479.15pt;height:475.5pt;mso-position-horizontal-relative:page;mso-position-vertical-relative:paragraph;z-index:15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96"/>
                    <w:gridCol w:w="1594"/>
                    <w:gridCol w:w="1594"/>
                    <w:gridCol w:w="1596"/>
                    <w:gridCol w:w="1594"/>
                    <w:gridCol w:w="1594"/>
                  </w:tblGrid>
                  <w:tr>
                    <w:trPr>
                      <w:trHeight w:val="403"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会议届次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会议类型</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3" w:right="0"/>
                          <w:jc w:val="left"/>
                          <w:rPr>
                            <w:rFonts w:ascii="宋体" w:hAnsi="宋体" w:cs="宋体" w:eastAsia="宋体" w:hint="default"/>
                            <w:sz w:val="18"/>
                            <w:szCs w:val="18"/>
                          </w:rPr>
                        </w:pPr>
                        <w:r>
                          <w:rPr>
                            <w:rFonts w:ascii="宋体" w:hAnsi="宋体" w:cs="宋体" w:eastAsia="宋体" w:hint="default"/>
                            <w:sz w:val="18"/>
                            <w:szCs w:val="18"/>
                          </w:rPr>
                          <w:t>投资者参与比例</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召开日期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披露日期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227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年度股东大会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19.71%</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49"/>
                          <w:ind w:left="24" w:right="24"/>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年度股东大 </w:t>
                        </w:r>
                        <w:r>
                          <w:rPr>
                            <w:rFonts w:ascii="宋体" w:hAnsi="宋体" w:cs="宋体" w:eastAsia="宋体" w:hint="default"/>
                            <w:spacing w:val="-11"/>
                            <w:sz w:val="18"/>
                            <w:szCs w:val="18"/>
                          </w:rPr>
                          <w:t>会决议公告》（公告</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15"/>
                            <w:sz w:val="18"/>
                            <w:szCs w:val="18"/>
                          </w:rPr>
                          <w:t>编号：</w:t>
                        </w:r>
                        <w:r>
                          <w:rPr>
                            <w:rFonts w:ascii="Times New Roman" w:hAnsi="Times New Roman" w:cs="Times New Roman" w:eastAsia="Times New Roman" w:hint="default"/>
                            <w:spacing w:val="-15"/>
                            <w:sz w:val="18"/>
                            <w:szCs w:val="18"/>
                          </w:rPr>
                          <w:t>2019-032</w:t>
                        </w:r>
                        <w:r>
                          <w:rPr>
                            <w:rFonts w:ascii="宋体" w:hAnsi="宋体" w:cs="宋体" w:eastAsia="宋体" w:hint="default"/>
                            <w:spacing w:val="-15"/>
                            <w:sz w:val="18"/>
                            <w:szCs w:val="18"/>
                          </w:rPr>
                          <w:t>），</w:t>
                        </w:r>
                        <w:r>
                          <w:rPr>
                            <w:rFonts w:ascii="宋体" w:hAnsi="宋体" w:cs="宋体" w:eastAsia="宋体" w:hint="default"/>
                            <w:spacing w:val="-78"/>
                            <w:sz w:val="18"/>
                            <w:szCs w:val="18"/>
                          </w:rPr>
                          <w:t> </w:t>
                        </w:r>
                        <w:r>
                          <w:rPr>
                            <w:rFonts w:ascii="宋体" w:hAnsi="宋体" w:cs="宋体" w:eastAsia="宋体" w:hint="default"/>
                            <w:sz w:val="18"/>
                            <w:szCs w:val="18"/>
                          </w:rPr>
                          <w:t>刊登于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9"/>
                          <w:ind w:left="24" w:right="-17"/>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日《证券时报</w:t>
                        </w:r>
                        <w:r>
                          <w:rPr>
                            <w:rFonts w:ascii="宋体" w:hAnsi="宋体" w:cs="宋体" w:eastAsia="宋体" w:hint="default"/>
                            <w:spacing w:val="-92"/>
                            <w:sz w:val="18"/>
                            <w:szCs w:val="18"/>
                          </w:rPr>
                          <w:t>》</w:t>
                        </w:r>
                        <w:r>
                          <w:rPr>
                            <w:rFonts w:ascii="宋体" w:hAnsi="宋体" w:cs="宋体" w:eastAsia="宋体" w:hint="default"/>
                            <w:sz w:val="18"/>
                            <w:szCs w:val="18"/>
                          </w:rPr>
                          <w:t>、</w:t>
                        </w:r>
                      </w:p>
                      <w:p>
                        <w:pPr>
                          <w:pStyle w:val="TableParagraph"/>
                          <w:spacing w:line="316" w:lineRule="auto" w:before="63"/>
                          <w:ind w:left="24" w:right="19"/>
                          <w:jc w:val="left"/>
                          <w:rPr>
                            <w:rFonts w:ascii="宋体" w:hAnsi="宋体" w:cs="宋体" w:eastAsia="宋体" w:hint="default"/>
                            <w:sz w:val="18"/>
                            <w:szCs w:val="18"/>
                          </w:rPr>
                        </w:pPr>
                        <w:r>
                          <w:rPr>
                            <w:rFonts w:ascii="宋体" w:hAnsi="宋体" w:cs="宋体" w:eastAsia="宋体" w:hint="default"/>
                            <w:spacing w:val="-10"/>
                            <w:sz w:val="18"/>
                            <w:szCs w:val="18"/>
                          </w:rPr>
                          <w:t>《中国证券报》及巨</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潮资讯网</w:t>
                        </w:r>
                      </w:p>
                    </w:tc>
                  </w:tr>
                  <w:tr>
                    <w:trPr>
                      <w:trHeight w:val="227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300" w:lineRule="auto" w:before="122"/>
                          <w:ind w:left="24" w:right="72"/>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年第一次临时 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20.11%</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49"/>
                          <w:ind w:left="24" w:right="24"/>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年第一次临 </w:t>
                        </w:r>
                        <w:r>
                          <w:rPr>
                            <w:rFonts w:ascii="宋体" w:hAnsi="宋体" w:cs="宋体" w:eastAsia="宋体" w:hint="default"/>
                            <w:spacing w:val="-11"/>
                            <w:sz w:val="18"/>
                            <w:szCs w:val="18"/>
                          </w:rPr>
                          <w:t>时股东大会》（公告</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15"/>
                            <w:sz w:val="18"/>
                            <w:szCs w:val="18"/>
                          </w:rPr>
                          <w:t>编号：</w:t>
                        </w:r>
                        <w:r>
                          <w:rPr>
                            <w:rFonts w:ascii="Times New Roman" w:hAnsi="Times New Roman" w:cs="Times New Roman" w:eastAsia="Times New Roman" w:hint="default"/>
                            <w:spacing w:val="-15"/>
                            <w:sz w:val="18"/>
                            <w:szCs w:val="18"/>
                          </w:rPr>
                          <w:t>2019-042</w:t>
                        </w:r>
                        <w:r>
                          <w:rPr>
                            <w:rFonts w:ascii="宋体" w:hAnsi="宋体" w:cs="宋体" w:eastAsia="宋体" w:hint="default"/>
                            <w:spacing w:val="-15"/>
                            <w:sz w:val="18"/>
                            <w:szCs w:val="18"/>
                          </w:rPr>
                          <w:t>），</w:t>
                        </w:r>
                        <w:r>
                          <w:rPr>
                            <w:rFonts w:ascii="宋体" w:hAnsi="宋体" w:cs="宋体" w:eastAsia="宋体" w:hint="default"/>
                            <w:spacing w:val="-78"/>
                            <w:sz w:val="18"/>
                            <w:szCs w:val="18"/>
                          </w:rPr>
                          <w:t> </w:t>
                        </w:r>
                        <w:r>
                          <w:rPr>
                            <w:rFonts w:ascii="宋体" w:hAnsi="宋体" w:cs="宋体" w:eastAsia="宋体" w:hint="default"/>
                            <w:sz w:val="18"/>
                            <w:szCs w:val="18"/>
                          </w:rPr>
                          <w:t>刊登于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7"/>
                          <w:ind w:left="24" w:right="-17"/>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日《证券时报</w:t>
                        </w:r>
                        <w:r>
                          <w:rPr>
                            <w:rFonts w:ascii="宋体" w:hAnsi="宋体" w:cs="宋体" w:eastAsia="宋体" w:hint="default"/>
                            <w:spacing w:val="-92"/>
                            <w:sz w:val="18"/>
                            <w:szCs w:val="18"/>
                          </w:rPr>
                          <w:t>》</w:t>
                        </w:r>
                        <w:r>
                          <w:rPr>
                            <w:rFonts w:ascii="宋体" w:hAnsi="宋体" w:cs="宋体" w:eastAsia="宋体" w:hint="default"/>
                            <w:sz w:val="18"/>
                            <w:szCs w:val="18"/>
                          </w:rPr>
                          <w:t>、</w:t>
                        </w:r>
                      </w:p>
                      <w:p>
                        <w:pPr>
                          <w:pStyle w:val="TableParagraph"/>
                          <w:spacing w:line="316" w:lineRule="auto" w:before="63"/>
                          <w:ind w:left="24" w:right="19"/>
                          <w:jc w:val="left"/>
                          <w:rPr>
                            <w:rFonts w:ascii="宋体" w:hAnsi="宋体" w:cs="宋体" w:eastAsia="宋体" w:hint="default"/>
                            <w:sz w:val="18"/>
                            <w:szCs w:val="18"/>
                          </w:rPr>
                        </w:pPr>
                        <w:r>
                          <w:rPr>
                            <w:rFonts w:ascii="宋体" w:hAnsi="宋体" w:cs="宋体" w:eastAsia="宋体" w:hint="default"/>
                            <w:spacing w:val="-10"/>
                            <w:sz w:val="18"/>
                            <w:szCs w:val="18"/>
                          </w:rPr>
                          <w:t>《中国证券报》及巨</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潮资讯网</w:t>
                        </w:r>
                      </w:p>
                    </w:tc>
                  </w:tr>
                  <w:tr>
                    <w:trPr>
                      <w:trHeight w:val="227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97" w:lineRule="auto" w:before="122"/>
                          <w:ind w:left="24" w:right="72"/>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年第二次临时 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20.24%</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49"/>
                          <w:ind w:left="24" w:right="24"/>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年第二次临 </w:t>
                        </w:r>
                        <w:r>
                          <w:rPr>
                            <w:rFonts w:ascii="宋体" w:hAnsi="宋体" w:cs="宋体" w:eastAsia="宋体" w:hint="default"/>
                            <w:spacing w:val="-11"/>
                            <w:sz w:val="18"/>
                            <w:szCs w:val="18"/>
                          </w:rPr>
                          <w:t>时股东大会》（公告</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15"/>
                            <w:sz w:val="18"/>
                            <w:szCs w:val="18"/>
                          </w:rPr>
                          <w:t>编号：</w:t>
                        </w:r>
                        <w:r>
                          <w:rPr>
                            <w:rFonts w:ascii="Times New Roman" w:hAnsi="Times New Roman" w:cs="Times New Roman" w:eastAsia="Times New Roman" w:hint="default"/>
                            <w:spacing w:val="-15"/>
                            <w:sz w:val="18"/>
                            <w:szCs w:val="18"/>
                          </w:rPr>
                          <w:t>2019-069</w:t>
                        </w:r>
                        <w:r>
                          <w:rPr>
                            <w:rFonts w:ascii="宋体" w:hAnsi="宋体" w:cs="宋体" w:eastAsia="宋体" w:hint="default"/>
                            <w:spacing w:val="-15"/>
                            <w:sz w:val="18"/>
                            <w:szCs w:val="18"/>
                          </w:rPr>
                          <w:t>），</w:t>
                        </w:r>
                        <w:r>
                          <w:rPr>
                            <w:rFonts w:ascii="宋体" w:hAnsi="宋体" w:cs="宋体" w:eastAsia="宋体" w:hint="default"/>
                            <w:spacing w:val="-78"/>
                            <w:sz w:val="18"/>
                            <w:szCs w:val="18"/>
                          </w:rPr>
                          <w:t> </w:t>
                        </w:r>
                        <w:r>
                          <w:rPr>
                            <w:rFonts w:ascii="宋体" w:hAnsi="宋体" w:cs="宋体" w:eastAsia="宋体" w:hint="default"/>
                            <w:sz w:val="18"/>
                            <w:szCs w:val="18"/>
                          </w:rPr>
                          <w:t>刊登于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日《证券时报</w:t>
                        </w:r>
                        <w:r>
                          <w:rPr>
                            <w:rFonts w:ascii="宋体" w:hAnsi="宋体" w:cs="宋体" w:eastAsia="宋体" w:hint="default"/>
                            <w:spacing w:val="-92"/>
                            <w:sz w:val="18"/>
                            <w:szCs w:val="18"/>
                          </w:rPr>
                          <w:t>》</w:t>
                        </w:r>
                        <w:r>
                          <w:rPr>
                            <w:rFonts w:ascii="宋体" w:hAnsi="宋体" w:cs="宋体" w:eastAsia="宋体" w:hint="default"/>
                            <w:sz w:val="18"/>
                            <w:szCs w:val="18"/>
                          </w:rPr>
                          <w:t>、</w:t>
                        </w:r>
                      </w:p>
                      <w:p>
                        <w:pPr>
                          <w:pStyle w:val="TableParagraph"/>
                          <w:spacing w:line="316" w:lineRule="auto" w:before="63"/>
                          <w:ind w:left="24" w:right="19"/>
                          <w:jc w:val="left"/>
                          <w:rPr>
                            <w:rFonts w:ascii="宋体" w:hAnsi="宋体" w:cs="宋体" w:eastAsia="宋体" w:hint="default"/>
                            <w:sz w:val="18"/>
                            <w:szCs w:val="18"/>
                          </w:rPr>
                        </w:pPr>
                        <w:r>
                          <w:rPr>
                            <w:rFonts w:ascii="宋体" w:hAnsi="宋体" w:cs="宋体" w:eastAsia="宋体" w:hint="default"/>
                            <w:spacing w:val="-10"/>
                            <w:sz w:val="18"/>
                            <w:szCs w:val="18"/>
                          </w:rPr>
                          <w:t>《中国证券报》及巨</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潮资讯网</w:t>
                        </w:r>
                      </w:p>
                    </w:tc>
                  </w:tr>
                  <w:tr>
                    <w:trPr>
                      <w:trHeight w:val="227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300" w:lineRule="auto" w:before="122"/>
                          <w:ind w:left="24" w:right="72"/>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年第三次临时 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19.85%</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right="6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49"/>
                          <w:ind w:left="24" w:right="29"/>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年第三次临 </w:t>
                        </w:r>
                        <w:r>
                          <w:rPr>
                            <w:rFonts w:ascii="宋体" w:hAnsi="宋体" w:cs="宋体" w:eastAsia="宋体" w:hint="default"/>
                            <w:spacing w:val="-11"/>
                            <w:sz w:val="18"/>
                            <w:szCs w:val="18"/>
                          </w:rPr>
                          <w:t>时股东大会》（公告</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15"/>
                            <w:sz w:val="18"/>
                            <w:szCs w:val="18"/>
                          </w:rPr>
                          <w:t>编号：</w:t>
                        </w:r>
                        <w:r>
                          <w:rPr>
                            <w:rFonts w:ascii="Times New Roman" w:hAnsi="Times New Roman" w:cs="Times New Roman" w:eastAsia="Times New Roman" w:hint="default"/>
                            <w:spacing w:val="-15"/>
                            <w:sz w:val="18"/>
                            <w:szCs w:val="18"/>
                          </w:rPr>
                          <w:t>2019-080</w:t>
                        </w:r>
                        <w:r>
                          <w:rPr>
                            <w:rFonts w:ascii="宋体" w:hAnsi="宋体" w:cs="宋体" w:eastAsia="宋体" w:hint="default"/>
                            <w:spacing w:val="-15"/>
                            <w:sz w:val="18"/>
                            <w:szCs w:val="18"/>
                          </w:rPr>
                          <w:t>），</w:t>
                        </w:r>
                        <w:r>
                          <w:rPr>
                            <w:rFonts w:ascii="宋体" w:hAnsi="宋体" w:cs="宋体" w:eastAsia="宋体" w:hint="default"/>
                            <w:spacing w:val="-78"/>
                            <w:sz w:val="18"/>
                            <w:szCs w:val="18"/>
                          </w:rPr>
                          <w:t> </w:t>
                        </w:r>
                        <w:r>
                          <w:rPr>
                            <w:rFonts w:ascii="宋体" w:hAnsi="宋体" w:cs="宋体" w:eastAsia="宋体" w:hint="default"/>
                            <w:sz w:val="18"/>
                            <w:szCs w:val="18"/>
                          </w:rPr>
                          <w:t>刊登于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pacing w:val="-6"/>
                            <w:sz w:val="18"/>
                            <w:szCs w:val="18"/>
                          </w:rPr>
                          <w:t>11</w:t>
                        </w:r>
                        <w:r>
                          <w:rPr>
                            <w:rFonts w:ascii="Times New Roman" w:hAnsi="Times New Roman" w:cs="Times New Roman" w:eastAsia="Times New Roman" w:hint="default"/>
                            <w:sz w:val="18"/>
                            <w:szCs w:val="18"/>
                          </w:rPr>
                        </w:r>
                      </w:p>
                      <w:p>
                        <w:pPr>
                          <w:pStyle w:val="TableParagraph"/>
                          <w:spacing w:line="309" w:lineRule="auto" w:before="7"/>
                          <w:ind w:left="24" w:right="12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日《证券时 </w:t>
                        </w:r>
                        <w:r>
                          <w:rPr>
                            <w:rFonts w:ascii="宋体" w:hAnsi="宋体" w:cs="宋体" w:eastAsia="宋体" w:hint="default"/>
                            <w:spacing w:val="-21"/>
                            <w:sz w:val="18"/>
                            <w:szCs w:val="18"/>
                          </w:rPr>
                          <w:t>报》、《中国证券报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及巨潮资讯网</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4"/>
        <w:spacing w:line="240" w:lineRule="auto" w:before="195"/>
        <w:ind w:right="1133"/>
        <w:jc w:val="left"/>
        <w:rPr>
          <w:b w:val="0"/>
          <w:bCs w:val="0"/>
        </w:rPr>
      </w:pPr>
      <w:bookmarkStart w:name="2、表决权恢复的优先股股东请求召开临时股东大会" w:id="143"/>
      <w:bookmarkEnd w:id="143"/>
      <w:r>
        <w:rPr>
          <w:b w:val="0"/>
          <w:bCs w:val="0"/>
        </w:rPr>
      </w:r>
      <w:r>
        <w:rPr>
          <w:rFonts w:ascii="Times New Roman" w:hAnsi="Times New Roman" w:cs="Times New Roman" w:eastAsia="Times New Roman" w:hint="default"/>
        </w:rPr>
        <w:t>2</w:t>
      </w:r>
      <w:r>
        <w:rPr/>
        <w:t>、表决权恢复的优先股股东请求召开临时股东大会</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pStyle w:val="Heading2"/>
        <w:spacing w:line="240" w:lineRule="auto"/>
        <w:ind w:right="1133"/>
        <w:jc w:val="left"/>
        <w:rPr>
          <w:b w:val="0"/>
          <w:bCs w:val="0"/>
        </w:rPr>
      </w:pPr>
      <w:bookmarkStart w:name="五、报告期内独立董事履行职责的情况" w:id="144"/>
      <w:bookmarkEnd w:id="144"/>
      <w:r>
        <w:rPr>
          <w:b w:val="0"/>
          <w:bCs w:val="0"/>
        </w:rPr>
      </w:r>
      <w:r>
        <w:rPr/>
        <w:t>五、报告期内独立董事履行职责的情况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1133"/>
        <w:jc w:val="left"/>
        <w:rPr>
          <w:b w:val="0"/>
          <w:bCs w:val="0"/>
        </w:rPr>
      </w:pPr>
      <w:bookmarkStart w:name="1、独立董事出席董事会及股东大会的情况" w:id="145"/>
      <w:bookmarkEnd w:id="145"/>
      <w:r>
        <w:rPr>
          <w:b w:val="0"/>
          <w:bCs w:val="0"/>
        </w:rPr>
      </w:r>
      <w:r>
        <w:rPr>
          <w:rFonts w:ascii="Times New Roman" w:hAnsi="Times New Roman" w:cs="Times New Roman" w:eastAsia="Times New Roman" w:hint="default"/>
        </w:rPr>
        <w:t>1</w:t>
      </w:r>
      <w:r>
        <w:rPr/>
        <w:t>、独立董事出席董事会及股东大会的情况</w:t>
      </w:r>
      <w:r>
        <w:rPr>
          <w:b w:val="0"/>
          <w:bCs w:val="0"/>
        </w:rPr>
      </w:r>
    </w:p>
    <w:p>
      <w:pPr>
        <w:spacing w:after="0" w:line="240" w:lineRule="auto"/>
        <w:jc w:val="left"/>
        <w:sectPr>
          <w:pgSz w:w="11910" w:h="16840"/>
          <w:pgMar w:header="745" w:footer="980"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8" w:type="dxa"/>
        <w:tblLayout w:type="fixed"/>
        <w:tblCellMar>
          <w:top w:w="0" w:type="dxa"/>
          <w:left w:w="0" w:type="dxa"/>
          <w:bottom w:w="0" w:type="dxa"/>
          <w:right w:w="0" w:type="dxa"/>
        </w:tblCellMar>
        <w:tblLook w:val="01E0"/>
      </w:tblPr>
      <w:tblGrid>
        <w:gridCol w:w="1428"/>
        <w:gridCol w:w="1164"/>
        <w:gridCol w:w="1165"/>
        <w:gridCol w:w="1162"/>
        <w:gridCol w:w="1164"/>
        <w:gridCol w:w="1162"/>
        <w:gridCol w:w="1165"/>
        <w:gridCol w:w="1164"/>
      </w:tblGrid>
      <w:tr>
        <w:trPr>
          <w:trHeight w:val="402" w:hRule="exact"/>
        </w:trPr>
        <w:tc>
          <w:tcPr>
            <w:tcW w:w="9573"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1026"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68" w:right="0"/>
              <w:jc w:val="left"/>
              <w:rPr>
                <w:rFonts w:ascii="宋体" w:hAnsi="宋体" w:cs="宋体" w:eastAsia="宋体" w:hint="default"/>
                <w:sz w:val="18"/>
                <w:szCs w:val="18"/>
              </w:rPr>
            </w:pPr>
            <w:r>
              <w:rPr>
                <w:rFonts w:ascii="宋体" w:hAnsi="宋体" w:cs="宋体" w:eastAsia="宋体" w:hint="default"/>
                <w:sz w:val="18"/>
                <w:szCs w:val="18"/>
              </w:rPr>
              <w:t>独立董事姓名</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314" w:lineRule="auto"/>
              <w:ind w:left="38" w:right="35"/>
              <w:jc w:val="left"/>
              <w:rPr>
                <w:rFonts w:ascii="宋体" w:hAnsi="宋体" w:cs="宋体" w:eastAsia="宋体" w:hint="default"/>
                <w:sz w:val="18"/>
                <w:szCs w:val="18"/>
              </w:rPr>
            </w:pPr>
            <w:r>
              <w:rPr>
                <w:rFonts w:ascii="宋体" w:hAnsi="宋体" w:cs="宋体" w:eastAsia="宋体" w:hint="default"/>
                <w:sz w:val="18"/>
                <w:szCs w:val="18"/>
              </w:rPr>
              <w:t>本报告期应参 加董事会次数</w:t>
            </w:r>
          </w:p>
        </w:tc>
        <w:tc>
          <w:tcPr>
            <w:tcW w:w="1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314" w:lineRule="auto"/>
              <w:ind w:left="307" w:right="34" w:hanging="270"/>
              <w:jc w:val="left"/>
              <w:rPr>
                <w:rFonts w:ascii="宋体" w:hAnsi="宋体" w:cs="宋体" w:eastAsia="宋体" w:hint="default"/>
                <w:sz w:val="18"/>
                <w:szCs w:val="18"/>
              </w:rPr>
            </w:pPr>
            <w:r>
              <w:rPr>
                <w:rFonts w:ascii="宋体" w:hAnsi="宋体" w:cs="宋体" w:eastAsia="宋体" w:hint="default"/>
                <w:sz w:val="18"/>
                <w:szCs w:val="18"/>
              </w:rPr>
              <w:t>现场出席董事 会次数</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314" w:lineRule="auto"/>
              <w:ind w:left="35" w:right="35"/>
              <w:jc w:val="left"/>
              <w:rPr>
                <w:rFonts w:ascii="宋体" w:hAnsi="宋体" w:cs="宋体" w:eastAsia="宋体" w:hint="default"/>
                <w:sz w:val="18"/>
                <w:szCs w:val="18"/>
              </w:rPr>
            </w:pPr>
            <w:r>
              <w:rPr>
                <w:rFonts w:ascii="宋体" w:hAnsi="宋体" w:cs="宋体" w:eastAsia="宋体" w:hint="default"/>
                <w:sz w:val="18"/>
                <w:szCs w:val="18"/>
              </w:rPr>
              <w:t>以通讯方式参 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314" w:lineRule="auto"/>
              <w:ind w:left="307" w:right="36" w:hanging="272"/>
              <w:jc w:val="left"/>
              <w:rPr>
                <w:rFonts w:ascii="宋体" w:hAnsi="宋体" w:cs="宋体" w:eastAsia="宋体" w:hint="default"/>
                <w:sz w:val="18"/>
                <w:szCs w:val="18"/>
              </w:rPr>
            </w:pPr>
            <w:r>
              <w:rPr>
                <w:rFonts w:ascii="宋体" w:hAnsi="宋体" w:cs="宋体" w:eastAsia="宋体" w:hint="default"/>
                <w:sz w:val="18"/>
                <w:szCs w:val="18"/>
              </w:rPr>
              <w:t>委托出席董事 会次数</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314" w:lineRule="auto"/>
              <w:ind w:left="487" w:right="35" w:hanging="452"/>
              <w:jc w:val="left"/>
              <w:rPr>
                <w:rFonts w:ascii="宋体" w:hAnsi="宋体" w:cs="宋体" w:eastAsia="宋体" w:hint="default"/>
                <w:sz w:val="18"/>
                <w:szCs w:val="18"/>
              </w:rPr>
            </w:pPr>
            <w:r>
              <w:rPr>
                <w:rFonts w:ascii="宋体" w:hAnsi="宋体" w:cs="宋体" w:eastAsia="宋体" w:hint="default"/>
                <w:sz w:val="18"/>
                <w:szCs w:val="18"/>
              </w:rPr>
              <w:t>缺席董事会次 数</w:t>
            </w:r>
          </w:p>
        </w:tc>
        <w:tc>
          <w:tcPr>
            <w:tcW w:w="1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35" w:right="38"/>
              <w:jc w:val="center"/>
              <w:rPr>
                <w:rFonts w:ascii="宋体" w:hAnsi="宋体" w:cs="宋体" w:eastAsia="宋体" w:hint="default"/>
                <w:sz w:val="18"/>
                <w:szCs w:val="18"/>
              </w:rPr>
            </w:pPr>
            <w:r>
              <w:rPr>
                <w:rFonts w:ascii="宋体" w:hAnsi="宋体" w:cs="宋体" w:eastAsia="宋体" w:hint="default"/>
                <w:sz w:val="18"/>
                <w:szCs w:val="18"/>
              </w:rPr>
              <w:t>是否连续两次 未亲自参加董 事会会议</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314" w:lineRule="auto"/>
              <w:ind w:left="396" w:right="36" w:hanging="360"/>
              <w:jc w:val="left"/>
              <w:rPr>
                <w:rFonts w:ascii="宋体" w:hAnsi="宋体" w:cs="宋体" w:eastAsia="宋体" w:hint="default"/>
                <w:sz w:val="18"/>
                <w:szCs w:val="18"/>
              </w:rPr>
            </w:pPr>
            <w:r>
              <w:rPr>
                <w:rFonts w:ascii="宋体" w:hAnsi="宋体" w:cs="宋体" w:eastAsia="宋体" w:hint="default"/>
                <w:sz w:val="18"/>
                <w:szCs w:val="18"/>
              </w:rPr>
              <w:t>出席股东大会 次数</w:t>
            </w:r>
          </w:p>
        </w:tc>
      </w:tr>
      <w:tr>
        <w:trPr>
          <w:trHeight w:val="401"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王礼贵</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3</w:t>
            </w:r>
          </w:p>
        </w:tc>
      </w:tr>
      <w:tr>
        <w:trPr>
          <w:trHeight w:val="403"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王晓东</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6</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3</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3</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3</w:t>
            </w:r>
          </w:p>
        </w:tc>
      </w:tr>
      <w:tr>
        <w:trPr>
          <w:trHeight w:val="401"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赵诚</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2</w:t>
            </w:r>
          </w:p>
        </w:tc>
      </w:tr>
      <w:tr>
        <w:trPr>
          <w:trHeight w:val="403"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孔祥云</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2</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2</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1</w:t>
            </w:r>
          </w:p>
        </w:tc>
      </w:tr>
      <w:tr>
        <w:trPr>
          <w:trHeight w:val="401"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陈以增</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1</w:t>
            </w:r>
          </w:p>
        </w:tc>
      </w:tr>
      <w:tr>
        <w:trPr>
          <w:trHeight w:val="403"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舒骋</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2</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2</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3"/>
        <w:rPr>
          <w:rFonts w:ascii="宋体" w:hAnsi="宋体" w:cs="宋体" w:eastAsia="宋体" w:hint="default"/>
          <w:b/>
          <w:bCs/>
          <w:sz w:val="19"/>
          <w:szCs w:val="19"/>
        </w:rPr>
      </w:pPr>
    </w:p>
    <w:p>
      <w:pPr>
        <w:pStyle w:val="Heading4"/>
        <w:spacing w:line="240" w:lineRule="auto" w:before="36"/>
        <w:ind w:right="1133"/>
        <w:jc w:val="left"/>
        <w:rPr>
          <w:b w:val="0"/>
          <w:bCs w:val="0"/>
        </w:rPr>
      </w:pPr>
      <w:bookmarkStart w:name="2、独立董事对公司有关事项提出异议的情况" w:id="146"/>
      <w:bookmarkEnd w:id="146"/>
      <w:r>
        <w:rPr>
          <w:b w:val="0"/>
          <w:bCs w:val="0"/>
        </w:rPr>
      </w: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t>独立董事对公司有关事项是否提出异议</w:t>
      </w:r>
    </w:p>
    <w:p>
      <w:pPr>
        <w:pStyle w:val="BodyText"/>
        <w:spacing w:line="340" w:lineRule="auto" w:before="115"/>
        <w:ind w:right="697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否 报告期内独立董事对公司有关事项未提出异议。</w:t>
      </w:r>
    </w:p>
    <w:p>
      <w:pPr>
        <w:spacing w:line="240" w:lineRule="auto" w:before="5"/>
        <w:rPr>
          <w:rFonts w:ascii="宋体" w:hAnsi="宋体" w:cs="宋体" w:eastAsia="宋体" w:hint="default"/>
          <w:sz w:val="21"/>
          <w:szCs w:val="21"/>
        </w:rPr>
      </w:pPr>
    </w:p>
    <w:p>
      <w:pPr>
        <w:pStyle w:val="Heading4"/>
        <w:spacing w:line="240" w:lineRule="auto"/>
        <w:ind w:right="1133"/>
        <w:jc w:val="left"/>
        <w:rPr>
          <w:b w:val="0"/>
          <w:bCs w:val="0"/>
        </w:rPr>
      </w:pPr>
      <w:bookmarkStart w:name="3、独立董事履行职责的其他说明" w:id="147"/>
      <w:bookmarkEnd w:id="147"/>
      <w:r>
        <w:rPr>
          <w:b w:val="0"/>
          <w:bCs w:val="0"/>
        </w:rPr>
      </w:r>
      <w:r>
        <w:rPr>
          <w:rFonts w:ascii="Times New Roman" w:hAnsi="Times New Roman" w:cs="Times New Roman" w:eastAsia="Times New Roman" w:hint="default"/>
        </w:rPr>
        <w:t>3</w:t>
      </w:r>
      <w:r>
        <w:rPr/>
        <w:t>、独立董事履行职责的其他说明</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t>独立董事对公司有关建议是否被采纳</w:t>
      </w:r>
    </w:p>
    <w:p>
      <w:pPr>
        <w:pStyle w:val="BodyText"/>
        <w:spacing w:line="340" w:lineRule="auto" w:before="115"/>
        <w:ind w:right="679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否 独立董事对公司有关建议被采纳或未被采纳的说明</w:t>
      </w:r>
    </w:p>
    <w:p>
      <w:pPr>
        <w:pStyle w:val="BodyText"/>
        <w:spacing w:line="477" w:lineRule="auto" w:before="121"/>
        <w:ind w:right="1130" w:firstLine="420"/>
        <w:jc w:val="both"/>
      </w:pPr>
      <w:r>
        <w:rPr/>
        <w:t>报告期内，公司独立董事按照《公司章程》、《独立董事工作制度》等规定，忠实、勤勉地履行其职责，积极参加董 </w:t>
      </w:r>
      <w:r>
        <w:rPr>
          <w:spacing w:val="-2"/>
        </w:rPr>
        <w:t>事会和股东大会会议，关注公司经营管理情况、检查公司财务状况、股权激励计划的实施等重大事项的进展情况，认真参与</w:t>
      </w:r>
      <w:r>
        <w:rPr>
          <w:spacing w:val="-64"/>
        </w:rPr>
        <w:t> </w:t>
      </w:r>
      <w:r>
        <w:rPr>
          <w:spacing w:val="-64"/>
        </w:rPr>
      </w:r>
      <w:r>
        <w:rPr>
          <w:spacing w:val="-2"/>
        </w:rPr>
        <w:t>公司决策，并依靠自己的专业知识和能力做出客观、公正、独立的判断，充分发挥了独立董事的作用，维护了公司、全体股</w:t>
      </w:r>
      <w:r>
        <w:rPr>
          <w:spacing w:val="-68"/>
        </w:rPr>
        <w:t> </w:t>
      </w:r>
      <w:r>
        <w:rPr>
          <w:spacing w:val="-68"/>
        </w:rPr>
      </w:r>
      <w:r>
        <w:rPr>
          <w:spacing w:val="-2"/>
        </w:rPr>
        <w:t>东尤其是中小股东的合法权益。报告期内，独立董事根据相关规定对公司的重大事项发表独立意见，对公司董事会审议事项</w:t>
      </w:r>
      <w:r>
        <w:rPr>
          <w:spacing w:val="-66"/>
        </w:rPr>
        <w:t> </w:t>
      </w:r>
      <w:r>
        <w:rPr>
          <w:spacing w:val="-66"/>
        </w:rPr>
      </w:r>
      <w:r>
        <w:rPr/>
        <w:t>及其他事项未提出过异议。</w:t>
      </w:r>
    </w:p>
    <w:p>
      <w:pPr>
        <w:spacing w:line="240" w:lineRule="auto" w:before="7"/>
        <w:rPr>
          <w:rFonts w:ascii="宋体" w:hAnsi="宋体" w:cs="宋体" w:eastAsia="宋体" w:hint="default"/>
          <w:sz w:val="17"/>
          <w:szCs w:val="17"/>
        </w:rPr>
      </w:pPr>
    </w:p>
    <w:p>
      <w:pPr>
        <w:pStyle w:val="Heading2"/>
        <w:spacing w:line="240" w:lineRule="auto"/>
        <w:ind w:right="1133"/>
        <w:jc w:val="left"/>
        <w:rPr>
          <w:b w:val="0"/>
          <w:bCs w:val="0"/>
        </w:rPr>
      </w:pPr>
      <w:bookmarkStart w:name="六、董事会下设专门委员会在报告期内履行职责情况" w:id="148"/>
      <w:bookmarkEnd w:id="148"/>
      <w:r>
        <w:rPr>
          <w:b w:val="0"/>
          <w:bCs w:val="0"/>
        </w:rPr>
      </w:r>
      <w:r>
        <w:rPr/>
        <w:t>六、董事会下设专门委员会在报告期内履行职责情况</w:t>
      </w:r>
      <w:r>
        <w:rPr>
          <w:b w:val="0"/>
          <w:bCs w:val="0"/>
        </w:rPr>
      </w:r>
    </w:p>
    <w:p>
      <w:pPr>
        <w:spacing w:line="240" w:lineRule="auto" w:before="5"/>
        <w:rPr>
          <w:rFonts w:ascii="宋体" w:hAnsi="宋体" w:cs="宋体" w:eastAsia="宋体" w:hint="default"/>
          <w:b/>
          <w:bCs/>
          <w:sz w:val="32"/>
          <w:szCs w:val="32"/>
        </w:rPr>
      </w:pPr>
    </w:p>
    <w:p>
      <w:pPr>
        <w:pStyle w:val="BodyText"/>
        <w:spacing w:line="477" w:lineRule="auto"/>
        <w:ind w:right="1135" w:firstLine="360"/>
        <w:jc w:val="both"/>
      </w:pPr>
      <w:r>
        <w:rPr>
          <w:spacing w:val="-2"/>
        </w:rPr>
        <w:t>报告期内，公司董事会下设的各专门委员会根据《上市公司治理准则》、《公司章程》和公司董事会各专业委员会工作</w:t>
      </w:r>
      <w:r>
        <w:rPr/>
        <w:t> 细则，切实履职，规范了公司治理结构，为公司发展献言建策。各专门委员会具体工作如下：</w:t>
      </w:r>
    </w:p>
    <w:p>
      <w:pPr>
        <w:pStyle w:val="Heading6"/>
        <w:spacing w:line="240" w:lineRule="auto" w:before="95"/>
        <w:ind w:right="1133"/>
        <w:jc w:val="left"/>
        <w:rPr>
          <w:b w:val="0"/>
          <w:bCs w:val="0"/>
        </w:rPr>
      </w:pPr>
      <w:r>
        <w:rPr>
          <w:rFonts w:ascii="Times New Roman" w:hAnsi="Times New Roman" w:cs="Times New Roman" w:eastAsia="Times New Roman" w:hint="default"/>
        </w:rPr>
        <w:t>1</w:t>
      </w:r>
      <w:r>
        <w:rPr/>
        <w:t>、审计委员会</w:t>
      </w:r>
      <w:r>
        <w:rPr>
          <w:b w:val="0"/>
          <w:bCs w:val="0"/>
        </w:rPr>
      </w:r>
    </w:p>
    <w:p>
      <w:pPr>
        <w:spacing w:line="240" w:lineRule="auto" w:before="9"/>
        <w:rPr>
          <w:rFonts w:ascii="宋体" w:hAnsi="宋体" w:cs="宋体" w:eastAsia="宋体" w:hint="default"/>
          <w:b/>
          <w:bCs/>
          <w:sz w:val="19"/>
          <w:szCs w:val="19"/>
        </w:rPr>
      </w:pPr>
    </w:p>
    <w:p>
      <w:pPr>
        <w:pStyle w:val="BodyText"/>
        <w:spacing w:line="477" w:lineRule="auto"/>
        <w:ind w:right="1130" w:firstLine="360"/>
        <w:jc w:val="both"/>
      </w:pPr>
      <w:r>
        <w:rPr>
          <w:spacing w:val="-2"/>
        </w:rPr>
        <w:t>报告期内，审计委员会根据《审计委员会工作细则》及其他相关规定，积极开展工作，定期了解公司财务状况和经营情</w:t>
      </w:r>
      <w:r>
        <w:rPr/>
        <w:t> </w:t>
      </w:r>
      <w:r>
        <w:rPr>
          <w:spacing w:val="-2"/>
        </w:rPr>
        <w:t>况，认真审阅公司内部审计部门工作计划及总结，督促和指导公司内审部门对公司经营运行情况进行检查。报告期内共召开</w:t>
      </w:r>
      <w:r>
        <w:rPr>
          <w:spacing w:val="-63"/>
        </w:rPr>
        <w:t> </w:t>
      </w:r>
      <w:r>
        <w:rPr>
          <w:spacing w:val="-63"/>
        </w:rPr>
      </w:r>
      <w:r>
        <w:rPr/>
        <w:t>会议</w:t>
      </w:r>
      <w:r>
        <w:rPr>
          <w:rFonts w:ascii="Times New Roman" w:hAnsi="Times New Roman" w:cs="Times New Roman" w:eastAsia="Times New Roman" w:hint="default"/>
        </w:rPr>
        <w:t>4</w:t>
      </w:r>
      <w:r>
        <w:rPr/>
        <w:t>次，对续聘会计师事务所、往来账款管理情况、员工离任情况、聘任审计负责人等事项进行了检查及审计，同时，在</w:t>
      </w:r>
    </w:p>
    <w:p>
      <w:pPr>
        <w:spacing w:after="0" w:line="477" w:lineRule="auto"/>
        <w:jc w:val="both"/>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451" w:lineRule="auto"/>
        <w:ind w:right="1129"/>
        <w:jc w:val="left"/>
      </w:pPr>
      <w:r>
        <w:rPr>
          <w:rFonts w:ascii="Times New Roman" w:hAnsi="Times New Roman" w:cs="Times New Roman" w:eastAsia="Times New Roman" w:hint="default"/>
          <w:spacing w:val="-2"/>
        </w:rPr>
        <w:t>2018</w:t>
      </w:r>
      <w:r>
        <w:rPr>
          <w:spacing w:val="-2"/>
        </w:rPr>
        <w:t>年度报告编制过程中，认真听取管理层的经营情况汇报，积极与年审会计师进行沟通，确保审计工作顺利进行，积极发</w:t>
      </w:r>
      <w:r>
        <w:rPr>
          <w:spacing w:val="-61"/>
        </w:rPr>
        <w:t> </w:t>
      </w:r>
      <w:r>
        <w:rPr>
          <w:spacing w:val="-61"/>
        </w:rPr>
      </w:r>
      <w:r>
        <w:rPr/>
        <w:t>挥审核和监督职能。</w:t>
      </w:r>
    </w:p>
    <w:p>
      <w:pPr>
        <w:pStyle w:val="BodyText"/>
        <w:spacing w:line="487" w:lineRule="auto" w:before="115"/>
        <w:ind w:left="513" w:right="1129" w:hanging="361"/>
        <w:jc w:val="left"/>
      </w:pPr>
      <w:r>
        <w:rPr>
          <w:rFonts w:ascii="Times New Roman" w:hAnsi="Times New Roman" w:cs="Times New Roman" w:eastAsia="Times New Roman" w:hint="default"/>
          <w:b/>
          <w:bCs/>
        </w:rPr>
        <w:t>2</w:t>
      </w:r>
      <w:r>
        <w:rPr>
          <w:rFonts w:ascii="宋体" w:hAnsi="宋体" w:cs="宋体" w:eastAsia="宋体" w:hint="default"/>
          <w:b/>
          <w:bCs/>
        </w:rPr>
        <w:t>、战略发展委员会</w:t>
      </w:r>
      <w:r>
        <w:rPr>
          <w:rFonts w:ascii="宋体" w:hAnsi="宋体" w:cs="宋体" w:eastAsia="宋体" w:hint="default"/>
          <w:b/>
          <w:bCs/>
          <w:w w:val="99"/>
        </w:rPr>
        <w:t> </w:t>
      </w:r>
      <w:r>
        <w:rPr>
          <w:spacing w:val="-2"/>
        </w:rPr>
        <w:t>报告期内，战略与投资委员会依据《战略发展委员会工作细则》等相关规定规范运作，结合公司所处行业发展趋势及经</w:t>
      </w:r>
    </w:p>
    <w:p>
      <w:pPr>
        <w:pStyle w:val="BodyText"/>
        <w:spacing w:line="451" w:lineRule="auto" w:before="47"/>
        <w:ind w:right="1124"/>
        <w:jc w:val="left"/>
      </w:pPr>
      <w:r>
        <w:rPr/>
        <w:t>济环境变化，为公司战略规划发展提出建议。报告期内共召开会议</w:t>
      </w:r>
      <w:r>
        <w:rPr>
          <w:rFonts w:ascii="Times New Roman" w:hAnsi="Times New Roman" w:cs="Times New Roman" w:eastAsia="Times New Roman" w:hint="default"/>
        </w:rPr>
        <w:t>1</w:t>
      </w:r>
      <w:r>
        <w:rPr/>
        <w:t>次，对公司投资设立淮南达实智慧医疗有限公司事项进</w:t>
      </w:r>
      <w:r>
        <w:rPr>
          <w:spacing w:val="-83"/>
        </w:rPr>
        <w:t> </w:t>
      </w:r>
      <w:r>
        <w:rPr>
          <w:spacing w:val="-83"/>
        </w:rPr>
      </w:r>
      <w:r>
        <w:rPr/>
        <w:t>行了审议，确保公司发展规划和战略决策的科学性。</w:t>
      </w:r>
    </w:p>
    <w:p>
      <w:pPr>
        <w:pStyle w:val="BodyText"/>
        <w:spacing w:line="489" w:lineRule="auto" w:before="115"/>
        <w:ind w:left="513" w:right="1133" w:hanging="361"/>
        <w:jc w:val="left"/>
      </w:pPr>
      <w:r>
        <w:rPr>
          <w:rFonts w:ascii="Times New Roman" w:hAnsi="Times New Roman" w:cs="Times New Roman" w:eastAsia="Times New Roman" w:hint="default"/>
          <w:b/>
          <w:bCs/>
        </w:rPr>
        <w:t>3</w:t>
      </w:r>
      <w:r>
        <w:rPr>
          <w:rFonts w:ascii="宋体" w:hAnsi="宋体" w:cs="宋体" w:eastAsia="宋体" w:hint="default"/>
          <w:b/>
          <w:bCs/>
        </w:rPr>
        <w:t>、薪酬与考核委员会</w:t>
      </w:r>
      <w:r>
        <w:rPr>
          <w:rFonts w:ascii="宋体" w:hAnsi="宋体" w:cs="宋体" w:eastAsia="宋体" w:hint="default"/>
          <w:b/>
          <w:bCs/>
          <w:w w:val="99"/>
        </w:rPr>
        <w:t> </w:t>
      </w:r>
      <w:r>
        <w:rPr>
          <w:spacing w:val="-2"/>
        </w:rPr>
        <w:t>报告期内，薪酬与考核委员会依据《董事会薪酬及考核委员会工作细则》的有关规定，积极开展相关工作，报告期内共</w:t>
      </w:r>
    </w:p>
    <w:p>
      <w:pPr>
        <w:pStyle w:val="BodyText"/>
        <w:spacing w:line="451" w:lineRule="auto" w:before="46"/>
        <w:ind w:right="1124"/>
        <w:jc w:val="left"/>
      </w:pPr>
      <w:r>
        <w:rPr/>
        <w:t>召开会议</w:t>
      </w:r>
      <w:r>
        <w:rPr>
          <w:rFonts w:ascii="Times New Roman" w:hAnsi="Times New Roman" w:cs="Times New Roman" w:eastAsia="Times New Roman" w:hint="default"/>
        </w:rPr>
        <w:t>3</w:t>
      </w:r>
      <w:r>
        <w:rPr/>
        <w:t>次，对公司董事及高级管理人员的薪酬、第三次限制性股票激励计划等情况进行审核，对公司完善绩效考核体系</w:t>
      </w:r>
      <w:r>
        <w:rPr>
          <w:spacing w:val="-84"/>
        </w:rPr>
        <w:t> </w:t>
      </w:r>
      <w:r>
        <w:rPr>
          <w:spacing w:val="-84"/>
        </w:rPr>
      </w:r>
      <w:r>
        <w:rPr/>
        <w:t>和激励约束机制提出指导意见。</w:t>
      </w:r>
    </w:p>
    <w:p>
      <w:pPr>
        <w:pStyle w:val="Heading6"/>
        <w:spacing w:line="240" w:lineRule="auto" w:before="112"/>
        <w:ind w:right="1133"/>
        <w:jc w:val="left"/>
        <w:rPr>
          <w:b w:val="0"/>
          <w:bCs w:val="0"/>
        </w:rPr>
      </w:pPr>
      <w:r>
        <w:rPr>
          <w:rFonts w:ascii="Times New Roman" w:hAnsi="Times New Roman" w:cs="Times New Roman" w:eastAsia="Times New Roman" w:hint="default"/>
        </w:rPr>
        <w:t>4</w:t>
      </w:r>
      <w:r>
        <w:rPr/>
        <w:t>、提名委员会</w:t>
      </w:r>
      <w:r>
        <w:rPr>
          <w:b w:val="0"/>
          <w:bCs w:val="0"/>
        </w:rPr>
      </w:r>
    </w:p>
    <w:p>
      <w:pPr>
        <w:spacing w:line="240" w:lineRule="auto" w:before="11"/>
        <w:rPr>
          <w:rFonts w:ascii="宋体" w:hAnsi="宋体" w:cs="宋体" w:eastAsia="宋体" w:hint="default"/>
          <w:b/>
          <w:bCs/>
          <w:sz w:val="19"/>
          <w:szCs w:val="19"/>
        </w:rPr>
      </w:pPr>
    </w:p>
    <w:p>
      <w:pPr>
        <w:pStyle w:val="BodyText"/>
        <w:spacing w:line="463" w:lineRule="auto"/>
        <w:ind w:right="1131" w:firstLine="360"/>
        <w:jc w:val="both"/>
      </w:pPr>
      <w:r>
        <w:rPr/>
        <w:t>报告期内，提名委员会按照《提名委员会工作细则》的有关规定认真履行职责，报告期内共召开会议</w:t>
      </w:r>
      <w:r>
        <w:rPr>
          <w:rFonts w:ascii="Times New Roman" w:hAnsi="Times New Roman" w:cs="Times New Roman" w:eastAsia="Times New Roman" w:hint="default"/>
        </w:rPr>
        <w:t>2</w:t>
      </w:r>
      <w:r>
        <w:rPr/>
        <w:t>次，在董事会换 </w:t>
      </w:r>
      <w:r>
        <w:rPr>
          <w:spacing w:val="-2"/>
        </w:rPr>
        <w:t>届选举过程中对董事候选人、高级管理人员的任职资格及选聘程序进行认真审核，确保公司能够顺利完成董事及高级管理人</w:t>
      </w:r>
      <w:r>
        <w:rPr>
          <w:spacing w:val="-64"/>
        </w:rPr>
        <w:t> </w:t>
      </w:r>
      <w:r>
        <w:rPr>
          <w:spacing w:val="-64"/>
        </w:rPr>
      </w:r>
      <w:r>
        <w:rPr/>
        <w:t>员的选聘事宜。</w:t>
      </w:r>
    </w:p>
    <w:p>
      <w:pPr>
        <w:spacing w:line="240" w:lineRule="auto" w:before="4"/>
        <w:rPr>
          <w:rFonts w:ascii="宋体" w:hAnsi="宋体" w:cs="宋体" w:eastAsia="宋体" w:hint="default"/>
          <w:sz w:val="18"/>
          <w:szCs w:val="18"/>
        </w:rPr>
      </w:pPr>
    </w:p>
    <w:p>
      <w:pPr>
        <w:pStyle w:val="Heading2"/>
        <w:spacing w:line="240" w:lineRule="auto"/>
        <w:ind w:right="1133"/>
        <w:jc w:val="left"/>
        <w:rPr>
          <w:b w:val="0"/>
          <w:bCs w:val="0"/>
        </w:rPr>
      </w:pPr>
      <w:bookmarkStart w:name="七、监事会工作情况" w:id="149"/>
      <w:bookmarkEnd w:id="149"/>
      <w:r>
        <w:rPr>
          <w:b w:val="0"/>
          <w:bCs w:val="0"/>
        </w:rPr>
      </w:r>
      <w:r>
        <w:rPr/>
        <w:t>七、监事会工作情况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1133"/>
        <w:jc w:val="left"/>
      </w:pPr>
      <w:r>
        <w:rPr/>
        <w:t>监事会在报告期内的监督活动中发现公司是否存在风险</w:t>
      </w:r>
    </w:p>
    <w:p>
      <w:pPr>
        <w:pStyle w:val="BodyText"/>
        <w:spacing w:line="340" w:lineRule="auto" w:before="115"/>
        <w:ind w:right="769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否 监事会对报告期内的监督事项无异议。</w:t>
      </w:r>
    </w:p>
    <w:p>
      <w:pPr>
        <w:pStyle w:val="BodyText"/>
        <w:spacing w:line="468" w:lineRule="auto" w:before="118"/>
        <w:ind w:right="1027" w:firstLine="420"/>
        <w:jc w:val="left"/>
      </w:pPr>
      <w:r>
        <w:rPr>
          <w:spacing w:val="-3"/>
        </w:rPr>
        <w:t>按照《公司法》《公司章程》及《监事会议事规则》等有关规定，</w:t>
      </w:r>
      <w:r>
        <w:rPr>
          <w:rFonts w:ascii="Times New Roman" w:hAnsi="Times New Roman" w:cs="Times New Roman" w:eastAsia="Times New Roman" w:hint="default"/>
          <w:spacing w:val="-3"/>
        </w:rPr>
        <w:t>2019</w:t>
      </w:r>
      <w:r>
        <w:rPr>
          <w:rFonts w:ascii="Times New Roman" w:hAnsi="Times New Roman" w:cs="Times New Roman" w:eastAsia="Times New Roman" w:hint="default"/>
          <w:spacing w:val="7"/>
        </w:rPr>
        <w:t> </w:t>
      </w:r>
      <w:r>
        <w:rPr>
          <w:spacing w:val="-1"/>
        </w:rPr>
        <w:t>年度，监事会本着恪尽职守、勤勉尽责的工作</w:t>
      </w:r>
      <w:r>
        <w:rPr/>
        <w:t> </w:t>
      </w:r>
      <w:r>
        <w:rPr>
          <w:spacing w:val="-2"/>
        </w:rPr>
        <w:t>态度，认真履行监督职责，依法独立行使职权，对公司股东大会、董事会的召开程序、决策程序，董事会对股东大会决议的</w:t>
      </w:r>
      <w:r>
        <w:rPr>
          <w:spacing w:val="-68"/>
        </w:rPr>
        <w:t> </w:t>
      </w:r>
      <w:r>
        <w:rPr>
          <w:spacing w:val="-68"/>
        </w:rPr>
      </w:r>
      <w:r>
        <w:rPr/>
        <w:t>执行情况，公司高级管理人员的执行职务情况及公司管理制度执行情况等进行了监督，督促公司董事会和管理层依法运作， </w:t>
      </w:r>
      <w:r>
        <w:rPr>
          <w:spacing w:val="-3"/>
        </w:rPr>
        <w:t>科学决策，保障了公司财务规范运行，切实维护公司利益和全体股东权益。现将公司监事会 </w:t>
      </w:r>
      <w:r>
        <w:rPr>
          <w:rFonts w:ascii="Times New Roman" w:hAnsi="Times New Roman" w:cs="Times New Roman" w:eastAsia="Times New Roman" w:hint="default"/>
        </w:rPr>
        <w:t>2019</w:t>
      </w:r>
      <w:r>
        <w:rPr>
          <w:rFonts w:ascii="Times New Roman" w:hAnsi="Times New Roman" w:cs="Times New Roman" w:eastAsia="Times New Roman" w:hint="default"/>
          <w:spacing w:val="-5"/>
        </w:rPr>
        <w:t> </w:t>
      </w:r>
      <w:r>
        <w:rPr/>
        <w:t>年度的工作情况汇报如下：</w:t>
      </w:r>
    </w:p>
    <w:p>
      <w:pPr>
        <w:pStyle w:val="Heading6"/>
        <w:spacing w:line="240" w:lineRule="auto" w:before="70"/>
        <w:ind w:right="1133"/>
        <w:jc w:val="left"/>
        <w:rPr>
          <w:b w:val="0"/>
          <w:bCs w:val="0"/>
        </w:rPr>
      </w:pPr>
      <w:r>
        <w:rPr/>
        <w:t>一、 </w:t>
      </w:r>
      <w:r>
        <w:rPr>
          <w:rFonts w:ascii="Times New Roman" w:hAnsi="Times New Roman" w:cs="Times New Roman" w:eastAsia="Times New Roman" w:hint="default"/>
        </w:rPr>
        <w:t>2019</w:t>
      </w:r>
      <w:r>
        <w:rPr>
          <w:rFonts w:ascii="Times New Roman" w:hAnsi="Times New Roman" w:cs="Times New Roman" w:eastAsia="Times New Roman" w:hint="default"/>
          <w:spacing w:val="-6"/>
        </w:rPr>
        <w:t> </w:t>
      </w:r>
      <w:r>
        <w:rPr/>
        <w:t>年度监事会日常运作情况</w:t>
      </w:r>
      <w:r>
        <w:rPr>
          <w:b w:val="0"/>
          <w:bCs w:val="0"/>
        </w:rPr>
      </w:r>
    </w:p>
    <w:p>
      <w:pPr>
        <w:spacing w:line="240" w:lineRule="auto" w:before="12"/>
        <w:rPr>
          <w:rFonts w:ascii="宋体" w:hAnsi="宋体" w:cs="宋体" w:eastAsia="宋体" w:hint="default"/>
          <w:b/>
          <w:bCs/>
          <w:sz w:val="19"/>
          <w:szCs w:val="19"/>
        </w:rPr>
      </w:pPr>
    </w:p>
    <w:p>
      <w:pPr>
        <w:pStyle w:val="BodyText"/>
        <w:spacing w:line="240" w:lineRule="auto"/>
        <w:ind w:left="573" w:right="1133"/>
        <w:jc w:val="left"/>
      </w:pPr>
      <w:r>
        <w:rPr>
          <w:rFonts w:ascii="Times New Roman" w:hAnsi="Times New Roman" w:cs="Times New Roman" w:eastAsia="Times New Roman" w:hint="default"/>
        </w:rPr>
        <w:t>2019 </w:t>
      </w:r>
      <w:r>
        <w:rPr/>
        <w:t>年度，公司共召开</w:t>
      </w:r>
      <w:r>
        <w:rPr>
          <w:spacing w:val="-48"/>
        </w:rPr>
        <w:t> </w:t>
      </w:r>
      <w:r>
        <w:rPr>
          <w:rFonts w:ascii="Times New Roman" w:hAnsi="Times New Roman" w:cs="Times New Roman" w:eastAsia="Times New Roman" w:hint="default"/>
        </w:rPr>
        <w:t>6 </w:t>
      </w:r>
      <w:r>
        <w:rPr/>
        <w:t>次监事会议，具体情况如下：</w:t>
      </w:r>
    </w:p>
    <w:p>
      <w:pPr>
        <w:spacing w:line="240" w:lineRule="auto" w:before="9"/>
        <w:rPr>
          <w:rFonts w:ascii="宋体" w:hAnsi="宋体" w:cs="宋体" w:eastAsia="宋体" w:hint="default"/>
          <w:sz w:val="19"/>
          <w:szCs w:val="19"/>
        </w:rPr>
      </w:pPr>
    </w:p>
    <w:p>
      <w:pPr>
        <w:pStyle w:val="BodyText"/>
        <w:spacing w:line="451" w:lineRule="auto"/>
        <w:ind w:right="1126" w:firstLine="420"/>
        <w:jc w:val="both"/>
      </w:pPr>
      <w:r>
        <w:rPr>
          <w:rFonts w:ascii="Times New Roman" w:hAnsi="Times New Roman" w:cs="Times New Roman" w:eastAsia="Times New Roman" w:hint="default"/>
          <w:spacing w:val="1"/>
        </w:rPr>
        <w:t>1</w:t>
      </w:r>
      <w:r>
        <w:rPr>
          <w:spacing w:val="-3"/>
        </w:rPr>
        <w:t>、</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spacing w:val="-2"/>
        </w:rPr>
        <w:t>2</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日</w:t>
      </w:r>
      <w:r>
        <w:rPr>
          <w:spacing w:val="-3"/>
        </w:rPr>
        <w:t>，</w:t>
      </w:r>
      <w:r>
        <w:rPr/>
        <w:t>公司召开第六届监事会第十三次会议</w:t>
      </w:r>
      <w:r>
        <w:rPr>
          <w:spacing w:val="-3"/>
        </w:rPr>
        <w:t>，</w:t>
      </w:r>
      <w:r>
        <w:rPr/>
        <w:t>审议通过</w:t>
      </w:r>
      <w:r>
        <w:rPr>
          <w:spacing w:val="-3"/>
        </w:rPr>
        <w:t>了</w:t>
      </w:r>
      <w:r>
        <w:rPr/>
        <w:t>《</w:t>
      </w:r>
      <w:r>
        <w:rPr>
          <w:rFonts w:ascii="Times New Roman" w:hAnsi="Times New Roman" w:cs="Times New Roman" w:eastAsia="Times New Roman" w:hint="default"/>
          <w:spacing w:val="1"/>
        </w:rPr>
        <w:t>201</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年度监</w:t>
      </w:r>
      <w:r>
        <w:rPr>
          <w:spacing w:val="-3"/>
        </w:rPr>
        <w:t>事</w:t>
      </w:r>
      <w:r>
        <w:rPr/>
        <w:t>会工作报告</w:t>
      </w:r>
      <w:r>
        <w:rPr>
          <w:spacing w:val="-94"/>
        </w:rPr>
        <w:t>》</w:t>
      </w:r>
      <w:r>
        <w:rPr/>
        <w:t>《</w:t>
      </w:r>
      <w:r>
        <w:rPr>
          <w:rFonts w:ascii="Times New Roman" w:hAnsi="Times New Roman" w:cs="Times New Roman" w:eastAsia="Times New Roman" w:hint="default"/>
          <w:spacing w:val="1"/>
        </w:rPr>
        <w:t>201</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年度财 务决算报告</w:t>
      </w:r>
      <w:r>
        <w:rPr>
          <w:spacing w:val="-99"/>
        </w:rPr>
        <w:t>》</w:t>
      </w:r>
      <w:r>
        <w:rPr/>
        <w:t>《</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1</w:t>
      </w:r>
      <w:r>
        <w:rPr>
          <w:rFonts w:ascii="Times New Roman" w:hAnsi="Times New Roman" w:cs="Times New Roman" w:eastAsia="Times New Roman" w:hint="default"/>
        </w:rPr>
        <w:t>8</w:t>
      </w:r>
      <w:r>
        <w:rPr>
          <w:rFonts w:ascii="Times New Roman" w:hAnsi="Times New Roman" w:cs="Times New Roman" w:eastAsia="Times New Roman" w:hint="default"/>
          <w:spacing w:val="2"/>
        </w:rPr>
        <w:t> </w:t>
      </w:r>
      <w:r>
        <w:rPr/>
        <w:t>年度报</w:t>
      </w:r>
      <w:r>
        <w:rPr>
          <w:spacing w:val="-3"/>
        </w:rPr>
        <w:t>告</w:t>
      </w:r>
      <w:r>
        <w:rPr/>
        <w:t>全文</w:t>
      </w:r>
      <w:r>
        <w:rPr>
          <w:spacing w:val="-8"/>
        </w:rPr>
        <w:t>》</w:t>
      </w:r>
      <w:r>
        <w:rPr/>
        <w:t>及摘要</w:t>
      </w:r>
      <w:r>
        <w:rPr>
          <w:spacing w:val="-99"/>
        </w:rPr>
        <w:t>、</w:t>
      </w:r>
      <w:r>
        <w:rPr/>
        <w:t>《</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1</w:t>
      </w:r>
      <w:r>
        <w:rPr>
          <w:rFonts w:ascii="Times New Roman" w:hAnsi="Times New Roman" w:cs="Times New Roman" w:eastAsia="Times New Roman" w:hint="default"/>
        </w:rPr>
        <w:t>8</w:t>
      </w:r>
      <w:r>
        <w:rPr>
          <w:rFonts w:ascii="Times New Roman" w:hAnsi="Times New Roman" w:cs="Times New Roman" w:eastAsia="Times New Roman" w:hint="default"/>
          <w:spacing w:val="2"/>
        </w:rPr>
        <w:t> </w:t>
      </w:r>
      <w:r>
        <w:rPr/>
        <w:t>年度</w:t>
      </w:r>
      <w:r>
        <w:rPr>
          <w:spacing w:val="-3"/>
        </w:rPr>
        <w:t>利</w:t>
      </w:r>
      <w:r>
        <w:rPr/>
        <w:t>润分配预案</w:t>
      </w:r>
      <w:r>
        <w:rPr>
          <w:spacing w:val="-99"/>
        </w:rPr>
        <w:t>》</w:t>
      </w:r>
      <w:r>
        <w:rPr/>
        <w:t>《</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1</w:t>
      </w:r>
      <w:r>
        <w:rPr>
          <w:rFonts w:ascii="Times New Roman" w:hAnsi="Times New Roman" w:cs="Times New Roman" w:eastAsia="Times New Roman" w:hint="default"/>
        </w:rPr>
        <w:t>8</w:t>
      </w:r>
      <w:r>
        <w:rPr>
          <w:rFonts w:ascii="Times New Roman" w:hAnsi="Times New Roman" w:cs="Times New Roman" w:eastAsia="Times New Roman" w:hint="default"/>
          <w:spacing w:val="2"/>
        </w:rPr>
        <w:t> </w:t>
      </w:r>
      <w:r>
        <w:rPr/>
        <w:t>年度内</w:t>
      </w:r>
      <w:r>
        <w:rPr>
          <w:spacing w:val="-3"/>
        </w:rPr>
        <w:t>部</w:t>
      </w:r>
      <w:r>
        <w:rPr/>
        <w:t>控制评价报告</w:t>
      </w:r>
      <w:r>
        <w:rPr>
          <w:spacing w:val="-99"/>
        </w:rPr>
        <w:t>》</w:t>
      </w:r>
      <w:r>
        <w:rPr/>
        <w:t>《关于续聘会计师事</w:t>
      </w:r>
      <w:r>
        <w:rPr/>
        <w:t> 务所的议案</w:t>
      </w:r>
      <w:r>
        <w:rPr>
          <w:spacing w:val="-101"/>
        </w:rPr>
        <w:t>》</w:t>
      </w:r>
      <w:r>
        <w:rPr/>
        <w:t>《关于</w:t>
      </w:r>
      <w:r>
        <w:rPr>
          <w:spacing w:val="-44"/>
        </w:rPr>
        <w:t> </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1</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年</w:t>
      </w:r>
      <w:r>
        <w:rPr>
          <w:spacing w:val="-3"/>
        </w:rPr>
        <w:t>度</w:t>
      </w:r>
      <w:r>
        <w:rPr/>
        <w:t>监事薪酬的议案</w:t>
      </w:r>
      <w:r>
        <w:rPr>
          <w:spacing w:val="-101"/>
        </w:rPr>
        <w:t>》</w:t>
      </w:r>
      <w:r>
        <w:rPr/>
        <w:t>《关于计提</w:t>
      </w:r>
      <w:r>
        <w:rPr>
          <w:spacing w:val="2"/>
        </w:rPr>
        <w:t>资</w:t>
      </w:r>
      <w:r>
        <w:rPr/>
        <w:t>产减值准备的议案</w:t>
      </w:r>
      <w:r>
        <w:rPr>
          <w:spacing w:val="-101"/>
        </w:rPr>
        <w:t>》</w:t>
      </w:r>
      <w:r>
        <w:rPr/>
        <w:t>《关于变</w:t>
      </w:r>
      <w:r>
        <w:rPr>
          <w:spacing w:val="2"/>
        </w:rPr>
        <w:t>更</w:t>
      </w:r>
      <w:r>
        <w:rPr/>
        <w:t>会计政策的议案</w:t>
      </w:r>
      <w:r>
        <w:rPr>
          <w:spacing w:val="-101"/>
        </w:rPr>
        <w:t>》</w:t>
      </w:r>
      <w:r>
        <w:rPr>
          <w:spacing w:val="2"/>
        </w:rPr>
        <w:t>《</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1</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年</w:t>
      </w:r>
      <w:r>
        <w:rPr>
          <w:spacing w:val="-3"/>
        </w:rPr>
        <w:t>第</w:t>
      </w:r>
      <w:r>
        <w:rPr/>
        <w:t>一</w:t>
      </w:r>
      <w:r>
        <w:rPr/>
        <w:t> 季度报告全文</w:t>
      </w:r>
      <w:r>
        <w:rPr>
          <w:spacing w:val="-92"/>
        </w:rPr>
        <w:t>》</w:t>
      </w:r>
      <w:r>
        <w:rPr/>
        <w:t>；</w:t>
      </w:r>
    </w:p>
    <w:p>
      <w:pPr>
        <w:pStyle w:val="BodyText"/>
        <w:spacing w:line="240" w:lineRule="auto" w:before="114"/>
        <w:ind w:left="573" w:right="0"/>
        <w:jc w:val="left"/>
      </w:pPr>
      <w:r>
        <w:rPr>
          <w:rFonts w:ascii="Times New Roman" w:hAnsi="Times New Roman" w:cs="Times New Roman" w:eastAsia="Times New Roman" w:hint="default"/>
          <w:spacing w:val="1"/>
        </w:rPr>
        <w:t>2</w:t>
      </w:r>
      <w:r>
        <w:rPr/>
        <w:t>、</w:t>
      </w:r>
      <w:r>
        <w:rPr>
          <w:rFonts w:ascii="Times New Roman" w:hAnsi="Times New Roman" w:cs="Times New Roman" w:eastAsia="Times New Roman" w:hint="default"/>
          <w:spacing w:val="-2"/>
        </w:rPr>
        <w:t>2</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1</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年</w:t>
      </w:r>
      <w:r>
        <w:rPr>
          <w:spacing w:val="-47"/>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月</w:t>
      </w:r>
      <w:r>
        <w:rPr>
          <w:spacing w:val="-47"/>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spacing w:val="-3"/>
        </w:rPr>
        <w:t>日</w:t>
      </w:r>
      <w:r>
        <w:rPr/>
        <w:t>，公司</w:t>
      </w:r>
      <w:r>
        <w:rPr>
          <w:spacing w:val="-3"/>
        </w:rPr>
        <w:t>召</w:t>
      </w:r>
      <w:r>
        <w:rPr/>
        <w:t>开第六届监事会第十四次会议，审议通过了《第三期限制</w:t>
      </w:r>
      <w:r>
        <w:rPr>
          <w:spacing w:val="-3"/>
        </w:rPr>
        <w:t>性</w:t>
      </w:r>
      <w:r>
        <w:rPr/>
        <w:t>股票激励计划（草案</w:t>
      </w:r>
      <w:r>
        <w:rPr>
          <w:spacing w:val="-92"/>
        </w:rPr>
        <w:t>）</w:t>
      </w:r>
      <w:r>
        <w:rPr/>
        <w:t>》及摘</w:t>
      </w:r>
    </w:p>
    <w:p>
      <w:pPr>
        <w:spacing w:after="0" w:line="240"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477" w:lineRule="auto"/>
        <w:ind w:right="1135"/>
        <w:jc w:val="both"/>
      </w:pPr>
      <w:r>
        <w:rPr/>
        <w:t>要</w:t>
      </w:r>
      <w:r>
        <w:rPr>
          <w:spacing w:val="-132"/>
        </w:rPr>
        <w:t>、</w:t>
      </w:r>
      <w:r>
        <w:rPr/>
        <w:t>《第三期限制性股票激励计划考核管理办法</w:t>
      </w:r>
      <w:r>
        <w:rPr>
          <w:spacing w:val="-132"/>
        </w:rPr>
        <w:t>》</w:t>
      </w:r>
      <w:r>
        <w:rPr/>
        <w:t>《关于核实第三期限制性股票激励计划中授予限制性股票激励对象名单的议</w:t>
      </w:r>
      <w:r>
        <w:rPr/>
        <w:t> 案</w:t>
      </w:r>
      <w:r>
        <w:rPr>
          <w:spacing w:val="-92"/>
        </w:rPr>
        <w:t>》</w:t>
      </w:r>
      <w:r>
        <w:rPr/>
        <w:t>；</w:t>
      </w:r>
    </w:p>
    <w:p>
      <w:pPr>
        <w:pStyle w:val="BodyText"/>
        <w:spacing w:line="240" w:lineRule="auto" w:before="95"/>
        <w:ind w:left="573" w:right="1133"/>
        <w:jc w:val="left"/>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9"/>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月</w:t>
      </w:r>
      <w:r>
        <w:rPr>
          <w:spacing w:val="-47"/>
        </w:rPr>
        <w:t> </w:t>
      </w:r>
      <w:r>
        <w:rPr>
          <w:rFonts w:ascii="Times New Roman" w:hAnsi="Times New Roman" w:cs="Times New Roman" w:eastAsia="Times New Roman" w:hint="default"/>
        </w:rPr>
        <w:t>25</w:t>
      </w:r>
      <w:r>
        <w:rPr>
          <w:rFonts w:ascii="Times New Roman" w:hAnsi="Times New Roman" w:cs="Times New Roman" w:eastAsia="Times New Roman" w:hint="default"/>
          <w:spacing w:val="-1"/>
        </w:rPr>
        <w:t> </w:t>
      </w:r>
      <w:r>
        <w:rPr/>
        <w:t>日，公司召开第六届监事会第十五次会议，审议通过了《</w:t>
      </w:r>
      <w:r>
        <w:rPr>
          <w:rFonts w:ascii="Times New Roman" w:hAnsi="Times New Roman" w:cs="Times New Roman" w:eastAsia="Times New Roman" w:hint="default"/>
        </w:rPr>
        <w:t>2019 </w:t>
      </w:r>
      <w:r>
        <w:rPr/>
        <w:t>年半年度报告全文》及摘要；</w:t>
      </w:r>
    </w:p>
    <w:p>
      <w:pPr>
        <w:spacing w:line="240" w:lineRule="auto" w:before="9"/>
        <w:rPr>
          <w:rFonts w:ascii="宋体" w:hAnsi="宋体" w:cs="宋体" w:eastAsia="宋体" w:hint="default"/>
          <w:sz w:val="19"/>
          <w:szCs w:val="19"/>
        </w:rPr>
      </w:pPr>
    </w:p>
    <w:p>
      <w:pPr>
        <w:pStyle w:val="BodyText"/>
        <w:spacing w:line="451" w:lineRule="auto"/>
        <w:ind w:right="0" w:firstLine="420"/>
        <w:jc w:val="left"/>
      </w:pPr>
      <w:r>
        <w:rPr>
          <w:rFonts w:ascii="Times New Roman" w:hAnsi="Times New Roman" w:cs="Times New Roman" w:eastAsia="Times New Roman" w:hint="default"/>
        </w:rPr>
        <w:t>4</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3"/>
        </w:rPr>
        <w:t> </w:t>
      </w:r>
      <w:r>
        <w:rPr/>
        <w:t>年</w:t>
      </w:r>
      <w:r>
        <w:rPr>
          <w:spacing w:val="-47"/>
        </w:rPr>
        <w:t> </w:t>
      </w:r>
      <w:r>
        <w:rPr>
          <w:rFonts w:ascii="Times New Roman" w:hAnsi="Times New Roman" w:cs="Times New Roman" w:eastAsia="Times New Roman" w:hint="default"/>
        </w:rPr>
        <w:t>8</w:t>
      </w:r>
      <w:r>
        <w:rPr>
          <w:rFonts w:ascii="Times New Roman" w:hAnsi="Times New Roman" w:cs="Times New Roman" w:eastAsia="Times New Roman" w:hint="default"/>
          <w:spacing w:val="-3"/>
        </w:rPr>
        <w:t> </w:t>
      </w:r>
      <w:r>
        <w:rPr/>
        <w:t>月</w:t>
      </w:r>
      <w:r>
        <w:rPr>
          <w:spacing w:val="-47"/>
        </w:rPr>
        <w:t> </w:t>
      </w:r>
      <w:r>
        <w:rPr>
          <w:rFonts w:ascii="Times New Roman" w:hAnsi="Times New Roman" w:cs="Times New Roman" w:eastAsia="Times New Roman" w:hint="default"/>
        </w:rPr>
        <w:t>19</w:t>
      </w:r>
      <w:r>
        <w:rPr>
          <w:rFonts w:ascii="Times New Roman" w:hAnsi="Times New Roman" w:cs="Times New Roman" w:eastAsia="Times New Roman" w:hint="default"/>
          <w:spacing w:val="-1"/>
        </w:rPr>
        <w:t> </w:t>
      </w:r>
      <w:r>
        <w:rPr/>
        <w:t>日，公司召开第六届监事会第十六次会议，审议通过了《关于调整第三期限制性股票激励计划相关 </w:t>
      </w:r>
      <w:r>
        <w:rPr>
          <w:spacing w:val="-7"/>
        </w:rPr>
        <w:t>事项的议案》《关于向激励对象授予第三期限制性股票的议案》《关于监事会换届选举的议案》《关于公司监事薪酬的议案》；</w:t>
      </w:r>
    </w:p>
    <w:p>
      <w:pPr>
        <w:pStyle w:val="BodyText"/>
        <w:spacing w:line="240" w:lineRule="auto" w:before="115"/>
        <w:ind w:left="573" w:right="1133"/>
        <w:jc w:val="left"/>
      </w:pPr>
      <w:r>
        <w:rPr>
          <w:rFonts w:ascii="Times New Roman" w:hAnsi="Times New Roman" w:cs="Times New Roman" w:eastAsia="Times New Roman" w:hint="default"/>
          <w:spacing w:val="1"/>
        </w:rPr>
        <w:t>5</w:t>
      </w:r>
      <w:r>
        <w:rPr/>
        <w:t>、</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01</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年</w:t>
      </w:r>
      <w:r>
        <w:rPr>
          <w:spacing w:val="-47"/>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月</w:t>
      </w:r>
      <w:r>
        <w:rPr>
          <w:spacing w:val="-47"/>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日，公司</w:t>
      </w:r>
      <w:r>
        <w:rPr>
          <w:spacing w:val="-3"/>
        </w:rPr>
        <w:t>召</w:t>
      </w:r>
      <w:r>
        <w:rPr/>
        <w:t>开第七届监事会第一次会议，审议通过了《关于选举公司第七届监事会主席的议案</w:t>
      </w:r>
      <w:r>
        <w:rPr>
          <w:spacing w:val="-92"/>
        </w:rPr>
        <w:t>》</w:t>
      </w:r>
      <w:r>
        <w:rPr/>
        <w:t>；</w:t>
      </w:r>
    </w:p>
    <w:p>
      <w:pPr>
        <w:spacing w:line="240" w:lineRule="auto" w:before="11"/>
        <w:rPr>
          <w:rFonts w:ascii="宋体" w:hAnsi="宋体" w:cs="宋体" w:eastAsia="宋体" w:hint="default"/>
          <w:sz w:val="19"/>
          <w:szCs w:val="19"/>
        </w:rPr>
      </w:pPr>
    </w:p>
    <w:p>
      <w:pPr>
        <w:spacing w:line="487" w:lineRule="auto" w:before="0"/>
        <w:ind w:left="152" w:right="1523" w:firstLine="42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日，公司召开第七届监事会第二次会议，审议通过了《</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年第三季度报告全文》及正文。 </w:t>
      </w:r>
      <w:r>
        <w:rPr>
          <w:rFonts w:ascii="宋体" w:hAnsi="宋体" w:cs="宋体" w:eastAsia="宋体" w:hint="default"/>
          <w:b/>
          <w:bCs/>
          <w:sz w:val="18"/>
          <w:szCs w:val="18"/>
        </w:rPr>
        <w:t>二、</w:t>
      </w:r>
      <w:r>
        <w:rPr>
          <w:rFonts w:ascii="宋体" w:hAnsi="宋体" w:cs="宋体" w:eastAsia="宋体" w:hint="default"/>
          <w:b/>
          <w:bCs/>
          <w:spacing w:val="-4"/>
          <w:sz w:val="18"/>
          <w:szCs w:val="18"/>
        </w:rPr>
        <w:t> </w:t>
      </w:r>
      <w:r>
        <w:rPr>
          <w:rFonts w:ascii="宋体" w:hAnsi="宋体" w:cs="宋体" w:eastAsia="宋体" w:hint="default"/>
          <w:b/>
          <w:bCs/>
          <w:sz w:val="18"/>
          <w:szCs w:val="18"/>
        </w:rPr>
        <w:t>监事会对</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2019</w:t>
      </w:r>
      <w:r>
        <w:rPr>
          <w:rFonts w:ascii="Times New Roman" w:hAnsi="Times New Roman" w:cs="Times New Roman" w:eastAsia="Times New Roman" w:hint="default"/>
          <w:b/>
          <w:bCs/>
          <w:spacing w:val="-3"/>
          <w:sz w:val="18"/>
          <w:szCs w:val="18"/>
        </w:rPr>
        <w:t> </w:t>
      </w:r>
      <w:r>
        <w:rPr>
          <w:rFonts w:ascii="宋体" w:hAnsi="宋体" w:cs="宋体" w:eastAsia="宋体" w:hint="default"/>
          <w:b/>
          <w:bCs/>
          <w:sz w:val="18"/>
          <w:szCs w:val="18"/>
        </w:rPr>
        <w:t>年度公司运作事项发表的核查意见</w:t>
      </w:r>
      <w:r>
        <w:rPr>
          <w:rFonts w:ascii="宋体" w:hAnsi="宋体" w:cs="宋体" w:eastAsia="宋体" w:hint="default"/>
          <w:sz w:val="18"/>
          <w:szCs w:val="18"/>
        </w:rPr>
      </w:r>
    </w:p>
    <w:p>
      <w:pPr>
        <w:pStyle w:val="BodyText"/>
        <w:spacing w:line="489" w:lineRule="auto" w:before="55"/>
        <w:ind w:left="573" w:right="0" w:hanging="421"/>
        <w:jc w:val="left"/>
      </w:pPr>
      <w:r>
        <w:rPr>
          <w:rFonts w:ascii="Times New Roman" w:hAnsi="Times New Roman" w:cs="Times New Roman" w:eastAsia="Times New Roman" w:hint="default"/>
          <w:b/>
          <w:bCs/>
        </w:rPr>
        <w:t>1</w:t>
      </w:r>
      <w:r>
        <w:rPr>
          <w:rFonts w:ascii="宋体" w:hAnsi="宋体" w:cs="宋体" w:eastAsia="宋体" w:hint="default"/>
          <w:b/>
          <w:bCs/>
        </w:rPr>
        <w:t>、公司依法运作情况</w:t>
      </w:r>
      <w:r>
        <w:rPr>
          <w:rFonts w:ascii="宋体" w:hAnsi="宋体" w:cs="宋体" w:eastAsia="宋体" w:hint="default"/>
          <w:b/>
          <w:bCs/>
          <w:w w:val="99"/>
        </w:rPr>
        <w:t> </w:t>
      </w:r>
      <w:r>
        <w:rPr>
          <w:spacing w:val="-2"/>
        </w:rPr>
        <w:t>监事会依照有关法律、法规的规定，认真履行职责，出席了公司股东大会，列席了部分董事会，对会议的召集、召开、</w:t>
      </w:r>
    </w:p>
    <w:p>
      <w:pPr>
        <w:pStyle w:val="BodyText"/>
        <w:spacing w:line="463" w:lineRule="auto" w:before="45"/>
        <w:ind w:right="1131"/>
        <w:jc w:val="both"/>
      </w:pPr>
      <w:r>
        <w:rPr/>
        <w:t>决策程序以及</w:t>
      </w:r>
      <w:r>
        <w:rPr>
          <w:spacing w:val="-46"/>
        </w:rPr>
        <w:t> </w:t>
      </w:r>
      <w:r>
        <w:rPr>
          <w:rFonts w:ascii="Times New Roman" w:hAnsi="Times New Roman" w:cs="Times New Roman" w:eastAsia="Times New Roman" w:hint="default"/>
        </w:rPr>
        <w:t>2019 </w:t>
      </w:r>
      <w:r>
        <w:rPr/>
        <w:t>年度董事会对股东大会决议的执行情况以及公司决策运作情况进行了监督。监事会认为，公司董事会、 </w:t>
      </w:r>
      <w:r>
        <w:rPr>
          <w:spacing w:val="-2"/>
        </w:rPr>
        <w:t>股东大会的召开、决策程序合法有效，董事会能够认真执行股东大会的各项决议，公司董事、高级管理人员在履行公司职务</w:t>
      </w:r>
      <w:r>
        <w:rPr>
          <w:spacing w:val="-65"/>
        </w:rPr>
        <w:t> </w:t>
      </w:r>
      <w:r>
        <w:rPr>
          <w:spacing w:val="-65"/>
        </w:rPr>
      </w:r>
      <w:r>
        <w:rPr/>
        <w:t>时，均能够勤勉尽职，遵守国家法律法规和公司相关规定，不存在违反法律、法规、公司章程或损害公司利益的行为。</w:t>
      </w:r>
    </w:p>
    <w:p>
      <w:pPr>
        <w:pStyle w:val="Heading6"/>
        <w:spacing w:line="240" w:lineRule="auto" w:before="103"/>
        <w:ind w:right="0"/>
        <w:jc w:val="both"/>
        <w:rPr>
          <w:b w:val="0"/>
          <w:bCs w:val="0"/>
        </w:rPr>
      </w:pPr>
      <w:r>
        <w:rPr>
          <w:rFonts w:ascii="Times New Roman" w:hAnsi="Times New Roman" w:cs="Times New Roman" w:eastAsia="Times New Roman" w:hint="default"/>
        </w:rPr>
        <w:t>2</w:t>
      </w:r>
      <w:r>
        <w:rPr/>
        <w:t>、公司财务情况</w:t>
      </w:r>
      <w:r>
        <w:rPr>
          <w:b w:val="0"/>
          <w:bCs w:val="0"/>
        </w:rPr>
      </w:r>
    </w:p>
    <w:p>
      <w:pPr>
        <w:spacing w:line="240" w:lineRule="auto" w:before="11"/>
        <w:rPr>
          <w:rFonts w:ascii="宋体" w:hAnsi="宋体" w:cs="宋体" w:eastAsia="宋体" w:hint="default"/>
          <w:b/>
          <w:bCs/>
          <w:sz w:val="19"/>
          <w:szCs w:val="19"/>
        </w:rPr>
      </w:pPr>
    </w:p>
    <w:p>
      <w:pPr>
        <w:pStyle w:val="BodyText"/>
        <w:spacing w:line="240" w:lineRule="auto"/>
        <w:ind w:left="573" w:right="0"/>
        <w:jc w:val="left"/>
      </w:pPr>
      <w:r>
        <w:rPr>
          <w:rFonts w:ascii="Times New Roman" w:hAnsi="Times New Roman" w:cs="Times New Roman" w:eastAsia="Times New Roman" w:hint="default"/>
        </w:rPr>
        <w:t>2019</w:t>
      </w:r>
      <w:r>
        <w:rPr>
          <w:rFonts w:ascii="Times New Roman" w:hAnsi="Times New Roman" w:cs="Times New Roman" w:eastAsia="Times New Roman" w:hint="default"/>
          <w:spacing w:val="-10"/>
        </w:rPr>
        <w:t> </w:t>
      </w:r>
      <w:r>
        <w:rPr/>
        <w:t>年度，监事会通过查阅公司财务报表、财务状况和内控制度等进行了监督检查。监事会认为公司财务管理和内控</w:t>
      </w:r>
    </w:p>
    <w:p>
      <w:pPr>
        <w:spacing w:line="240" w:lineRule="auto" w:before="10"/>
        <w:rPr>
          <w:rFonts w:ascii="宋体" w:hAnsi="宋体" w:cs="宋体" w:eastAsia="宋体" w:hint="default"/>
          <w:sz w:val="16"/>
          <w:szCs w:val="16"/>
        </w:rPr>
      </w:pPr>
    </w:p>
    <w:p>
      <w:pPr>
        <w:pStyle w:val="BodyText"/>
        <w:spacing w:line="240" w:lineRule="auto"/>
        <w:ind w:right="0"/>
        <w:jc w:val="both"/>
        <w:rPr>
          <w:rFonts w:ascii="Times New Roman" w:hAnsi="Times New Roman" w:cs="Times New Roman" w:eastAsia="Times New Roman" w:hint="default"/>
        </w:rPr>
      </w:pPr>
      <w:r>
        <w:rPr/>
        <w:t>制度健全，严格执行了企业会计准则，会计无重大遗漏和虚假记载，中勤万信会计师事务所（特殊普通合伙）对公司</w:t>
      </w:r>
      <w:r>
        <w:rPr>
          <w:spacing w:val="-43"/>
        </w:rPr>
        <w:t> </w:t>
      </w:r>
      <w:r>
        <w:rPr>
          <w:rFonts w:ascii="Times New Roman" w:hAnsi="Times New Roman" w:cs="Times New Roman" w:eastAsia="Times New Roman" w:hint="default"/>
        </w:rPr>
        <w:t>2018</w:t>
      </w:r>
    </w:p>
    <w:p>
      <w:pPr>
        <w:spacing w:line="240" w:lineRule="auto" w:before="0"/>
        <w:rPr>
          <w:rFonts w:ascii="Times New Roman" w:hAnsi="Times New Roman" w:cs="Times New Roman" w:eastAsia="Times New Roman" w:hint="default"/>
          <w:sz w:val="19"/>
          <w:szCs w:val="19"/>
        </w:rPr>
      </w:pPr>
    </w:p>
    <w:p>
      <w:pPr>
        <w:pStyle w:val="BodyText"/>
        <w:spacing w:line="240" w:lineRule="auto"/>
        <w:ind w:right="0"/>
        <w:jc w:val="both"/>
      </w:pPr>
      <w:r>
        <w:rPr/>
        <w:t>年度财务报告出具了标准无保留意见的审计报告，真实、公正地反映了公司的财务状况和经营成果。</w:t>
      </w:r>
    </w:p>
    <w:p>
      <w:pPr>
        <w:spacing w:line="240" w:lineRule="auto" w:before="12"/>
        <w:rPr>
          <w:rFonts w:ascii="宋体" w:hAnsi="宋体" w:cs="宋体" w:eastAsia="宋体" w:hint="default"/>
          <w:sz w:val="20"/>
          <w:szCs w:val="20"/>
        </w:rPr>
      </w:pPr>
    </w:p>
    <w:p>
      <w:pPr>
        <w:pStyle w:val="Heading6"/>
        <w:spacing w:line="240" w:lineRule="auto"/>
        <w:ind w:right="0"/>
        <w:jc w:val="both"/>
        <w:rPr>
          <w:b w:val="0"/>
          <w:bCs w:val="0"/>
        </w:rPr>
      </w:pPr>
      <w:r>
        <w:rPr>
          <w:rFonts w:ascii="Times New Roman" w:hAnsi="Times New Roman" w:cs="Times New Roman" w:eastAsia="Times New Roman" w:hint="default"/>
        </w:rPr>
        <w:t>3</w:t>
      </w:r>
      <w:r>
        <w:rPr/>
        <w:t>、公司对外投资情况</w:t>
      </w:r>
      <w:r>
        <w:rPr>
          <w:b w:val="0"/>
          <w:bCs w:val="0"/>
        </w:rPr>
      </w:r>
    </w:p>
    <w:p>
      <w:pPr>
        <w:spacing w:line="240" w:lineRule="auto" w:before="9"/>
        <w:rPr>
          <w:rFonts w:ascii="宋体" w:hAnsi="宋体" w:cs="宋体" w:eastAsia="宋体" w:hint="default"/>
          <w:b/>
          <w:bCs/>
          <w:sz w:val="19"/>
          <w:szCs w:val="19"/>
        </w:rPr>
      </w:pPr>
    </w:p>
    <w:p>
      <w:pPr>
        <w:pStyle w:val="BodyText"/>
        <w:spacing w:line="463" w:lineRule="auto"/>
        <w:ind w:right="1133" w:firstLine="420"/>
        <w:jc w:val="left"/>
      </w:pP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年度，公司实施了两笔对外投资，经核查，上述对外投资均履行了必要的审批程序，符合公司的发展战略需要</w:t>
      </w:r>
      <w:r>
        <w:rPr>
          <w:rFonts w:ascii="Times New Roman" w:hAnsi="Times New Roman" w:cs="Times New Roman" w:eastAsia="Times New Roman" w:hint="default"/>
        </w:rPr>
        <w:t>, </w:t>
      </w:r>
      <w:r>
        <w:rPr>
          <w:spacing w:val="-2"/>
        </w:rPr>
        <w:t>交易遵循了公开、公平、公正的原则，交易价格公允，未发现有侵害中小股东利益的行为和情况，符合中国证监会和深圳证</w:t>
      </w:r>
      <w:r>
        <w:rPr>
          <w:spacing w:val="-67"/>
        </w:rPr>
        <w:t> </w:t>
      </w:r>
      <w:r>
        <w:rPr>
          <w:spacing w:val="-67"/>
        </w:rPr>
      </w:r>
      <w:r>
        <w:rPr/>
        <w:t>券交易所的有关规定。</w:t>
      </w:r>
    </w:p>
    <w:p>
      <w:pPr>
        <w:pStyle w:val="BodyText"/>
        <w:spacing w:line="489" w:lineRule="auto" w:before="106"/>
        <w:ind w:left="573" w:right="1153" w:hanging="421"/>
        <w:jc w:val="left"/>
      </w:pPr>
      <w:r>
        <w:rPr>
          <w:rFonts w:ascii="Times New Roman" w:hAnsi="Times New Roman" w:cs="Times New Roman" w:eastAsia="Times New Roman" w:hint="default"/>
          <w:b/>
          <w:bCs/>
        </w:rPr>
        <w:t>4</w:t>
      </w:r>
      <w:r>
        <w:rPr>
          <w:rFonts w:ascii="宋体" w:hAnsi="宋体" w:cs="宋体" w:eastAsia="宋体" w:hint="default"/>
          <w:b/>
          <w:bCs/>
        </w:rPr>
        <w:t>、公司内控制度情况</w:t>
      </w:r>
      <w:r>
        <w:rPr>
          <w:rFonts w:ascii="宋体" w:hAnsi="宋体" w:cs="宋体" w:eastAsia="宋体" w:hint="default"/>
          <w:b/>
          <w:bCs/>
          <w:w w:val="99"/>
        </w:rPr>
        <w:t> </w:t>
      </w:r>
      <w:r>
        <w:rPr/>
        <w:t>公司的内部控制活动涵盖了管理控制、生产过程控制、财务管理控制、人事和信息披露等公司所有营运环节，公司各</w:t>
      </w:r>
    </w:p>
    <w:p>
      <w:pPr>
        <w:pStyle w:val="BodyText"/>
        <w:spacing w:line="477" w:lineRule="auto" w:before="45"/>
        <w:ind w:right="1051"/>
        <w:jc w:val="both"/>
      </w:pPr>
      <w:r>
        <w:rPr/>
        <w:t>职能部门以及相关岗位具有明确的目标、职责、权限，公司的架构设置保证了公司董事会及管理层下达的指令被有效执行、 经营活动健康地运行及控制目标的实现。监事会认为公司内控制度体系的设计与运行符合我国有关法规和监管部门的要求， 符合公司自身经营特点，在所有重大管理工作方面中制定了健全、合理的内部控制制度，并得到了有效遵循。</w:t>
      </w:r>
    </w:p>
    <w:p>
      <w:pPr>
        <w:spacing w:line="489" w:lineRule="auto" w:before="92"/>
        <w:ind w:left="573" w:right="1133" w:hanging="42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5</w:t>
      </w:r>
      <w:r>
        <w:rPr>
          <w:rFonts w:ascii="宋体" w:hAnsi="宋体" w:cs="宋体" w:eastAsia="宋体" w:hint="default"/>
          <w:b/>
          <w:bCs/>
          <w:sz w:val="18"/>
          <w:szCs w:val="18"/>
        </w:rPr>
        <w:t>、公司建立和实施内幕信息知情人管理制度情况</w:t>
      </w:r>
      <w:r>
        <w:rPr>
          <w:rFonts w:ascii="宋体" w:hAnsi="宋体" w:cs="宋体" w:eastAsia="宋体" w:hint="default"/>
          <w:b/>
          <w:bCs/>
          <w:w w:val="99"/>
          <w:sz w:val="18"/>
          <w:szCs w:val="18"/>
        </w:rPr>
        <w:t> </w:t>
      </w:r>
      <w:r>
        <w:rPr>
          <w:rFonts w:ascii="宋体" w:hAnsi="宋体" w:cs="宋体" w:eastAsia="宋体" w:hint="default"/>
          <w:spacing w:val="-3"/>
          <w:sz w:val="18"/>
          <w:szCs w:val="18"/>
        </w:rPr>
        <w:t>公司已建立《内幕信息知情人登记制度》，所有重大事项均能按照制度要求履行登记、备案程序。</w:t>
      </w:r>
    </w:p>
    <w:p>
      <w:pPr>
        <w:spacing w:after="0" w:line="489"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1133"/>
        <w:jc w:val="left"/>
        <w:rPr>
          <w:b w:val="0"/>
          <w:bCs w:val="0"/>
        </w:rPr>
      </w:pPr>
      <w:bookmarkStart w:name="八、高级管理人员的考评及激励情况" w:id="150"/>
      <w:bookmarkEnd w:id="150"/>
      <w:r>
        <w:rPr>
          <w:b w:val="0"/>
          <w:bCs w:val="0"/>
        </w:rPr>
      </w:r>
      <w:r>
        <w:rPr/>
        <w:t>八、高级管理人员的考评及激励情况</w:t>
      </w:r>
      <w:r>
        <w:rPr>
          <w:b w:val="0"/>
          <w:bCs w:val="0"/>
        </w:rPr>
      </w:r>
    </w:p>
    <w:p>
      <w:pPr>
        <w:spacing w:line="240" w:lineRule="auto" w:before="7"/>
        <w:rPr>
          <w:rFonts w:ascii="宋体" w:hAnsi="宋体" w:cs="宋体" w:eastAsia="宋体" w:hint="default"/>
          <w:b/>
          <w:bCs/>
          <w:sz w:val="32"/>
          <w:szCs w:val="32"/>
        </w:rPr>
      </w:pPr>
    </w:p>
    <w:p>
      <w:pPr>
        <w:pStyle w:val="BodyText"/>
        <w:spacing w:line="477" w:lineRule="auto"/>
        <w:ind w:right="1130" w:firstLine="420"/>
        <w:jc w:val="both"/>
      </w:pPr>
      <w:r>
        <w:rPr/>
        <w:t>根据《上市公司治理准则》的要求，公司建立了《董事、监事及高级管理人员薪酬管理制度》及考核激励体系，高级 </w:t>
      </w:r>
      <w:r>
        <w:rPr>
          <w:spacing w:val="-2"/>
        </w:rPr>
        <w:t>管理人员全部由董事会聘任，直接对董事会负责，承担董事会下达的经营指标。董事会下设的薪酬与考核委员会负责对高级</w:t>
      </w:r>
      <w:r>
        <w:rPr>
          <w:spacing w:val="-63"/>
        </w:rPr>
        <w:t> </w:t>
      </w:r>
      <w:r>
        <w:rPr>
          <w:spacing w:val="-63"/>
        </w:rPr>
      </w:r>
      <w:r>
        <w:rPr/>
        <w:t>管理人员的工作能力、履职情况、责任目标完成情况等进行年终考评，制定薪酬方案并报董事会审批。</w:t>
      </w:r>
    </w:p>
    <w:p>
      <w:pPr>
        <w:spacing w:line="240" w:lineRule="auto" w:before="4"/>
        <w:rPr>
          <w:rFonts w:ascii="宋体" w:hAnsi="宋体" w:cs="宋体" w:eastAsia="宋体" w:hint="default"/>
          <w:sz w:val="17"/>
          <w:szCs w:val="17"/>
        </w:rPr>
      </w:pPr>
    </w:p>
    <w:p>
      <w:pPr>
        <w:pStyle w:val="Heading2"/>
        <w:spacing w:line="240" w:lineRule="auto"/>
        <w:ind w:right="1133"/>
        <w:jc w:val="left"/>
        <w:rPr>
          <w:b w:val="0"/>
          <w:bCs w:val="0"/>
        </w:rPr>
      </w:pPr>
      <w:bookmarkStart w:name="九、内部控制评价报告" w:id="151"/>
      <w:bookmarkEnd w:id="151"/>
      <w:r>
        <w:rPr>
          <w:b w:val="0"/>
          <w:bCs w:val="0"/>
        </w:rPr>
      </w:r>
      <w:r>
        <w:rPr/>
        <w:t>九、内部控制评价报告</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1133"/>
        <w:jc w:val="left"/>
        <w:rPr>
          <w:b w:val="0"/>
          <w:bCs w:val="0"/>
        </w:rPr>
      </w:pPr>
      <w:bookmarkStart w:name="1、报告期内发现的内部控制重大缺陷的具体情况" w:id="152"/>
      <w:bookmarkEnd w:id="152"/>
      <w:r>
        <w:rPr>
          <w:b w:val="0"/>
          <w:bCs w:val="0"/>
        </w:rPr>
      </w: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0"/>
        <w:rPr>
          <w:rFonts w:ascii="宋体" w:hAnsi="宋体" w:cs="宋体" w:eastAsia="宋体" w:hint="default"/>
          <w:sz w:val="26"/>
          <w:szCs w:val="26"/>
        </w:rPr>
      </w:pPr>
    </w:p>
    <w:p>
      <w:pPr>
        <w:pStyle w:val="Heading4"/>
        <w:spacing w:line="240" w:lineRule="auto"/>
        <w:ind w:right="1133"/>
        <w:jc w:val="left"/>
        <w:rPr>
          <w:b w:val="0"/>
          <w:bCs w:val="0"/>
        </w:rPr>
      </w:pPr>
      <w:bookmarkStart w:name="2、内控自我评价报告" w:id="153"/>
      <w:bookmarkEnd w:id="153"/>
      <w:r>
        <w:rPr>
          <w:b w:val="0"/>
          <w:bCs w:val="0"/>
        </w:rPr>
      </w:r>
      <w:r>
        <w:rPr>
          <w:rFonts w:ascii="Times New Roman" w:hAnsi="Times New Roman" w:cs="Times New Roman" w:eastAsia="Times New Roman" w:hint="default"/>
        </w:rPr>
        <w:t>2</w:t>
      </w:r>
      <w:r>
        <w:rPr/>
        <w:t>、内控自我评价报告</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178"/>
        <w:gridCol w:w="3327"/>
        <w:gridCol w:w="3053"/>
      </w:tblGrid>
      <w:tr>
        <w:trPr>
          <w:trHeight w:val="403" w:hRule="exact"/>
        </w:trPr>
        <w:tc>
          <w:tcPr>
            <w:tcW w:w="3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381" w:type="dxa"/>
            <w:gridSpan w:val="2"/>
            <w:tcBorders>
              <w:top w:val="single" w:sz="4" w:space="0" w:color="000000"/>
              <w:left w:val="single" w:sz="9"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r>
      <w:tr>
        <w:trPr>
          <w:trHeight w:val="401" w:hRule="exact"/>
        </w:trPr>
        <w:tc>
          <w:tcPr>
            <w:tcW w:w="3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381" w:type="dxa"/>
            <w:gridSpan w:val="2"/>
            <w:tcBorders>
              <w:top w:val="single" w:sz="4" w:space="0" w:color="000000"/>
              <w:left w:val="single" w:sz="9" w:space="0" w:color="D2D2D2"/>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20</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年度内部控制评价报</w:t>
            </w:r>
            <w:r>
              <w:rPr>
                <w:rFonts w:ascii="宋体" w:hAnsi="宋体" w:cs="宋体" w:eastAsia="宋体" w:hint="default"/>
                <w:spacing w:val="-3"/>
                <w:sz w:val="18"/>
                <w:szCs w:val="18"/>
              </w:rPr>
              <w:t>告</w:t>
            </w:r>
            <w:r>
              <w:rPr>
                <w:rFonts w:ascii="宋体" w:hAnsi="宋体" w:cs="宋体" w:eastAsia="宋体" w:hint="default"/>
                <w:spacing w:val="-92"/>
                <w:sz w:val="18"/>
                <w:szCs w:val="18"/>
              </w:rPr>
              <w:t>》</w:t>
            </w:r>
            <w:r>
              <w:rPr>
                <w:rFonts w:ascii="宋体" w:hAnsi="宋体" w:cs="宋体" w:eastAsia="宋体" w:hint="default"/>
                <w:sz w:val="18"/>
                <w:szCs w:val="18"/>
              </w:rPr>
              <w:t>，刊登于巨潮资讯网</w:t>
            </w:r>
            <w:r>
              <w:rPr>
                <w:rFonts w:ascii="宋体" w:hAnsi="宋体" w:cs="宋体" w:eastAsia="宋体" w:hint="default"/>
                <w:spacing w:val="2"/>
                <w:sz w:val="18"/>
                <w:szCs w:val="18"/>
              </w:rPr>
              <w:t>（</w:t>
            </w:r>
            <w:r>
              <w:rPr>
                <w:rFonts w:ascii="Times New Roman" w:hAnsi="Times New Roman" w:cs="Times New Roman" w:eastAsia="Times New Roman" w:hint="default"/>
                <w:w w:val="99"/>
                <w:sz w:val="18"/>
                <w:szCs w:val="18"/>
              </w:rPr>
              <w:t>w</w:t>
            </w:r>
            <w:r>
              <w:rPr>
                <w:rFonts w:ascii="Times New Roman" w:hAnsi="Times New Roman" w:cs="Times New Roman" w:eastAsia="Times New Roman" w:hint="default"/>
                <w:spacing w:val="-1"/>
                <w:w w:val="99"/>
                <w:sz w:val="18"/>
                <w:szCs w:val="18"/>
              </w:rPr>
              <w:t>w</w:t>
            </w:r>
            <w:r>
              <w:rPr>
                <w:rFonts w:ascii="Times New Roman" w:hAnsi="Times New Roman" w:cs="Times New Roman" w:eastAsia="Times New Roman" w:hint="default"/>
                <w:spacing w:val="-15"/>
                <w:w w:val="99"/>
                <w:sz w:val="18"/>
                <w:szCs w:val="18"/>
              </w:rPr>
              <w:t>w</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cn</w:t>
            </w:r>
            <w:r>
              <w:rPr>
                <w:rFonts w:ascii="Times New Roman" w:hAnsi="Times New Roman" w:cs="Times New Roman" w:eastAsia="Times New Roman" w:hint="default"/>
                <w:sz w:val="18"/>
                <w:szCs w:val="18"/>
              </w:rPr>
              <w:t>i</w:t>
            </w:r>
            <w:r>
              <w:rPr>
                <w:rFonts w:ascii="Times New Roman" w:hAnsi="Times New Roman" w:cs="Times New Roman" w:eastAsia="Times New Roman" w:hint="default"/>
                <w:spacing w:val="1"/>
                <w:sz w:val="18"/>
                <w:szCs w:val="18"/>
              </w:rPr>
              <w:t>n</w:t>
            </w:r>
            <w:r>
              <w:rPr>
                <w:rFonts w:ascii="Times New Roman" w:hAnsi="Times New Roman" w:cs="Times New Roman" w:eastAsia="Times New Roman" w:hint="default"/>
                <w:spacing w:val="-3"/>
                <w:sz w:val="18"/>
                <w:szCs w:val="18"/>
              </w:rPr>
              <w:t>f</w:t>
            </w:r>
            <w:r>
              <w:rPr>
                <w:rFonts w:ascii="Times New Roman" w:hAnsi="Times New Roman" w:cs="Times New Roman" w:eastAsia="Times New Roman" w:hint="default"/>
                <w:spacing w:val="1"/>
                <w:sz w:val="18"/>
                <w:szCs w:val="18"/>
              </w:rPr>
              <w:t>o</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c</w:t>
            </w:r>
            <w:r>
              <w:rPr>
                <w:rFonts w:ascii="Times New Roman" w:hAnsi="Times New Roman" w:cs="Times New Roman" w:eastAsia="Times New Roman" w:hint="default"/>
                <w:spacing w:val="1"/>
                <w:sz w:val="18"/>
                <w:szCs w:val="18"/>
              </w:rPr>
              <w:t>o</w:t>
            </w:r>
            <w:r>
              <w:rPr>
                <w:rFonts w:ascii="Times New Roman" w:hAnsi="Times New Roman" w:cs="Times New Roman" w:eastAsia="Times New Roman" w:hint="default"/>
                <w:spacing w:val="-4"/>
                <w:sz w:val="18"/>
                <w:szCs w:val="18"/>
              </w:rPr>
              <w:t>m</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c</w:t>
            </w:r>
            <w:r>
              <w:rPr>
                <w:rFonts w:ascii="Times New Roman" w:hAnsi="Times New Roman" w:cs="Times New Roman" w:eastAsia="Times New Roman" w:hint="default"/>
                <w:spacing w:val="1"/>
                <w:sz w:val="18"/>
                <w:szCs w:val="18"/>
              </w:rPr>
              <w:t>n</w:t>
            </w:r>
            <w:r>
              <w:rPr>
                <w:rFonts w:ascii="Times New Roman" w:hAnsi="Times New Roman" w:cs="Times New Roman" w:eastAsia="Times New Roman" w:hint="default"/>
                <w:sz w:val="18"/>
                <w:szCs w:val="18"/>
              </w:rPr>
              <w:t>)</w:t>
            </w:r>
          </w:p>
        </w:tc>
      </w:tr>
      <w:tr>
        <w:trPr>
          <w:trHeight w:val="715" w:hRule="exact"/>
        </w:trPr>
        <w:tc>
          <w:tcPr>
            <w:tcW w:w="3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4"/>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纳入评价范围单位资产总额占公司合并 财务报表资产总额的比例</w:t>
            </w:r>
          </w:p>
        </w:tc>
        <w:tc>
          <w:tcPr>
            <w:tcW w:w="6381" w:type="dxa"/>
            <w:gridSpan w:val="2"/>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713" w:hRule="exact"/>
        </w:trPr>
        <w:tc>
          <w:tcPr>
            <w:tcW w:w="3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94"/>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纳入评价范围单位营业收入占公司合并 财务报表营业收入的比例</w:t>
            </w:r>
          </w:p>
        </w:tc>
        <w:tc>
          <w:tcPr>
            <w:tcW w:w="6381" w:type="dxa"/>
            <w:gridSpan w:val="2"/>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398" w:hRule="exact"/>
        </w:trPr>
        <w:tc>
          <w:tcPr>
            <w:tcW w:w="955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2"/>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6" w:hRule="exact"/>
        </w:trPr>
        <w:tc>
          <w:tcPr>
            <w:tcW w:w="3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 w:right="7"/>
              <w:jc w:val="center"/>
              <w:rPr>
                <w:rFonts w:ascii="宋体" w:hAnsi="宋体" w:cs="宋体" w:eastAsia="宋体" w:hint="default"/>
                <w:sz w:val="18"/>
                <w:szCs w:val="18"/>
              </w:rPr>
            </w:pPr>
            <w:r>
              <w:rPr>
                <w:rFonts w:ascii="宋体" w:hAnsi="宋体" w:cs="宋体" w:eastAsia="宋体" w:hint="default"/>
                <w:sz w:val="18"/>
                <w:szCs w:val="18"/>
              </w:rPr>
              <w:t>类别</w:t>
            </w:r>
          </w:p>
        </w:tc>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 w:right="0"/>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1"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2657" w:hRule="exact"/>
        </w:trPr>
        <w:tc>
          <w:tcPr>
            <w:tcW w:w="3178" w:type="dxa"/>
            <w:tcBorders>
              <w:top w:val="single" w:sz="4" w:space="0" w:color="000000"/>
              <w:left w:val="single" w:sz="4" w:space="0" w:color="000000"/>
              <w:bottom w:val="nil" w:sz="6" w:space="0" w:color="auto"/>
              <w:right w:val="single" w:sz="4" w:space="0" w:color="000000"/>
            </w:tcBorders>
            <w:shd w:val="clear" w:color="auto" w:fill="D2D2D2"/>
          </w:tcPr>
          <w:p>
            <w:pPr/>
          </w:p>
        </w:tc>
        <w:tc>
          <w:tcPr>
            <w:tcW w:w="3327" w:type="dxa"/>
            <w:vMerge w:val="restart"/>
            <w:tcBorders>
              <w:top w:val="single" w:sz="4" w:space="0" w:color="000000"/>
              <w:left w:val="single" w:sz="9" w:space="0" w:color="D2D2D2"/>
              <w:right w:val="single" w:sz="4" w:space="0" w:color="000000"/>
            </w:tcBorders>
          </w:tcPr>
          <w:p>
            <w:pPr>
              <w:pStyle w:val="TableParagraph"/>
              <w:spacing w:line="316" w:lineRule="auto" w:before="49"/>
              <w:ind w:left="23" w:right="19"/>
              <w:jc w:val="left"/>
              <w:rPr>
                <w:rFonts w:ascii="宋体" w:hAnsi="宋体" w:cs="宋体" w:eastAsia="宋体" w:hint="default"/>
                <w:sz w:val="18"/>
                <w:szCs w:val="18"/>
              </w:rPr>
            </w:pPr>
            <w:r>
              <w:rPr>
                <w:rFonts w:ascii="宋体" w:hAnsi="宋体" w:cs="宋体" w:eastAsia="宋体" w:hint="default"/>
                <w:sz w:val="18"/>
                <w:szCs w:val="18"/>
              </w:rPr>
              <w:t>财务报告重大缺陷的迹象包括：①控制环 境无效；②公司董事、监事和高级管理人 员舞弊并给企业造成重大损失和不利影 响；③注册会计师发现当期财务报告存在 重大错报，而内部控制在运行过程中未能 发现该错报；④公司审计委员会和内部审 计机构对内部控制的监督无效；⑤已经发 现并报告给管理层的重大缺陷在合理的时 间后未加以改正。财务报告重要缺陷的迹 象包括：①未依照公认会计准则选择和应 用会计政策；②未建立反舞弊程序和控制 措施；③对于非常规或特殊交易的账务处 理没有建立相应的控制机制或没有实施且 没有相应的补偿性控制；</w:t>
            </w:r>
            <w:r>
              <w:rPr>
                <w:rFonts w:ascii="宋体" w:hAnsi="宋体" w:cs="宋体" w:eastAsia="宋体" w:hint="default"/>
                <w:spacing w:val="-63"/>
                <w:sz w:val="18"/>
                <w:szCs w:val="18"/>
              </w:rPr>
              <w:t> </w:t>
            </w:r>
            <w:r>
              <w:rPr>
                <w:rFonts w:ascii="宋体" w:hAnsi="宋体" w:cs="宋体" w:eastAsia="宋体" w:hint="default"/>
                <w:sz w:val="18"/>
                <w:szCs w:val="18"/>
              </w:rPr>
              <w:t>④对于期末财务</w:t>
            </w:r>
            <w:r>
              <w:rPr>
                <w:rFonts w:ascii="宋体" w:hAnsi="宋体" w:cs="宋体" w:eastAsia="宋体" w:hint="default"/>
                <w:sz w:val="18"/>
                <w:szCs w:val="18"/>
              </w:rPr>
              <w:t> 报告过程的控制存在一项或多项缺陷且不 能合理保证编制的财务报表达到真实、完 整的目标。一般缺陷是指除上述重大缺陷 或重要缺陷之外的其他内部控制缺陷。</w:t>
            </w:r>
          </w:p>
        </w:tc>
        <w:tc>
          <w:tcPr>
            <w:tcW w:w="305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5"/>
              <w:ind w:left="26" w:right="-43"/>
              <w:jc w:val="left"/>
              <w:rPr>
                <w:rFonts w:ascii="宋体" w:hAnsi="宋体" w:cs="宋体" w:eastAsia="宋体" w:hint="default"/>
                <w:sz w:val="18"/>
                <w:szCs w:val="18"/>
              </w:rPr>
            </w:pPr>
            <w:r>
              <w:rPr>
                <w:rFonts w:ascii="宋体" w:hAnsi="宋体" w:cs="宋体" w:eastAsia="宋体" w:hint="default"/>
                <w:sz w:val="18"/>
                <w:szCs w:val="18"/>
              </w:rPr>
              <w:t>非财务报告内部控制重大缺陷的迹象 </w:t>
            </w:r>
            <w:r>
              <w:rPr>
                <w:rFonts w:ascii="宋体" w:hAnsi="宋体" w:cs="宋体" w:eastAsia="宋体" w:hint="default"/>
                <w:spacing w:val="-4"/>
                <w:sz w:val="18"/>
                <w:szCs w:val="18"/>
              </w:rPr>
              <w:t>包括：①违反国家法律、法规或规范性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4"/>
                <w:sz w:val="18"/>
                <w:szCs w:val="18"/>
              </w:rPr>
              <w:t>文件；②决策程序不科学导致重大决策</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失误；③重要业务制度性缺失或系统性</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失效；④重大或重要缺陷不能得到有效</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整改；⑤安全、环保事故对公司造成重</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4"/>
                <w:sz w:val="18"/>
                <w:szCs w:val="18"/>
              </w:rPr>
              <w:t>大负面影响的情形；⑥其他对公司产生</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重大负面影响的情形。非财务报告内部</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控制重要缺陷的迹象包括：①重要业务</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制度或系统存在缺陷；②内部控制内部</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监督发现的重要缺陷未及时整改；③其</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他对公司产生较大负面影响的情形。 非财务报告内部控制一般缺陷迹象包 括：①一般业务制度或系统存在缺陷；</w:t>
            </w:r>
          </w:p>
          <w:p>
            <w:pPr>
              <w:pStyle w:val="TableParagraph"/>
              <w:spacing w:line="316" w:lineRule="auto" w:before="19"/>
              <w:ind w:left="26" w:right="135"/>
              <w:jc w:val="left"/>
              <w:rPr>
                <w:rFonts w:ascii="宋体" w:hAnsi="宋体" w:cs="宋体" w:eastAsia="宋体" w:hint="default"/>
                <w:sz w:val="18"/>
                <w:szCs w:val="18"/>
              </w:rPr>
            </w:pPr>
            <w:r>
              <w:rPr>
                <w:rFonts w:ascii="宋体" w:hAnsi="宋体" w:cs="宋体" w:eastAsia="宋体" w:hint="default"/>
                <w:sz w:val="18"/>
                <w:szCs w:val="18"/>
              </w:rPr>
              <w:t>②内部控制内部监督发现的一般缺陷 未及时整改。</w:t>
            </w:r>
          </w:p>
        </w:tc>
      </w:tr>
      <w:tr>
        <w:trPr>
          <w:trHeight w:val="394" w:hRule="exact"/>
        </w:trPr>
        <w:tc>
          <w:tcPr>
            <w:tcW w:w="317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327" w:type="dxa"/>
            <w:vMerge/>
            <w:tcBorders>
              <w:left w:val="single" w:sz="9" w:space="0" w:color="D2D2D2"/>
              <w:right w:val="single" w:sz="4" w:space="0" w:color="000000"/>
            </w:tcBorders>
          </w:tcPr>
          <w:p>
            <w:pPr/>
          </w:p>
        </w:tc>
        <w:tc>
          <w:tcPr>
            <w:tcW w:w="3053" w:type="dxa"/>
            <w:vMerge/>
            <w:tcBorders>
              <w:left w:val="single" w:sz="4" w:space="0" w:color="000000"/>
              <w:right w:val="single" w:sz="4" w:space="0" w:color="000000"/>
            </w:tcBorders>
          </w:tcPr>
          <w:p>
            <w:pPr/>
          </w:p>
        </w:tc>
      </w:tr>
      <w:tr>
        <w:trPr>
          <w:trHeight w:val="2657" w:hRule="exact"/>
        </w:trPr>
        <w:tc>
          <w:tcPr>
            <w:tcW w:w="3178" w:type="dxa"/>
            <w:tcBorders>
              <w:top w:val="nil" w:sz="6" w:space="0" w:color="auto"/>
              <w:left w:val="single" w:sz="4" w:space="0" w:color="000000"/>
              <w:bottom w:val="single" w:sz="4" w:space="0" w:color="000000"/>
              <w:right w:val="single" w:sz="4" w:space="0" w:color="000000"/>
            </w:tcBorders>
            <w:shd w:val="clear" w:color="auto" w:fill="D2D2D2"/>
          </w:tcPr>
          <w:p>
            <w:pPr/>
          </w:p>
        </w:tc>
        <w:tc>
          <w:tcPr>
            <w:tcW w:w="3327" w:type="dxa"/>
            <w:vMerge/>
            <w:tcBorders>
              <w:left w:val="single" w:sz="9" w:space="0" w:color="D2D2D2"/>
              <w:bottom w:val="single" w:sz="4" w:space="0" w:color="000000"/>
              <w:right w:val="single" w:sz="4" w:space="0" w:color="000000"/>
            </w:tcBorders>
          </w:tcPr>
          <w:p>
            <w:pPr/>
          </w:p>
        </w:tc>
        <w:tc>
          <w:tcPr>
            <w:tcW w:w="3053" w:type="dxa"/>
            <w:vMerge/>
            <w:tcBorders>
              <w:left w:val="single" w:sz="4" w:space="0" w:color="000000"/>
              <w:bottom w:val="single" w:sz="4" w:space="0" w:color="000000"/>
              <w:right w:val="single" w:sz="4" w:space="0" w:color="000000"/>
            </w:tcBorders>
          </w:tcPr>
          <w:p>
            <w:pPr/>
          </w:p>
        </w:tc>
      </w:tr>
      <w:tr>
        <w:trPr>
          <w:trHeight w:val="401" w:hRule="exact"/>
        </w:trPr>
        <w:tc>
          <w:tcPr>
            <w:tcW w:w="3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32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8"/>
              <w:ind w:right="0"/>
              <w:jc w:val="center"/>
              <w:rPr>
                <w:rFonts w:ascii="宋体" w:hAnsi="宋体" w:cs="宋体" w:eastAsia="宋体" w:hint="default"/>
                <w:sz w:val="18"/>
                <w:szCs w:val="18"/>
              </w:rPr>
            </w:pPr>
            <w:r>
              <w:rPr>
                <w:rFonts w:ascii="宋体" w:hAnsi="宋体" w:cs="宋体" w:eastAsia="宋体" w:hint="default"/>
                <w:sz w:val="18"/>
                <w:szCs w:val="18"/>
              </w:rPr>
              <w:t>重大缺陷：错报金额</w:t>
            </w:r>
            <w:r>
              <w:rPr>
                <w:rFonts w:ascii="Times New Roman" w:hAnsi="Times New Roman" w:cs="Times New Roman" w:eastAsia="Times New Roman" w:hint="default"/>
                <w:sz w:val="18"/>
                <w:szCs w:val="18"/>
              </w:rPr>
              <w:t>≥</w:t>
            </w:r>
            <w:r>
              <w:rPr>
                <w:rFonts w:ascii="宋体" w:hAnsi="宋体" w:cs="宋体" w:eastAsia="宋体" w:hint="default"/>
                <w:sz w:val="18"/>
                <w:szCs w:val="18"/>
              </w:rPr>
              <w:t>资产总额的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或错</w:t>
            </w:r>
          </w:p>
        </w:tc>
        <w:tc>
          <w:tcPr>
            <w:tcW w:w="30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4" w:right="0"/>
              <w:jc w:val="center"/>
              <w:rPr>
                <w:rFonts w:ascii="宋体" w:hAnsi="宋体" w:cs="宋体" w:eastAsia="宋体" w:hint="default"/>
                <w:sz w:val="18"/>
                <w:szCs w:val="18"/>
              </w:rPr>
            </w:pPr>
            <w:r>
              <w:rPr>
                <w:rFonts w:ascii="宋体" w:hAnsi="宋体" w:cs="宋体" w:eastAsia="宋体" w:hint="default"/>
                <w:sz w:val="18"/>
                <w:szCs w:val="18"/>
              </w:rPr>
              <w:t>重大缺陷：损失</w:t>
            </w:r>
            <w:r>
              <w:rPr>
                <w:rFonts w:ascii="Times New Roman" w:hAnsi="Times New Roman" w:cs="Times New Roman" w:eastAsia="Times New Roman" w:hint="default"/>
                <w:sz w:val="18"/>
                <w:szCs w:val="18"/>
              </w:rPr>
              <w:t>&gt;1000</w:t>
            </w:r>
            <w:r>
              <w:rPr>
                <w:rFonts w:ascii="Times New Roman" w:hAnsi="Times New Roman" w:cs="Times New Roman" w:eastAsia="Times New Roman" w:hint="default"/>
                <w:spacing w:val="-12"/>
                <w:sz w:val="18"/>
                <w:szCs w:val="18"/>
              </w:rPr>
              <w:t> </w:t>
            </w:r>
            <w:r>
              <w:rPr>
                <w:rFonts w:ascii="宋体" w:hAnsi="宋体" w:cs="宋体" w:eastAsia="宋体" w:hint="default"/>
                <w:spacing w:val="-3"/>
                <w:sz w:val="18"/>
                <w:szCs w:val="18"/>
              </w:rPr>
              <w:t>万元，对公司造</w:t>
            </w:r>
          </w:p>
        </w:tc>
      </w:tr>
    </w:tbl>
    <w:p>
      <w:pPr>
        <w:spacing w:after="0" w:line="240" w:lineRule="auto"/>
        <w:jc w:val="center"/>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b/>
          <w:bCs/>
          <w:sz w:val="28"/>
          <w:szCs w:val="28"/>
        </w:rPr>
      </w:pPr>
      <w:r>
        <w:rPr/>
        <w:pict>
          <v:group style="position:absolute;margin-left:384.070007pt;margin-top:134.899979pt;width:149.7pt;height:15.6pt;mso-position-horizontal-relative:page;mso-position-vertical-relative:page;z-index:-1094656" coordorigin="7681,2698" coordsize="2994,312">
            <v:shape style="position:absolute;left:7681;top:2698;width:2994;height:312" coordorigin="7681,2698" coordsize="2994,312" path="m7681,3010l10675,3010,10675,2698,7681,2698,7681,3010xe" filled="true" fillcolor="#ffffff" stroked="false">
              <v:path arrowok="t"/>
              <v:fill type="solid"/>
            </v:shape>
            <w10:wrap type="none"/>
          </v:group>
        </w:pict>
      </w:r>
    </w:p>
    <w:tbl>
      <w:tblPr>
        <w:tblW w:w="0" w:type="auto"/>
        <w:jc w:val="left"/>
        <w:tblInd w:w="149" w:type="dxa"/>
        <w:tblLayout w:type="fixed"/>
        <w:tblCellMar>
          <w:top w:w="0" w:type="dxa"/>
          <w:left w:w="0" w:type="dxa"/>
          <w:bottom w:w="0" w:type="dxa"/>
          <w:right w:w="0" w:type="dxa"/>
        </w:tblCellMar>
        <w:tblLook w:val="01E0"/>
      </w:tblPr>
      <w:tblGrid>
        <w:gridCol w:w="3194"/>
        <w:gridCol w:w="3335"/>
        <w:gridCol w:w="3040"/>
      </w:tblGrid>
      <w:tr>
        <w:trPr>
          <w:trHeight w:val="2547"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35" w:type="dxa"/>
            <w:tcBorders>
              <w:top w:val="single" w:sz="4" w:space="0" w:color="000000"/>
              <w:left w:val="single" w:sz="4" w:space="0" w:color="000000"/>
              <w:bottom w:val="single" w:sz="4" w:space="0" w:color="000000"/>
              <w:right w:val="single" w:sz="14" w:space="0" w:color="FFFFFF"/>
            </w:tcBorders>
          </w:tcPr>
          <w:p>
            <w:pPr>
              <w:pStyle w:val="TableParagraph"/>
              <w:spacing w:line="300" w:lineRule="auto" w:before="8"/>
              <w:ind w:left="24" w:right="-37"/>
              <w:jc w:val="left"/>
              <w:rPr>
                <w:rFonts w:ascii="宋体" w:hAnsi="宋体" w:cs="宋体" w:eastAsia="宋体" w:hint="default"/>
                <w:sz w:val="18"/>
                <w:szCs w:val="18"/>
              </w:rPr>
            </w:pPr>
            <w:r>
              <w:rPr>
                <w:rFonts w:ascii="宋体" w:hAnsi="宋体" w:cs="宋体" w:eastAsia="宋体" w:hint="default"/>
                <w:sz w:val="18"/>
                <w:szCs w:val="18"/>
              </w:rPr>
              <w:t>报金额</w:t>
            </w:r>
            <w:r>
              <w:rPr>
                <w:rFonts w:ascii="Times New Roman" w:hAnsi="Times New Roman" w:cs="Times New Roman" w:eastAsia="Times New Roman" w:hint="default"/>
                <w:sz w:val="18"/>
                <w:szCs w:val="18"/>
              </w:rPr>
              <w:t>≥</w:t>
            </w:r>
            <w:r>
              <w:rPr>
                <w:rFonts w:ascii="宋体" w:hAnsi="宋体" w:cs="宋体" w:eastAsia="宋体" w:hint="default"/>
                <w:sz w:val="18"/>
                <w:szCs w:val="18"/>
              </w:rPr>
              <w:t>营业收入总额的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或错报金额</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净利润的</w:t>
            </w:r>
            <w:r>
              <w:rPr>
                <w:rFonts w:ascii="宋体" w:hAnsi="宋体" w:cs="宋体" w:eastAsia="宋体" w:hint="default"/>
                <w:spacing w:val="-52"/>
                <w:sz w:val="18"/>
                <w:szCs w:val="18"/>
              </w:rPr>
              <w:t> </w:t>
            </w:r>
            <w:r>
              <w:rPr>
                <w:rFonts w:ascii="Times New Roman" w:hAnsi="Times New Roman" w:cs="Times New Roman" w:eastAsia="Times New Roman" w:hint="default"/>
                <w:spacing w:val="-7"/>
                <w:sz w:val="18"/>
                <w:szCs w:val="18"/>
              </w:rPr>
              <w:t>5%</w:t>
            </w:r>
            <w:r>
              <w:rPr>
                <w:rFonts w:ascii="宋体" w:hAnsi="宋体" w:cs="宋体" w:eastAsia="宋体" w:hint="default"/>
                <w:spacing w:val="-7"/>
                <w:sz w:val="18"/>
                <w:szCs w:val="18"/>
              </w:rPr>
              <w:t>；重要缺陷：资产总额的</w:t>
            </w:r>
            <w:r>
              <w:rPr>
                <w:rFonts w:ascii="宋体" w:hAnsi="宋体" w:cs="宋体" w:eastAsia="宋体" w:hint="default"/>
                <w:spacing w:val="-51"/>
                <w:sz w:val="18"/>
                <w:szCs w:val="18"/>
              </w:rPr>
              <w:t> </w:t>
            </w:r>
            <w:r>
              <w:rPr>
                <w:rFonts w:ascii="Times New Roman" w:hAnsi="Times New Roman" w:cs="Times New Roman" w:eastAsia="Times New Roman" w:hint="default"/>
                <w:spacing w:val="-1"/>
                <w:w w:val="100"/>
                <w:sz w:val="18"/>
                <w:szCs w:val="18"/>
              </w:rPr>
              <w:t>3%</w:t>
            </w:r>
            <w:r>
              <w:rPr>
                <w:rFonts w:ascii="Times New Roman" w:hAnsi="Times New Roman" w:cs="Times New Roman" w:eastAsia="Times New Roman" w:hint="default"/>
                <w:spacing w:val="-1"/>
                <w:w w:val="100"/>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错报金额＜资产总额的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或营业收入总 额的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z w:val="18"/>
                <w:szCs w:val="18"/>
              </w:rPr>
              <w:t>≤</w:t>
            </w:r>
            <w:r>
              <w:rPr>
                <w:rFonts w:ascii="宋体" w:hAnsi="宋体" w:cs="宋体" w:eastAsia="宋体" w:hint="default"/>
                <w:sz w:val="18"/>
                <w:szCs w:val="18"/>
              </w:rPr>
              <w:t>错报金额＜营业收入总额的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或净利润的</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z w:val="18"/>
                <w:szCs w:val="18"/>
              </w:rPr>
              <w:t>≤</w:t>
            </w:r>
            <w:r>
              <w:rPr>
                <w:rFonts w:ascii="宋体" w:hAnsi="宋体" w:cs="宋体" w:eastAsia="宋体" w:hint="default"/>
                <w:sz w:val="18"/>
                <w:szCs w:val="18"/>
              </w:rPr>
              <w:t>错报金额＜净利润的</w:t>
            </w:r>
            <w:r>
              <w:rPr>
                <w:rFonts w:ascii="宋体" w:hAnsi="宋体" w:cs="宋体" w:eastAsia="宋体" w:hint="default"/>
                <w:spacing w:val="-51"/>
                <w:sz w:val="18"/>
                <w:szCs w:val="18"/>
              </w:rPr>
              <w:t> </w:t>
            </w:r>
            <w:r>
              <w:rPr>
                <w:rFonts w:ascii="Times New Roman" w:hAnsi="Times New Roman" w:cs="Times New Roman" w:eastAsia="Times New Roman" w:hint="default"/>
                <w:spacing w:val="-12"/>
                <w:sz w:val="18"/>
                <w:szCs w:val="18"/>
              </w:rPr>
              <w:t>5%</w:t>
            </w:r>
            <w:r>
              <w:rPr>
                <w:rFonts w:ascii="宋体" w:hAnsi="宋体" w:cs="宋体" w:eastAsia="宋体" w:hint="default"/>
                <w:spacing w:val="-12"/>
                <w:sz w:val="18"/>
                <w:szCs w:val="18"/>
              </w:rPr>
              <w:t>；</w:t>
            </w:r>
            <w:r>
              <w:rPr>
                <w:rFonts w:ascii="宋体" w:hAnsi="宋体" w:cs="宋体" w:eastAsia="宋体" w:hint="default"/>
                <w:spacing w:val="-34"/>
                <w:sz w:val="18"/>
                <w:szCs w:val="18"/>
              </w:rPr>
              <w:t> </w:t>
            </w:r>
            <w:r>
              <w:rPr>
                <w:rFonts w:ascii="宋体" w:hAnsi="宋体" w:cs="宋体" w:eastAsia="宋体" w:hint="default"/>
                <w:spacing w:val="-6"/>
                <w:sz w:val="18"/>
                <w:szCs w:val="18"/>
              </w:rPr>
              <w:t>一般缺陷：错报金额＜资产总额的</w:t>
            </w:r>
            <w:r>
              <w:rPr>
                <w:rFonts w:ascii="宋体" w:hAnsi="宋体" w:cs="宋体" w:eastAsia="宋体" w:hint="default"/>
                <w:spacing w:val="-39"/>
                <w:sz w:val="18"/>
                <w:szCs w:val="18"/>
              </w:rPr>
              <w:t> </w:t>
            </w: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或错</w:t>
            </w:r>
            <w:r>
              <w:rPr>
                <w:rFonts w:ascii="宋体" w:hAnsi="宋体" w:cs="宋体" w:eastAsia="宋体" w:hint="default"/>
                <w:spacing w:val="-80"/>
                <w:sz w:val="18"/>
                <w:szCs w:val="18"/>
              </w:rPr>
              <w:t> </w:t>
            </w:r>
            <w:r>
              <w:rPr>
                <w:rFonts w:ascii="宋体" w:hAnsi="宋体" w:cs="宋体" w:eastAsia="宋体" w:hint="default"/>
                <w:sz w:val="18"/>
                <w:szCs w:val="18"/>
              </w:rPr>
              <w:t>报金额＜营业收入总额的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或错报金额</w:t>
            </w:r>
          </w:p>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＜净利润的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3040" w:type="dxa"/>
            <w:tcBorders>
              <w:top w:val="single" w:sz="4" w:space="0" w:color="000000"/>
              <w:left w:val="single" w:sz="14" w:space="0" w:color="FFFFFF"/>
              <w:bottom w:val="single" w:sz="4" w:space="0" w:color="000000"/>
              <w:right w:val="single" w:sz="4" w:space="0" w:color="000000"/>
            </w:tcBorders>
          </w:tcPr>
          <w:p>
            <w:pPr>
              <w:pStyle w:val="TableParagraph"/>
              <w:spacing w:line="314" w:lineRule="auto" w:before="8"/>
              <w:ind w:left="-1" w:right="-43"/>
              <w:jc w:val="left"/>
              <w:rPr>
                <w:rFonts w:ascii="宋体" w:hAnsi="宋体" w:cs="宋体" w:eastAsia="宋体" w:hint="default"/>
                <w:sz w:val="18"/>
                <w:szCs w:val="18"/>
              </w:rPr>
            </w:pPr>
            <w:r>
              <w:rPr>
                <w:rFonts w:ascii="宋体" w:hAnsi="宋体" w:cs="宋体" w:eastAsia="宋体" w:hint="default"/>
                <w:sz w:val="18"/>
                <w:szCs w:val="18"/>
              </w:rPr>
              <w:t>成较大负面影响并以公告形式对外披 露； </w:t>
            </w:r>
            <w:r>
              <w:rPr>
                <w:rFonts w:ascii="宋体" w:hAnsi="宋体" w:cs="宋体" w:eastAsia="宋体" w:hint="default"/>
                <w:spacing w:val="-5"/>
                <w:sz w:val="18"/>
                <w:szCs w:val="18"/>
              </w:rPr>
              <w:t>重要缺陷：</w:t>
            </w:r>
            <w:r>
              <w:rPr>
                <w:rFonts w:ascii="Times New Roman" w:hAnsi="Times New Roman" w:cs="Times New Roman" w:eastAsia="Times New Roman" w:hint="default"/>
                <w:spacing w:val="-5"/>
                <w:sz w:val="18"/>
                <w:szCs w:val="18"/>
              </w:rPr>
              <w:t>100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万元＜损失</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1000 </w:t>
            </w:r>
            <w:r>
              <w:rPr>
                <w:rFonts w:ascii="宋体" w:hAnsi="宋体" w:cs="宋体" w:eastAsia="宋体" w:hint="default"/>
                <w:spacing w:val="-4"/>
                <w:sz w:val="18"/>
                <w:szCs w:val="18"/>
              </w:rPr>
              <w:t>万元，受到省级以上政府部门处罚但未</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对本公司定期报告披露造成负面影响； 一般缺陷：损失</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万元，受到省级</w:t>
            </w:r>
          </w:p>
          <w:p>
            <w:pPr>
              <w:pStyle w:val="TableParagraph"/>
              <w:spacing w:line="316" w:lineRule="auto" w:before="1"/>
              <w:ind w:left="-1" w:right="20"/>
              <w:jc w:val="left"/>
              <w:rPr>
                <w:rFonts w:ascii="宋体" w:hAnsi="宋体" w:cs="宋体" w:eastAsia="宋体" w:hint="default"/>
                <w:sz w:val="18"/>
                <w:szCs w:val="18"/>
              </w:rPr>
            </w:pPr>
            <w:r>
              <w:rPr>
                <w:rFonts w:ascii="宋体" w:hAnsi="宋体" w:cs="宋体" w:eastAsia="宋体" w:hint="default"/>
                <w:spacing w:val="-4"/>
                <w:sz w:val="18"/>
                <w:szCs w:val="18"/>
              </w:rPr>
              <w:t>（含省级）以下政府部门处罚，但未对</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本公司定期报告披露造成负面影响。</w:t>
            </w:r>
          </w:p>
        </w:tc>
      </w:tr>
      <w:tr>
        <w:trPr>
          <w:trHeight w:val="401"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4"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1"/>
        <w:rPr>
          <w:rFonts w:ascii="宋体" w:hAnsi="宋体" w:cs="宋体" w:eastAsia="宋体" w:hint="default"/>
          <w:b/>
          <w:bCs/>
          <w:sz w:val="18"/>
          <w:szCs w:val="18"/>
        </w:rPr>
      </w:pPr>
    </w:p>
    <w:p>
      <w:pPr>
        <w:pStyle w:val="Heading2"/>
        <w:spacing w:line="240" w:lineRule="auto" w:before="26"/>
        <w:ind w:right="1133"/>
        <w:jc w:val="left"/>
        <w:rPr>
          <w:b w:val="0"/>
          <w:bCs w:val="0"/>
        </w:rPr>
      </w:pPr>
      <w:bookmarkStart w:name="十、内部控制审计报告或鉴证报告" w:id="154"/>
      <w:bookmarkEnd w:id="154"/>
      <w:r>
        <w:rPr>
          <w:b w:val="0"/>
          <w:bCs w:val="0"/>
        </w:rPr>
      </w:r>
      <w:r>
        <w:rPr/>
        <w:t>十、内部控制审计报告或鉴证报告</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1133"/>
        <w:jc w:val="left"/>
      </w:pPr>
      <w:r>
        <w:rPr/>
        <w:t>内部控制鉴证报告</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61"/>
        <w:gridCol w:w="6908"/>
      </w:tblGrid>
      <w:tr>
        <w:trPr>
          <w:trHeight w:val="403" w:hRule="exact"/>
        </w:trPr>
        <w:tc>
          <w:tcPr>
            <w:tcW w:w="957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内部控制鉴证报告中的审议意见段</w:t>
            </w:r>
          </w:p>
        </w:tc>
      </w:tr>
      <w:tr>
        <w:trPr>
          <w:trHeight w:val="713" w:hRule="exact"/>
        </w:trPr>
        <w:tc>
          <w:tcPr>
            <w:tcW w:w="9570"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2" w:right="19"/>
              <w:jc w:val="left"/>
              <w:rPr>
                <w:rFonts w:ascii="宋体" w:hAnsi="宋体" w:cs="宋体" w:eastAsia="宋体" w:hint="default"/>
                <w:sz w:val="18"/>
                <w:szCs w:val="18"/>
              </w:rPr>
            </w:pPr>
            <w:r>
              <w:rPr>
                <w:rFonts w:ascii="宋体" w:hAnsi="宋体" w:cs="宋体" w:eastAsia="宋体" w:hint="default"/>
                <w:spacing w:val="-3"/>
                <w:sz w:val="18"/>
                <w:szCs w:val="18"/>
              </w:rPr>
              <w:t>我们认为，贵公司董事会按照财政部颁发的《企业内部控制基本规范》及相关具体规范的控制标准于</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日 在所有重大方面保持了与财务报表相关的有效的内部控制。</w:t>
            </w:r>
          </w:p>
        </w:tc>
      </w:tr>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内控鉴证报告披露情况</w:t>
            </w:r>
          </w:p>
        </w:tc>
        <w:tc>
          <w:tcPr>
            <w:tcW w:w="6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披露</w:t>
            </w:r>
          </w:p>
        </w:tc>
      </w:tr>
      <w:tr>
        <w:trPr>
          <w:trHeight w:val="401"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内部控制鉴证报告全文披露日期</w:t>
            </w:r>
          </w:p>
        </w:tc>
        <w:tc>
          <w:tcPr>
            <w:tcW w:w="6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r>
      <w:tr>
        <w:trPr>
          <w:trHeight w:val="404"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内部控制鉴证报告全文披露索引</w:t>
            </w:r>
          </w:p>
        </w:tc>
        <w:tc>
          <w:tcPr>
            <w:tcW w:w="6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年内部控制鉴证报告</w:t>
            </w:r>
            <w:r>
              <w:rPr>
                <w:rFonts w:ascii="Times New Roman" w:hAnsi="Times New Roman" w:cs="Times New Roman" w:eastAsia="Times New Roman" w:hint="default"/>
                <w:sz w:val="18"/>
                <w:szCs w:val="18"/>
              </w:rPr>
              <w:t>--</w:t>
            </w:r>
            <w:r>
              <w:rPr>
                <w:rFonts w:ascii="宋体" w:hAnsi="宋体" w:cs="宋体" w:eastAsia="宋体" w:hint="default"/>
                <w:sz w:val="18"/>
                <w:szCs w:val="18"/>
              </w:rPr>
              <w:t>勤信鉴字（</w:t>
            </w:r>
            <w:r>
              <w:rPr>
                <w:rFonts w:ascii="Times New Roman" w:hAnsi="Times New Roman" w:cs="Times New Roman" w:eastAsia="Times New Roman" w:hint="default"/>
                <w:sz w:val="18"/>
                <w:szCs w:val="18"/>
              </w:rPr>
              <w:t>2020</w:t>
            </w:r>
            <w:r>
              <w:rPr>
                <w:rFonts w:ascii="宋体" w:hAnsi="宋体" w:cs="宋体" w:eastAsia="宋体" w:hint="default"/>
                <w:sz w:val="18"/>
                <w:szCs w:val="18"/>
              </w:rPr>
              <w:t>）第</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401"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内控鉴证报告意见类型</w:t>
            </w:r>
          </w:p>
        </w:tc>
        <w:tc>
          <w:tcPr>
            <w:tcW w:w="6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标准意见</w:t>
            </w:r>
          </w:p>
        </w:tc>
      </w:tr>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非财务报告是否存在重大缺陷</w:t>
            </w:r>
          </w:p>
        </w:tc>
        <w:tc>
          <w:tcPr>
            <w:tcW w:w="6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pStyle w:val="BodyText"/>
        <w:spacing w:line="240" w:lineRule="auto" w:before="49"/>
        <w:ind w:right="1133"/>
        <w:jc w:val="left"/>
      </w:pPr>
      <w:r>
        <w:rPr/>
        <w:t>会计师事务所是否出具非标准意见的内部控制鉴证报告</w:t>
      </w:r>
    </w:p>
    <w:p>
      <w:pPr>
        <w:pStyle w:val="BodyText"/>
        <w:spacing w:line="340" w:lineRule="auto" w:before="115"/>
        <w:ind w:right="463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否 会计师事务所出具的内部控制鉴证报告与董事会的自我评价报告意见是否一致</w:t>
      </w:r>
    </w:p>
    <w:p>
      <w:pPr>
        <w:pStyle w:val="BodyText"/>
        <w:spacing w:line="240" w:lineRule="auto" w:before="41"/>
        <w:ind w:right="1133"/>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否</w:t>
      </w:r>
    </w:p>
    <w:p>
      <w:pPr>
        <w:spacing w:after="0" w:line="240"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045" w:right="1133"/>
        <w:jc w:val="left"/>
        <w:rPr>
          <w:b w:val="0"/>
          <w:bCs w:val="0"/>
        </w:rPr>
      </w:pPr>
      <w:bookmarkStart w:name="_TOC_250002" w:id="155"/>
      <w:bookmarkStart w:name="第十一节公司债券相关情况" w:id="156"/>
      <w:r>
        <w:rPr>
          <w:b w:val="0"/>
          <w:bCs w:val="0"/>
        </w:rPr>
      </w:r>
      <w:r>
        <w:rPr/>
        <w:t>第十一节公司债券相关情况</w:t>
      </w:r>
      <w:bookmarkEnd w:id="155"/>
      <w:r>
        <w:rPr>
          <w:b w:val="0"/>
          <w:bCs w:val="0"/>
        </w:rPr>
      </w:r>
    </w:p>
    <w:p>
      <w:pPr>
        <w:spacing w:line="240" w:lineRule="auto" w:before="9"/>
        <w:rPr>
          <w:rFonts w:ascii="宋体" w:hAnsi="宋体" w:cs="宋体" w:eastAsia="宋体" w:hint="default"/>
          <w:b/>
          <w:bCs/>
          <w:sz w:val="42"/>
          <w:szCs w:val="42"/>
        </w:rPr>
      </w:pPr>
    </w:p>
    <w:p>
      <w:pPr>
        <w:pStyle w:val="BodyText"/>
        <w:spacing w:line="357" w:lineRule="auto"/>
        <w:ind w:right="2114"/>
        <w:jc w:val="left"/>
      </w:pPr>
      <w:r>
        <w:rPr/>
        <w:t>公司是否存在公开发行并在证券交易所上市，且在年度报告批准报出日未到期或到期未能全额兑付的公司债券 否</w:t>
      </w:r>
    </w:p>
    <w:p>
      <w:pPr>
        <w:spacing w:after="0" w:line="357"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607" w:right="1133"/>
        <w:jc w:val="left"/>
        <w:rPr>
          <w:b w:val="0"/>
          <w:bCs w:val="0"/>
        </w:rPr>
      </w:pPr>
      <w:bookmarkStart w:name="_TOC_250001" w:id="157"/>
      <w:bookmarkStart w:name="第十二节 财务报告" w:id="158"/>
      <w:r>
        <w:rPr>
          <w:b w:val="0"/>
          <w:bCs w:val="0"/>
        </w:rPr>
      </w:r>
      <w:r>
        <w:rPr/>
        <w:t>第十二节</w:t>
      </w:r>
      <w:r>
        <w:rPr>
          <w:spacing w:val="-6"/>
        </w:rPr>
        <w:t> </w:t>
      </w:r>
      <w:r>
        <w:rPr/>
        <w:t>财务报告</w:t>
      </w:r>
      <w:bookmarkEnd w:id="157"/>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before="26"/>
        <w:ind w:right="1133"/>
        <w:jc w:val="left"/>
        <w:rPr>
          <w:b w:val="0"/>
          <w:bCs w:val="0"/>
        </w:rPr>
      </w:pPr>
      <w:bookmarkStart w:name="一、审计报告" w:id="159"/>
      <w:bookmarkEnd w:id="159"/>
      <w:r>
        <w:rPr>
          <w:b w:val="0"/>
          <w:bCs w:val="0"/>
        </w:rPr>
      </w:r>
      <w:r>
        <w:rPr/>
        <w:t>一、审计报告</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3"/>
        <w:gridCol w:w="4787"/>
      </w:tblGrid>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日</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中勤万信会计师事务所（特殊普通合伙）</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年财务审计报告</w:t>
            </w:r>
            <w:r>
              <w:rPr>
                <w:rFonts w:ascii="Times New Roman" w:hAnsi="Times New Roman" w:cs="Times New Roman" w:eastAsia="Times New Roman" w:hint="default"/>
                <w:sz w:val="18"/>
                <w:szCs w:val="18"/>
              </w:rPr>
              <w:t>--</w:t>
            </w:r>
            <w:r>
              <w:rPr>
                <w:rFonts w:ascii="宋体" w:hAnsi="宋体" w:cs="宋体" w:eastAsia="宋体" w:hint="default"/>
                <w:sz w:val="18"/>
                <w:szCs w:val="18"/>
              </w:rPr>
              <w:t>勤信审字（</w:t>
            </w:r>
            <w:r>
              <w:rPr>
                <w:rFonts w:ascii="Times New Roman" w:hAnsi="Times New Roman" w:cs="Times New Roman" w:eastAsia="Times New Roman" w:hint="default"/>
                <w:sz w:val="18"/>
                <w:szCs w:val="18"/>
              </w:rPr>
              <w:t>2020</w:t>
            </w:r>
            <w:r>
              <w:rPr>
                <w:rFonts w:ascii="宋体" w:hAnsi="宋体" w:cs="宋体" w:eastAsia="宋体" w:hint="default"/>
                <w:sz w:val="18"/>
                <w:szCs w:val="18"/>
              </w:rPr>
              <w:t>）第</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0966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404"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潘忠民、黄建军</w:t>
            </w:r>
          </w:p>
        </w:tc>
      </w:tr>
    </w:tbl>
    <w:p>
      <w:pPr>
        <w:pStyle w:val="BodyText"/>
        <w:spacing w:line="240" w:lineRule="auto" w:before="49"/>
        <w:ind w:left="778" w:right="1756"/>
        <w:jc w:val="center"/>
      </w:pPr>
      <w:r>
        <w:rPr/>
        <w:t>审计报告正文</w:t>
      </w:r>
    </w:p>
    <w:p>
      <w:pPr>
        <w:spacing w:line="240" w:lineRule="auto" w:before="6"/>
        <w:rPr>
          <w:rFonts w:ascii="宋体" w:hAnsi="宋体" w:cs="宋体" w:eastAsia="宋体" w:hint="default"/>
          <w:sz w:val="11"/>
          <w:szCs w:val="11"/>
        </w:rPr>
      </w:pPr>
    </w:p>
    <w:p>
      <w:pPr>
        <w:pStyle w:val="Heading6"/>
        <w:spacing w:line="566" w:lineRule="auto" w:before="44"/>
        <w:ind w:left="635" w:right="7803" w:hanging="483"/>
        <w:jc w:val="left"/>
        <w:rPr>
          <w:b w:val="0"/>
          <w:bCs w:val="0"/>
        </w:rPr>
      </w:pPr>
      <w:r>
        <w:rPr/>
        <w:t>深圳达实智能股份有限公司全体股东</w:t>
      </w:r>
      <w:r>
        <w:rPr>
          <w:rFonts w:ascii="Times New Roman" w:hAnsi="Times New Roman" w:cs="Times New Roman" w:eastAsia="Times New Roman" w:hint="default"/>
        </w:rPr>
        <w:t>:</w:t>
      </w:r>
      <w:r>
        <w:rPr>
          <w:rFonts w:ascii="Times New Roman" w:hAnsi="Times New Roman" w:cs="Times New Roman" w:eastAsia="Times New Roman" w:hint="default"/>
          <w:spacing w:val="-43"/>
        </w:rPr>
        <w:t> </w:t>
      </w:r>
      <w:r>
        <w:rPr/>
        <w:t>一、</w:t>
      </w:r>
      <w:r>
        <w:rPr>
          <w:spacing w:val="-15"/>
        </w:rPr>
        <w:t> </w:t>
      </w:r>
      <w:r>
        <w:rPr/>
        <w:t>审计意见</w:t>
      </w:r>
      <w:r>
        <w:rPr>
          <w:b w:val="0"/>
          <w:bCs w:val="0"/>
        </w:rPr>
      </w:r>
    </w:p>
    <w:p>
      <w:pPr>
        <w:pStyle w:val="BodyText"/>
        <w:spacing w:line="451" w:lineRule="auto" w:before="107"/>
        <w:ind w:right="1128" w:firstLine="480"/>
        <w:jc w:val="both"/>
      </w:pPr>
      <w:r>
        <w:rPr>
          <w:spacing w:val="-2"/>
        </w:rPr>
        <w:t>我们审计了深圳达实智能股份有限公司（以下简称</w:t>
      </w:r>
      <w:r>
        <w:rPr>
          <w:rFonts w:ascii="Times New Roman" w:hAnsi="Times New Roman" w:cs="Times New Roman" w:eastAsia="Times New Roman" w:hint="default"/>
          <w:spacing w:val="-2"/>
        </w:rPr>
        <w:t>“</w:t>
      </w:r>
      <w:r>
        <w:rPr>
          <w:spacing w:val="-2"/>
        </w:rPr>
        <w:t>达实智能</w:t>
      </w:r>
      <w:r>
        <w:rPr>
          <w:rFonts w:ascii="Times New Roman" w:hAnsi="Times New Roman" w:cs="Times New Roman" w:eastAsia="Times New Roman" w:hint="default"/>
          <w:spacing w:val="-2"/>
        </w:rPr>
        <w:t>”</w:t>
      </w:r>
      <w:r>
        <w:rPr>
          <w:spacing w:val="-2"/>
        </w:rPr>
        <w:t>）的财务报表，包括</w:t>
      </w:r>
      <w:r>
        <w:rPr>
          <w:spacing w:val="-4"/>
        </w:rPr>
        <w:t> </w:t>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日的合并及公司资产</w:t>
      </w:r>
      <w:r>
        <w:rPr/>
        <w:t> 负债表，</w:t>
      </w:r>
      <w:r>
        <w:rPr>
          <w:rFonts w:ascii="Times New Roman" w:hAnsi="Times New Roman" w:cs="Times New Roman" w:eastAsia="Times New Roman" w:hint="default"/>
        </w:rPr>
        <w:t>2019</w:t>
      </w:r>
      <w:r>
        <w:rPr/>
        <w:t>年度的合并及公司利润表、合并及公司现金流量表、合并及公司股东权益变动表以及财务报表附注。</w:t>
      </w:r>
    </w:p>
    <w:p>
      <w:pPr>
        <w:spacing w:line="240" w:lineRule="auto" w:before="6"/>
        <w:rPr>
          <w:rFonts w:ascii="宋体" w:hAnsi="宋体" w:cs="宋体" w:eastAsia="宋体" w:hint="default"/>
          <w:sz w:val="12"/>
          <w:szCs w:val="12"/>
        </w:rPr>
      </w:pPr>
    </w:p>
    <w:p>
      <w:pPr>
        <w:pStyle w:val="BodyText"/>
        <w:spacing w:line="240" w:lineRule="auto"/>
        <w:ind w:left="633" w:right="0"/>
        <w:jc w:val="left"/>
      </w:pPr>
      <w:r>
        <w:rPr/>
        <w:t>我们认为，后附的达实智能财务报表在所有重大方面按照企业会计准则的规定编制，公允反映了达实智能</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p>
    <w:p>
      <w:pPr>
        <w:spacing w:line="240" w:lineRule="auto" w:before="9"/>
        <w:rPr>
          <w:rFonts w:ascii="宋体" w:hAnsi="宋体" w:cs="宋体" w:eastAsia="宋体" w:hint="default"/>
          <w:sz w:val="16"/>
          <w:szCs w:val="16"/>
        </w:rPr>
      </w:pPr>
    </w:p>
    <w:p>
      <w:pPr>
        <w:spacing w:line="566" w:lineRule="auto" w:before="0"/>
        <w:ind w:left="635" w:right="4634" w:hanging="483"/>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宋体" w:hAnsi="宋体" w:cs="宋体" w:eastAsia="宋体" w:hint="default"/>
          <w:sz w:val="18"/>
          <w:szCs w:val="18"/>
        </w:rPr>
        <w:t>日的合并及公司财务状况以及</w:t>
      </w:r>
      <w:r>
        <w:rPr>
          <w:rFonts w:ascii="Times New Roman" w:hAnsi="Times New Roman" w:cs="Times New Roman" w:eastAsia="Times New Roman" w:hint="default"/>
          <w:sz w:val="18"/>
          <w:szCs w:val="18"/>
        </w:rPr>
        <w:t>2019</w:t>
      </w:r>
      <w:r>
        <w:rPr>
          <w:rFonts w:ascii="宋体" w:hAnsi="宋体" w:cs="宋体" w:eastAsia="宋体" w:hint="default"/>
          <w:sz w:val="18"/>
          <w:szCs w:val="18"/>
        </w:rPr>
        <w:t>年度的合并及公司经营成果和现金流量。 </w:t>
      </w:r>
      <w:r>
        <w:rPr>
          <w:rFonts w:ascii="宋体" w:hAnsi="宋体" w:cs="宋体" w:eastAsia="宋体" w:hint="default"/>
          <w:b/>
          <w:bCs/>
          <w:sz w:val="18"/>
          <w:szCs w:val="18"/>
        </w:rPr>
        <w:t>二、</w:t>
      </w:r>
      <w:r>
        <w:rPr>
          <w:rFonts w:ascii="宋体" w:hAnsi="宋体" w:cs="宋体" w:eastAsia="宋体" w:hint="default"/>
          <w:b/>
          <w:bCs/>
          <w:spacing w:val="-16"/>
          <w:sz w:val="18"/>
          <w:szCs w:val="18"/>
        </w:rPr>
        <w:t> </w:t>
      </w:r>
      <w:r>
        <w:rPr>
          <w:rFonts w:ascii="宋体" w:hAnsi="宋体" w:cs="宋体" w:eastAsia="宋体" w:hint="default"/>
          <w:b/>
          <w:bCs/>
          <w:sz w:val="18"/>
          <w:szCs w:val="18"/>
        </w:rPr>
        <w:t>形成审计意见的基础</w:t>
      </w:r>
      <w:r>
        <w:rPr>
          <w:rFonts w:ascii="宋体" w:hAnsi="宋体" w:cs="宋体" w:eastAsia="宋体" w:hint="default"/>
          <w:sz w:val="18"/>
          <w:szCs w:val="18"/>
        </w:rPr>
      </w:r>
    </w:p>
    <w:p>
      <w:pPr>
        <w:pStyle w:val="BodyText"/>
        <w:spacing w:line="463" w:lineRule="auto" w:before="107"/>
        <w:ind w:right="1130" w:firstLine="480"/>
        <w:jc w:val="both"/>
      </w:pPr>
      <w:r>
        <w:rPr/>
        <w:t>我们按照中国注册会计师审计准则的规定执行了审计工作。审计报告的</w:t>
      </w:r>
      <w:r>
        <w:rPr>
          <w:rFonts w:ascii="Times New Roman" w:hAnsi="Times New Roman" w:cs="Times New Roman" w:eastAsia="Times New Roman" w:hint="default"/>
        </w:rPr>
        <w:t>“</w:t>
      </w:r>
      <w:r>
        <w:rPr/>
        <w:t>注册会计师对财务报表审计的责任</w:t>
      </w:r>
      <w:r>
        <w:rPr>
          <w:rFonts w:ascii="Times New Roman" w:hAnsi="Times New Roman" w:cs="Times New Roman" w:eastAsia="Times New Roman" w:hint="default"/>
        </w:rPr>
        <w:t>”</w:t>
      </w:r>
      <w:r>
        <w:rPr/>
        <w:t>部分进一 </w:t>
      </w:r>
      <w:r>
        <w:rPr>
          <w:spacing w:val="-2"/>
        </w:rPr>
        <w:t>步阐述了我们在这些准则下的责任。按照中国注册会计师职业道德守则，我们独立于达实智能，并履行了职业道德方面的其</w:t>
      </w:r>
      <w:r>
        <w:rPr>
          <w:spacing w:val="-63"/>
        </w:rPr>
        <w:t> </w:t>
      </w:r>
      <w:r>
        <w:rPr>
          <w:spacing w:val="-63"/>
        </w:rPr>
      </w:r>
      <w:r>
        <w:rPr/>
        <w:t>他责任。我们相信，我们获取的审计证据是充分、适当的，为发表审计意见提供了基础。</w:t>
      </w:r>
    </w:p>
    <w:p>
      <w:pPr>
        <w:spacing w:line="240" w:lineRule="auto" w:before="2"/>
        <w:rPr>
          <w:rFonts w:ascii="宋体" w:hAnsi="宋体" w:cs="宋体" w:eastAsia="宋体" w:hint="default"/>
          <w:sz w:val="14"/>
          <w:szCs w:val="14"/>
        </w:rPr>
      </w:pPr>
    </w:p>
    <w:p>
      <w:pPr>
        <w:pStyle w:val="Heading6"/>
        <w:spacing w:line="240" w:lineRule="auto"/>
        <w:ind w:left="635" w:right="1133"/>
        <w:jc w:val="left"/>
        <w:rPr>
          <w:b w:val="0"/>
          <w:bCs w:val="0"/>
        </w:rPr>
      </w:pPr>
      <w:r>
        <w:rPr/>
        <w:t>三、</w:t>
      </w:r>
      <w:r>
        <w:rPr>
          <w:spacing w:val="-16"/>
        </w:rPr>
        <w:t> </w:t>
      </w:r>
      <w:r>
        <w:rPr/>
        <w:t>关键审计事项</w:t>
      </w:r>
      <w:r>
        <w:rPr>
          <w:b w:val="0"/>
          <w:bCs w:val="0"/>
        </w:rPr>
      </w:r>
    </w:p>
    <w:p>
      <w:pPr>
        <w:spacing w:line="240" w:lineRule="auto" w:before="12"/>
        <w:rPr>
          <w:rFonts w:ascii="宋体" w:hAnsi="宋体" w:cs="宋体" w:eastAsia="宋体" w:hint="default"/>
          <w:b/>
          <w:bCs/>
          <w:sz w:val="26"/>
          <w:szCs w:val="26"/>
        </w:rPr>
      </w:pPr>
    </w:p>
    <w:p>
      <w:pPr>
        <w:pStyle w:val="BodyText"/>
        <w:spacing w:line="477" w:lineRule="auto"/>
        <w:ind w:right="1132" w:firstLine="480"/>
        <w:jc w:val="both"/>
      </w:pPr>
      <w:r>
        <w:rPr>
          <w:spacing w:val="-1"/>
        </w:rPr>
        <w:t>关键审计事项是根据我们的职业判断，认为对本期财务报表审计最为重要的事项。这些事项的应对以对财务报表整体</w:t>
      </w:r>
      <w:r>
        <w:rPr/>
        <w:t> </w:t>
      </w:r>
      <w:r>
        <w:rPr>
          <w:spacing w:val="-2"/>
        </w:rPr>
        <w:t>进行审计并形成审计意见为背景，我们不对这些事项单独发表意见。我们确定下列事项是需要在审计报告中沟通的关键审计</w:t>
      </w:r>
      <w:r>
        <w:rPr>
          <w:spacing w:val="-64"/>
        </w:rPr>
        <w:t> </w:t>
      </w:r>
      <w:r>
        <w:rPr>
          <w:spacing w:val="-64"/>
        </w:rPr>
      </w:r>
      <w:r>
        <w:rPr/>
        <w:t>事项。</w:t>
      </w:r>
    </w:p>
    <w:p>
      <w:pPr>
        <w:spacing w:line="240" w:lineRule="auto" w:before="4"/>
        <w:rPr>
          <w:rFonts w:ascii="宋体" w:hAnsi="宋体" w:cs="宋体" w:eastAsia="宋体" w:hint="default"/>
          <w:sz w:val="13"/>
          <w:szCs w:val="13"/>
        </w:rPr>
      </w:pPr>
    </w:p>
    <w:p>
      <w:pPr>
        <w:pStyle w:val="BodyText"/>
        <w:spacing w:line="240" w:lineRule="auto"/>
        <w:ind w:left="633" w:right="1133"/>
        <w:jc w:val="left"/>
      </w:pPr>
      <w:r>
        <w:rPr/>
        <w:t>（一）完工百分比法确认建造合同收入</w:t>
      </w:r>
    </w:p>
    <w:p>
      <w:pPr>
        <w:spacing w:line="240" w:lineRule="auto" w:before="12"/>
        <w:rPr>
          <w:rFonts w:ascii="宋体" w:hAnsi="宋体" w:cs="宋体" w:eastAsia="宋体" w:hint="default"/>
          <w:sz w:val="26"/>
          <w:szCs w:val="26"/>
        </w:rPr>
      </w:pPr>
    </w:p>
    <w:p>
      <w:pPr>
        <w:pStyle w:val="BodyText"/>
        <w:spacing w:line="240" w:lineRule="auto"/>
        <w:ind w:left="633" w:right="1133"/>
        <w:jc w:val="left"/>
      </w:pPr>
      <w:r>
        <w:rPr>
          <w:rFonts w:ascii="Times New Roman" w:hAnsi="Times New Roman" w:cs="Times New Roman" w:eastAsia="Times New Roman" w:hint="default"/>
        </w:rPr>
        <w:t>1</w:t>
      </w:r>
      <w:r>
        <w:rPr/>
        <w:t>、事项描述</w:t>
      </w:r>
    </w:p>
    <w:p>
      <w:pPr>
        <w:spacing w:line="240" w:lineRule="auto" w:before="12"/>
        <w:rPr>
          <w:rFonts w:ascii="宋体" w:hAnsi="宋体" w:cs="宋体" w:eastAsia="宋体" w:hint="default"/>
          <w:sz w:val="25"/>
          <w:szCs w:val="25"/>
        </w:rPr>
      </w:pPr>
    </w:p>
    <w:p>
      <w:pPr>
        <w:pStyle w:val="BodyText"/>
        <w:spacing w:line="451" w:lineRule="auto"/>
        <w:ind w:right="1104" w:firstLine="480"/>
        <w:jc w:val="both"/>
      </w:pPr>
      <w:r>
        <w:rPr>
          <w:rFonts w:ascii="Times New Roman" w:hAnsi="Times New Roman" w:cs="Times New Roman" w:eastAsia="Times New Roman" w:hint="default"/>
        </w:rPr>
        <w:t>2019</w:t>
      </w:r>
      <w:r>
        <w:rPr/>
        <w:t>年度达实智能营业收入为</w:t>
      </w:r>
      <w:r>
        <w:rPr>
          <w:rFonts w:ascii="Times New Roman" w:hAnsi="Times New Roman" w:cs="Times New Roman" w:eastAsia="Times New Roman" w:hint="default"/>
        </w:rPr>
        <w:t>2,205,852,549.27</w:t>
      </w:r>
      <w:r>
        <w:rPr/>
        <w:t>元，其中采用完工百分比法确认的建造合同收入为</w:t>
      </w:r>
      <w:r>
        <w:rPr>
          <w:rFonts w:ascii="Times New Roman" w:hAnsi="Times New Roman" w:cs="Times New Roman" w:eastAsia="Times New Roman" w:hint="default"/>
        </w:rPr>
        <w:t>1,809,688,691.99</w:t>
      </w:r>
      <w:r>
        <w:rPr/>
        <w:t>元， 占营业收入的</w:t>
      </w:r>
      <w:r>
        <w:rPr>
          <w:rFonts w:ascii="Times New Roman" w:hAnsi="Times New Roman" w:cs="Times New Roman" w:eastAsia="Times New Roman" w:hint="default"/>
        </w:rPr>
        <w:t>82.04%</w:t>
      </w:r>
      <w:r>
        <w:rPr/>
        <w:t>，金额及比例重大。</w:t>
      </w:r>
    </w:p>
    <w:p>
      <w:pPr>
        <w:spacing w:after="0" w:line="451" w:lineRule="auto"/>
        <w:jc w:val="both"/>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477" w:lineRule="auto"/>
        <w:ind w:right="0" w:firstLine="480"/>
        <w:jc w:val="left"/>
      </w:pPr>
      <w:r>
        <w:rPr/>
        <w:t>达实智能的建造合同业务，依据客户或第三方监理确认的工程完工进度单或关键节点的正式报告（如工程竣工报告及 </w:t>
      </w:r>
      <w:r>
        <w:rPr>
          <w:spacing w:val="-4"/>
        </w:rPr>
        <w:t>工程结算报告），确定建造合同业务工作量的完工百分比。完工百分比法涉及管理层的重大判断和估计，包括对完工的进度、</w:t>
      </w:r>
      <w:r>
        <w:rPr>
          <w:spacing w:val="-45"/>
        </w:rPr>
        <w:t> </w:t>
      </w:r>
      <w:r>
        <w:rPr>
          <w:spacing w:val="-45"/>
        </w:rPr>
      </w:r>
      <w:r>
        <w:rPr>
          <w:spacing w:val="-2"/>
        </w:rPr>
        <w:t>合同总成本、尚未完工成本、合同总收入和合同风险的估计，相应收入成本是否完整计入恰当的会计期间可能存在重大错报</w:t>
      </w:r>
      <w:r>
        <w:rPr>
          <w:spacing w:val="-65"/>
        </w:rPr>
        <w:t> </w:t>
      </w:r>
      <w:r>
        <w:rPr>
          <w:spacing w:val="-65"/>
        </w:rPr>
      </w:r>
      <w:r>
        <w:rPr/>
        <w:t>风险，因此我们将完工百分比法确认的建造合同收入作为关键审计事项。</w:t>
      </w:r>
    </w:p>
    <w:p>
      <w:pPr>
        <w:spacing w:line="240" w:lineRule="auto" w:before="4"/>
        <w:rPr>
          <w:rFonts w:ascii="宋体" w:hAnsi="宋体" w:cs="宋体" w:eastAsia="宋体" w:hint="default"/>
          <w:sz w:val="13"/>
          <w:szCs w:val="13"/>
        </w:rPr>
      </w:pPr>
    </w:p>
    <w:p>
      <w:pPr>
        <w:pStyle w:val="BodyText"/>
        <w:spacing w:line="566" w:lineRule="auto"/>
        <w:ind w:left="633" w:right="4873"/>
        <w:jc w:val="left"/>
      </w:pPr>
      <w:r>
        <w:rPr>
          <w:rFonts w:ascii="Times New Roman" w:hAnsi="Times New Roman" w:cs="Times New Roman" w:eastAsia="Times New Roman" w:hint="default"/>
        </w:rPr>
        <w:t>2</w:t>
      </w:r>
      <w:r>
        <w:rPr/>
        <w:t>、审计应对 我们针对完工百分比法确认建造合同收入执行的主要审计程序包括：</w:t>
      </w:r>
    </w:p>
    <w:p>
      <w:pPr>
        <w:pStyle w:val="BodyText"/>
        <w:spacing w:line="237" w:lineRule="exact"/>
        <w:ind w:left="633" w:right="1133"/>
        <w:jc w:val="left"/>
      </w:pPr>
      <w:r>
        <w:rPr/>
        <w:t>（</w:t>
      </w:r>
      <w:r>
        <w:rPr>
          <w:rFonts w:ascii="Times New Roman" w:hAnsi="Times New Roman" w:cs="Times New Roman" w:eastAsia="Times New Roman" w:hint="default"/>
        </w:rPr>
        <w:t>1</w:t>
      </w:r>
      <w:r>
        <w:rPr/>
        <w:t>）评价和测试达实智能建造合同项目收入、项目成本会计核算及完工进度计算流程的内部控制；</w:t>
      </w:r>
    </w:p>
    <w:p>
      <w:pPr>
        <w:spacing w:line="240" w:lineRule="auto" w:before="9"/>
        <w:rPr>
          <w:rFonts w:ascii="宋体" w:hAnsi="宋体" w:cs="宋体" w:eastAsia="宋体" w:hint="default"/>
          <w:sz w:val="16"/>
          <w:szCs w:val="16"/>
        </w:rPr>
      </w:pPr>
    </w:p>
    <w:p>
      <w:pPr>
        <w:pStyle w:val="BodyText"/>
        <w:spacing w:line="240" w:lineRule="auto"/>
        <w:ind w:left="633" w:right="1133"/>
        <w:jc w:val="left"/>
      </w:pPr>
      <w:r>
        <w:rPr/>
        <w:t>（</w:t>
      </w:r>
      <w:r>
        <w:rPr>
          <w:rFonts w:ascii="Times New Roman" w:hAnsi="Times New Roman" w:cs="Times New Roman" w:eastAsia="Times New Roman" w:hint="default"/>
        </w:rPr>
        <w:t>2</w:t>
      </w:r>
      <w:r>
        <w:rPr/>
        <w:t>）评价管理层在确定预计合同总成本时所采用的判断和估计；</w:t>
      </w:r>
    </w:p>
    <w:p>
      <w:pPr>
        <w:spacing w:line="240" w:lineRule="auto" w:before="10"/>
        <w:rPr>
          <w:rFonts w:ascii="宋体" w:hAnsi="宋体" w:cs="宋体" w:eastAsia="宋体" w:hint="default"/>
          <w:sz w:val="16"/>
          <w:szCs w:val="16"/>
        </w:rPr>
      </w:pPr>
    </w:p>
    <w:p>
      <w:pPr>
        <w:pStyle w:val="BodyText"/>
        <w:spacing w:line="240" w:lineRule="auto"/>
        <w:ind w:left="633" w:right="1133"/>
        <w:jc w:val="left"/>
      </w:pPr>
      <w:r>
        <w:rPr/>
        <w:t>（</w:t>
      </w:r>
      <w:r>
        <w:rPr>
          <w:rFonts w:ascii="Times New Roman" w:hAnsi="Times New Roman" w:cs="Times New Roman" w:eastAsia="Times New Roman" w:hint="default"/>
        </w:rPr>
        <w:t>3</w:t>
      </w:r>
      <w:r>
        <w:rPr/>
        <w:t>）针对主要项目的毛利率进行分析复核程序；</w:t>
      </w:r>
    </w:p>
    <w:p>
      <w:pPr>
        <w:spacing w:line="240" w:lineRule="auto" w:before="9"/>
        <w:rPr>
          <w:rFonts w:ascii="宋体" w:hAnsi="宋体" w:cs="宋体" w:eastAsia="宋体" w:hint="default"/>
          <w:sz w:val="16"/>
          <w:szCs w:val="16"/>
        </w:rPr>
      </w:pPr>
    </w:p>
    <w:p>
      <w:pPr>
        <w:pStyle w:val="BodyText"/>
        <w:spacing w:line="240" w:lineRule="auto"/>
        <w:ind w:left="633" w:right="1133"/>
        <w:jc w:val="left"/>
      </w:pPr>
      <w:r>
        <w:rPr/>
        <w:t>（</w:t>
      </w:r>
      <w:r>
        <w:rPr>
          <w:rFonts w:ascii="Times New Roman" w:hAnsi="Times New Roman" w:cs="Times New Roman" w:eastAsia="Times New Roman" w:hint="default"/>
        </w:rPr>
        <w:t>4</w:t>
      </w:r>
      <w:r>
        <w:rPr/>
        <w:t>）抽样检查了相关文件验证已发生的项目成本；</w:t>
      </w:r>
    </w:p>
    <w:p>
      <w:pPr>
        <w:spacing w:line="240" w:lineRule="auto" w:before="9"/>
        <w:rPr>
          <w:rFonts w:ascii="宋体" w:hAnsi="宋体" w:cs="宋体" w:eastAsia="宋体" w:hint="default"/>
          <w:sz w:val="16"/>
          <w:szCs w:val="16"/>
        </w:rPr>
      </w:pPr>
    </w:p>
    <w:p>
      <w:pPr>
        <w:pStyle w:val="BodyText"/>
        <w:spacing w:line="240" w:lineRule="auto"/>
        <w:ind w:left="633" w:right="1133"/>
        <w:jc w:val="left"/>
      </w:pPr>
      <w:r>
        <w:rPr/>
        <w:t>（</w:t>
      </w:r>
      <w:r>
        <w:rPr>
          <w:rFonts w:ascii="Times New Roman" w:hAnsi="Times New Roman" w:cs="Times New Roman" w:eastAsia="Times New Roman" w:hint="default"/>
        </w:rPr>
        <w:t>5</w:t>
      </w:r>
      <w:r>
        <w:rPr/>
        <w:t>）获取重大业务合同，复核合同的关键条款，并与所确认的收入进行交叉核对；</w:t>
      </w:r>
    </w:p>
    <w:p>
      <w:pPr>
        <w:spacing w:line="240" w:lineRule="auto" w:before="9"/>
        <w:rPr>
          <w:rFonts w:ascii="宋体" w:hAnsi="宋体" w:cs="宋体" w:eastAsia="宋体" w:hint="default"/>
          <w:sz w:val="16"/>
          <w:szCs w:val="16"/>
        </w:rPr>
      </w:pPr>
    </w:p>
    <w:p>
      <w:pPr>
        <w:pStyle w:val="BodyText"/>
        <w:spacing w:line="240" w:lineRule="auto"/>
        <w:ind w:left="633" w:right="1133"/>
        <w:jc w:val="left"/>
      </w:pPr>
      <w:r>
        <w:rPr/>
        <w:t>（</w:t>
      </w:r>
      <w:r>
        <w:rPr>
          <w:rFonts w:ascii="Times New Roman" w:hAnsi="Times New Roman" w:cs="Times New Roman" w:eastAsia="Times New Roman" w:hint="default"/>
        </w:rPr>
        <w:t>6</w:t>
      </w:r>
      <w:r>
        <w:rPr/>
        <w:t>）抽样检查业经客户或第三方监理确认的完工进度单；</w:t>
      </w:r>
    </w:p>
    <w:p>
      <w:pPr>
        <w:spacing w:line="240" w:lineRule="auto" w:before="9"/>
        <w:rPr>
          <w:rFonts w:ascii="宋体" w:hAnsi="宋体" w:cs="宋体" w:eastAsia="宋体" w:hint="default"/>
          <w:sz w:val="16"/>
          <w:szCs w:val="16"/>
        </w:rPr>
      </w:pPr>
    </w:p>
    <w:p>
      <w:pPr>
        <w:pStyle w:val="BodyText"/>
        <w:spacing w:line="240" w:lineRule="auto"/>
        <w:ind w:left="633" w:right="1133"/>
        <w:jc w:val="left"/>
      </w:pPr>
      <w:r>
        <w:rPr/>
        <w:t>（</w:t>
      </w:r>
      <w:r>
        <w:rPr>
          <w:rFonts w:ascii="Times New Roman" w:hAnsi="Times New Roman" w:cs="Times New Roman" w:eastAsia="Times New Roman" w:hint="default"/>
        </w:rPr>
        <w:t>7</w:t>
      </w:r>
      <w:r>
        <w:rPr/>
        <w:t>）对本期收入重大的工程项目进行现场观察、盘点。</w:t>
      </w:r>
    </w:p>
    <w:p>
      <w:pPr>
        <w:spacing w:line="240" w:lineRule="auto" w:before="12"/>
        <w:rPr>
          <w:rFonts w:ascii="宋体" w:hAnsi="宋体" w:cs="宋体" w:eastAsia="宋体" w:hint="default"/>
          <w:sz w:val="25"/>
          <w:szCs w:val="25"/>
        </w:rPr>
      </w:pPr>
    </w:p>
    <w:p>
      <w:pPr>
        <w:pStyle w:val="BodyText"/>
        <w:spacing w:line="240" w:lineRule="auto"/>
        <w:ind w:left="633" w:right="1133"/>
        <w:jc w:val="left"/>
      </w:pPr>
      <w:r>
        <w:rPr/>
        <w:t>（二）商誉减值</w:t>
      </w:r>
    </w:p>
    <w:p>
      <w:pPr>
        <w:pStyle w:val="BodyText"/>
        <w:spacing w:line="590" w:lineRule="atLeast" w:before="11"/>
        <w:ind w:left="633" w:right="1133"/>
        <w:jc w:val="left"/>
      </w:pPr>
      <w:r>
        <w:rPr>
          <w:rFonts w:ascii="Times New Roman" w:hAnsi="Times New Roman" w:cs="Times New Roman" w:eastAsia="Times New Roman" w:hint="default"/>
        </w:rPr>
        <w:t>1</w:t>
      </w:r>
      <w:r>
        <w:rPr/>
        <w:t>、事项描述 </w:t>
      </w:r>
      <w:r>
        <w:rPr>
          <w:spacing w:val="-2"/>
        </w:rPr>
        <w:t>截至</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日，达实智能合并资产负债表中商誉账面原值</w:t>
      </w:r>
      <w:r>
        <w:rPr>
          <w:rFonts w:ascii="Times New Roman" w:hAnsi="Times New Roman" w:cs="Times New Roman" w:eastAsia="Times New Roman" w:hint="default"/>
          <w:spacing w:val="-2"/>
        </w:rPr>
        <w:t>628,114,013.24</w:t>
      </w:r>
      <w:r>
        <w:rPr>
          <w:spacing w:val="-2"/>
        </w:rPr>
        <w:t>元，扣除累计减值准备后的商誉净值为</w:t>
      </w:r>
    </w:p>
    <w:p>
      <w:pPr>
        <w:spacing w:line="240" w:lineRule="auto" w:before="9"/>
        <w:rPr>
          <w:rFonts w:ascii="宋体" w:hAnsi="宋体" w:cs="宋体" w:eastAsia="宋体" w:hint="default"/>
          <w:sz w:val="16"/>
          <w:szCs w:val="16"/>
        </w:rPr>
      </w:pPr>
    </w:p>
    <w:p>
      <w:pPr>
        <w:pStyle w:val="BodyText"/>
        <w:spacing w:line="451" w:lineRule="auto"/>
        <w:ind w:right="1124"/>
        <w:jc w:val="left"/>
      </w:pPr>
      <w:r>
        <w:rPr/>
        <w:t>人民币</w:t>
      </w:r>
      <w:r>
        <w:rPr>
          <w:rFonts w:ascii="Times New Roman" w:hAnsi="Times New Roman" w:cs="Times New Roman" w:eastAsia="Times New Roman" w:hint="default"/>
        </w:rPr>
        <w:t>152,292,789.75</w:t>
      </w:r>
      <w:r>
        <w:rPr/>
        <w:t>元，本期计提商誉减值准备</w:t>
      </w:r>
      <w:r>
        <w:rPr>
          <w:rFonts w:ascii="Times New Roman" w:hAnsi="Times New Roman" w:cs="Times New Roman" w:eastAsia="Times New Roman" w:hint="default"/>
        </w:rPr>
        <w:t>472,994,820.21</w:t>
      </w:r>
      <w:r>
        <w:rPr/>
        <w:t>元。企业合并形成的商誉，达实智能至少在每年年度终了进 行减值测试。</w:t>
      </w:r>
    </w:p>
    <w:p>
      <w:pPr>
        <w:spacing w:line="240" w:lineRule="auto" w:before="11"/>
        <w:rPr>
          <w:rFonts w:ascii="宋体" w:hAnsi="宋体" w:cs="宋体" w:eastAsia="宋体" w:hint="default"/>
          <w:sz w:val="14"/>
          <w:szCs w:val="14"/>
        </w:rPr>
      </w:pPr>
    </w:p>
    <w:p>
      <w:pPr>
        <w:pStyle w:val="BodyText"/>
        <w:spacing w:line="477" w:lineRule="auto"/>
        <w:ind w:right="1132" w:firstLine="480"/>
        <w:jc w:val="both"/>
      </w:pPr>
      <w:r>
        <w:rPr>
          <w:spacing w:val="-1"/>
        </w:rPr>
        <w:t>减值测试要求估计包含商誉的相关资产组的可收回金额，即相关资产组的公允价值减去处置费用后的净额与相关资产</w:t>
      </w:r>
      <w:r>
        <w:rPr/>
        <w:t> </w:t>
      </w:r>
      <w:r>
        <w:rPr>
          <w:spacing w:val="-2"/>
        </w:rPr>
        <w:t>组预计未来现金流量的现值两者之中的较高者。在确定相关资产组预计未来现金流量的现值时，达实智能需要恰当的预测相</w:t>
      </w:r>
      <w:r>
        <w:rPr>
          <w:spacing w:val="-64"/>
        </w:rPr>
        <w:t> </w:t>
      </w:r>
      <w:r>
        <w:rPr>
          <w:spacing w:val="-64"/>
        </w:rPr>
      </w:r>
      <w:r>
        <w:rPr>
          <w:spacing w:val="-2"/>
        </w:rPr>
        <w:t>关资产组未来现金流的长期平均增长率和合理的确定计算相关资产组预计未来现金流量现值所采用的折现率，这涉及管理层</w:t>
      </w:r>
      <w:r>
        <w:rPr>
          <w:spacing w:val="-64"/>
        </w:rPr>
        <w:t> </w:t>
      </w:r>
      <w:r>
        <w:rPr>
          <w:spacing w:val="-64"/>
        </w:rPr>
      </w:r>
      <w:r>
        <w:rPr/>
        <w:t>运用重大会计估计和判断，同时考虑商誉对于财务报表整体的重要性，因此我们将商誉减值作为关键审计事项。</w:t>
      </w:r>
    </w:p>
    <w:p>
      <w:pPr>
        <w:spacing w:line="240" w:lineRule="auto" w:before="5"/>
        <w:rPr>
          <w:rFonts w:ascii="宋体" w:hAnsi="宋体" w:cs="宋体" w:eastAsia="宋体" w:hint="default"/>
          <w:sz w:val="13"/>
          <w:szCs w:val="13"/>
        </w:rPr>
      </w:pPr>
    </w:p>
    <w:p>
      <w:pPr>
        <w:pStyle w:val="BodyText"/>
        <w:spacing w:line="566" w:lineRule="auto"/>
        <w:ind w:left="633" w:right="6493"/>
        <w:jc w:val="left"/>
      </w:pPr>
      <w:r>
        <w:rPr>
          <w:rFonts w:ascii="Times New Roman" w:hAnsi="Times New Roman" w:cs="Times New Roman" w:eastAsia="Times New Roman" w:hint="default"/>
        </w:rPr>
        <w:t>2</w:t>
      </w:r>
      <w:r>
        <w:rPr/>
        <w:t>、审计应对 我们针对商誉的减值执行的主要审计程序包括：</w:t>
      </w:r>
    </w:p>
    <w:p>
      <w:pPr>
        <w:pStyle w:val="BodyText"/>
        <w:spacing w:line="237" w:lineRule="exact"/>
        <w:ind w:left="633" w:right="1133"/>
        <w:jc w:val="left"/>
      </w:pPr>
      <w:r>
        <w:rPr/>
        <w:t>（</w:t>
      </w:r>
      <w:r>
        <w:rPr>
          <w:rFonts w:ascii="Times New Roman" w:hAnsi="Times New Roman" w:cs="Times New Roman" w:eastAsia="Times New Roman" w:hint="default"/>
        </w:rPr>
        <w:t>1</w:t>
      </w:r>
      <w:r>
        <w:rPr/>
        <w:t>）了解并测试达实智能与商誉减值相关的关键内部控制；</w:t>
      </w:r>
    </w:p>
    <w:p>
      <w:pPr>
        <w:spacing w:line="240" w:lineRule="auto" w:before="9"/>
        <w:rPr>
          <w:rFonts w:ascii="宋体" w:hAnsi="宋体" w:cs="宋体" w:eastAsia="宋体" w:hint="default"/>
          <w:sz w:val="16"/>
          <w:szCs w:val="16"/>
        </w:rPr>
      </w:pPr>
    </w:p>
    <w:p>
      <w:pPr>
        <w:pStyle w:val="BodyText"/>
        <w:spacing w:line="240" w:lineRule="auto"/>
        <w:ind w:left="633" w:right="1133"/>
        <w:jc w:val="left"/>
      </w:pPr>
      <w:r>
        <w:rPr/>
        <w:t>（</w:t>
      </w:r>
      <w:r>
        <w:rPr>
          <w:rFonts w:ascii="Times New Roman" w:hAnsi="Times New Roman" w:cs="Times New Roman" w:eastAsia="Times New Roman" w:hint="default"/>
        </w:rPr>
        <w:t>2</w:t>
      </w:r>
      <w:r>
        <w:rPr/>
        <w:t>）评价达实智能聘请的独立评估师的胜任能力、专业素质和客观性；</w:t>
      </w:r>
    </w:p>
    <w:p>
      <w:pPr>
        <w:spacing w:line="240" w:lineRule="auto" w:before="9"/>
        <w:rPr>
          <w:rFonts w:ascii="宋体" w:hAnsi="宋体" w:cs="宋体" w:eastAsia="宋体" w:hint="default"/>
          <w:sz w:val="16"/>
          <w:szCs w:val="16"/>
        </w:rPr>
      </w:pPr>
    </w:p>
    <w:p>
      <w:pPr>
        <w:pStyle w:val="BodyText"/>
        <w:spacing w:line="240" w:lineRule="auto"/>
        <w:ind w:left="633" w:right="1133"/>
        <w:jc w:val="left"/>
      </w:pPr>
      <w:r>
        <w:rPr/>
        <w:t>（</w:t>
      </w:r>
      <w:r>
        <w:rPr>
          <w:rFonts w:ascii="Times New Roman" w:hAnsi="Times New Roman" w:cs="Times New Roman" w:eastAsia="Times New Roman" w:hint="default"/>
        </w:rPr>
        <w:t>3</w:t>
      </w:r>
      <w:r>
        <w:rPr/>
        <w:t>）评估减值测试方法的适当性；</w:t>
      </w:r>
    </w:p>
    <w:p>
      <w:pPr>
        <w:spacing w:line="240" w:lineRule="auto" w:before="9"/>
        <w:rPr>
          <w:rFonts w:ascii="宋体" w:hAnsi="宋体" w:cs="宋体" w:eastAsia="宋体" w:hint="default"/>
          <w:sz w:val="16"/>
          <w:szCs w:val="16"/>
        </w:rPr>
      </w:pPr>
    </w:p>
    <w:p>
      <w:pPr>
        <w:pStyle w:val="BodyText"/>
        <w:spacing w:line="240" w:lineRule="auto"/>
        <w:ind w:left="633" w:right="1133"/>
        <w:jc w:val="left"/>
      </w:pPr>
      <w:r>
        <w:rPr/>
        <w:t>（</w:t>
      </w:r>
      <w:r>
        <w:rPr>
          <w:rFonts w:ascii="Times New Roman" w:hAnsi="Times New Roman" w:cs="Times New Roman" w:eastAsia="Times New Roman" w:hint="default"/>
        </w:rPr>
        <w:t>4</w:t>
      </w:r>
      <w:r>
        <w:rPr/>
        <w:t>）复核减值测试所依据的基础数据，评估管理层减值测试中所采用关键假设及判断的合理性；</w:t>
      </w:r>
    </w:p>
    <w:p>
      <w:pPr>
        <w:spacing w:after="0" w:line="240"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240" w:lineRule="auto"/>
        <w:ind w:left="633" w:right="1133"/>
        <w:jc w:val="left"/>
      </w:pPr>
      <w:r>
        <w:rPr/>
        <w:t>（</w:t>
      </w:r>
      <w:r>
        <w:rPr>
          <w:rFonts w:ascii="Times New Roman" w:hAnsi="Times New Roman" w:cs="Times New Roman" w:eastAsia="Times New Roman" w:hint="default"/>
        </w:rPr>
        <w:t>5</w:t>
      </w:r>
      <w:r>
        <w:rPr/>
        <w:t>）验证商誉减值测试模型的计算准确性；</w:t>
      </w:r>
    </w:p>
    <w:p>
      <w:pPr>
        <w:spacing w:line="240" w:lineRule="auto" w:before="10"/>
        <w:rPr>
          <w:rFonts w:ascii="宋体" w:hAnsi="宋体" w:cs="宋体" w:eastAsia="宋体" w:hint="default"/>
          <w:sz w:val="16"/>
          <w:szCs w:val="16"/>
        </w:rPr>
      </w:pPr>
    </w:p>
    <w:p>
      <w:pPr>
        <w:pStyle w:val="BodyText"/>
        <w:spacing w:line="566" w:lineRule="auto"/>
        <w:ind w:left="635" w:right="3164" w:hanging="3"/>
        <w:jc w:val="left"/>
        <w:rPr>
          <w:rFonts w:ascii="宋体" w:hAnsi="宋体" w:cs="宋体" w:eastAsia="宋体" w:hint="default"/>
        </w:rPr>
      </w:pPr>
      <w:r>
        <w:rPr/>
        <w:t>（</w:t>
      </w:r>
      <w:r>
        <w:rPr>
          <w:rFonts w:ascii="Times New Roman" w:hAnsi="Times New Roman" w:cs="Times New Roman" w:eastAsia="Times New Roman" w:hint="default"/>
        </w:rPr>
        <w:t>6</w:t>
      </w:r>
      <w:r>
        <w:rPr/>
        <w:t>）在对独立评估师计算方法与过程进行分析、复核的基础上对商誉减值情况进行判断。 </w:t>
      </w:r>
      <w:r>
        <w:rPr>
          <w:rFonts w:ascii="宋体" w:hAnsi="宋体" w:cs="宋体" w:eastAsia="宋体" w:hint="default"/>
          <w:b/>
          <w:bCs/>
        </w:rPr>
        <w:t>四、</w:t>
      </w:r>
      <w:r>
        <w:rPr>
          <w:rFonts w:ascii="宋体" w:hAnsi="宋体" w:cs="宋体" w:eastAsia="宋体" w:hint="default"/>
          <w:b/>
          <w:bCs/>
          <w:spacing w:val="-15"/>
        </w:rPr>
        <w:t> </w:t>
      </w:r>
      <w:r>
        <w:rPr>
          <w:rFonts w:ascii="宋体" w:hAnsi="宋体" w:cs="宋体" w:eastAsia="宋体" w:hint="default"/>
          <w:b/>
          <w:bCs/>
        </w:rPr>
        <w:t>其他信息</w:t>
      </w:r>
      <w:r>
        <w:rPr>
          <w:rFonts w:ascii="宋体" w:hAnsi="宋体" w:cs="宋体" w:eastAsia="宋体" w:hint="default"/>
        </w:rPr>
      </w:r>
    </w:p>
    <w:p>
      <w:pPr>
        <w:pStyle w:val="BodyText"/>
        <w:spacing w:line="240" w:lineRule="auto" w:before="107"/>
        <w:ind w:left="633" w:right="0"/>
        <w:jc w:val="left"/>
      </w:pPr>
      <w:r>
        <w:rPr/>
        <w:t>管理层对其他信息负责。其他信息包括达实智能</w:t>
      </w:r>
      <w:r>
        <w:rPr>
          <w:spacing w:val="59"/>
        </w:rPr>
        <w:t> </w:t>
      </w:r>
      <w:r>
        <w:rPr>
          <w:rFonts w:ascii="Times New Roman" w:hAnsi="Times New Roman" w:cs="Times New Roman" w:eastAsia="Times New Roman" w:hint="default"/>
        </w:rPr>
        <w:t>2019</w:t>
      </w:r>
      <w:r>
        <w:rPr/>
        <w:t>年年度报告中涵盖的信息，但不包括财务报表和我们的审计报</w:t>
      </w:r>
    </w:p>
    <w:p>
      <w:pPr>
        <w:spacing w:line="240" w:lineRule="auto" w:before="4"/>
        <w:rPr>
          <w:rFonts w:ascii="宋体" w:hAnsi="宋体" w:cs="宋体" w:eastAsia="宋体" w:hint="default"/>
          <w:sz w:val="13"/>
          <w:szCs w:val="13"/>
        </w:rPr>
      </w:pPr>
    </w:p>
    <w:p>
      <w:pPr>
        <w:pStyle w:val="BodyText"/>
        <w:spacing w:line="240" w:lineRule="auto" w:before="44"/>
        <w:ind w:right="1133"/>
        <w:jc w:val="left"/>
      </w:pPr>
      <w:r>
        <w:rPr/>
        <w:t>告。</w:t>
      </w:r>
    </w:p>
    <w:p>
      <w:pPr>
        <w:spacing w:line="240" w:lineRule="auto" w:before="7"/>
        <w:rPr>
          <w:rFonts w:ascii="宋体" w:hAnsi="宋体" w:cs="宋体" w:eastAsia="宋体" w:hint="default"/>
          <w:sz w:val="23"/>
          <w:szCs w:val="23"/>
        </w:rPr>
      </w:pPr>
    </w:p>
    <w:p>
      <w:pPr>
        <w:pStyle w:val="BodyText"/>
        <w:spacing w:line="240" w:lineRule="auto" w:before="44"/>
        <w:ind w:left="633" w:right="1133"/>
        <w:jc w:val="left"/>
      </w:pPr>
      <w:r>
        <w:rPr/>
        <w:t>我们对财务报表发表的审计意见不涵盖其他信息，我们也不对其他信息发表任何形式的鉴证结论。</w:t>
      </w:r>
    </w:p>
    <w:p>
      <w:pPr>
        <w:spacing w:line="240" w:lineRule="auto" w:before="12"/>
        <w:rPr>
          <w:rFonts w:ascii="宋体" w:hAnsi="宋体" w:cs="宋体" w:eastAsia="宋体" w:hint="default"/>
          <w:sz w:val="26"/>
          <w:szCs w:val="26"/>
        </w:rPr>
      </w:pPr>
    </w:p>
    <w:p>
      <w:pPr>
        <w:pStyle w:val="BodyText"/>
        <w:spacing w:line="477" w:lineRule="auto"/>
        <w:ind w:right="1132" w:firstLine="480"/>
        <w:jc w:val="both"/>
      </w:pPr>
      <w:r>
        <w:rPr>
          <w:spacing w:val="-1"/>
        </w:rPr>
        <w:t>结合我们对财务报表的审计，我们的责任是阅读其他信息，在此过程中，考虑其他信息是否与财务报表或我们在审计</w:t>
      </w:r>
      <w:r>
        <w:rPr/>
        <w:t> 过程中了解到的情况存在重大不一致或者似乎存在重大错报。</w:t>
      </w:r>
    </w:p>
    <w:p>
      <w:pPr>
        <w:spacing w:line="240" w:lineRule="auto" w:before="4"/>
        <w:rPr>
          <w:rFonts w:ascii="宋体" w:hAnsi="宋体" w:cs="宋体" w:eastAsia="宋体" w:hint="default"/>
          <w:sz w:val="13"/>
          <w:szCs w:val="13"/>
        </w:rPr>
      </w:pPr>
    </w:p>
    <w:p>
      <w:pPr>
        <w:pStyle w:val="BodyText"/>
        <w:spacing w:line="477" w:lineRule="auto"/>
        <w:ind w:right="1132" w:firstLine="480"/>
        <w:jc w:val="both"/>
      </w:pPr>
      <w:r>
        <w:rPr>
          <w:spacing w:val="-1"/>
        </w:rPr>
        <w:t>基于我们已经执行的工作，如果我们确定其他信息存在重大错报，我们应当报告该事实。在这方面，我们无任何事项</w:t>
      </w:r>
      <w:r>
        <w:rPr/>
        <w:t> 需要报告。</w:t>
      </w:r>
    </w:p>
    <w:p>
      <w:pPr>
        <w:spacing w:line="240" w:lineRule="auto" w:before="4"/>
        <w:rPr>
          <w:rFonts w:ascii="宋体" w:hAnsi="宋体" w:cs="宋体" w:eastAsia="宋体" w:hint="default"/>
          <w:sz w:val="13"/>
          <w:szCs w:val="13"/>
        </w:rPr>
      </w:pPr>
    </w:p>
    <w:p>
      <w:pPr>
        <w:pStyle w:val="Heading6"/>
        <w:spacing w:line="240" w:lineRule="auto"/>
        <w:ind w:left="635" w:right="1133"/>
        <w:jc w:val="left"/>
        <w:rPr>
          <w:b w:val="0"/>
          <w:bCs w:val="0"/>
        </w:rPr>
      </w:pPr>
      <w:r>
        <w:rPr/>
        <w:t>五、</w:t>
      </w:r>
      <w:r>
        <w:rPr>
          <w:spacing w:val="-16"/>
        </w:rPr>
        <w:t> </w:t>
      </w:r>
      <w:r>
        <w:rPr/>
        <w:t>管理层和治理层对财务报表的责任</w:t>
      </w:r>
      <w:r>
        <w:rPr>
          <w:b w:val="0"/>
          <w:bCs w:val="0"/>
        </w:rPr>
      </w:r>
    </w:p>
    <w:p>
      <w:pPr>
        <w:spacing w:line="240" w:lineRule="auto" w:before="12"/>
        <w:rPr>
          <w:rFonts w:ascii="宋体" w:hAnsi="宋体" w:cs="宋体" w:eastAsia="宋体" w:hint="default"/>
          <w:b/>
          <w:bCs/>
          <w:sz w:val="26"/>
          <w:szCs w:val="26"/>
        </w:rPr>
      </w:pPr>
    </w:p>
    <w:p>
      <w:pPr>
        <w:pStyle w:val="BodyText"/>
        <w:spacing w:line="451" w:lineRule="auto"/>
        <w:ind w:right="1132" w:firstLine="480"/>
        <w:jc w:val="both"/>
      </w:pPr>
      <w:r>
        <w:rPr/>
        <w:t>达实智能管理层（以下简称</w:t>
      </w:r>
      <w:r>
        <w:rPr>
          <w:rFonts w:ascii="Times New Roman" w:hAnsi="Times New Roman" w:cs="Times New Roman" w:eastAsia="Times New Roman" w:hint="default"/>
        </w:rPr>
        <w:t>“</w:t>
      </w:r>
      <w:r>
        <w:rPr/>
        <w:t>管理层</w:t>
      </w:r>
      <w:r>
        <w:rPr>
          <w:rFonts w:ascii="Times New Roman" w:hAnsi="Times New Roman" w:cs="Times New Roman" w:eastAsia="Times New Roman" w:hint="default"/>
        </w:rPr>
        <w:t>”</w:t>
      </w:r>
      <w:r>
        <w:rPr/>
        <w:t>）负责按照企业会计准则的规定编制财务报表，使其实现公允反映，并设计、执 行和维护必要的内部控制，以使财务报表不存在由于舞弊或错误导致的重大错报。</w:t>
      </w:r>
    </w:p>
    <w:p>
      <w:pPr>
        <w:spacing w:line="240" w:lineRule="auto" w:before="11"/>
        <w:rPr>
          <w:rFonts w:ascii="宋体" w:hAnsi="宋体" w:cs="宋体" w:eastAsia="宋体" w:hint="default"/>
          <w:sz w:val="14"/>
          <w:szCs w:val="14"/>
        </w:rPr>
      </w:pPr>
    </w:p>
    <w:p>
      <w:pPr>
        <w:pStyle w:val="BodyText"/>
        <w:spacing w:line="477" w:lineRule="auto"/>
        <w:ind w:right="1135" w:firstLine="480"/>
        <w:jc w:val="both"/>
      </w:pPr>
      <w:r>
        <w:rPr>
          <w:spacing w:val="-1"/>
        </w:rPr>
        <w:t>在编制财务报表时，管理层负责评估达实智能的持续经营能力，披露与持续经营相关的事项（如适用），并运用持续</w:t>
      </w:r>
      <w:r>
        <w:rPr/>
        <w:t> 经营假设，除非管理层计划清算达实智能、终止运营或别无其他现实的选择。</w:t>
      </w:r>
    </w:p>
    <w:p>
      <w:pPr>
        <w:spacing w:line="240" w:lineRule="auto" w:before="4"/>
        <w:rPr>
          <w:rFonts w:ascii="宋体" w:hAnsi="宋体" w:cs="宋体" w:eastAsia="宋体" w:hint="default"/>
          <w:sz w:val="13"/>
          <w:szCs w:val="13"/>
        </w:rPr>
      </w:pPr>
    </w:p>
    <w:p>
      <w:pPr>
        <w:spacing w:line="566" w:lineRule="auto" w:before="0"/>
        <w:ind w:left="635" w:right="4354" w:hanging="3"/>
        <w:jc w:val="left"/>
        <w:rPr>
          <w:rFonts w:ascii="宋体" w:hAnsi="宋体" w:cs="宋体" w:eastAsia="宋体" w:hint="default"/>
          <w:sz w:val="18"/>
          <w:szCs w:val="18"/>
        </w:rPr>
      </w:pPr>
      <w:r>
        <w:rPr>
          <w:rFonts w:ascii="宋体" w:hAnsi="宋体" w:cs="宋体" w:eastAsia="宋体" w:hint="default"/>
          <w:sz w:val="18"/>
          <w:szCs w:val="18"/>
        </w:rPr>
        <w:t>达实智能治理层（以下简称</w:t>
      </w:r>
      <w:r>
        <w:rPr>
          <w:rFonts w:ascii="Times New Roman" w:hAnsi="Times New Roman" w:cs="Times New Roman" w:eastAsia="Times New Roman" w:hint="default"/>
          <w:sz w:val="18"/>
          <w:szCs w:val="18"/>
        </w:rPr>
        <w:t>“</w:t>
      </w:r>
      <w:r>
        <w:rPr>
          <w:rFonts w:ascii="宋体" w:hAnsi="宋体" w:cs="宋体" w:eastAsia="宋体" w:hint="default"/>
          <w:sz w:val="18"/>
          <w:szCs w:val="18"/>
        </w:rPr>
        <w:t>治理层</w:t>
      </w:r>
      <w:r>
        <w:rPr>
          <w:rFonts w:ascii="Times New Roman" w:hAnsi="Times New Roman" w:cs="Times New Roman" w:eastAsia="Times New Roman" w:hint="default"/>
          <w:sz w:val="18"/>
          <w:szCs w:val="18"/>
        </w:rPr>
        <w:t>”</w:t>
      </w:r>
      <w:r>
        <w:rPr>
          <w:rFonts w:ascii="宋体" w:hAnsi="宋体" w:cs="宋体" w:eastAsia="宋体" w:hint="default"/>
          <w:sz w:val="18"/>
          <w:szCs w:val="18"/>
        </w:rPr>
        <w:t>）负责监督达实智能的财务报告过程。 </w:t>
      </w:r>
      <w:r>
        <w:rPr>
          <w:rFonts w:ascii="宋体" w:hAnsi="宋体" w:cs="宋体" w:eastAsia="宋体" w:hint="default"/>
          <w:b/>
          <w:bCs/>
          <w:sz w:val="18"/>
          <w:szCs w:val="18"/>
        </w:rPr>
        <w:t>六、</w:t>
      </w:r>
      <w:r>
        <w:rPr>
          <w:rFonts w:ascii="宋体" w:hAnsi="宋体" w:cs="宋体" w:eastAsia="宋体" w:hint="default"/>
          <w:b/>
          <w:bCs/>
          <w:spacing w:val="-16"/>
          <w:sz w:val="18"/>
          <w:szCs w:val="18"/>
        </w:rPr>
        <w:t> </w:t>
      </w:r>
      <w:r>
        <w:rPr>
          <w:rFonts w:ascii="宋体" w:hAnsi="宋体" w:cs="宋体" w:eastAsia="宋体" w:hint="default"/>
          <w:b/>
          <w:bCs/>
          <w:sz w:val="18"/>
          <w:szCs w:val="18"/>
        </w:rPr>
        <w:t>注册会计师对财务报表审计的责任</w:t>
      </w:r>
      <w:r>
        <w:rPr>
          <w:rFonts w:ascii="宋体" w:hAnsi="宋体" w:cs="宋体" w:eastAsia="宋体" w:hint="default"/>
          <w:sz w:val="18"/>
          <w:szCs w:val="18"/>
        </w:rPr>
      </w:r>
    </w:p>
    <w:p>
      <w:pPr>
        <w:pStyle w:val="BodyText"/>
        <w:spacing w:line="477" w:lineRule="auto" w:before="107"/>
        <w:ind w:right="1130" w:firstLine="480"/>
        <w:jc w:val="both"/>
      </w:pPr>
      <w:r>
        <w:rPr>
          <w:spacing w:val="-1"/>
        </w:rPr>
        <w:t>我们的目标是对财务报表整体是否不存在由于舞弊或错误导致的重大错报获取合理保证，并出具包含审计意见的审计</w:t>
      </w:r>
      <w:r>
        <w:rPr/>
        <w:t> </w:t>
      </w:r>
      <w:r>
        <w:rPr>
          <w:spacing w:val="-2"/>
        </w:rPr>
        <w:t>报告。合理保证是高水平的保证，但并不能保证按照审计准则执行的审计在某一重大错报存在时总能发现。错报可能由于舞</w:t>
      </w:r>
      <w:r>
        <w:rPr>
          <w:spacing w:val="-63"/>
        </w:rPr>
        <w:t> </w:t>
      </w:r>
      <w:r>
        <w:rPr>
          <w:spacing w:val="-63"/>
        </w:rPr>
      </w:r>
      <w:r>
        <w:rPr>
          <w:spacing w:val="-2"/>
        </w:rPr>
        <w:t>弊或错误所导致，如果合理预期错报单独或汇总起来可能影响财务报表使用者依据财务报表作出的经济决策，则通常认为错</w:t>
      </w:r>
      <w:r>
        <w:rPr>
          <w:spacing w:val="-64"/>
        </w:rPr>
        <w:t> </w:t>
      </w:r>
      <w:r>
        <w:rPr>
          <w:spacing w:val="-64"/>
        </w:rPr>
      </w:r>
      <w:r>
        <w:rPr/>
        <w:t>报是重大的。</w:t>
      </w:r>
    </w:p>
    <w:p>
      <w:pPr>
        <w:spacing w:line="240" w:lineRule="auto" w:before="5"/>
        <w:rPr>
          <w:rFonts w:ascii="宋体" w:hAnsi="宋体" w:cs="宋体" w:eastAsia="宋体" w:hint="default"/>
          <w:sz w:val="13"/>
          <w:szCs w:val="13"/>
        </w:rPr>
      </w:pPr>
    </w:p>
    <w:p>
      <w:pPr>
        <w:pStyle w:val="BodyText"/>
        <w:spacing w:line="240" w:lineRule="auto"/>
        <w:ind w:left="633" w:right="1133"/>
        <w:jc w:val="left"/>
      </w:pPr>
      <w:r>
        <w:rPr/>
        <w:t>在按照审计准则执行审计的过程中，我们运用了职业判断，并保持了职业怀疑。同时，我们也执行以下工作：</w:t>
      </w:r>
    </w:p>
    <w:p>
      <w:pPr>
        <w:spacing w:line="240" w:lineRule="auto" w:before="12"/>
        <w:rPr>
          <w:rFonts w:ascii="宋体" w:hAnsi="宋体" w:cs="宋体" w:eastAsia="宋体" w:hint="default"/>
          <w:sz w:val="26"/>
          <w:szCs w:val="26"/>
        </w:rPr>
      </w:pPr>
    </w:p>
    <w:p>
      <w:pPr>
        <w:pStyle w:val="BodyText"/>
        <w:spacing w:line="477" w:lineRule="auto"/>
        <w:ind w:right="1041" w:firstLine="480"/>
        <w:jc w:val="both"/>
      </w:pPr>
      <w:r>
        <w:rPr>
          <w:spacing w:val="-3"/>
        </w:rPr>
        <w:t>（一）识别和评估由于舞弊或错误导致的财务报表重大错报风险，设计和实施审计程序以应对这些风险，并获取充分、</w:t>
      </w:r>
      <w:r>
        <w:rPr/>
        <w:t> 适当的审计证据，作为发表审计意见的基础。由于舞弊可能涉及串通、伪造、故意遗漏、虚假陈述或凌驾于内部控制之上， 未能发现由于舞弊导致的重大错报的风险高于未能发现由于错误导致的重大错报的风险。</w:t>
      </w:r>
    </w:p>
    <w:p>
      <w:pPr>
        <w:spacing w:line="240" w:lineRule="auto" w:before="4"/>
        <w:rPr>
          <w:rFonts w:ascii="宋体" w:hAnsi="宋体" w:cs="宋体" w:eastAsia="宋体" w:hint="default"/>
          <w:sz w:val="13"/>
          <w:szCs w:val="13"/>
        </w:rPr>
      </w:pPr>
    </w:p>
    <w:p>
      <w:pPr>
        <w:pStyle w:val="BodyText"/>
        <w:spacing w:line="240" w:lineRule="auto"/>
        <w:ind w:left="633" w:right="1133"/>
        <w:jc w:val="left"/>
      </w:pPr>
      <w:r>
        <w:rPr/>
        <w:t>（二）了解与审计相关的内部控制，以设计恰当的审计程序。</w:t>
      </w:r>
    </w:p>
    <w:p>
      <w:pPr>
        <w:spacing w:after="0" w:line="240"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240" w:lineRule="auto"/>
        <w:ind w:left="633" w:right="1133"/>
        <w:jc w:val="left"/>
      </w:pPr>
      <w:r>
        <w:rPr/>
        <w:t>（三）评价管理层选用会计政策的恰当性和作出会计估计及相关披露的合理性。</w:t>
      </w:r>
    </w:p>
    <w:p>
      <w:pPr>
        <w:spacing w:line="240" w:lineRule="auto" w:before="13"/>
        <w:rPr>
          <w:rFonts w:ascii="宋体" w:hAnsi="宋体" w:cs="宋体" w:eastAsia="宋体" w:hint="default"/>
          <w:sz w:val="26"/>
          <w:szCs w:val="26"/>
        </w:rPr>
      </w:pPr>
    </w:p>
    <w:p>
      <w:pPr>
        <w:pStyle w:val="BodyText"/>
        <w:spacing w:line="477" w:lineRule="auto"/>
        <w:ind w:right="1132" w:firstLine="480"/>
        <w:jc w:val="both"/>
      </w:pPr>
      <w:r>
        <w:rPr>
          <w:spacing w:val="-1"/>
        </w:rPr>
        <w:t>（四）对管理层使用持续经营假设的恰当性得出结论。同时，根据获取的审计证据，就可能导致对达实智能持续经营</w:t>
      </w:r>
      <w:r>
        <w:rPr/>
        <w:t> </w:t>
      </w:r>
      <w:r>
        <w:rPr>
          <w:spacing w:val="-2"/>
        </w:rPr>
        <w:t>能力产生重大疑虑的事项或情况是否存在重大不确定性得出结论。如果我们得出结论认为存在重大不确定性，审计准则要求</w:t>
      </w:r>
      <w:r>
        <w:rPr>
          <w:spacing w:val="-64"/>
        </w:rPr>
        <w:t> </w:t>
      </w:r>
      <w:r>
        <w:rPr>
          <w:spacing w:val="-64"/>
        </w:rPr>
      </w:r>
      <w:r>
        <w:rPr>
          <w:spacing w:val="-2"/>
        </w:rPr>
        <w:t>我们在审计报告中提请报表使用者注意财务报表中的相关披露；如果披露不充分，我们应当发表非无保留意见。我们的结论</w:t>
      </w:r>
      <w:r>
        <w:rPr>
          <w:spacing w:val="-66"/>
        </w:rPr>
        <w:t> </w:t>
      </w:r>
      <w:r>
        <w:rPr>
          <w:spacing w:val="-66"/>
        </w:rPr>
      </w:r>
      <w:r>
        <w:rPr/>
        <w:t>基于截至审计报告日可获得的信息。然而，未来的事项或情况可能导致达实智能不能持续经营。</w:t>
      </w:r>
    </w:p>
    <w:p>
      <w:pPr>
        <w:spacing w:line="240" w:lineRule="auto" w:before="4"/>
        <w:rPr>
          <w:rFonts w:ascii="宋体" w:hAnsi="宋体" w:cs="宋体" w:eastAsia="宋体" w:hint="default"/>
          <w:sz w:val="13"/>
          <w:szCs w:val="13"/>
        </w:rPr>
      </w:pPr>
    </w:p>
    <w:p>
      <w:pPr>
        <w:pStyle w:val="BodyText"/>
        <w:spacing w:line="240" w:lineRule="auto"/>
        <w:ind w:left="633" w:right="1133"/>
        <w:jc w:val="left"/>
      </w:pPr>
      <w:r>
        <w:rPr/>
        <w:t>（五）评价财务报表的总体列报、结构和内容，并评价财务报表是否公允反映相关交易和事项。</w:t>
      </w:r>
    </w:p>
    <w:p>
      <w:pPr>
        <w:spacing w:line="240" w:lineRule="auto" w:before="12"/>
        <w:rPr>
          <w:rFonts w:ascii="宋体" w:hAnsi="宋体" w:cs="宋体" w:eastAsia="宋体" w:hint="default"/>
          <w:sz w:val="26"/>
          <w:szCs w:val="26"/>
        </w:rPr>
      </w:pPr>
    </w:p>
    <w:p>
      <w:pPr>
        <w:pStyle w:val="BodyText"/>
        <w:spacing w:line="477" w:lineRule="auto"/>
        <w:ind w:right="1046" w:firstLine="480"/>
        <w:jc w:val="both"/>
      </w:pPr>
      <w:r>
        <w:rPr>
          <w:spacing w:val="-3"/>
        </w:rPr>
        <w:t>（六）就达实智能中实体或业务活动的财务信息获取充分、适当的审计证据，以对财务报表发表意见。我们负责指导、</w:t>
      </w:r>
      <w:r>
        <w:rPr/>
        <w:t> 监督和执行集团审计。我们对审计意见承担全部责任。</w:t>
      </w:r>
    </w:p>
    <w:p>
      <w:pPr>
        <w:spacing w:line="240" w:lineRule="auto" w:before="4"/>
        <w:rPr>
          <w:rFonts w:ascii="宋体" w:hAnsi="宋体" w:cs="宋体" w:eastAsia="宋体" w:hint="default"/>
          <w:sz w:val="13"/>
          <w:szCs w:val="13"/>
        </w:rPr>
      </w:pPr>
    </w:p>
    <w:p>
      <w:pPr>
        <w:pStyle w:val="BodyText"/>
        <w:spacing w:line="477" w:lineRule="auto"/>
        <w:ind w:right="1135" w:firstLine="480"/>
        <w:jc w:val="both"/>
      </w:pPr>
      <w:r>
        <w:rPr>
          <w:spacing w:val="-1"/>
        </w:rPr>
        <w:t>我们与治理层就计划的审计范围、时间安排和重大审计发现等事项进行沟通，包括沟通我们在审计中识别出的值得关</w:t>
      </w:r>
      <w:r>
        <w:rPr/>
        <w:t> 注的内部控制缺陷。</w:t>
      </w:r>
    </w:p>
    <w:p>
      <w:pPr>
        <w:spacing w:line="240" w:lineRule="auto" w:before="4"/>
        <w:rPr>
          <w:rFonts w:ascii="宋体" w:hAnsi="宋体" w:cs="宋体" w:eastAsia="宋体" w:hint="default"/>
          <w:sz w:val="13"/>
          <w:szCs w:val="13"/>
        </w:rPr>
      </w:pPr>
    </w:p>
    <w:p>
      <w:pPr>
        <w:pStyle w:val="BodyText"/>
        <w:spacing w:line="477" w:lineRule="auto"/>
        <w:ind w:right="1132" w:firstLine="480"/>
        <w:jc w:val="both"/>
      </w:pPr>
      <w:r>
        <w:rPr>
          <w:spacing w:val="-1"/>
        </w:rPr>
        <w:t>我们还就已遵守与独立性相关的职业道德要求向治理层提供声明，并与治理层沟通可能被合理认为影响我们独立性的</w:t>
      </w:r>
      <w:r>
        <w:rPr/>
        <w:t> 所有关系和其他事项，以及相关的防范措施（如适用）。</w:t>
      </w:r>
    </w:p>
    <w:p>
      <w:pPr>
        <w:spacing w:line="240" w:lineRule="auto" w:before="4"/>
        <w:rPr>
          <w:rFonts w:ascii="宋体" w:hAnsi="宋体" w:cs="宋体" w:eastAsia="宋体" w:hint="default"/>
          <w:sz w:val="13"/>
          <w:szCs w:val="13"/>
        </w:rPr>
      </w:pPr>
    </w:p>
    <w:p>
      <w:pPr>
        <w:pStyle w:val="BodyText"/>
        <w:spacing w:line="477" w:lineRule="auto"/>
        <w:ind w:right="1132" w:firstLine="480"/>
        <w:jc w:val="both"/>
      </w:pPr>
      <w:r>
        <w:rPr>
          <w:spacing w:val="-1"/>
        </w:rPr>
        <w:t>从与治理层沟通过的事项中，我们确定哪些事项对本期财务报表审计最为重要，因而构成关键审计事项。我们在审计</w:t>
      </w:r>
      <w:r>
        <w:rPr/>
        <w:t> </w:t>
      </w:r>
      <w:r>
        <w:rPr>
          <w:spacing w:val="-2"/>
        </w:rPr>
        <w:t>报告中描述这些事项，除非法律法规禁止公开披露这些事项，或在极少数情形下，如果合理预期在审计报告中沟通某事项造</w:t>
      </w:r>
      <w:r>
        <w:rPr>
          <w:spacing w:val="-66"/>
        </w:rPr>
        <w:t> </w:t>
      </w:r>
      <w:r>
        <w:rPr>
          <w:spacing w:val="-66"/>
        </w:rPr>
      </w:r>
      <w:r>
        <w:rPr/>
        <w:t>成的负面后果超过在公众利益方面产生的益处，我们确定不应在审计报告中沟通该事项。</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9"/>
          <w:szCs w:val="19"/>
        </w:rPr>
      </w:pPr>
    </w:p>
    <w:p>
      <w:pPr>
        <w:pStyle w:val="Heading6"/>
        <w:tabs>
          <w:tab w:pos="3626" w:val="left" w:leader="none"/>
        </w:tabs>
        <w:spacing w:line="240" w:lineRule="auto"/>
        <w:ind w:right="1133"/>
        <w:jc w:val="left"/>
        <w:rPr>
          <w:b w:val="0"/>
          <w:bCs w:val="0"/>
        </w:rPr>
      </w:pPr>
      <w:r>
        <w:rPr/>
        <w:t>中勤万信会计师事务所</w:t>
      </w:r>
      <w:r>
        <w:rPr>
          <w:rFonts w:ascii="Times New Roman" w:hAnsi="Times New Roman" w:cs="Times New Roman" w:eastAsia="Times New Roman" w:hint="default"/>
        </w:rPr>
        <w:t>(</w:t>
      </w:r>
      <w:r>
        <w:rPr/>
        <w:t>特殊普通合伙</w:t>
      </w:r>
      <w:r>
        <w:rPr>
          <w:rFonts w:ascii="Times New Roman" w:hAnsi="Times New Roman" w:cs="Times New Roman" w:eastAsia="Times New Roman" w:hint="default"/>
        </w:rPr>
        <w:t>)</w:t>
        <w:tab/>
      </w:r>
      <w:r>
        <w:rPr/>
        <w:t>中国注册会计师：</w:t>
      </w:r>
      <w:r>
        <w:rPr>
          <w:spacing w:val="61"/>
        </w:rPr>
        <w:t> </w:t>
      </w:r>
      <w:r>
        <w:rPr/>
        <w:t>潘忠民</w:t>
      </w:r>
      <w:r>
        <w:rPr>
          <w:b w:val="0"/>
          <w:bCs w:val="0"/>
        </w:rPr>
      </w:r>
    </w:p>
    <w:p>
      <w:pPr>
        <w:spacing w:line="240" w:lineRule="auto" w:before="9"/>
        <w:rPr>
          <w:rFonts w:ascii="宋体" w:hAnsi="宋体" w:cs="宋体" w:eastAsia="宋体" w:hint="default"/>
          <w:b/>
          <w:bCs/>
          <w:sz w:val="16"/>
          <w:szCs w:val="16"/>
        </w:rPr>
      </w:pPr>
    </w:p>
    <w:p>
      <w:pPr>
        <w:pStyle w:val="Heading6"/>
        <w:spacing w:line="240" w:lineRule="auto"/>
        <w:ind w:left="779" w:right="1179"/>
        <w:jc w:val="center"/>
        <w:rPr>
          <w:b w:val="0"/>
          <w:bCs w:val="0"/>
        </w:rPr>
      </w:pPr>
      <w:r>
        <w:rPr/>
        <w:t>（项目合伙人）</w:t>
      </w:r>
      <w:r>
        <w:rPr>
          <w:b w:val="0"/>
          <w:bCs w:val="0"/>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4"/>
        <w:rPr>
          <w:rFonts w:ascii="宋体" w:hAnsi="宋体" w:cs="宋体" w:eastAsia="宋体" w:hint="default"/>
          <w:b/>
          <w:bCs/>
          <w:sz w:val="17"/>
          <w:szCs w:val="17"/>
        </w:rPr>
      </w:pPr>
    </w:p>
    <w:p>
      <w:pPr>
        <w:pStyle w:val="Heading6"/>
        <w:tabs>
          <w:tab w:pos="3830" w:val="left" w:leader="none"/>
        </w:tabs>
        <w:spacing w:line="240" w:lineRule="auto"/>
        <w:ind w:right="1133"/>
        <w:jc w:val="left"/>
        <w:rPr>
          <w:b w:val="0"/>
          <w:bCs w:val="0"/>
        </w:rPr>
      </w:pPr>
      <w:r>
        <w:rPr>
          <w:w w:val="95"/>
        </w:rPr>
        <w:t>二〇二〇年四月二十四日</w:t>
        <w:tab/>
      </w:r>
      <w:r>
        <w:rPr/>
        <w:t>中国注册会计师：黄建军</w:t>
      </w:r>
      <w:r>
        <w:rPr>
          <w:b w:val="0"/>
          <w:bCs w:val="0"/>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6"/>
        <w:rPr>
          <w:rFonts w:ascii="宋体" w:hAnsi="宋体" w:cs="宋体" w:eastAsia="宋体" w:hint="default"/>
          <w:b/>
          <w:bCs/>
          <w:sz w:val="12"/>
          <w:szCs w:val="12"/>
        </w:rPr>
      </w:pPr>
    </w:p>
    <w:p>
      <w:pPr>
        <w:pStyle w:val="Heading2"/>
        <w:spacing w:line="240" w:lineRule="auto"/>
        <w:ind w:right="1133"/>
        <w:jc w:val="left"/>
        <w:rPr>
          <w:b w:val="0"/>
          <w:bCs w:val="0"/>
        </w:rPr>
      </w:pPr>
      <w:bookmarkStart w:name="二、财务报表" w:id="160"/>
      <w:bookmarkEnd w:id="160"/>
      <w:r>
        <w:rPr>
          <w:b w:val="0"/>
          <w:bCs w:val="0"/>
        </w:rPr>
      </w:r>
      <w:r>
        <w:rPr/>
        <w:t>二、财务报表</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t>财务附注中报表的单位为：元</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1133"/>
        <w:jc w:val="left"/>
        <w:rPr>
          <w:b w:val="0"/>
          <w:bCs w:val="0"/>
        </w:rPr>
      </w:pPr>
      <w:bookmarkStart w:name="1、合并资产负债表" w:id="161"/>
      <w:bookmarkEnd w:id="161"/>
      <w:r>
        <w:rPr>
          <w:b w:val="0"/>
          <w:bCs w:val="0"/>
        </w:rPr>
      </w:r>
      <w:r>
        <w:rPr>
          <w:rFonts w:ascii="Times New Roman" w:hAnsi="Times New Roman" w:cs="Times New Roman" w:eastAsia="Times New Roman" w:hint="default"/>
        </w:rPr>
        <w:t>1</w:t>
      </w:r>
      <w:r>
        <w:rPr/>
        <w:t>、合并资产负债表</w:t>
      </w:r>
      <w:r>
        <w:rPr>
          <w:b w:val="0"/>
          <w:bCs w:val="0"/>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80" w:top="1060" w:bottom="1160" w:left="980" w:right="0"/>
        </w:sectPr>
      </w:pPr>
    </w:p>
    <w:p>
      <w:pPr>
        <w:pStyle w:val="BodyText"/>
        <w:spacing w:line="240" w:lineRule="auto" w:before="44"/>
        <w:ind w:right="-20"/>
        <w:jc w:val="left"/>
      </w:pPr>
      <w:r>
        <w:rPr/>
        <w:t>编制单位：深圳达实智能股份有限公司</w:t>
      </w:r>
    </w:p>
    <w:p>
      <w:pPr>
        <w:spacing w:line="240" w:lineRule="auto" w:before="0"/>
        <w:rPr>
          <w:rFonts w:ascii="宋体" w:hAnsi="宋体" w:cs="宋体" w:eastAsia="宋体" w:hint="default"/>
          <w:sz w:val="18"/>
          <w:szCs w:val="18"/>
        </w:rPr>
      </w:pPr>
      <w:r>
        <w:rPr/>
        <w:br w:type="column"/>
      </w:r>
      <w:r>
        <w:rPr>
          <w:rFonts w:ascii="宋体"/>
          <w:sz w:val="18"/>
        </w:rPr>
      </w:r>
    </w:p>
    <w:p>
      <w:pPr>
        <w:pStyle w:val="BodyText"/>
        <w:spacing w:line="240" w:lineRule="auto" w:before="159"/>
        <w:ind w:right="-14"/>
        <w:jc w:val="left"/>
      </w:pP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8"/>
        </w:rPr>
        <w:t> </w:t>
      </w:r>
      <w:r>
        <w:rPr>
          <w:rFonts w:ascii="Times New Roman" w:hAnsi="Times New Roman" w:cs="Times New Roman" w:eastAsia="Times New Roman" w:hint="default"/>
        </w:rPr>
        <w:t>12 </w:t>
      </w:r>
      <w:r>
        <w:rPr/>
        <w:t>月</w:t>
      </w:r>
      <w:r>
        <w:rPr>
          <w:spacing w:val="-46"/>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060" w:bottom="1160" w:left="980" w:right="0"/>
          <w:cols w:num="3" w:equalWidth="0">
            <w:col w:w="3213" w:space="863"/>
            <w:col w:w="1642" w:space="3202"/>
            <w:col w:w="2010"/>
          </w:cols>
        </w:sectPr>
      </w:pP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970,389,828.03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892,377,916.11</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45,000,000.00</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311,316,015.47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511,416,550.30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1,974,939,542.74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2,138,980,416.13</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116,088,026.47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186,157,869.65</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255,091,972.16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221,127,062.28</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613,333.33</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8"/>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507,998,350.11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332,054,359.62</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124,445,275.32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177,889,773.87</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87,851,970.65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62,778,935.20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4,348,120,980.95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4,567,782,883.16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发放贷款和垫款</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208,071,492.15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314,916,651.31</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33,810,569.07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29,455,567.84</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62,583,819.49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85,975,000.00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940"/>
              <w:jc w:val="righ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396,402,347.54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44,627,022.66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473,645,008.29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162,304,668.60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421,605,668.12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686,874,782.19</w:t>
            </w: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204,380,302.00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161,174,716.92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27,826,204.56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30,388,342.47</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152,292,789.75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625,287,609.96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61,196,544.33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pacing w:val="-1"/>
                <w:sz w:val="18"/>
              </w:rPr>
              <w:t>11,220,062.64</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52,500,052.51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44,993,600.37</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2,094,314,797.81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2,197,218,024.96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6,442,435,778.76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6,765,000,908.12</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456,500,000.00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844,127,043.58</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0"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269,196,594.61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236,782,228.73</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1,024,691,027.50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985,038,338.10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123,888,600.22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68,675,383.71</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940"/>
              <w:jc w:val="righ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940"/>
              <w:jc w:val="righ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52,405,236.40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52,461,683.54</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18,553,314.00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42,315,087.70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174,723,478.59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101,236,695.47</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2"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3,272,380.35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2,806,333.53</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8"/>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97,429,739.55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38,649,302.70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129,094,214.73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135,982,245.92</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2,346,482,205.60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2,505,268,009.45</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1,162,186,823.46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860,943,033.42</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08"/>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18,737,132.80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37,271,912.83</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26,124,045.14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34,906,067.70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1,207,048,001.40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933,121,013.95</w:t>
            </w: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3,553,530,207.00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3,438,389,023.40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1,935,039,229.00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1,902,159,229.00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08"/>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170,476,707.73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153,415,558.41</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6"/>
        <w:gridCol w:w="3300"/>
        <w:gridCol w:w="3303"/>
      </w:tblGrid>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62,472,000.00</w:t>
            </w: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3"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-28,391,085.29</w:t>
            </w: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107,238,825.58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96,417,455.37</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700,952,663.96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1,054,820,247.30</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2,822,844,340.98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3,206,812,490.08</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66,061,230.78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119,799,394.64</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2,888,905,571.76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3,326,611,884.72</w:t>
            </w:r>
          </w:p>
        </w:tc>
      </w:tr>
      <w:tr>
        <w:trPr>
          <w:trHeight w:val="40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6,442,435,778.76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6,765,000,908.12</w:t>
            </w:r>
          </w:p>
        </w:tc>
      </w:tr>
    </w:tbl>
    <w:p>
      <w:pPr>
        <w:spacing w:line="240" w:lineRule="auto" w:before="11"/>
        <w:rPr>
          <w:rFonts w:ascii="Times New Roman" w:hAnsi="Times New Roman" w:cs="Times New Roman" w:eastAsia="Times New Roman" w:hint="default"/>
          <w:sz w:val="22"/>
          <w:szCs w:val="22"/>
        </w:rPr>
      </w:pPr>
    </w:p>
    <w:p>
      <w:pPr>
        <w:pStyle w:val="BodyText"/>
        <w:tabs>
          <w:tab w:pos="3334" w:val="left" w:leader="none"/>
          <w:tab w:pos="7566" w:val="left" w:leader="none"/>
        </w:tabs>
        <w:spacing w:line="240" w:lineRule="auto" w:before="44"/>
        <w:ind w:left="0" w:right="1225"/>
        <w:jc w:val="right"/>
      </w:pPr>
      <w:r>
        <w:rPr/>
        <w:t>法定代表人：刘磅</w:t>
        <w:tab/>
      </w:r>
      <w:r>
        <w:rPr>
          <w:spacing w:val="-1"/>
        </w:rPr>
        <w:t>主管会计工作负责人：黄天朗</w:t>
        <w:tab/>
      </w:r>
      <w:r>
        <w:rPr/>
        <w:t>会计机构负责人：黄庆明</w:t>
      </w:r>
    </w:p>
    <w:p>
      <w:pPr>
        <w:spacing w:line="240" w:lineRule="auto" w:before="0"/>
        <w:rPr>
          <w:rFonts w:ascii="宋体" w:hAnsi="宋体" w:cs="宋体" w:eastAsia="宋体" w:hint="default"/>
          <w:sz w:val="18"/>
          <w:szCs w:val="18"/>
        </w:rPr>
      </w:pPr>
    </w:p>
    <w:p>
      <w:pPr>
        <w:pStyle w:val="Heading4"/>
        <w:spacing w:line="240" w:lineRule="auto" w:before="120"/>
        <w:ind w:right="1133"/>
        <w:jc w:val="left"/>
        <w:rPr>
          <w:b w:val="0"/>
          <w:bCs w:val="0"/>
        </w:rPr>
      </w:pPr>
      <w:bookmarkStart w:name="2、母公司资产负债表" w:id="162"/>
      <w:bookmarkEnd w:id="162"/>
      <w:r>
        <w:rPr>
          <w:b w:val="0"/>
          <w:bCs w:val="0"/>
        </w:rPr>
      </w:r>
      <w:r>
        <w:rPr>
          <w:rFonts w:ascii="Times New Roman" w:hAnsi="Times New Roman" w:cs="Times New Roman" w:eastAsia="Times New Roman" w:hint="default"/>
        </w:rPr>
        <w:t>2</w:t>
      </w:r>
      <w:r>
        <w:rPr/>
        <w:t>、母公司资产负债表</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570,664,198.16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449,380,563.33</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0"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222,006,466.46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296,943,998.40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1,288,135,098.97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1,400,479,328.59</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23,308,625.76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27,701,779.26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273,319,814.52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434,748,913.43</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8"/>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372,552,735.93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214,810,389.76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1,704,608.42</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726,621.79</w:t>
            </w: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2,750,713,561.59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2,825,769,581.19</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1,769,375,291.15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1,524,762,203.63</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62,583,819.49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85,975,000.00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454,056.12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454,056.12</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67,508,347.18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92,783,784.90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1,582,410.34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pacing w:val="-1"/>
                <w:sz w:val="18"/>
              </w:rPr>
              <w:t>11,445,697.53</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69,054,879.24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37,442,693.42</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11,946,408.33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22,860,169.66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532,479.76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5,774,993.19</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19,934,298.66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18,320,825.66</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2,002,971,990.27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1,799,819,424.11</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4,753,685,551.86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4,625,589,005.30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285,000,000.00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622,790,000.00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198,466,943.61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156,922,868.89</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736,624,955.24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692,139,605.19</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299,583,121.15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36,272,708.31</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29,851,403.22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31,574,853.84</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2,976,594.03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18,412,958.82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114,527,355.10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63,628,433.85</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514,883.31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1,062,741.95</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8"/>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18,877,979.59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19,049,302.74</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51,334,362.27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64,057,464.22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1,737,242,714.21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1,704,848,195.86</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140,000,000.00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100,000,000.00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08"/>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18,737,132.80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37,271,912.83</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22,624,045.14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34,906,067.70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181,361,177.94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172,177,980.53</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1,918,603,892.15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1,877,026,176.39</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1,935,039,229.00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1,902,159,229.00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08"/>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189,417,134.59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154,732,501.26</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62,472,000.00</w:t>
            </w: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-28,391,180.51</w:t>
            </w: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107,238,825.58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96,257,087.78</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694,249,651.05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595,414,010.87</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2,835,081,659.71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2,748,562,828.91</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211.009995pt;margin-top:740.915955pt;width:158.9pt;height:20.65pt;mso-position-horizontal-relative:page;mso-position-vertical-relative:page;z-index:-1094632" coordorigin="4220,14818" coordsize="3178,413">
            <v:group style="position:absolute;left:4231;top:14829;width:2;height:392" coordorigin="4231,14829" coordsize="2,392">
              <v:shape style="position:absolute;left:4231;top:14829;width:2;height:392" coordorigin="4231,14829" coordsize="0,392" path="m4231,14829l4231,15220e" filled="false" stroked="true" strokeweight="1.08pt" strokecolor="#ffffff">
                <v:path arrowok="t"/>
              </v:shape>
            </v:group>
            <v:group style="position:absolute;left:4242;top:14829;width:3157;height:392" coordorigin="4242,14829" coordsize="3157,392">
              <v:shape style="position:absolute;left:4242;top:14829;width:3157;height:392" coordorigin="4242,14829" coordsize="3157,392" path="m4242,15220l7398,15220,7398,14829,4242,14829,4242,15220xe" filled="true" fillcolor="#ffffff" stroked="false">
                <v:path arrowok="t"/>
                <v:fill type="solid"/>
              </v:shape>
            </v:group>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6"/>
        <w:gridCol w:w="3300"/>
        <w:gridCol w:w="3303"/>
      </w:tblGrid>
      <w:tr>
        <w:trPr>
          <w:trHeight w:val="40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08" w:right="0"/>
              <w:jc w:val="left"/>
              <w:rPr>
                <w:rFonts w:ascii="Times New Roman" w:hAnsi="Times New Roman" w:cs="Times New Roman" w:eastAsia="Times New Roman" w:hint="default"/>
                <w:sz w:val="18"/>
                <w:szCs w:val="18"/>
              </w:rPr>
            </w:pPr>
            <w:r>
              <w:rPr>
                <w:rFonts w:ascii="Times New Roman"/>
                <w:sz w:val="18"/>
              </w:rPr>
              <w:t>4,753,685,551.86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09" w:right="0"/>
              <w:jc w:val="left"/>
              <w:rPr>
                <w:rFonts w:ascii="Times New Roman" w:hAnsi="Times New Roman" w:cs="Times New Roman" w:eastAsia="Times New Roman" w:hint="default"/>
                <w:sz w:val="18"/>
                <w:szCs w:val="18"/>
              </w:rPr>
            </w:pPr>
            <w:r>
              <w:rPr>
                <w:rFonts w:ascii="Times New Roman"/>
                <w:sz w:val="18"/>
              </w:rPr>
              <w:t>4,625,589,005.30</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1133"/>
        <w:jc w:val="left"/>
        <w:rPr>
          <w:b w:val="0"/>
          <w:bCs w:val="0"/>
        </w:rPr>
      </w:pPr>
      <w:bookmarkStart w:name="3、合并利润表" w:id="163"/>
      <w:bookmarkEnd w:id="163"/>
      <w:r>
        <w:rPr>
          <w:b w:val="0"/>
          <w:bCs w:val="0"/>
        </w:rPr>
      </w:r>
      <w:r>
        <w:rPr>
          <w:rFonts w:ascii="Times New Roman" w:hAnsi="Times New Roman" w:cs="Times New Roman" w:eastAsia="Times New Roman" w:hint="default"/>
        </w:rPr>
        <w:t>3</w:t>
      </w:r>
      <w:r>
        <w:rPr/>
        <w:t>、合并利润表</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057"/>
        <w:gridCol w:w="3222"/>
        <w:gridCol w:w="3277"/>
      </w:tblGrid>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3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2,205,852,549.27</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2,527,415,275.10</w:t>
            </w: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2,205,852,549.27</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2,527,415,275.10</w:t>
            </w: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12"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2,089,993,379.50</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2,192,521,503.01</w:t>
            </w: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1,512,198,213.98</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1,719,623,943.94</w:t>
            </w: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2"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2"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提取保险责任合同准备金</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净额</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2"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2"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10,474,885.55</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8,831,616.49</w:t>
            </w: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295,780,131.67</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253,769,209.28</w:t>
            </w: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159,415,321.55</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136,147,800.18</w:t>
            </w: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52,051,103.53</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47,573,406.42</w:t>
            </w: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60,073,723.22</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26,575,526.70</w:t>
            </w: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92"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66,651,279.02</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29,888,739.08</w:t>
            </w: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3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6,887,063.55</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6,009,102.95</w:t>
            </w: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40,096,141.40</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28,821,457.86</w:t>
            </w:r>
          </w:p>
        </w:tc>
      </w:tr>
      <w:tr>
        <w:trPr>
          <w:trHeight w:val="715"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2"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0"/>
              <w:ind w:left="1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4,496,289.43</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-15,546,223.82</w:t>
            </w:r>
          </w:p>
        </w:tc>
      </w:tr>
      <w:tr>
        <w:trPr>
          <w:trHeight w:val="71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 w:firstLine="720"/>
              <w:jc w:val="left"/>
              <w:rPr>
                <w:rFonts w:ascii="宋体" w:hAnsi="宋体" w:cs="宋体" w:eastAsia="宋体" w:hint="default"/>
                <w:sz w:val="18"/>
                <w:szCs w:val="18"/>
              </w:rPr>
            </w:pPr>
            <w:r>
              <w:rPr>
                <w:rFonts w:ascii="宋体" w:hAnsi="宋体" w:cs="宋体" w:eastAsia="宋体" w:hint="default"/>
                <w:spacing w:val="-3"/>
                <w:sz w:val="18"/>
                <w:szCs w:val="18"/>
              </w:rPr>
              <w:t>其中：对联营企业和合营企业</w:t>
            </w:r>
            <w:r>
              <w:rPr>
                <w:rFonts w:ascii="宋体" w:hAnsi="宋体" w:cs="宋体" w:eastAsia="宋体" w:hint="default"/>
                <w:sz w:val="18"/>
                <w:szCs w:val="18"/>
              </w:rPr>
              <w:t> 的投资收益</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4,355,001.23</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701,495.18</w:t>
            </w:r>
          </w:p>
        </w:tc>
      </w:tr>
      <w:tr>
        <w:trPr>
          <w:trHeight w:val="715"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153" w:firstLine="1080"/>
              <w:jc w:val="left"/>
              <w:rPr>
                <w:rFonts w:ascii="宋体" w:hAnsi="宋体" w:cs="宋体" w:eastAsia="宋体" w:hint="default"/>
                <w:sz w:val="18"/>
                <w:szCs w:val="18"/>
              </w:rPr>
            </w:pPr>
            <w:r>
              <w:rPr>
                <w:rFonts w:ascii="宋体" w:hAnsi="宋体" w:cs="宋体" w:eastAsia="宋体" w:hint="default"/>
                <w:sz w:val="18"/>
                <w:szCs w:val="18"/>
              </w:rPr>
              <w:t>以摊余成本计量的金融 资产终止确认收益</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132" w:right="0"/>
              <w:jc w:val="left"/>
              <w:rPr>
                <w:rFonts w:ascii="宋体" w:hAnsi="宋体" w:cs="宋体" w:eastAsia="宋体" w:hint="default"/>
                <w:sz w:val="18"/>
                <w:szCs w:val="18"/>
              </w:rPr>
            </w:pPr>
            <w:r>
              <w:rPr>
                <w:rFonts w:ascii="宋体" w:hAnsi="宋体" w:cs="宋体" w:eastAsia="宋体" w:hint="default"/>
                <w:sz w:val="18"/>
                <w:szCs w:val="18"/>
              </w:rPr>
              <w:t>）</w:t>
            </w:r>
          </w:p>
        </w:tc>
        <w:tc>
          <w:tcPr>
            <w:tcW w:w="327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211.009995pt;margin-top:310.789978pt;width:158.9pt;height:20.65pt;mso-position-horizontal-relative:page;mso-position-vertical-relative:page;z-index:-1094608" coordorigin="4220,6216" coordsize="3178,413">
            <v:group style="position:absolute;left:4231;top:6227;width:2;height:392" coordorigin="4231,6227" coordsize="2,392">
              <v:shape style="position:absolute;left:4231;top:6227;width:2;height:392" coordorigin="4231,6227" coordsize="0,392" path="m4231,6227l4231,6618e" filled="false" stroked="true" strokeweight="1.08pt" strokecolor="#ffffff">
                <v:path arrowok="t"/>
              </v:shape>
            </v:group>
            <v:group style="position:absolute;left:4242;top:6227;width:3157;height:392" coordorigin="4242,6227" coordsize="3157,392">
              <v:shape style="position:absolute;left:4242;top:6227;width:3157;height:392" coordorigin="4242,6227" coordsize="3157,392" path="m4242,6618l7398,6618,7398,6227,4242,6227,4242,6618xe" filled="true" fillcolor="#ffffff" stroked="false">
                <v:path arrowok="t"/>
                <v:fill type="solid"/>
              </v:shape>
            </v:group>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057"/>
        <w:gridCol w:w="1041"/>
        <w:gridCol w:w="2181"/>
        <w:gridCol w:w="3277"/>
      </w:tblGrid>
      <w:tr>
        <w:trPr>
          <w:trHeight w:val="71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Times New Roman" w:hAnsi="Times New Roman" w:cs="Times New Roman" w:eastAsia="Times New Roman" w:hint="default"/>
                <w:sz w:val="18"/>
                <w:szCs w:val="18"/>
              </w:rPr>
            </w:pPr>
            <w:r>
              <w:rPr>
                <w:rFonts w:ascii="宋体" w:hAnsi="宋体" w:cs="宋体" w:eastAsia="宋体" w:hint="default"/>
                <w:spacing w:val="-2"/>
                <w:sz w:val="18"/>
                <w:szCs w:val="18"/>
              </w:rPr>
              <w:t>净敞口套期收益（损失以</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222" w:type="dxa"/>
            <w:gridSpan w:val="2"/>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2" w:right="0"/>
              <w:jc w:val="left"/>
              <w:rPr>
                <w:rFonts w:ascii="宋体" w:hAnsi="宋体" w:cs="宋体" w:eastAsia="宋体" w:hint="default"/>
                <w:sz w:val="18"/>
                <w:szCs w:val="18"/>
              </w:rPr>
            </w:pPr>
            <w:r>
              <w:rPr>
                <w:rFonts w:ascii="宋体" w:hAnsi="宋体" w:cs="宋体" w:eastAsia="宋体" w:hint="default"/>
                <w:sz w:val="18"/>
                <w:szCs w:val="18"/>
              </w:rPr>
              <w:t>公允价值变动收益（损失以</w:t>
            </w:r>
          </w:p>
          <w:p>
            <w:pPr>
              <w:pStyle w:val="TableParagraph"/>
              <w:spacing w:line="240" w:lineRule="auto" w:before="74"/>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22" w:type="dxa"/>
            <w:gridSpan w:val="2"/>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信用减值损</w:t>
            </w:r>
            <w:r>
              <w:rPr>
                <w:rFonts w:ascii="宋体" w:hAnsi="宋体" w:cs="宋体" w:eastAsia="宋体" w:hint="default"/>
                <w:spacing w:val="-77"/>
                <w:sz w:val="18"/>
                <w:szCs w:val="18"/>
              </w:rPr>
              <w:t>失</w:t>
            </w:r>
            <w:r>
              <w:rPr>
                <w:rFonts w:ascii="宋体" w:hAnsi="宋体" w:cs="宋体" w:eastAsia="宋体" w:hint="default"/>
                <w:sz w:val="18"/>
                <w:szCs w:val="18"/>
              </w:rPr>
              <w:t>（损失</w:t>
            </w:r>
            <w:r>
              <w:rPr>
                <w:rFonts w:ascii="宋体" w:hAnsi="宋体" w:cs="宋体" w:eastAsia="宋体" w:hint="default"/>
                <w:spacing w:val="2"/>
                <w:sz w:val="18"/>
                <w:szCs w:val="18"/>
              </w:rPr>
              <w:t>以</w:t>
            </w:r>
            <w:r>
              <w:rPr>
                <w:rFonts w:ascii="Times New Roman" w:hAnsi="Times New Roman" w:cs="Times New Roman" w:eastAsia="Times New Roman" w:hint="default"/>
                <w:spacing w:val="-1"/>
                <w:w w:val="100"/>
                <w:sz w:val="18"/>
                <w:szCs w:val="18"/>
              </w:rPr>
              <w:t>“</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spacing w:val="-1"/>
                <w:w w:val="100"/>
                <w:sz w:val="18"/>
                <w:szCs w:val="18"/>
              </w:rPr>
              <w:t>”</w:t>
            </w:r>
            <w:r>
              <w:rPr>
                <w:rFonts w:ascii="宋体" w:hAnsi="宋体" w:cs="宋体" w:eastAsia="宋体" w:hint="default"/>
                <w:sz w:val="18"/>
                <w:szCs w:val="18"/>
              </w:rPr>
              <w:t>号填</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087" w:right="0"/>
              <w:jc w:val="left"/>
              <w:rPr>
                <w:rFonts w:ascii="Times New Roman" w:hAnsi="Times New Roman" w:cs="Times New Roman" w:eastAsia="Times New Roman" w:hint="default"/>
                <w:sz w:val="18"/>
                <w:szCs w:val="18"/>
              </w:rPr>
            </w:pPr>
            <w:r>
              <w:rPr>
                <w:rFonts w:ascii="Times New Roman"/>
                <w:sz w:val="18"/>
              </w:rPr>
              <w:t>-29,865,772.02</w:t>
            </w: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2" w:right="0"/>
              <w:jc w:val="left"/>
              <w:rPr>
                <w:rFonts w:ascii="宋体" w:hAnsi="宋体" w:cs="宋体" w:eastAsia="宋体" w:hint="default"/>
                <w:sz w:val="18"/>
                <w:szCs w:val="18"/>
              </w:rPr>
            </w:pPr>
            <w:r>
              <w:rPr>
                <w:rFonts w:ascii="宋体" w:hAnsi="宋体" w:cs="宋体" w:eastAsia="宋体" w:hint="default"/>
                <w:sz w:val="18"/>
                <w:szCs w:val="18"/>
              </w:rPr>
              <w:t>资产减值损</w:t>
            </w:r>
            <w:r>
              <w:rPr>
                <w:rFonts w:ascii="宋体" w:hAnsi="宋体" w:cs="宋体" w:eastAsia="宋体" w:hint="default"/>
                <w:spacing w:val="-77"/>
                <w:sz w:val="18"/>
                <w:szCs w:val="18"/>
              </w:rPr>
              <w:t>失</w:t>
            </w:r>
            <w:r>
              <w:rPr>
                <w:rFonts w:ascii="宋体" w:hAnsi="宋体" w:cs="宋体" w:eastAsia="宋体" w:hint="default"/>
                <w:sz w:val="18"/>
                <w:szCs w:val="18"/>
              </w:rPr>
              <w:t>（损失</w:t>
            </w:r>
            <w:r>
              <w:rPr>
                <w:rFonts w:ascii="宋体" w:hAnsi="宋体" w:cs="宋体" w:eastAsia="宋体" w:hint="default"/>
                <w:spacing w:val="2"/>
                <w:sz w:val="18"/>
                <w:szCs w:val="18"/>
              </w:rPr>
              <w:t>以</w:t>
            </w:r>
            <w:r>
              <w:rPr>
                <w:rFonts w:ascii="Times New Roman" w:hAnsi="Times New Roman" w:cs="Times New Roman" w:eastAsia="Times New Roman" w:hint="default"/>
                <w:spacing w:val="-1"/>
                <w:w w:val="100"/>
                <w:sz w:val="18"/>
                <w:szCs w:val="18"/>
              </w:rPr>
              <w:t>“</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spacing w:val="-1"/>
                <w:w w:val="100"/>
                <w:sz w:val="18"/>
                <w:szCs w:val="18"/>
              </w:rPr>
              <w:t>”</w:t>
            </w:r>
            <w:r>
              <w:rPr>
                <w:rFonts w:ascii="宋体" w:hAnsi="宋体" w:cs="宋体" w:eastAsia="宋体" w:hint="default"/>
                <w:sz w:val="18"/>
                <w:szCs w:val="18"/>
              </w:rPr>
              <w:t>号填</w:t>
            </w:r>
          </w:p>
          <w:p>
            <w:pPr>
              <w:pStyle w:val="TableParagraph"/>
              <w:spacing w:line="240" w:lineRule="auto" w:before="60"/>
              <w:ind w:left="1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995" w:right="0"/>
              <w:jc w:val="left"/>
              <w:rPr>
                <w:rFonts w:ascii="Times New Roman" w:hAnsi="Times New Roman" w:cs="Times New Roman" w:eastAsia="Times New Roman" w:hint="default"/>
                <w:sz w:val="18"/>
                <w:szCs w:val="18"/>
              </w:rPr>
            </w:pPr>
            <w:r>
              <w:rPr>
                <w:rFonts w:ascii="Times New Roman"/>
                <w:sz w:val="18"/>
              </w:rPr>
              <w:t>-473,630,004.20</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-88,655,933.07</w:t>
            </w:r>
          </w:p>
        </w:tc>
      </w:tr>
      <w:tr>
        <w:trPr>
          <w:trHeight w:val="71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资产处置收</w:t>
            </w:r>
            <w:r>
              <w:rPr>
                <w:rFonts w:ascii="宋体" w:hAnsi="宋体" w:cs="宋体" w:eastAsia="宋体" w:hint="default"/>
                <w:spacing w:val="-77"/>
                <w:sz w:val="18"/>
                <w:szCs w:val="18"/>
              </w:rPr>
              <w:t>益</w:t>
            </w:r>
            <w:r>
              <w:rPr>
                <w:rFonts w:ascii="宋体" w:hAnsi="宋体" w:cs="宋体" w:eastAsia="宋体" w:hint="default"/>
                <w:sz w:val="18"/>
                <w:szCs w:val="18"/>
              </w:rPr>
              <w:t>（损失</w:t>
            </w:r>
            <w:r>
              <w:rPr>
                <w:rFonts w:ascii="宋体" w:hAnsi="宋体" w:cs="宋体" w:eastAsia="宋体" w:hint="default"/>
                <w:spacing w:val="2"/>
                <w:sz w:val="18"/>
                <w:szCs w:val="18"/>
              </w:rPr>
              <w:t>以</w:t>
            </w:r>
            <w:r>
              <w:rPr>
                <w:rFonts w:ascii="Times New Roman" w:hAnsi="Times New Roman" w:cs="Times New Roman" w:eastAsia="Times New Roman" w:hint="default"/>
                <w:spacing w:val="-1"/>
                <w:w w:val="100"/>
                <w:sz w:val="18"/>
                <w:szCs w:val="18"/>
              </w:rPr>
              <w:t>“</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spacing w:val="-1"/>
                <w:w w:val="100"/>
                <w:sz w:val="18"/>
                <w:szCs w:val="18"/>
              </w:rPr>
              <w:t>”</w:t>
            </w:r>
            <w:r>
              <w:rPr>
                <w:rFonts w:ascii="宋体" w:hAnsi="宋体" w:cs="宋体" w:eastAsia="宋体" w:hint="default"/>
                <w:sz w:val="18"/>
                <w:szCs w:val="18"/>
              </w:rPr>
              <w:t>号填</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-278,835.81</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140,347.93</w:t>
            </w:r>
          </w:p>
        </w:tc>
      </w:tr>
      <w:tr>
        <w:trPr>
          <w:trHeight w:val="40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left="2002" w:right="0"/>
              <w:jc w:val="left"/>
              <w:rPr>
                <w:rFonts w:ascii="Times New Roman" w:hAnsi="Times New Roman" w:cs="Times New Roman" w:eastAsia="Times New Roman" w:hint="default"/>
                <w:sz w:val="18"/>
                <w:szCs w:val="18"/>
              </w:rPr>
            </w:pPr>
            <w:r>
              <w:rPr>
                <w:rFonts w:ascii="Times New Roman"/>
                <w:sz w:val="18"/>
              </w:rPr>
              <w:t>-343,323,011.43</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259,653,420.99</w:t>
            </w: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7,229,055.19</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1,012,453.18</w:t>
            </w: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1,594,386.21</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2"/>
                <w:sz w:val="18"/>
              </w:rPr>
              <w:t>5,111,322.05</w:t>
            </w: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6"/>
                <w:sz w:val="18"/>
                <w:szCs w:val="18"/>
              </w:rPr>
              <w:t>四、利润总额（亏损总额以</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号填列</w:t>
            </w:r>
          </w:p>
        </w:tc>
        <w:tc>
          <w:tcPr>
            <w:tcW w:w="1041" w:type="dxa"/>
            <w:tcBorders>
              <w:top w:val="single" w:sz="4" w:space="0" w:color="000000"/>
              <w:left w:val="single" w:sz="10" w:space="0" w:color="D2D2D2"/>
              <w:bottom w:val="single" w:sz="4" w:space="0" w:color="000000"/>
              <w:right w:val="nil" w:sz="6" w:space="0" w:color="auto"/>
            </w:tcBorders>
          </w:tcPr>
          <w:p>
            <w:pPr>
              <w:pStyle w:val="TableParagraph"/>
              <w:spacing w:line="240" w:lineRule="auto" w:before="49"/>
              <w:ind w:left="-117" w:right="0"/>
              <w:jc w:val="left"/>
              <w:rPr>
                <w:rFonts w:ascii="宋体" w:hAnsi="宋体" w:cs="宋体" w:eastAsia="宋体" w:hint="default"/>
                <w:sz w:val="18"/>
                <w:szCs w:val="18"/>
              </w:rPr>
            </w:pPr>
            <w:r>
              <w:rPr>
                <w:rFonts w:ascii="宋体" w:hAnsi="宋体" w:cs="宋体" w:eastAsia="宋体" w:hint="default"/>
                <w:sz w:val="18"/>
                <w:szCs w:val="18"/>
              </w:rPr>
              <w:t>）</w:t>
            </w:r>
          </w:p>
        </w:tc>
        <w:tc>
          <w:tcPr>
            <w:tcW w:w="218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1"/>
              <w:ind w:left="966" w:right="0"/>
              <w:jc w:val="left"/>
              <w:rPr>
                <w:rFonts w:ascii="Times New Roman" w:hAnsi="Times New Roman" w:cs="Times New Roman" w:eastAsia="Times New Roman" w:hint="default"/>
                <w:sz w:val="18"/>
                <w:szCs w:val="18"/>
              </w:rPr>
            </w:pPr>
            <w:r>
              <w:rPr>
                <w:rFonts w:ascii="Times New Roman"/>
                <w:sz w:val="18"/>
              </w:rPr>
              <w:t>-337,688,342.45</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255,554,552.12</w:t>
            </w: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5,589,467.47</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41,741,956.23</w:t>
            </w: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995" w:right="0"/>
              <w:jc w:val="left"/>
              <w:rPr>
                <w:rFonts w:ascii="Times New Roman" w:hAnsi="Times New Roman" w:cs="Times New Roman" w:eastAsia="Times New Roman" w:hint="default"/>
                <w:sz w:val="18"/>
                <w:szCs w:val="18"/>
              </w:rPr>
            </w:pPr>
            <w:r>
              <w:rPr>
                <w:rFonts w:ascii="Times New Roman"/>
                <w:sz w:val="18"/>
              </w:rPr>
              <w:t>-343,277,809.92</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213,812,595.89</w:t>
            </w: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92" w:right="0"/>
              <w:jc w:val="left"/>
              <w:rPr>
                <w:rFonts w:ascii="宋体" w:hAnsi="宋体" w:cs="宋体" w:eastAsia="宋体" w:hint="default"/>
                <w:sz w:val="18"/>
                <w:szCs w:val="18"/>
              </w:rPr>
            </w:pPr>
            <w:r>
              <w:rPr>
                <w:rFonts w:ascii="宋体" w:hAnsi="宋体" w:cs="宋体" w:eastAsia="宋体" w:hint="default"/>
                <w:sz w:val="18"/>
                <w:szCs w:val="18"/>
              </w:rPr>
              <w:t>（一）按经营持续性分类</w:t>
            </w:r>
          </w:p>
        </w:tc>
        <w:tc>
          <w:tcPr>
            <w:tcW w:w="3222" w:type="dxa"/>
            <w:gridSpan w:val="2"/>
            <w:tcBorders>
              <w:top w:val="single" w:sz="4" w:space="0" w:color="000000"/>
              <w:left w:val="single" w:sz="4" w:space="0" w:color="000000"/>
              <w:bottom w:val="single" w:sz="4" w:space="0" w:color="000000"/>
              <w:right w:val="single" w:sz="4" w:space="0" w:color="000000"/>
            </w:tcBorders>
            <w:shd w:val="clear" w:color="auto" w:fill="D2D2D2"/>
          </w:tcPr>
          <w:p>
            <w:pPr/>
          </w:p>
        </w:tc>
        <w:tc>
          <w:tcPr>
            <w:tcW w:w="3277"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持续经营净利润（净亏损以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995" w:right="0"/>
              <w:jc w:val="left"/>
              <w:rPr>
                <w:rFonts w:ascii="Times New Roman" w:hAnsi="Times New Roman" w:cs="Times New Roman" w:eastAsia="Times New Roman" w:hint="default"/>
                <w:sz w:val="18"/>
                <w:szCs w:val="18"/>
              </w:rPr>
            </w:pPr>
            <w:r>
              <w:rPr>
                <w:rFonts w:ascii="Times New Roman"/>
                <w:sz w:val="18"/>
              </w:rPr>
              <w:t>-343,277,809.92</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213,812,595.89</w:t>
            </w:r>
          </w:p>
        </w:tc>
      </w:tr>
      <w:tr>
        <w:trPr>
          <w:trHeight w:val="716"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终止经营净利润（净亏损以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p>
          <w:p>
            <w:pPr>
              <w:pStyle w:val="TableParagraph"/>
              <w:spacing w:line="240" w:lineRule="auto" w:before="61"/>
              <w:ind w:left="12"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222" w:type="dxa"/>
            <w:gridSpan w:val="2"/>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宋体" w:hAnsi="宋体" w:cs="宋体" w:eastAsia="宋体" w:hint="default"/>
                <w:sz w:val="18"/>
                <w:szCs w:val="18"/>
              </w:rPr>
              <w:t>（二）按所有权归属分类</w:t>
            </w:r>
          </w:p>
        </w:tc>
        <w:tc>
          <w:tcPr>
            <w:tcW w:w="3222" w:type="dxa"/>
            <w:gridSpan w:val="2"/>
            <w:tcBorders>
              <w:top w:val="single" w:sz="4" w:space="0" w:color="000000"/>
              <w:left w:val="single" w:sz="4" w:space="0" w:color="000000"/>
              <w:bottom w:val="single" w:sz="4" w:space="0" w:color="000000"/>
              <w:right w:val="single" w:sz="4" w:space="0" w:color="000000"/>
            </w:tcBorders>
            <w:shd w:val="clear" w:color="auto" w:fill="D2D2D2"/>
          </w:tcPr>
          <w:p>
            <w:pPr/>
          </w:p>
        </w:tc>
        <w:tc>
          <w:tcPr>
            <w:tcW w:w="3277"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归属于母公司所有者的净利润</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left="1995" w:right="0"/>
              <w:jc w:val="left"/>
              <w:rPr>
                <w:rFonts w:ascii="Times New Roman" w:hAnsi="Times New Roman" w:cs="Times New Roman" w:eastAsia="Times New Roman" w:hint="default"/>
                <w:sz w:val="18"/>
                <w:szCs w:val="18"/>
              </w:rPr>
            </w:pPr>
            <w:r>
              <w:rPr>
                <w:rFonts w:ascii="Times New Roman"/>
                <w:sz w:val="18"/>
              </w:rPr>
              <w:t>-342,885,845.54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216,769,784.07</w:t>
            </w: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少数股东损益</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-391,964.38</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-2,957,188.18</w:t>
            </w: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left="2087" w:right="0"/>
              <w:jc w:val="left"/>
              <w:rPr>
                <w:rFonts w:ascii="Times New Roman" w:hAnsi="Times New Roman" w:cs="Times New Roman" w:eastAsia="Times New Roman" w:hint="default"/>
                <w:sz w:val="18"/>
                <w:szCs w:val="18"/>
              </w:rPr>
            </w:pPr>
            <w:r>
              <w:rPr>
                <w:rFonts w:ascii="Times New Roman"/>
                <w:sz w:val="18"/>
              </w:rPr>
              <w:t>-28,391,085.29</w:t>
            </w: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53" w:firstLine="180"/>
              <w:jc w:val="left"/>
              <w:rPr>
                <w:rFonts w:ascii="宋体" w:hAnsi="宋体" w:cs="宋体" w:eastAsia="宋体" w:hint="default"/>
                <w:sz w:val="18"/>
                <w:szCs w:val="18"/>
              </w:rPr>
            </w:pPr>
            <w:r>
              <w:rPr>
                <w:rFonts w:ascii="宋体" w:hAnsi="宋体" w:cs="宋体" w:eastAsia="宋体" w:hint="default"/>
                <w:sz w:val="18"/>
                <w:szCs w:val="18"/>
              </w:rPr>
              <w:t>归属母公司所有者的其他综合收益 的税后净额</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087" w:right="0"/>
              <w:jc w:val="left"/>
              <w:rPr>
                <w:rFonts w:ascii="Times New Roman" w:hAnsi="Times New Roman" w:cs="Times New Roman" w:eastAsia="Times New Roman" w:hint="default"/>
                <w:sz w:val="18"/>
                <w:szCs w:val="18"/>
              </w:rPr>
            </w:pPr>
            <w:r>
              <w:rPr>
                <w:rFonts w:ascii="Times New Roman"/>
                <w:sz w:val="18"/>
              </w:rPr>
              <w:t>-28,391,085.29</w:t>
            </w: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9" w:firstLine="341"/>
              <w:jc w:val="left"/>
              <w:rPr>
                <w:rFonts w:ascii="宋体" w:hAnsi="宋体" w:cs="宋体" w:eastAsia="宋体" w:hint="default"/>
                <w:sz w:val="18"/>
                <w:szCs w:val="18"/>
              </w:rPr>
            </w:pPr>
            <w:r>
              <w:rPr>
                <w:rFonts w:ascii="宋体" w:hAnsi="宋体" w:cs="宋体" w:eastAsia="宋体" w:hint="default"/>
                <w:spacing w:val="-2"/>
                <w:sz w:val="18"/>
                <w:szCs w:val="18"/>
              </w:rPr>
              <w:t>（一）不能重分类进损益的其他综</w:t>
            </w:r>
            <w:r>
              <w:rPr>
                <w:rFonts w:ascii="宋体" w:hAnsi="宋体" w:cs="宋体" w:eastAsia="宋体" w:hint="default"/>
                <w:sz w:val="18"/>
                <w:szCs w:val="18"/>
              </w:rPr>
              <w:t> 合收益</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2087" w:right="0"/>
              <w:jc w:val="left"/>
              <w:rPr>
                <w:rFonts w:ascii="Times New Roman" w:hAnsi="Times New Roman" w:cs="Times New Roman" w:eastAsia="Times New Roman" w:hint="default"/>
                <w:sz w:val="18"/>
                <w:szCs w:val="18"/>
              </w:rPr>
            </w:pPr>
            <w:r>
              <w:rPr>
                <w:rFonts w:ascii="Times New Roman"/>
                <w:sz w:val="18"/>
              </w:rPr>
              <w:t>-28,391,180.51</w:t>
            </w: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重新计量设定受益计划变</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动额</w:t>
            </w:r>
          </w:p>
        </w:tc>
        <w:tc>
          <w:tcPr>
            <w:tcW w:w="3222" w:type="dxa"/>
            <w:gridSpan w:val="2"/>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权益法下不能转损益的其</w:t>
            </w:r>
          </w:p>
          <w:p>
            <w:pPr>
              <w:pStyle w:val="TableParagraph"/>
              <w:spacing w:line="240" w:lineRule="auto" w:before="60"/>
              <w:ind w:left="12" w:right="0"/>
              <w:jc w:val="left"/>
              <w:rPr>
                <w:rFonts w:ascii="宋体" w:hAnsi="宋体" w:cs="宋体" w:eastAsia="宋体" w:hint="default"/>
                <w:sz w:val="18"/>
                <w:szCs w:val="18"/>
              </w:rPr>
            </w:pPr>
            <w:r>
              <w:rPr>
                <w:rFonts w:ascii="宋体" w:hAnsi="宋体" w:cs="宋体" w:eastAsia="宋体" w:hint="default"/>
                <w:sz w:val="18"/>
                <w:szCs w:val="18"/>
              </w:rPr>
              <w:t>他综合收益</w:t>
            </w:r>
          </w:p>
        </w:tc>
        <w:tc>
          <w:tcPr>
            <w:tcW w:w="3222" w:type="dxa"/>
            <w:gridSpan w:val="2"/>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其他权益工具投资公允价</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值变动</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087" w:right="0"/>
              <w:jc w:val="left"/>
              <w:rPr>
                <w:rFonts w:ascii="Times New Roman" w:hAnsi="Times New Roman" w:cs="Times New Roman" w:eastAsia="Times New Roman" w:hint="default"/>
                <w:sz w:val="18"/>
                <w:szCs w:val="18"/>
              </w:rPr>
            </w:pPr>
            <w:r>
              <w:rPr>
                <w:rFonts w:ascii="Times New Roman"/>
                <w:sz w:val="18"/>
              </w:rPr>
              <w:t>-28,391,180.51</w:t>
            </w: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企业自身信用风险公允价</w:t>
            </w:r>
          </w:p>
          <w:p>
            <w:pPr>
              <w:pStyle w:val="TableParagraph"/>
              <w:spacing w:line="240" w:lineRule="auto" w:before="60"/>
              <w:ind w:left="12" w:right="0"/>
              <w:jc w:val="left"/>
              <w:rPr>
                <w:rFonts w:ascii="宋体" w:hAnsi="宋体" w:cs="宋体" w:eastAsia="宋体" w:hint="default"/>
                <w:sz w:val="18"/>
                <w:szCs w:val="18"/>
              </w:rPr>
            </w:pPr>
            <w:r>
              <w:rPr>
                <w:rFonts w:ascii="宋体" w:hAnsi="宋体" w:cs="宋体" w:eastAsia="宋体" w:hint="default"/>
                <w:sz w:val="18"/>
                <w:szCs w:val="18"/>
              </w:rPr>
              <w:t>值变动</w:t>
            </w:r>
          </w:p>
        </w:tc>
        <w:tc>
          <w:tcPr>
            <w:tcW w:w="3222" w:type="dxa"/>
            <w:gridSpan w:val="2"/>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057"/>
        <w:gridCol w:w="3222"/>
        <w:gridCol w:w="3277"/>
      </w:tblGrid>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9" w:firstLine="341"/>
              <w:jc w:val="left"/>
              <w:rPr>
                <w:rFonts w:ascii="宋体" w:hAnsi="宋体" w:cs="宋体" w:eastAsia="宋体" w:hint="default"/>
                <w:sz w:val="18"/>
                <w:szCs w:val="18"/>
              </w:rPr>
            </w:pPr>
            <w:r>
              <w:rPr>
                <w:rFonts w:ascii="宋体" w:hAnsi="宋体" w:cs="宋体" w:eastAsia="宋体" w:hint="default"/>
                <w:spacing w:val="-2"/>
                <w:sz w:val="18"/>
                <w:szCs w:val="18"/>
              </w:rPr>
              <w:t>（二）将重分类进损益的其他综合</w:t>
            </w:r>
            <w:r>
              <w:rPr>
                <w:rFonts w:ascii="宋体" w:hAnsi="宋体" w:cs="宋体" w:eastAsia="宋体" w:hint="default"/>
                <w:sz w:val="18"/>
                <w:szCs w:val="18"/>
              </w:rPr>
              <w:t> 收益</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95.22</w:t>
            </w: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权益法下可转损益的其他</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综合收益</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其他债权投资公允价值变</w:t>
            </w:r>
          </w:p>
          <w:p>
            <w:pPr>
              <w:pStyle w:val="TableParagraph"/>
              <w:spacing w:line="240" w:lineRule="auto" w:before="60"/>
              <w:ind w:left="12" w:right="0"/>
              <w:jc w:val="left"/>
              <w:rPr>
                <w:rFonts w:ascii="宋体" w:hAnsi="宋体" w:cs="宋体" w:eastAsia="宋体" w:hint="default"/>
                <w:sz w:val="18"/>
                <w:szCs w:val="18"/>
              </w:rPr>
            </w:pPr>
            <w:r>
              <w:rPr>
                <w:rFonts w:ascii="宋体" w:hAnsi="宋体" w:cs="宋体" w:eastAsia="宋体" w:hint="default"/>
                <w:sz w:val="18"/>
                <w:szCs w:val="18"/>
              </w:rPr>
              <w:t>动</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18"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可供出售金融资产公允价 值变动损益</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12" w:right="18"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金融资产重分类计入其他 综合收益的金额</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18"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持有至到期投资重分类为 可供出售金融资产损益</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其他债权投资信用减值准</w:t>
            </w:r>
          </w:p>
          <w:p>
            <w:pPr>
              <w:pStyle w:val="TableParagraph"/>
              <w:spacing w:line="240" w:lineRule="auto" w:before="60"/>
              <w:ind w:left="12" w:right="0"/>
              <w:jc w:val="left"/>
              <w:rPr>
                <w:rFonts w:ascii="宋体" w:hAnsi="宋体" w:cs="宋体" w:eastAsia="宋体" w:hint="default"/>
                <w:sz w:val="18"/>
                <w:szCs w:val="18"/>
              </w:rPr>
            </w:pPr>
            <w:r>
              <w:rPr>
                <w:rFonts w:ascii="宋体" w:hAnsi="宋体" w:cs="宋体" w:eastAsia="宋体" w:hint="default"/>
                <w:sz w:val="18"/>
                <w:szCs w:val="18"/>
              </w:rPr>
              <w:t>备</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现金流量套期储备</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98"/>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8.</w:t>
            </w:r>
            <w:r>
              <w:rPr>
                <w:rFonts w:ascii="宋体" w:hAnsi="宋体" w:cs="宋体" w:eastAsia="宋体" w:hint="default"/>
                <w:spacing w:val="-1"/>
                <w:sz w:val="18"/>
                <w:szCs w:val="18"/>
              </w:rPr>
              <w:t>外币财务报表折算差额</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95.22</w:t>
            </w: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153" w:firstLine="18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归属于少数股东的其他综合收益的 税后净额</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-371,668,895.21</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213,812,595.89</w:t>
            </w:r>
          </w:p>
        </w:tc>
      </w:tr>
      <w:tr>
        <w:trPr>
          <w:trHeight w:val="715"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w:t>
            </w:r>
          </w:p>
          <w:p>
            <w:pPr>
              <w:pStyle w:val="TableParagraph"/>
              <w:spacing w:line="240" w:lineRule="auto" w:before="74"/>
              <w:ind w:left="12" w:right="0"/>
              <w:jc w:val="left"/>
              <w:rPr>
                <w:rFonts w:ascii="宋体" w:hAnsi="宋体" w:cs="宋体" w:eastAsia="宋体" w:hint="default"/>
                <w:sz w:val="18"/>
                <w:szCs w:val="18"/>
              </w:rPr>
            </w:pPr>
            <w:r>
              <w:rPr>
                <w:rFonts w:ascii="宋体" w:hAnsi="宋体" w:cs="宋体" w:eastAsia="宋体" w:hint="default"/>
                <w:sz w:val="18"/>
                <w:szCs w:val="18"/>
              </w:rPr>
              <w:t>总额</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-371,276,930.83</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216,769,784.07</w:t>
            </w: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53"/>
              <w:jc w:val="righ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-391,964.38</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-2,957,188.18</w:t>
            </w: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77"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-0.1803</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0.1137</w:t>
            </w: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-0.1792</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2"/>
                <w:sz w:val="18"/>
              </w:rPr>
              <w:t>0.1133</w:t>
            </w:r>
          </w:p>
        </w:tc>
      </w:tr>
    </w:tbl>
    <w:p>
      <w:pPr>
        <w:pStyle w:val="BodyText"/>
        <w:tabs>
          <w:tab w:pos="3487" w:val="left" w:leader="none"/>
          <w:tab w:pos="7718" w:val="left" w:leader="none"/>
        </w:tabs>
        <w:spacing w:line="595" w:lineRule="auto" w:before="49"/>
        <w:ind w:right="1224"/>
        <w:jc w:val="both"/>
        <w:rPr>
          <w:rFonts w:ascii="宋体" w:hAnsi="宋体" w:cs="宋体" w:eastAsia="宋体" w:hint="default"/>
          <w:sz w:val="21"/>
          <w:szCs w:val="21"/>
        </w:rPr>
      </w:pPr>
      <w:r>
        <w:rPr/>
        <w:t>本期发生同一控制下企业合并的，被合并方在合并前实现的净利润为：</w:t>
      </w:r>
      <w:r>
        <w:rPr>
          <w:rFonts w:ascii="Times New Roman" w:hAnsi="Times New Roman" w:cs="Times New Roman" w:eastAsia="Times New Roman" w:hint="default"/>
        </w:rPr>
        <w:t>0.00 </w:t>
      </w:r>
      <w:r>
        <w:rPr/>
        <w:t>元，上期被合并方实现的净利润为：</w:t>
      </w:r>
      <w:r>
        <w:rPr>
          <w:rFonts w:ascii="Times New Roman" w:hAnsi="Times New Roman" w:cs="Times New Roman" w:eastAsia="Times New Roman" w:hint="default"/>
        </w:rPr>
        <w:t>0.00 </w:t>
      </w:r>
      <w:r>
        <w:rPr>
          <w:spacing w:val="-3"/>
        </w:rPr>
        <w:t>元。 </w:t>
      </w:r>
      <w:r>
        <w:rPr/>
        <w:t>法定代表人：刘磅</w:t>
        <w:tab/>
      </w:r>
      <w:r>
        <w:rPr>
          <w:spacing w:val="-1"/>
        </w:rPr>
        <w:t>主管会计工作负责人：黄天朗</w:t>
        <w:tab/>
      </w:r>
      <w:r>
        <w:rPr/>
        <w:t>会计机构负责人：黄庆明</w:t>
      </w:r>
      <w:r>
        <w:rPr/>
        <w:t> </w:t>
      </w:r>
      <w:bookmarkStart w:name="4、母公司利润表" w:id="164"/>
      <w:bookmarkEnd w:id="164"/>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、母公司利润表</w:t>
      </w:r>
      <w:r>
        <w:rPr>
          <w:rFonts w:ascii="宋体" w:hAnsi="宋体" w:cs="宋体" w:eastAsia="宋体" w:hint="default"/>
          <w:sz w:val="21"/>
          <w:szCs w:val="21"/>
        </w:rPr>
      </w:r>
    </w:p>
    <w:p>
      <w:pPr>
        <w:pStyle w:val="BodyText"/>
        <w:spacing w:line="240" w:lineRule="auto"/>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286"/>
              <w:jc w:val="right"/>
              <w:rPr>
                <w:rFonts w:ascii="宋体" w:hAnsi="宋体" w:cs="宋体" w:eastAsia="宋体" w:hint="default"/>
                <w:sz w:val="18"/>
                <w:szCs w:val="18"/>
              </w:rPr>
            </w:pPr>
            <w:r>
              <w:rPr>
                <w:rFonts w:ascii="宋体" w:hAnsi="宋体" w:cs="宋体" w:eastAsia="宋体" w:hint="default"/>
                <w:sz w:val="18"/>
                <w:szCs w:val="18"/>
              </w:rPr>
              <w:t>项目</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1,411,413,915.31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1,609,062,291.59</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1,034,256,481.24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1,187,345,833.70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300"/>
              <w:jc w:val="right"/>
              <w:rPr>
                <w:rFonts w:ascii="宋体" w:hAnsi="宋体" w:cs="宋体" w:eastAsia="宋体" w:hint="default"/>
                <w:sz w:val="18"/>
                <w:szCs w:val="18"/>
              </w:rPr>
            </w:pPr>
            <w:r>
              <w:rPr>
                <w:rFonts w:ascii="宋体" w:hAnsi="宋体" w:cs="宋体" w:eastAsia="宋体" w:hint="default"/>
                <w:sz w:val="18"/>
                <w:szCs w:val="18"/>
              </w:rPr>
              <w:t>税金及附加</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4,159,517.21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3,509,366.34</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6"/>
        <w:gridCol w:w="3300"/>
        <w:gridCol w:w="3303"/>
      </w:tblGrid>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175,503,873.94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155,978,253.33</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62,272,746.44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42,804,478.58</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3"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19,454,524.97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8,345,181.01</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23,219,980.57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16,902,496.50</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3"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32,918,667.97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24,202,103.10</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463"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9,694,025.56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8,991,722.43</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27,128,216.87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14,878,497.27</w:t>
            </w: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0"/>
              <w:ind w:left="2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5,324,072.96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42,318,891.76</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2" w:right="51"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其中：对联营企业和合营企 业的投资收益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4,355,001.23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701,495.18</w:t>
            </w:r>
          </w:p>
        </w:tc>
      </w:tr>
      <w:tr>
        <w:trPr>
          <w:trHeight w:val="1027"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22" w:right="51" w:firstLine="1080"/>
              <w:jc w:val="left"/>
              <w:rPr>
                <w:rFonts w:ascii="宋体" w:hAnsi="宋体" w:cs="宋体" w:eastAsia="宋体" w:hint="default"/>
                <w:sz w:val="18"/>
                <w:szCs w:val="18"/>
              </w:rPr>
            </w:pPr>
            <w:r>
              <w:rPr>
                <w:rFonts w:ascii="宋体" w:hAnsi="宋体" w:cs="宋体" w:eastAsia="宋体" w:hint="default"/>
                <w:sz w:val="18"/>
                <w:szCs w:val="18"/>
              </w:rPr>
              <w:t>以摊余成本计量的金融 资产终止确认收益（损失以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3" w:right="0"/>
              <w:jc w:val="left"/>
              <w:rPr>
                <w:rFonts w:ascii="宋体" w:hAnsi="宋体" w:cs="宋体" w:eastAsia="宋体" w:hint="default"/>
                <w:sz w:val="18"/>
                <w:szCs w:val="18"/>
              </w:rPr>
            </w:pPr>
            <w:r>
              <w:rPr>
                <w:rFonts w:ascii="宋体" w:hAnsi="宋体" w:cs="宋体" w:eastAsia="宋体" w:hint="default"/>
                <w:sz w:val="18"/>
                <w:szCs w:val="18"/>
              </w:rPr>
              <w:t>净敞口套期收益（损失以</w:t>
            </w:r>
          </w:p>
          <w:p>
            <w:pPr>
              <w:pStyle w:val="TableParagraph"/>
              <w:spacing w:line="240" w:lineRule="auto" w:before="7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公允价值变动收益（损失以</w:t>
            </w:r>
          </w:p>
          <w:p>
            <w:pPr>
              <w:pStyle w:val="TableParagraph"/>
              <w:spacing w:line="240" w:lineRule="auto" w:before="7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3" w:right="0"/>
              <w:jc w:val="left"/>
              <w:rPr>
                <w:rFonts w:ascii="宋体" w:hAnsi="宋体" w:cs="宋体" w:eastAsia="宋体" w:hint="default"/>
                <w:sz w:val="18"/>
                <w:szCs w:val="18"/>
              </w:rPr>
            </w:pPr>
            <w:r>
              <w:rPr>
                <w:rFonts w:ascii="宋体" w:hAnsi="宋体" w:cs="宋体" w:eastAsia="宋体" w:hint="default"/>
                <w:sz w:val="18"/>
                <w:szCs w:val="18"/>
              </w:rPr>
              <w:t>信用减值损失（损失以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-9,448,334.09</w:t>
            </w: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资产减值损失（损失以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p>
            <w:pPr>
              <w:pStyle w:val="TableParagraph"/>
              <w:spacing w:line="240" w:lineRule="auto" w:before="60"/>
              <w:ind w:left="22"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-635,183.99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-10,149,078.59</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3"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-317,207.89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-27,386.82</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114,598,354.80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241,197,605.75</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5,197,132.90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219,799.54</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649,355.92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3,742,726.99</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74"/>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119,146,131.78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237,674,678.30</w:t>
            </w:r>
          </w:p>
        </w:tc>
      </w:tr>
      <w:tr>
        <w:trPr>
          <w:trHeight w:val="40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9,328,753.80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29,435,809.18</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109,817,377.98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208,238,869.12</w:t>
            </w: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51"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109,817,377.98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208,238,869.12</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51"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-28,391,180.51</w:t>
            </w: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383" w:right="0"/>
              <w:jc w:val="left"/>
              <w:rPr>
                <w:rFonts w:ascii="宋体" w:hAnsi="宋体" w:cs="宋体" w:eastAsia="宋体" w:hint="default"/>
                <w:sz w:val="18"/>
                <w:szCs w:val="18"/>
              </w:rPr>
            </w:pPr>
            <w:r>
              <w:rPr>
                <w:rFonts w:ascii="宋体" w:hAnsi="宋体" w:cs="宋体" w:eastAsia="宋体" w:hint="default"/>
                <w:sz w:val="18"/>
                <w:szCs w:val="18"/>
              </w:rPr>
              <w:t>（一）不能重分类进损益的其他</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-28,391,180.51</w:t>
            </w:r>
          </w:p>
        </w:tc>
        <w:tc>
          <w:tcPr>
            <w:tcW w:w="330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36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综合收益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变动额</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 其他综合收益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其他权益工具投资公允</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价值变动</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-28,391,180.51</w:t>
            </w: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企业自身信用风险公允</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价值变动</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（二）将重分类进损益的其他综 合收益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他综合收益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其他债权投资公允价值</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变动</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可供出售金融资产公允 价值变动损益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金融资产重分类计入其 他综合收益的金额</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持有至到期投资重分类 为可供出售金融资产损益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其他债权投资信用减值</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准备</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现金流量套期储备</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外币财务报表折算差额</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81,426,197.47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43" w:right="0"/>
              <w:jc w:val="left"/>
              <w:rPr>
                <w:rFonts w:ascii="Times New Roman" w:hAnsi="Times New Roman" w:cs="Times New Roman" w:eastAsia="Times New Roman" w:hint="default"/>
                <w:sz w:val="18"/>
                <w:szCs w:val="18"/>
              </w:rPr>
            </w:pPr>
            <w:r>
              <w:rPr>
                <w:rFonts w:ascii="Times New Roman"/>
                <w:sz w:val="18"/>
              </w:rPr>
              <w:t>208,238,869.12</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1133"/>
        <w:jc w:val="left"/>
        <w:rPr>
          <w:b w:val="0"/>
          <w:bCs w:val="0"/>
        </w:rPr>
      </w:pPr>
      <w:bookmarkStart w:name="5、合并现金流量表" w:id="165"/>
      <w:bookmarkEnd w:id="165"/>
      <w:r>
        <w:rPr>
          <w:b w:val="0"/>
          <w:bCs w:val="0"/>
        </w:rPr>
      </w:r>
      <w:r>
        <w:rPr>
          <w:rFonts w:ascii="Times New Roman" w:hAnsi="Times New Roman" w:cs="Times New Roman" w:eastAsia="Times New Roman" w:hint="default"/>
        </w:rPr>
        <w:t>5</w:t>
      </w:r>
      <w:r>
        <w:rPr/>
        <w:t>、合并现金流量表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57"/>
        <w:gridCol w:w="3300"/>
        <w:gridCol w:w="3290"/>
      </w:tblGrid>
      <w:tr>
        <w:trPr>
          <w:trHeight w:val="401" w:hRule="exact"/>
        </w:trPr>
        <w:tc>
          <w:tcPr>
            <w:tcW w:w="29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32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403" w:hRule="exact"/>
        </w:trPr>
        <w:tc>
          <w:tcPr>
            <w:tcW w:w="29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9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0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left="2001" w:right="0"/>
              <w:jc w:val="left"/>
              <w:rPr>
                <w:rFonts w:ascii="Times New Roman" w:hAnsi="Times New Roman" w:cs="Times New Roman" w:eastAsia="Times New Roman" w:hint="default"/>
                <w:sz w:val="18"/>
                <w:szCs w:val="18"/>
              </w:rPr>
            </w:pPr>
            <w:r>
              <w:rPr>
                <w:rFonts w:ascii="Times New Roman"/>
                <w:sz w:val="18"/>
              </w:rPr>
              <w:t>2,523,720,936.93</w:t>
            </w:r>
          </w:p>
        </w:tc>
        <w:tc>
          <w:tcPr>
            <w:tcW w:w="32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08" w:right="0"/>
              <w:jc w:val="left"/>
              <w:rPr>
                <w:rFonts w:ascii="Times New Roman" w:hAnsi="Times New Roman" w:cs="Times New Roman" w:eastAsia="Times New Roman" w:hint="default"/>
                <w:sz w:val="18"/>
                <w:szCs w:val="18"/>
              </w:rPr>
            </w:pPr>
            <w:r>
              <w:rPr>
                <w:rFonts w:ascii="Times New Roman"/>
                <w:sz w:val="18"/>
              </w:rPr>
              <w:t>2,079,476,370.28</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客户存款和同业存放款项净增加</w:t>
            </w:r>
          </w:p>
          <w:p>
            <w:pPr>
              <w:pStyle w:val="TableParagraph"/>
              <w:spacing w:line="240" w:lineRule="auto" w:before="77"/>
              <w:ind w:left="1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pacing w:val="-1"/>
                <w:sz w:val="18"/>
                <w:szCs w:val="18"/>
              </w:rPr>
              <w:t>收到原保险合同保费取得的现金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收到再保业务现金净额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代理买卖证券收到的现金净额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25,782,781.87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14,068,289.74</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84,908,525.72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50,180,943.51</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2,634,412,244.52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2,143,725,603.53</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pacing w:val="-1"/>
                <w:sz w:val="18"/>
                <w:szCs w:val="18"/>
              </w:rPr>
              <w:t>购买商品、接受劳务支付的现金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1,518,122,763.72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1,703,592,093.13</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w:t>
            </w:r>
          </w:p>
          <w:p>
            <w:pPr>
              <w:pStyle w:val="TableParagraph"/>
              <w:spacing w:line="240" w:lineRule="auto" w:before="74"/>
              <w:ind w:left="1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拆出资金净增加额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327,808,252.76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295,699,382.80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100,690,064.94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128,845,681.28</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213,822,855.10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206,563,464.84</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2,160,443,936.52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2,334,700,622.05</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473,968,308.00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-190,975,018.52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342,009,402.19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195,207,382.84</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2,240,636.15</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691,223.86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452,030.00</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0"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42,400,000.00</w:t>
            </w:r>
          </w:p>
        </w:tc>
        <w:tc>
          <w:tcPr>
            <w:tcW w:w="330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873,500,000.00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709,012,495.32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1,258,600,626.05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906,912,544.31</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524,724,558.63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463,221,849.92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205,259,608.82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335,438,797.24</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0"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2,506,662.18</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829,503,748.64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755,907,657.78</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1,559,487,916.09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1,557,074,967.12</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-300,887,290.04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-650,162,422.81</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78,825,368.36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40,500,000.00</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0" w:firstLine="360"/>
              <w:jc w:val="left"/>
              <w:rPr>
                <w:rFonts w:ascii="宋体" w:hAnsi="宋体" w:cs="宋体" w:eastAsia="宋体" w:hint="default"/>
                <w:sz w:val="18"/>
                <w:szCs w:val="18"/>
              </w:rPr>
            </w:pPr>
            <w:r>
              <w:rPr>
                <w:rFonts w:ascii="宋体" w:hAnsi="宋体" w:cs="宋体" w:eastAsia="宋体" w:hint="default"/>
                <w:sz w:val="18"/>
                <w:szCs w:val="18"/>
              </w:rPr>
              <w:t>其中：子公司吸收少数股东投资 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16,300,000.00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40,500,000.00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999,500,000.00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1,479,450,059.52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6,000,000.00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1,088,325,368.36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1,525,950,059.52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1,003,644,482.63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313,416,687.61</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67,970,756.88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97,924,324.82</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0" w:firstLine="360"/>
              <w:jc w:val="left"/>
              <w:rPr>
                <w:rFonts w:ascii="宋体" w:hAnsi="宋体" w:cs="宋体" w:eastAsia="宋体" w:hint="default"/>
                <w:sz w:val="18"/>
                <w:szCs w:val="18"/>
              </w:rPr>
            </w:pPr>
            <w:r>
              <w:rPr>
                <w:rFonts w:ascii="宋体" w:hAnsi="宋体" w:cs="宋体" w:eastAsia="宋体" w:hint="default"/>
                <w:sz w:val="18"/>
                <w:szCs w:val="18"/>
              </w:rPr>
              <w:t>其中：子公司支付给少数股东的 股利、利润</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10,290,000.00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100,426,565.61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116,166,974.35</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1,172,041,805.12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527,507,986.78</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-83,716,436.76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998,442,072.74</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2"/>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-13,328.60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202,528.14</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89,351,252.60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157,507,159.55</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820,062,796.84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662,555,637.29</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909,414,049.44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820,062,796.84</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1133"/>
        <w:jc w:val="left"/>
        <w:rPr>
          <w:b w:val="0"/>
          <w:bCs w:val="0"/>
        </w:rPr>
      </w:pPr>
      <w:bookmarkStart w:name="6、母公司现金流量表" w:id="166"/>
      <w:bookmarkEnd w:id="166"/>
      <w:r>
        <w:rPr>
          <w:b w:val="0"/>
          <w:bCs w:val="0"/>
        </w:rPr>
      </w:r>
      <w:r>
        <w:rPr>
          <w:rFonts w:ascii="Times New Roman" w:hAnsi="Times New Roman" w:cs="Times New Roman" w:eastAsia="Times New Roman" w:hint="default"/>
        </w:rPr>
        <w:t>6</w:t>
      </w:r>
      <w:r>
        <w:rPr/>
        <w:t>、母公司现金流量表</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966"/>
        <w:gridCol w:w="3300"/>
        <w:gridCol w:w="3291"/>
      </w:tblGrid>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32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bl>
    <w:p>
      <w:pPr>
        <w:spacing w:after="0" w:line="240" w:lineRule="auto"/>
        <w:jc w:val="center"/>
        <w:rPr>
          <w:rFonts w:ascii="宋体" w:hAnsi="宋体" w:cs="宋体" w:eastAsia="宋体"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0"/>
        <w:gridCol w:w="3316"/>
        <w:gridCol w:w="3303"/>
      </w:tblGrid>
      <w:tr>
        <w:trPr>
          <w:trHeight w:val="401"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5"/>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1,903,825,528.95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1,446,815,298.66</w:t>
            </w:r>
          </w:p>
        </w:tc>
      </w:tr>
      <w:tr>
        <w:trPr>
          <w:trHeight w:val="401"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8,854,816.01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2,400,744.52</w:t>
            </w:r>
          </w:p>
        </w:tc>
      </w:tr>
      <w:tr>
        <w:trPr>
          <w:trHeight w:val="403"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5"/>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26,762,211.99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18,455,974.60</w:t>
            </w:r>
          </w:p>
        </w:tc>
      </w:tr>
      <w:tr>
        <w:trPr>
          <w:trHeight w:val="401"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1,939,442,556.95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1,467,672,017.78</w:t>
            </w:r>
          </w:p>
        </w:tc>
      </w:tr>
      <w:tr>
        <w:trPr>
          <w:trHeight w:val="403"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5"/>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1,051,020,444.62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1,151,812,343.98</w:t>
            </w:r>
          </w:p>
        </w:tc>
      </w:tr>
      <w:tr>
        <w:trPr>
          <w:trHeight w:val="713"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190,018,306.27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147,593,747.42</w:t>
            </w:r>
          </w:p>
        </w:tc>
      </w:tr>
      <w:tr>
        <w:trPr>
          <w:trHeight w:val="403"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53,184,039.58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53,694,050.24</w:t>
            </w:r>
          </w:p>
        </w:tc>
      </w:tr>
      <w:tr>
        <w:trPr>
          <w:trHeight w:val="401"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35"/>
              <w:jc w:val="right"/>
              <w:rPr>
                <w:rFonts w:ascii="宋体" w:hAnsi="宋体" w:cs="宋体" w:eastAsia="宋体" w:hint="default"/>
                <w:sz w:val="18"/>
                <w:szCs w:val="18"/>
              </w:rPr>
            </w:pPr>
            <w:r>
              <w:rPr>
                <w:rFonts w:ascii="宋体" w:hAnsi="宋体" w:cs="宋体" w:eastAsia="宋体" w:hint="default"/>
                <w:spacing w:val="-1"/>
                <w:sz w:val="18"/>
                <w:szCs w:val="18"/>
              </w:rPr>
              <w:t>支付其他与经营活动有关的现金</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133,175,055.70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106,525,025.63</w:t>
            </w:r>
          </w:p>
        </w:tc>
      </w:tr>
      <w:tr>
        <w:trPr>
          <w:trHeight w:val="403"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1,427,397,846.17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1,459,625,167.27</w:t>
            </w:r>
          </w:p>
        </w:tc>
      </w:tr>
      <w:tr>
        <w:trPr>
          <w:trHeight w:val="401"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512,044,710.78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8,046,850.51</w:t>
            </w:r>
          </w:p>
        </w:tc>
      </w:tr>
      <w:tr>
        <w:trPr>
          <w:trHeight w:val="403"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4,939,090.44</w:t>
            </w: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16"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51,033,365.63</w:t>
            </w:r>
          </w:p>
        </w:tc>
      </w:tr>
      <w:tr>
        <w:trPr>
          <w:trHeight w:val="713"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35"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33,927.86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600.00</w:t>
            </w:r>
          </w:p>
        </w:tc>
      </w:tr>
      <w:tr>
        <w:trPr>
          <w:trHeight w:val="715"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35"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42,400,000.00</w:t>
            </w: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35"/>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666,392,264.60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233,510,664.83</w:t>
            </w:r>
          </w:p>
        </w:tc>
      </w:tr>
      <w:tr>
        <w:trPr>
          <w:trHeight w:val="403"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713,765,282.90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284,544,630.46</w:t>
            </w:r>
          </w:p>
        </w:tc>
      </w:tr>
      <w:tr>
        <w:trPr>
          <w:trHeight w:val="713"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35"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19,599,136.37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112,933,003.86</w:t>
            </w:r>
          </w:p>
        </w:tc>
      </w:tr>
      <w:tr>
        <w:trPr>
          <w:trHeight w:val="403"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251,580,000.00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14,194,607.00</w:t>
            </w:r>
          </w:p>
        </w:tc>
      </w:tr>
      <w:tr>
        <w:trPr>
          <w:trHeight w:val="713"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35"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16"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6,850,000.00</w:t>
            </w:r>
          </w:p>
        </w:tc>
      </w:tr>
      <w:tr>
        <w:trPr>
          <w:trHeight w:val="403"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5"/>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545,000,000.00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375,000,000.00</w:t>
            </w:r>
          </w:p>
        </w:tc>
      </w:tr>
      <w:tr>
        <w:trPr>
          <w:trHeight w:val="401"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816,179,136.37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508,977,610.86</w:t>
            </w:r>
          </w:p>
        </w:tc>
      </w:tr>
      <w:tr>
        <w:trPr>
          <w:trHeight w:val="404"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-102,413,853.47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-224,432,980.40</w:t>
            </w:r>
          </w:p>
        </w:tc>
      </w:tr>
      <w:tr>
        <w:trPr>
          <w:trHeight w:val="401"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62,472,000.00</w:t>
            </w: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355,000,000.00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620,790,000.00</w:t>
            </w:r>
          </w:p>
        </w:tc>
      </w:tr>
      <w:tr>
        <w:trPr>
          <w:trHeight w:val="403"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5"/>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16"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6,000,000.00</w:t>
            </w:r>
          </w:p>
        </w:tc>
      </w:tr>
      <w:tr>
        <w:trPr>
          <w:trHeight w:val="401"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417,472,000.00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626,790,000.00</w:t>
            </w:r>
          </w:p>
        </w:tc>
      </w:tr>
      <w:tr>
        <w:trPr>
          <w:trHeight w:val="403" w:hRule="exact"/>
        </w:trPr>
        <w:tc>
          <w:tcPr>
            <w:tcW w:w="2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1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671,840,032.67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16,346,387.65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6"/>
        <w:gridCol w:w="3300"/>
        <w:gridCol w:w="3303"/>
      </w:tblGrid>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2" w:right="51"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31,682,852.34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81,265,084.40</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1"/>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6,000,000.00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106,166,974.35</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709,522,885.01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203,778,446.40</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-292,050,885.01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423,011,553.60</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51"/>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-13,328.60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202,509.32</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117,566,643.70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206,827,933.03</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421,140,073.07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214,312,140.04</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538,706,716.77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421,140,073.07</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1133"/>
        <w:jc w:val="left"/>
        <w:rPr>
          <w:b w:val="0"/>
          <w:bCs w:val="0"/>
        </w:rPr>
      </w:pPr>
      <w:bookmarkStart w:name="7、合并所有者权益变动表" w:id="167"/>
      <w:bookmarkEnd w:id="167"/>
      <w:r>
        <w:rPr>
          <w:b w:val="0"/>
          <w:bCs w:val="0"/>
        </w:rPr>
      </w:r>
      <w:r>
        <w:rPr>
          <w:rFonts w:ascii="Times New Roman" w:hAnsi="Times New Roman" w:cs="Times New Roman" w:eastAsia="Times New Roman" w:hint="default"/>
        </w:rPr>
        <w:t>7</w:t>
      </w:r>
      <w:r>
        <w:rPr/>
        <w:t>、合并所有者权益变动表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1133"/>
        <w:jc w:val="left"/>
      </w:pPr>
      <w:r>
        <w:rPr/>
        <w:t>本期金额</w:t>
      </w:r>
    </w:p>
    <w:p>
      <w:pPr>
        <w:pStyle w:val="BodyText"/>
        <w:spacing w:line="240" w:lineRule="auto" w:before="115"/>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241"/>
        <w:gridCol w:w="494"/>
        <w:gridCol w:w="466"/>
        <w:gridCol w:w="466"/>
        <w:gridCol w:w="468"/>
        <w:gridCol w:w="583"/>
        <w:gridCol w:w="586"/>
        <w:gridCol w:w="583"/>
        <w:gridCol w:w="584"/>
        <w:gridCol w:w="583"/>
        <w:gridCol w:w="583"/>
        <w:gridCol w:w="586"/>
        <w:gridCol w:w="584"/>
        <w:gridCol w:w="583"/>
        <w:gridCol w:w="586"/>
        <w:gridCol w:w="578"/>
      </w:tblGrid>
      <w:tr>
        <w:trPr>
          <w:trHeight w:val="403" w:hRule="exact"/>
        </w:trPr>
        <w:tc>
          <w:tcPr>
            <w:tcW w:w="1241" w:type="dxa"/>
            <w:vMerge w:val="restart"/>
            <w:tcBorders>
              <w:top w:val="single" w:sz="4" w:space="0" w:color="000000"/>
              <w:left w:val="single" w:sz="4" w:space="0" w:color="000000"/>
              <w:right w:val="single" w:sz="4" w:space="0" w:color="000000"/>
            </w:tcBorders>
            <w:shd w:val="clear" w:color="auto" w:fill="D2D2D2"/>
          </w:tcPr>
          <w:p>
            <w:pPr/>
          </w:p>
        </w:tc>
        <w:tc>
          <w:tcPr>
            <w:tcW w:w="8313" w:type="dxa"/>
            <w:gridSpan w:val="1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94" w:hRule="exact"/>
        </w:trPr>
        <w:tc>
          <w:tcPr>
            <w:tcW w:w="1241" w:type="dxa"/>
            <w:vMerge/>
            <w:tcBorders>
              <w:left w:val="single" w:sz="4" w:space="0" w:color="000000"/>
              <w:right w:val="single" w:sz="4" w:space="0" w:color="000000"/>
            </w:tcBorders>
            <w:shd w:val="clear" w:color="auto" w:fill="D2D2D2"/>
          </w:tcPr>
          <w:p>
            <w:pPr/>
          </w:p>
        </w:tc>
        <w:tc>
          <w:tcPr>
            <w:tcW w:w="7149" w:type="dxa"/>
            <w:gridSpan w:val="1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586" w:type="dxa"/>
            <w:vMerge w:val="restart"/>
            <w:tcBorders>
              <w:top w:val="single" w:sz="4" w:space="0" w:color="000000"/>
              <w:left w:val="single" w:sz="4" w:space="0" w:color="000000"/>
              <w:right w:val="single" w:sz="4" w:space="0" w:color="000000"/>
            </w:tcBorders>
            <w:shd w:val="clear" w:color="auto" w:fill="D2D2D2"/>
          </w:tcPr>
          <w:p>
            <w:pPr/>
          </w:p>
        </w:tc>
        <w:tc>
          <w:tcPr>
            <w:tcW w:w="57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6" w:hRule="exact"/>
        </w:trPr>
        <w:tc>
          <w:tcPr>
            <w:tcW w:w="1241" w:type="dxa"/>
            <w:vMerge/>
            <w:tcBorders>
              <w:left w:val="single" w:sz="4" w:space="0" w:color="000000"/>
              <w:right w:val="single" w:sz="4" w:space="0" w:color="000000"/>
            </w:tcBorders>
            <w:shd w:val="clear" w:color="auto" w:fill="D2D2D2"/>
          </w:tcPr>
          <w:p>
            <w:pPr/>
          </w:p>
        </w:tc>
        <w:tc>
          <w:tcPr>
            <w:tcW w:w="7149" w:type="dxa"/>
            <w:gridSpan w:val="13"/>
            <w:vMerge/>
            <w:tcBorders>
              <w:left w:val="single" w:sz="4" w:space="0" w:color="000000"/>
              <w:right w:val="single" w:sz="4" w:space="0" w:color="000000"/>
            </w:tcBorders>
            <w:shd w:val="clear" w:color="auto" w:fill="D2D2D2"/>
          </w:tcPr>
          <w:p>
            <w:pPr/>
          </w:p>
        </w:tc>
        <w:tc>
          <w:tcPr>
            <w:tcW w:w="586" w:type="dxa"/>
            <w:vMerge/>
            <w:tcBorders>
              <w:left w:val="single" w:sz="4" w:space="0" w:color="000000"/>
              <w:bottom w:val="nil" w:sz="6" w:space="0" w:color="auto"/>
              <w:right w:val="single" w:sz="4" w:space="0" w:color="000000"/>
            </w:tcBorders>
            <w:shd w:val="clear" w:color="auto" w:fill="D2D2D2"/>
          </w:tcPr>
          <w:p>
            <w:pPr/>
          </w:p>
        </w:tc>
        <w:tc>
          <w:tcPr>
            <w:tcW w:w="578"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5" w:right="101"/>
              <w:jc w:val="both"/>
              <w:rPr>
                <w:rFonts w:ascii="宋体" w:hAnsi="宋体" w:cs="宋体" w:eastAsia="宋体" w:hint="default"/>
                <w:sz w:val="18"/>
                <w:szCs w:val="18"/>
              </w:rPr>
            </w:pPr>
            <w:r>
              <w:rPr>
                <w:rFonts w:ascii="宋体" w:hAnsi="宋体" w:cs="宋体" w:eastAsia="宋体" w:hint="default"/>
                <w:sz w:val="18"/>
                <w:szCs w:val="18"/>
              </w:rPr>
              <w:t>所有 者权 益合 计</w:t>
            </w:r>
          </w:p>
        </w:tc>
      </w:tr>
      <w:tr>
        <w:trPr>
          <w:trHeight w:val="151" w:hRule="exact"/>
        </w:trPr>
        <w:tc>
          <w:tcPr>
            <w:tcW w:w="1241" w:type="dxa"/>
            <w:vMerge/>
            <w:tcBorders>
              <w:left w:val="single" w:sz="4" w:space="0" w:color="000000"/>
              <w:bottom w:val="single" w:sz="4" w:space="0" w:color="FFFFFF"/>
              <w:right w:val="single" w:sz="4" w:space="0" w:color="000000"/>
            </w:tcBorders>
            <w:shd w:val="clear" w:color="auto" w:fill="D2D2D2"/>
          </w:tcPr>
          <w:p>
            <w:pPr/>
          </w:p>
        </w:tc>
        <w:tc>
          <w:tcPr>
            <w:tcW w:w="7149" w:type="dxa"/>
            <w:gridSpan w:val="13"/>
            <w:vMerge/>
            <w:tcBorders>
              <w:left w:val="single" w:sz="4" w:space="0" w:color="000000"/>
              <w:bottom w:val="single" w:sz="4" w:space="0" w:color="FFFFFF"/>
              <w:right w:val="single" w:sz="4" w:space="0" w:color="000000"/>
            </w:tcBorders>
            <w:shd w:val="clear" w:color="auto" w:fill="D2D2D2"/>
          </w:tcPr>
          <w:p>
            <w:pPr/>
          </w:p>
        </w:tc>
        <w:tc>
          <w:tcPr>
            <w:tcW w:w="58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10" w:right="103"/>
              <w:jc w:val="both"/>
              <w:rPr>
                <w:rFonts w:ascii="宋体" w:hAnsi="宋体" w:cs="宋体" w:eastAsia="宋体" w:hint="default"/>
                <w:sz w:val="18"/>
                <w:szCs w:val="18"/>
              </w:rPr>
            </w:pPr>
            <w:r>
              <w:rPr>
                <w:rFonts w:ascii="宋体" w:hAnsi="宋体" w:cs="宋体" w:eastAsia="宋体" w:hint="default"/>
                <w:sz w:val="18"/>
                <w:szCs w:val="18"/>
              </w:rPr>
              <w:t>少数 股东 权益</w:t>
            </w:r>
          </w:p>
        </w:tc>
        <w:tc>
          <w:tcPr>
            <w:tcW w:w="578" w:type="dxa"/>
            <w:vMerge/>
            <w:tcBorders>
              <w:left w:val="single" w:sz="4" w:space="0" w:color="000000"/>
              <w:right w:val="single" w:sz="4" w:space="0" w:color="000000"/>
            </w:tcBorders>
            <w:shd w:val="clear" w:color="auto" w:fill="D2D2D2"/>
          </w:tcPr>
          <w:p>
            <w:pPr/>
          </w:p>
        </w:tc>
      </w:tr>
      <w:tr>
        <w:trPr>
          <w:trHeight w:val="206" w:hRule="exact"/>
        </w:trPr>
        <w:tc>
          <w:tcPr>
            <w:tcW w:w="1241"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3"/>
              <w:ind w:right="9"/>
              <w:jc w:val="center"/>
              <w:rPr>
                <w:rFonts w:ascii="宋体" w:hAnsi="宋体" w:cs="宋体" w:eastAsia="宋体" w:hint="default"/>
                <w:sz w:val="18"/>
                <w:szCs w:val="18"/>
              </w:rPr>
            </w:pPr>
            <w:r>
              <w:rPr>
                <w:rFonts w:ascii="宋体" w:hAnsi="宋体" w:cs="宋体" w:eastAsia="宋体" w:hint="default"/>
                <w:sz w:val="18"/>
                <w:szCs w:val="18"/>
              </w:rPr>
              <w:t>项目</w:t>
            </w:r>
          </w:p>
        </w:tc>
        <w:tc>
          <w:tcPr>
            <w:tcW w:w="494" w:type="dxa"/>
            <w:vMerge w:val="restart"/>
            <w:tcBorders>
              <w:top w:val="single" w:sz="4" w:space="0" w:color="FFFFFF"/>
              <w:left w:val="single" w:sz="4" w:space="0" w:color="000000"/>
              <w:right w:val="single" w:sz="4" w:space="0" w:color="000000"/>
            </w:tcBorders>
            <w:shd w:val="clear" w:color="auto" w:fill="D2D2D2"/>
          </w:tcPr>
          <w:p>
            <w:pPr/>
          </w:p>
        </w:tc>
        <w:tc>
          <w:tcPr>
            <w:tcW w:w="1400" w:type="dxa"/>
            <w:gridSpan w:val="3"/>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55"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583" w:type="dxa"/>
            <w:tcBorders>
              <w:top w:val="single" w:sz="4" w:space="0" w:color="FFFFFF"/>
              <w:left w:val="single" w:sz="4" w:space="0" w:color="000000"/>
              <w:bottom w:val="nil" w:sz="6" w:space="0" w:color="auto"/>
              <w:right w:val="single" w:sz="4" w:space="0" w:color="000000"/>
            </w:tcBorders>
            <w:shd w:val="clear" w:color="auto" w:fill="D2D2D2"/>
          </w:tcPr>
          <w:p>
            <w:pPr/>
          </w:p>
        </w:tc>
        <w:tc>
          <w:tcPr>
            <w:tcW w:w="586" w:type="dxa"/>
            <w:tcBorders>
              <w:top w:val="single" w:sz="4" w:space="0" w:color="FFFFFF"/>
              <w:left w:val="single" w:sz="4" w:space="0" w:color="000000"/>
              <w:bottom w:val="nil" w:sz="6" w:space="0" w:color="auto"/>
              <w:right w:val="single" w:sz="4" w:space="0" w:color="000000"/>
            </w:tcBorders>
            <w:shd w:val="clear" w:color="auto" w:fill="D2D2D2"/>
          </w:tcPr>
          <w:p>
            <w:pPr/>
          </w:p>
        </w:tc>
        <w:tc>
          <w:tcPr>
            <w:tcW w:w="583" w:type="dxa"/>
            <w:vMerge w:val="restart"/>
            <w:tcBorders>
              <w:top w:val="single" w:sz="4" w:space="0" w:color="FFFFFF"/>
              <w:left w:val="single" w:sz="4" w:space="0" w:color="000000"/>
              <w:right w:val="single" w:sz="4" w:space="0" w:color="000000"/>
            </w:tcBorders>
            <w:shd w:val="clear" w:color="auto" w:fill="D2D2D2"/>
          </w:tcPr>
          <w:p>
            <w:pPr>
              <w:pStyle w:val="TableParagraph"/>
              <w:spacing w:line="316" w:lineRule="auto" w:before="94"/>
              <w:ind w:left="108" w:right="103"/>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584" w:type="dxa"/>
            <w:tcBorders>
              <w:top w:val="single" w:sz="4" w:space="0" w:color="FFFFFF"/>
              <w:left w:val="single" w:sz="4" w:space="0" w:color="000000"/>
              <w:bottom w:val="nil" w:sz="6" w:space="0" w:color="auto"/>
              <w:right w:val="single" w:sz="4" w:space="0" w:color="000000"/>
            </w:tcBorders>
            <w:shd w:val="clear" w:color="auto" w:fill="D2D2D2"/>
          </w:tcPr>
          <w:p>
            <w:pPr/>
          </w:p>
        </w:tc>
        <w:tc>
          <w:tcPr>
            <w:tcW w:w="583" w:type="dxa"/>
            <w:tcBorders>
              <w:top w:val="single" w:sz="4" w:space="0" w:color="FFFFFF"/>
              <w:left w:val="single" w:sz="4" w:space="0" w:color="000000"/>
              <w:bottom w:val="nil" w:sz="6" w:space="0" w:color="auto"/>
              <w:right w:val="single" w:sz="4" w:space="0" w:color="000000"/>
            </w:tcBorders>
            <w:shd w:val="clear" w:color="auto" w:fill="D2D2D2"/>
          </w:tcPr>
          <w:p>
            <w:pPr/>
          </w:p>
        </w:tc>
        <w:tc>
          <w:tcPr>
            <w:tcW w:w="583" w:type="dxa"/>
            <w:vMerge w:val="restart"/>
            <w:tcBorders>
              <w:top w:val="single" w:sz="4" w:space="0" w:color="FFFFFF"/>
              <w:left w:val="single" w:sz="4" w:space="0" w:color="000000"/>
              <w:right w:val="single" w:sz="4" w:space="0" w:color="000000"/>
            </w:tcBorders>
            <w:shd w:val="clear" w:color="auto" w:fill="D2D2D2"/>
          </w:tcPr>
          <w:p>
            <w:pPr>
              <w:pStyle w:val="TableParagraph"/>
              <w:spacing w:line="316" w:lineRule="auto" w:before="94"/>
              <w:ind w:left="107" w:right="103"/>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586" w:type="dxa"/>
            <w:vMerge w:val="restart"/>
            <w:tcBorders>
              <w:top w:val="single" w:sz="4" w:space="0" w:color="FFFFFF"/>
              <w:left w:val="single" w:sz="4" w:space="0" w:color="000000"/>
              <w:right w:val="single" w:sz="4" w:space="0" w:color="000000"/>
            </w:tcBorders>
            <w:shd w:val="clear" w:color="auto" w:fill="D2D2D2"/>
          </w:tcPr>
          <w:p>
            <w:pPr>
              <w:pStyle w:val="TableParagraph"/>
              <w:spacing w:line="316" w:lineRule="auto" w:before="94"/>
              <w:ind w:left="110" w:right="103"/>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584" w:type="dxa"/>
            <w:vMerge w:val="restart"/>
            <w:tcBorders>
              <w:top w:val="single" w:sz="4" w:space="0" w:color="FFFFFF"/>
              <w:left w:val="single" w:sz="4" w:space="0" w:color="000000"/>
              <w:right w:val="single" w:sz="4" w:space="0" w:color="000000"/>
            </w:tcBorders>
            <w:shd w:val="clear" w:color="auto" w:fill="D2D2D2"/>
          </w:tcPr>
          <w:p>
            <w:pPr/>
          </w:p>
        </w:tc>
        <w:tc>
          <w:tcPr>
            <w:tcW w:w="583" w:type="dxa"/>
            <w:vMerge w:val="restart"/>
            <w:tcBorders>
              <w:top w:val="single" w:sz="4" w:space="0" w:color="FFFFFF"/>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r>
      <w:tr>
        <w:trPr>
          <w:trHeight w:val="165" w:hRule="exact"/>
        </w:trPr>
        <w:tc>
          <w:tcPr>
            <w:tcW w:w="1241" w:type="dxa"/>
            <w:vMerge/>
            <w:tcBorders>
              <w:left w:val="single" w:sz="4" w:space="0" w:color="000000"/>
              <w:bottom w:val="nil" w:sz="6" w:space="0" w:color="auto"/>
              <w:right w:val="single" w:sz="4" w:space="0" w:color="000000"/>
            </w:tcBorders>
            <w:shd w:val="clear" w:color="auto" w:fill="D2D2D2"/>
          </w:tcPr>
          <w:p>
            <w:pPr/>
          </w:p>
        </w:tc>
        <w:tc>
          <w:tcPr>
            <w:tcW w:w="494" w:type="dxa"/>
            <w:vMerge/>
            <w:tcBorders>
              <w:left w:val="single" w:sz="4" w:space="0" w:color="000000"/>
              <w:bottom w:val="nil" w:sz="6" w:space="0" w:color="auto"/>
              <w:right w:val="single" w:sz="4" w:space="0" w:color="000000"/>
            </w:tcBorders>
            <w:shd w:val="clear" w:color="auto" w:fill="D2D2D2"/>
          </w:tcPr>
          <w:p>
            <w:pPr/>
          </w:p>
        </w:tc>
        <w:tc>
          <w:tcPr>
            <w:tcW w:w="1400" w:type="dxa"/>
            <w:gridSpan w:val="3"/>
            <w:vMerge/>
            <w:tcBorders>
              <w:left w:val="single" w:sz="4" w:space="0" w:color="000000"/>
              <w:bottom w:val="single" w:sz="4" w:space="0" w:color="000000"/>
              <w:right w:val="single" w:sz="4" w:space="0" w:color="000000"/>
            </w:tcBorders>
            <w:shd w:val="clear" w:color="auto" w:fill="D2D2D2"/>
          </w:tcPr>
          <w:p>
            <w:pPr/>
          </w:p>
        </w:tc>
        <w:tc>
          <w:tcPr>
            <w:tcW w:w="58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8" w:right="103"/>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58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7" w:right="22" w:hanging="84"/>
              <w:jc w:val="left"/>
              <w:rPr>
                <w:rFonts w:ascii="宋体" w:hAnsi="宋体" w:cs="宋体" w:eastAsia="宋体" w:hint="default"/>
                <w:sz w:val="18"/>
                <w:szCs w:val="18"/>
              </w:rPr>
            </w:pPr>
            <w:r>
              <w:rPr>
                <w:rFonts w:ascii="宋体" w:hAnsi="宋体" w:cs="宋体" w:eastAsia="宋体" w:hint="default"/>
                <w:spacing w:val="-5"/>
                <w:sz w:val="18"/>
                <w:szCs w:val="18"/>
              </w:rPr>
              <w:t>减：库</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存股</w:t>
            </w:r>
          </w:p>
        </w:tc>
        <w:tc>
          <w:tcPr>
            <w:tcW w:w="583" w:type="dxa"/>
            <w:vMerge/>
            <w:tcBorders>
              <w:left w:val="single" w:sz="4" w:space="0" w:color="000000"/>
              <w:right w:val="single" w:sz="4" w:space="0" w:color="000000"/>
            </w:tcBorders>
            <w:shd w:val="clear" w:color="auto" w:fill="D2D2D2"/>
          </w:tcPr>
          <w:p>
            <w:pPr/>
          </w:p>
        </w:tc>
        <w:tc>
          <w:tcPr>
            <w:tcW w:w="58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8" w:right="105"/>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58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7" w:right="103"/>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4"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bottom w:val="nil" w:sz="6" w:space="0" w:color="auto"/>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r>
      <w:tr>
        <w:trPr>
          <w:trHeight w:val="193" w:hRule="exact"/>
        </w:trPr>
        <w:tc>
          <w:tcPr>
            <w:tcW w:w="1241" w:type="dxa"/>
            <w:vMerge w:val="restart"/>
            <w:tcBorders>
              <w:top w:val="nil" w:sz="6" w:space="0" w:color="auto"/>
              <w:left w:val="single" w:sz="4" w:space="0" w:color="000000"/>
              <w:right w:val="single" w:sz="4" w:space="0" w:color="000000"/>
            </w:tcBorders>
            <w:shd w:val="clear" w:color="auto" w:fill="D2D2D2"/>
          </w:tcPr>
          <w:p>
            <w:pPr/>
          </w:p>
        </w:tc>
        <w:tc>
          <w:tcPr>
            <w:tcW w:w="4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6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466"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80"/>
              <w:ind w:left="139" w:right="47" w:hanging="92"/>
              <w:jc w:val="left"/>
              <w:rPr>
                <w:rFonts w:ascii="宋体" w:hAnsi="宋体" w:cs="宋体" w:eastAsia="宋体" w:hint="default"/>
                <w:sz w:val="18"/>
                <w:szCs w:val="18"/>
              </w:rPr>
            </w:pPr>
            <w:r>
              <w:rPr>
                <w:rFonts w:ascii="宋体" w:hAnsi="宋体" w:cs="宋体" w:eastAsia="宋体" w:hint="default"/>
                <w:sz w:val="18"/>
                <w:szCs w:val="18"/>
              </w:rPr>
              <w:t>优先 股</w:t>
            </w:r>
          </w:p>
        </w:tc>
        <w:tc>
          <w:tcPr>
            <w:tcW w:w="466"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80"/>
              <w:ind w:left="139" w:right="46" w:hanging="92"/>
              <w:jc w:val="left"/>
              <w:rPr>
                <w:rFonts w:ascii="宋体" w:hAnsi="宋体" w:cs="宋体" w:eastAsia="宋体" w:hint="default"/>
                <w:sz w:val="18"/>
                <w:szCs w:val="18"/>
              </w:rPr>
            </w:pPr>
            <w:r>
              <w:rPr>
                <w:rFonts w:ascii="宋体" w:hAnsi="宋体" w:cs="宋体" w:eastAsia="宋体" w:hint="default"/>
                <w:sz w:val="18"/>
                <w:szCs w:val="18"/>
              </w:rPr>
              <w:t>永续 债</w:t>
            </w:r>
          </w:p>
        </w:tc>
        <w:tc>
          <w:tcPr>
            <w:tcW w:w="468" w:type="dxa"/>
            <w:tcBorders>
              <w:top w:val="single" w:sz="4" w:space="0" w:color="000000"/>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4"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8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107"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58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r>
      <w:tr>
        <w:trPr>
          <w:trHeight w:val="190" w:hRule="exact"/>
        </w:trPr>
        <w:tc>
          <w:tcPr>
            <w:tcW w:w="1241" w:type="dxa"/>
            <w:vMerge/>
            <w:tcBorders>
              <w:left w:val="single" w:sz="4" w:space="0" w:color="000000"/>
              <w:right w:val="single" w:sz="4" w:space="0" w:color="000000"/>
            </w:tcBorders>
            <w:shd w:val="clear" w:color="auto" w:fill="D2D2D2"/>
          </w:tcPr>
          <w:p>
            <w:pPr/>
          </w:p>
        </w:tc>
        <w:tc>
          <w:tcPr>
            <w:tcW w:w="494" w:type="dxa"/>
            <w:vMerge/>
            <w:tcBorders>
              <w:left w:val="single" w:sz="4" w:space="0" w:color="000000"/>
              <w:bottom w:val="nil" w:sz="6" w:space="0" w:color="auto"/>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5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4"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4"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bottom w:val="nil" w:sz="6" w:space="0" w:color="auto"/>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r>
      <w:tr>
        <w:trPr>
          <w:trHeight w:val="134" w:hRule="exact"/>
        </w:trPr>
        <w:tc>
          <w:tcPr>
            <w:tcW w:w="1241" w:type="dxa"/>
            <w:vMerge/>
            <w:tcBorders>
              <w:left w:val="single" w:sz="4" w:space="0" w:color="000000"/>
              <w:right w:val="single" w:sz="4" w:space="0" w:color="000000"/>
            </w:tcBorders>
            <w:shd w:val="clear" w:color="auto" w:fill="D2D2D2"/>
          </w:tcPr>
          <w:p>
            <w:pPr/>
          </w:p>
        </w:tc>
        <w:tc>
          <w:tcPr>
            <w:tcW w:w="494" w:type="dxa"/>
            <w:vMerge w:val="restart"/>
            <w:tcBorders>
              <w:top w:val="nil" w:sz="6" w:space="0" w:color="auto"/>
              <w:left w:val="single" w:sz="4" w:space="0" w:color="000000"/>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8"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bottom w:val="nil" w:sz="6" w:space="0" w:color="auto"/>
              <w:right w:val="single" w:sz="4" w:space="0" w:color="000000"/>
            </w:tcBorders>
            <w:shd w:val="clear" w:color="auto" w:fill="D2D2D2"/>
          </w:tcPr>
          <w:p>
            <w:pPr/>
          </w:p>
        </w:tc>
        <w:tc>
          <w:tcPr>
            <w:tcW w:w="586"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4"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bottom w:val="nil" w:sz="6" w:space="0" w:color="auto"/>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4" w:type="dxa"/>
            <w:vMerge w:val="restart"/>
            <w:tcBorders>
              <w:top w:val="nil" w:sz="6" w:space="0" w:color="auto"/>
              <w:left w:val="single" w:sz="4" w:space="0" w:color="000000"/>
              <w:right w:val="single" w:sz="4" w:space="0" w:color="000000"/>
            </w:tcBorders>
            <w:shd w:val="clear" w:color="auto" w:fill="D2D2D2"/>
          </w:tcPr>
          <w:p>
            <w:pPr/>
          </w:p>
        </w:tc>
        <w:tc>
          <w:tcPr>
            <w:tcW w:w="583" w:type="dxa"/>
            <w:vMerge w:val="restart"/>
            <w:tcBorders>
              <w:top w:val="nil" w:sz="6" w:space="0" w:color="auto"/>
              <w:left w:val="single" w:sz="4" w:space="0" w:color="000000"/>
              <w:right w:val="single" w:sz="4" w:space="0" w:color="000000"/>
            </w:tcBorders>
            <w:shd w:val="clear" w:color="auto" w:fill="D2D2D2"/>
          </w:tcPr>
          <w:p>
            <w:pPr/>
          </w:p>
        </w:tc>
        <w:tc>
          <w:tcPr>
            <w:tcW w:w="586" w:type="dxa"/>
            <w:vMerge/>
            <w:tcBorders>
              <w:left w:val="single" w:sz="4" w:space="0" w:color="000000"/>
              <w:bottom w:val="nil" w:sz="6" w:space="0" w:color="auto"/>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r>
      <w:tr>
        <w:trPr>
          <w:trHeight w:val="124" w:hRule="exact"/>
        </w:trPr>
        <w:tc>
          <w:tcPr>
            <w:tcW w:w="1241" w:type="dxa"/>
            <w:vMerge/>
            <w:tcBorders>
              <w:left w:val="single" w:sz="4" w:space="0" w:color="000000"/>
              <w:right w:val="single" w:sz="4" w:space="0" w:color="000000"/>
            </w:tcBorders>
            <w:shd w:val="clear" w:color="auto" w:fill="D2D2D2"/>
          </w:tcPr>
          <w:p>
            <w:pPr/>
          </w:p>
        </w:tc>
        <w:tc>
          <w:tcPr>
            <w:tcW w:w="494" w:type="dxa"/>
            <w:vMerge/>
            <w:tcBorders>
              <w:left w:val="single" w:sz="4" w:space="0" w:color="000000"/>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6" w:type="dxa"/>
            <w:vMerge/>
            <w:tcBorders>
              <w:left w:val="single" w:sz="4" w:space="0" w:color="000000"/>
              <w:right w:val="single" w:sz="4" w:space="0" w:color="000000"/>
            </w:tcBorders>
            <w:shd w:val="clear" w:color="auto" w:fill="D2D2D2"/>
          </w:tcPr>
          <w:p>
            <w:pPr/>
          </w:p>
        </w:tc>
        <w:tc>
          <w:tcPr>
            <w:tcW w:w="468" w:type="dxa"/>
            <w:vMerge w:val="restart"/>
            <w:tcBorders>
              <w:top w:val="nil" w:sz="6" w:space="0" w:color="auto"/>
              <w:left w:val="single" w:sz="4" w:space="0" w:color="000000"/>
              <w:right w:val="single" w:sz="4" w:space="0" w:color="000000"/>
            </w:tcBorders>
            <w:shd w:val="clear" w:color="auto" w:fill="D2D2D2"/>
          </w:tcPr>
          <w:p>
            <w:pPr/>
          </w:p>
        </w:tc>
        <w:tc>
          <w:tcPr>
            <w:tcW w:w="583" w:type="dxa"/>
            <w:vMerge w:val="restart"/>
            <w:tcBorders>
              <w:top w:val="nil" w:sz="6" w:space="0" w:color="auto"/>
              <w:left w:val="single" w:sz="4" w:space="0" w:color="000000"/>
              <w:right w:val="single" w:sz="4" w:space="0" w:color="000000"/>
            </w:tcBorders>
            <w:shd w:val="clear" w:color="auto" w:fill="D2D2D2"/>
          </w:tcPr>
          <w:p>
            <w:pPr/>
          </w:p>
        </w:tc>
        <w:tc>
          <w:tcPr>
            <w:tcW w:w="586" w:type="dxa"/>
            <w:vMerge w:val="restart"/>
            <w:tcBorders>
              <w:top w:val="nil" w:sz="6" w:space="0" w:color="auto"/>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4" w:type="dxa"/>
            <w:vMerge w:val="restart"/>
            <w:tcBorders>
              <w:top w:val="nil" w:sz="6" w:space="0" w:color="auto"/>
              <w:left w:val="single" w:sz="4" w:space="0" w:color="000000"/>
              <w:right w:val="single" w:sz="4" w:space="0" w:color="000000"/>
            </w:tcBorders>
            <w:shd w:val="clear" w:color="auto" w:fill="D2D2D2"/>
          </w:tcPr>
          <w:p>
            <w:pPr/>
          </w:p>
        </w:tc>
        <w:tc>
          <w:tcPr>
            <w:tcW w:w="583" w:type="dxa"/>
            <w:vMerge w:val="restart"/>
            <w:tcBorders>
              <w:top w:val="nil" w:sz="6" w:space="0" w:color="auto"/>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tcBorders>
              <w:left w:val="single" w:sz="4" w:space="0" w:color="000000"/>
              <w:right w:val="single" w:sz="4" w:space="0" w:color="000000"/>
            </w:tcBorders>
            <w:shd w:val="clear" w:color="auto" w:fill="D2D2D2"/>
          </w:tcPr>
          <w:p>
            <w:pPr/>
          </w:p>
        </w:tc>
        <w:tc>
          <w:tcPr>
            <w:tcW w:w="584" w:type="dxa"/>
            <w:vMerge/>
            <w:tcBorders>
              <w:left w:val="single" w:sz="4" w:space="0" w:color="000000"/>
              <w:right w:val="single" w:sz="4" w:space="0" w:color="000000"/>
            </w:tcBorders>
            <w:shd w:val="clear" w:color="auto" w:fill="D2D2D2"/>
          </w:tcPr>
          <w:p>
            <w:pPr/>
          </w:p>
        </w:tc>
        <w:tc>
          <w:tcPr>
            <w:tcW w:w="583" w:type="dxa"/>
            <w:vMerge/>
            <w:tcBorders>
              <w:left w:val="single" w:sz="4" w:space="0" w:color="000000"/>
              <w:right w:val="single" w:sz="4" w:space="0" w:color="000000"/>
            </w:tcBorders>
            <w:shd w:val="clear" w:color="auto" w:fill="D2D2D2"/>
          </w:tcPr>
          <w:p>
            <w:pPr/>
          </w:p>
        </w:tc>
        <w:tc>
          <w:tcPr>
            <w:tcW w:w="586" w:type="dxa"/>
            <w:vMerge w:val="restart"/>
            <w:tcBorders>
              <w:top w:val="nil" w:sz="6" w:space="0" w:color="auto"/>
              <w:left w:val="single" w:sz="4" w:space="0" w:color="000000"/>
              <w:right w:val="single" w:sz="4" w:space="0" w:color="000000"/>
            </w:tcBorders>
            <w:shd w:val="clear" w:color="auto" w:fill="D2D2D2"/>
          </w:tcPr>
          <w:p>
            <w:pPr/>
          </w:p>
        </w:tc>
        <w:tc>
          <w:tcPr>
            <w:tcW w:w="578" w:type="dxa"/>
            <w:vMerge/>
            <w:tcBorders>
              <w:left w:val="single" w:sz="4" w:space="0" w:color="000000"/>
              <w:bottom w:val="nil" w:sz="6" w:space="0" w:color="auto"/>
              <w:right w:val="single" w:sz="4" w:space="0" w:color="000000"/>
            </w:tcBorders>
            <w:shd w:val="clear" w:color="auto" w:fill="D2D2D2"/>
          </w:tcPr>
          <w:p>
            <w:pPr/>
          </w:p>
        </w:tc>
      </w:tr>
      <w:tr>
        <w:trPr>
          <w:trHeight w:val="94" w:hRule="exact"/>
        </w:trPr>
        <w:tc>
          <w:tcPr>
            <w:tcW w:w="1241" w:type="dxa"/>
            <w:vMerge/>
            <w:tcBorders>
              <w:left w:val="single" w:sz="4" w:space="0" w:color="000000"/>
              <w:bottom w:val="single" w:sz="4" w:space="0" w:color="000000"/>
              <w:right w:val="single" w:sz="4" w:space="0" w:color="000000"/>
            </w:tcBorders>
            <w:shd w:val="clear" w:color="auto" w:fill="D2D2D2"/>
          </w:tcPr>
          <w:p>
            <w:pPr/>
          </w:p>
        </w:tc>
        <w:tc>
          <w:tcPr>
            <w:tcW w:w="494" w:type="dxa"/>
            <w:vMerge/>
            <w:tcBorders>
              <w:left w:val="single" w:sz="4" w:space="0" w:color="000000"/>
              <w:bottom w:val="single" w:sz="4" w:space="0" w:color="000000"/>
              <w:right w:val="single" w:sz="4" w:space="0" w:color="000000"/>
            </w:tcBorders>
            <w:shd w:val="clear" w:color="auto" w:fill="D2D2D2"/>
          </w:tcPr>
          <w:p>
            <w:pPr/>
          </w:p>
        </w:tc>
        <w:tc>
          <w:tcPr>
            <w:tcW w:w="466" w:type="dxa"/>
            <w:vMerge/>
            <w:tcBorders>
              <w:left w:val="single" w:sz="4" w:space="0" w:color="000000"/>
              <w:bottom w:val="single" w:sz="4" w:space="0" w:color="000000"/>
              <w:right w:val="single" w:sz="4" w:space="0" w:color="000000"/>
            </w:tcBorders>
            <w:shd w:val="clear" w:color="auto" w:fill="D2D2D2"/>
          </w:tcPr>
          <w:p>
            <w:pPr/>
          </w:p>
        </w:tc>
        <w:tc>
          <w:tcPr>
            <w:tcW w:w="466" w:type="dxa"/>
            <w:vMerge/>
            <w:tcBorders>
              <w:left w:val="single" w:sz="4" w:space="0" w:color="000000"/>
              <w:bottom w:val="single" w:sz="4" w:space="0" w:color="000000"/>
              <w:right w:val="single" w:sz="4" w:space="0" w:color="000000"/>
            </w:tcBorders>
            <w:shd w:val="clear" w:color="auto" w:fill="D2D2D2"/>
          </w:tcPr>
          <w:p>
            <w:pPr/>
          </w:p>
        </w:tc>
        <w:tc>
          <w:tcPr>
            <w:tcW w:w="468" w:type="dxa"/>
            <w:vMerge/>
            <w:tcBorders>
              <w:left w:val="single" w:sz="4" w:space="0" w:color="000000"/>
              <w:bottom w:val="single" w:sz="4" w:space="0" w:color="000000"/>
              <w:right w:val="single" w:sz="4" w:space="0" w:color="000000"/>
            </w:tcBorders>
            <w:shd w:val="clear" w:color="auto" w:fill="D2D2D2"/>
          </w:tcPr>
          <w:p>
            <w:pPr/>
          </w:p>
        </w:tc>
        <w:tc>
          <w:tcPr>
            <w:tcW w:w="583" w:type="dxa"/>
            <w:vMerge/>
            <w:tcBorders>
              <w:left w:val="single" w:sz="4" w:space="0" w:color="000000"/>
              <w:bottom w:val="single" w:sz="4" w:space="0" w:color="000000"/>
              <w:right w:val="single" w:sz="4" w:space="0" w:color="000000"/>
            </w:tcBorders>
            <w:shd w:val="clear" w:color="auto" w:fill="D2D2D2"/>
          </w:tcPr>
          <w:p>
            <w:pPr/>
          </w:p>
        </w:tc>
        <w:tc>
          <w:tcPr>
            <w:tcW w:w="586" w:type="dxa"/>
            <w:vMerge/>
            <w:tcBorders>
              <w:left w:val="single" w:sz="4" w:space="0" w:color="000000"/>
              <w:bottom w:val="single" w:sz="4" w:space="0" w:color="000000"/>
              <w:right w:val="single" w:sz="4" w:space="0" w:color="000000"/>
            </w:tcBorders>
            <w:shd w:val="clear" w:color="auto" w:fill="D2D2D2"/>
          </w:tcPr>
          <w:p>
            <w:pPr/>
          </w:p>
        </w:tc>
        <w:tc>
          <w:tcPr>
            <w:tcW w:w="583"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83" w:type="dxa"/>
            <w:vMerge/>
            <w:tcBorders>
              <w:left w:val="single" w:sz="4" w:space="0" w:color="000000"/>
              <w:bottom w:val="single" w:sz="4" w:space="0" w:color="000000"/>
              <w:right w:val="single" w:sz="4" w:space="0" w:color="000000"/>
            </w:tcBorders>
            <w:shd w:val="clear" w:color="auto" w:fill="D2D2D2"/>
          </w:tcPr>
          <w:p>
            <w:pPr/>
          </w:p>
        </w:tc>
        <w:tc>
          <w:tcPr>
            <w:tcW w:w="583" w:type="dxa"/>
            <w:vMerge/>
            <w:tcBorders>
              <w:left w:val="single" w:sz="4" w:space="0" w:color="000000"/>
              <w:bottom w:val="single" w:sz="4" w:space="0" w:color="000000"/>
              <w:right w:val="single" w:sz="4" w:space="0" w:color="000000"/>
            </w:tcBorders>
            <w:shd w:val="clear" w:color="auto" w:fill="D2D2D2"/>
          </w:tcPr>
          <w:p>
            <w:pPr/>
          </w:p>
        </w:tc>
        <w:tc>
          <w:tcPr>
            <w:tcW w:w="586"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83" w:type="dxa"/>
            <w:vMerge/>
            <w:tcBorders>
              <w:left w:val="single" w:sz="4" w:space="0" w:color="000000"/>
              <w:bottom w:val="single" w:sz="4" w:space="0" w:color="000000"/>
              <w:right w:val="single" w:sz="4" w:space="0" w:color="000000"/>
            </w:tcBorders>
            <w:shd w:val="clear" w:color="auto" w:fill="D2D2D2"/>
          </w:tcPr>
          <w:p>
            <w:pPr/>
          </w:p>
        </w:tc>
        <w:tc>
          <w:tcPr>
            <w:tcW w:w="586" w:type="dxa"/>
            <w:vMerge/>
            <w:tcBorders>
              <w:left w:val="single" w:sz="4" w:space="0" w:color="000000"/>
              <w:bottom w:val="single" w:sz="4" w:space="0" w:color="000000"/>
              <w:right w:val="single" w:sz="4" w:space="0" w:color="000000"/>
            </w:tcBorders>
            <w:shd w:val="clear" w:color="auto" w:fill="D2D2D2"/>
          </w:tcPr>
          <w:p>
            <w:pPr/>
          </w:p>
        </w:tc>
        <w:tc>
          <w:tcPr>
            <w:tcW w:w="57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17" w:hRule="exact"/>
        </w:trPr>
        <w:tc>
          <w:tcPr>
            <w:tcW w:w="1241" w:type="dxa"/>
            <w:tcBorders>
              <w:top w:val="single" w:sz="4" w:space="0" w:color="000000"/>
              <w:left w:val="single" w:sz="4" w:space="0" w:color="000000"/>
              <w:bottom w:val="nil" w:sz="6" w:space="0" w:color="auto"/>
              <w:right w:val="single" w:sz="4" w:space="0" w:color="000000"/>
            </w:tcBorders>
            <w:shd w:val="clear" w:color="auto" w:fill="D2D2D2"/>
          </w:tcPr>
          <w:p>
            <w:pPr/>
          </w:p>
        </w:tc>
        <w:tc>
          <w:tcPr>
            <w:tcW w:w="494" w:type="dxa"/>
            <w:vMerge w:val="restart"/>
            <w:tcBorders>
              <w:top w:val="single" w:sz="4" w:space="0" w:color="000000"/>
              <w:left w:val="single" w:sz="9" w:space="0" w:color="D2D2D2"/>
              <w:right w:val="single" w:sz="4" w:space="0" w:color="000000"/>
            </w:tcBorders>
          </w:tcPr>
          <w:p>
            <w:pPr>
              <w:pStyle w:val="TableParagraph"/>
              <w:spacing w:line="240" w:lineRule="auto" w:before="91"/>
              <w:ind w:left="49" w:right="0"/>
              <w:jc w:val="left"/>
              <w:rPr>
                <w:rFonts w:ascii="Times New Roman" w:hAnsi="Times New Roman" w:cs="Times New Roman" w:eastAsia="Times New Roman" w:hint="default"/>
                <w:sz w:val="18"/>
                <w:szCs w:val="18"/>
              </w:rPr>
            </w:pPr>
            <w:r>
              <w:rPr>
                <w:rFonts w:ascii="Times New Roman"/>
                <w:sz w:val="18"/>
              </w:rPr>
              <w:t>1,902</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,159,</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229.0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466"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153,41</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5,558.</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41</w:t>
            </w:r>
          </w:p>
        </w:tc>
        <w:tc>
          <w:tcPr>
            <w:tcW w:w="586"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18" w:space="0" w:color="D2D2D2"/>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96,417</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,455.3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583" w:type="dxa"/>
            <w:vMerge w:val="restart"/>
            <w:tcBorders>
              <w:top w:val="single" w:sz="18" w:space="0" w:color="D2D2D2"/>
              <w:left w:val="single" w:sz="4" w:space="0" w:color="000000"/>
              <w:right w:val="single" w:sz="4" w:space="0" w:color="000000"/>
            </w:tcBorders>
          </w:tcPr>
          <w:p>
            <w:pPr/>
          </w:p>
        </w:tc>
        <w:tc>
          <w:tcPr>
            <w:tcW w:w="586" w:type="dxa"/>
            <w:vMerge w:val="restart"/>
            <w:tcBorders>
              <w:top w:val="single" w:sz="18" w:space="0" w:color="D2D2D2"/>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82" w:right="0"/>
              <w:jc w:val="center"/>
              <w:rPr>
                <w:rFonts w:ascii="Times New Roman" w:hAnsi="Times New Roman" w:cs="Times New Roman" w:eastAsia="Times New Roman" w:hint="default"/>
                <w:sz w:val="18"/>
                <w:szCs w:val="18"/>
              </w:rPr>
            </w:pPr>
            <w:r>
              <w:rPr>
                <w:rFonts w:ascii="Times New Roman"/>
                <w:sz w:val="18"/>
              </w:rPr>
              <w:t>1,054,</w:t>
            </w:r>
          </w:p>
          <w:p>
            <w:pPr>
              <w:pStyle w:val="TableParagraph"/>
              <w:spacing w:line="240" w:lineRule="auto" w:before="105"/>
              <w:ind w:left="39" w:right="0"/>
              <w:jc w:val="center"/>
              <w:rPr>
                <w:rFonts w:ascii="Times New Roman" w:hAnsi="Times New Roman" w:cs="Times New Roman" w:eastAsia="Times New Roman" w:hint="default"/>
                <w:sz w:val="18"/>
                <w:szCs w:val="18"/>
              </w:rPr>
            </w:pPr>
            <w:r>
              <w:rPr>
                <w:rFonts w:ascii="Times New Roman"/>
                <w:sz w:val="18"/>
              </w:rPr>
              <w:t>820,24</w:t>
            </w:r>
          </w:p>
          <w:p>
            <w:pPr>
              <w:pStyle w:val="TableParagraph"/>
              <w:spacing w:line="240" w:lineRule="auto" w:before="105"/>
              <w:ind w:left="219" w:right="0"/>
              <w:jc w:val="center"/>
              <w:rPr>
                <w:rFonts w:ascii="Times New Roman" w:hAnsi="Times New Roman" w:cs="Times New Roman" w:eastAsia="Times New Roman" w:hint="default"/>
                <w:sz w:val="18"/>
                <w:szCs w:val="18"/>
              </w:rPr>
            </w:pPr>
            <w:r>
              <w:rPr>
                <w:rFonts w:ascii="Times New Roman"/>
                <w:sz w:val="18"/>
              </w:rPr>
              <w:t>7.30</w:t>
            </w: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0" w:right="0"/>
              <w:jc w:val="center"/>
              <w:rPr>
                <w:rFonts w:ascii="Times New Roman" w:hAnsi="Times New Roman" w:cs="Times New Roman" w:eastAsia="Times New Roman" w:hint="default"/>
                <w:sz w:val="18"/>
                <w:szCs w:val="18"/>
              </w:rPr>
            </w:pPr>
            <w:r>
              <w:rPr>
                <w:rFonts w:ascii="Times New Roman"/>
                <w:sz w:val="18"/>
              </w:rPr>
              <w:t>3,206,</w:t>
            </w:r>
          </w:p>
          <w:p>
            <w:pPr>
              <w:pStyle w:val="TableParagraph"/>
              <w:spacing w:line="240" w:lineRule="auto" w:before="105"/>
              <w:ind w:left="36" w:right="0"/>
              <w:jc w:val="center"/>
              <w:rPr>
                <w:rFonts w:ascii="Times New Roman" w:hAnsi="Times New Roman" w:cs="Times New Roman" w:eastAsia="Times New Roman" w:hint="default"/>
                <w:sz w:val="18"/>
                <w:szCs w:val="18"/>
              </w:rPr>
            </w:pPr>
            <w:r>
              <w:rPr>
                <w:rFonts w:ascii="Times New Roman"/>
                <w:sz w:val="18"/>
              </w:rPr>
              <w:t>812,49</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0.08</w:t>
            </w:r>
          </w:p>
        </w:tc>
        <w:tc>
          <w:tcPr>
            <w:tcW w:w="58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119,79</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9,394.</w:t>
            </w:r>
          </w:p>
          <w:p>
            <w:pPr>
              <w:pStyle w:val="TableParagraph"/>
              <w:spacing w:line="240" w:lineRule="auto" w:before="105"/>
              <w:ind w:left="374" w:right="0"/>
              <w:jc w:val="left"/>
              <w:rPr>
                <w:rFonts w:ascii="Times New Roman" w:hAnsi="Times New Roman" w:cs="Times New Roman" w:eastAsia="Times New Roman" w:hint="default"/>
                <w:sz w:val="18"/>
                <w:szCs w:val="18"/>
              </w:rPr>
            </w:pPr>
            <w:r>
              <w:rPr>
                <w:rFonts w:ascii="Times New Roman"/>
                <w:sz w:val="18"/>
              </w:rPr>
              <w:t>64</w:t>
            </w:r>
          </w:p>
        </w:tc>
        <w:tc>
          <w:tcPr>
            <w:tcW w:w="578" w:type="dxa"/>
            <w:vMerge w:val="restart"/>
            <w:tcBorders>
              <w:top w:val="single" w:sz="36" w:space="0" w:color="D2D2D2"/>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5" w:right="0"/>
              <w:jc w:val="center"/>
              <w:rPr>
                <w:rFonts w:ascii="Times New Roman" w:hAnsi="Times New Roman" w:cs="Times New Roman" w:eastAsia="Times New Roman" w:hint="default"/>
                <w:sz w:val="18"/>
                <w:szCs w:val="18"/>
              </w:rPr>
            </w:pPr>
            <w:r>
              <w:rPr>
                <w:rFonts w:ascii="Times New Roman"/>
                <w:sz w:val="18"/>
              </w:rPr>
              <w:t>3,326,</w:t>
            </w:r>
          </w:p>
          <w:p>
            <w:pPr>
              <w:pStyle w:val="TableParagraph"/>
              <w:spacing w:line="240" w:lineRule="auto" w:before="105"/>
              <w:ind w:left="39" w:right="0"/>
              <w:jc w:val="center"/>
              <w:rPr>
                <w:rFonts w:ascii="Times New Roman" w:hAnsi="Times New Roman" w:cs="Times New Roman" w:eastAsia="Times New Roman" w:hint="default"/>
                <w:sz w:val="18"/>
                <w:szCs w:val="18"/>
              </w:rPr>
            </w:pPr>
            <w:r>
              <w:rPr>
                <w:rFonts w:ascii="Times New Roman"/>
                <w:sz w:val="18"/>
              </w:rPr>
              <w:t>611,88</w:t>
            </w:r>
          </w:p>
          <w:p>
            <w:pPr>
              <w:pStyle w:val="TableParagraph"/>
              <w:spacing w:line="240" w:lineRule="auto" w:before="105"/>
              <w:ind w:left="211" w:right="0"/>
              <w:jc w:val="center"/>
              <w:rPr>
                <w:rFonts w:ascii="Times New Roman" w:hAnsi="Times New Roman" w:cs="Times New Roman" w:eastAsia="Times New Roman" w:hint="default"/>
                <w:sz w:val="18"/>
                <w:szCs w:val="18"/>
              </w:rPr>
            </w:pPr>
            <w:r>
              <w:rPr>
                <w:rFonts w:ascii="Times New Roman"/>
                <w:sz w:val="18"/>
              </w:rPr>
              <w:t>4.72</w:t>
            </w:r>
          </w:p>
        </w:tc>
      </w:tr>
      <w:tr>
        <w:trPr>
          <w:trHeight w:val="706" w:hRule="exact"/>
        </w:trPr>
        <w:tc>
          <w:tcPr>
            <w:tcW w:w="124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12" w:right="20"/>
              <w:jc w:val="left"/>
              <w:rPr>
                <w:rFonts w:ascii="宋体" w:hAnsi="宋体" w:cs="宋体" w:eastAsia="宋体" w:hint="default"/>
                <w:sz w:val="18"/>
                <w:szCs w:val="18"/>
              </w:rPr>
            </w:pPr>
            <w:r>
              <w:rPr>
                <w:rFonts w:ascii="宋体" w:hAnsi="宋体" w:cs="宋体" w:eastAsia="宋体" w:hint="default"/>
                <w:spacing w:val="-9"/>
                <w:sz w:val="18"/>
                <w:szCs w:val="18"/>
              </w:rPr>
              <w:t>一、上年期末余</w:t>
            </w:r>
            <w:r>
              <w:rPr>
                <w:rFonts w:ascii="宋体" w:hAnsi="宋体" w:cs="宋体" w:eastAsia="宋体" w:hint="default"/>
                <w:sz w:val="18"/>
                <w:szCs w:val="18"/>
              </w:rPr>
              <w:t> 额</w:t>
            </w:r>
          </w:p>
        </w:tc>
        <w:tc>
          <w:tcPr>
            <w:tcW w:w="494" w:type="dxa"/>
            <w:vMerge/>
            <w:tcBorders>
              <w:left w:val="single" w:sz="9" w:space="0" w:color="D2D2D2"/>
              <w:right w:val="single" w:sz="4" w:space="0" w:color="000000"/>
            </w:tcBorders>
          </w:tcPr>
          <w:p>
            <w:pPr/>
          </w:p>
        </w:tc>
        <w:tc>
          <w:tcPr>
            <w:tcW w:w="466"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317" w:hRule="exact"/>
        </w:trPr>
        <w:tc>
          <w:tcPr>
            <w:tcW w:w="1241" w:type="dxa"/>
            <w:tcBorders>
              <w:top w:val="nil" w:sz="6" w:space="0" w:color="auto"/>
              <w:left w:val="single" w:sz="4" w:space="0" w:color="000000"/>
              <w:bottom w:val="single" w:sz="4" w:space="0" w:color="000000"/>
              <w:right w:val="single" w:sz="4" w:space="0" w:color="000000"/>
            </w:tcBorders>
            <w:shd w:val="clear" w:color="auto" w:fill="D2D2D2"/>
          </w:tcPr>
          <w:p>
            <w:pPr/>
          </w:p>
        </w:tc>
        <w:tc>
          <w:tcPr>
            <w:tcW w:w="494" w:type="dxa"/>
            <w:vMerge/>
            <w:tcBorders>
              <w:left w:val="single" w:sz="9" w:space="0" w:color="D2D2D2"/>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r>
      <w:tr>
        <w:trPr>
          <w:trHeight w:val="713" w:hRule="exact"/>
        </w:trPr>
        <w:tc>
          <w:tcPr>
            <w:tcW w:w="12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19" w:firstLine="360"/>
              <w:jc w:val="left"/>
              <w:rPr>
                <w:rFonts w:ascii="宋体" w:hAnsi="宋体" w:cs="宋体" w:eastAsia="宋体" w:hint="default"/>
                <w:sz w:val="18"/>
                <w:szCs w:val="18"/>
              </w:rPr>
            </w:pPr>
            <w:r>
              <w:rPr>
                <w:rFonts w:ascii="宋体" w:hAnsi="宋体" w:cs="宋体" w:eastAsia="宋体" w:hint="default"/>
                <w:spacing w:val="-13"/>
                <w:sz w:val="18"/>
                <w:szCs w:val="18"/>
              </w:rPr>
              <w:t>加：会计政</w:t>
            </w:r>
            <w:r>
              <w:rPr>
                <w:rFonts w:ascii="宋体" w:hAnsi="宋体" w:cs="宋体" w:eastAsia="宋体" w:hint="default"/>
                <w:sz w:val="18"/>
                <w:szCs w:val="18"/>
              </w:rPr>
              <w:t> 策变更</w:t>
            </w:r>
          </w:p>
        </w:tc>
        <w:tc>
          <w:tcPr>
            <w:tcW w:w="494"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前期</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差错更正</w:t>
            </w:r>
          </w:p>
        </w:tc>
        <w:tc>
          <w:tcPr>
            <w:tcW w:w="494"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37" w:firstLine="720"/>
              <w:jc w:val="both"/>
              <w:rPr>
                <w:rFonts w:ascii="宋体" w:hAnsi="宋体" w:cs="宋体" w:eastAsia="宋体" w:hint="default"/>
                <w:sz w:val="18"/>
                <w:szCs w:val="18"/>
              </w:rPr>
            </w:pPr>
            <w:r>
              <w:rPr>
                <w:rFonts w:ascii="宋体" w:hAnsi="宋体" w:cs="宋体" w:eastAsia="宋体" w:hint="default"/>
                <w:sz w:val="18"/>
                <w:szCs w:val="18"/>
              </w:rPr>
              <w:t>同一 控制下企业合 并</w:t>
            </w:r>
          </w:p>
        </w:tc>
        <w:tc>
          <w:tcPr>
            <w:tcW w:w="494"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494" w:type="dxa"/>
            <w:tcBorders>
              <w:top w:val="single" w:sz="4" w:space="0" w:color="000000"/>
              <w:left w:val="single" w:sz="12" w:space="0" w:color="D2D2D2"/>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1241" w:type="dxa"/>
            <w:tcBorders>
              <w:top w:val="single" w:sz="4" w:space="0" w:color="000000"/>
              <w:left w:val="single" w:sz="4" w:space="0" w:color="000000"/>
              <w:bottom w:val="nil" w:sz="6" w:space="0" w:color="auto"/>
              <w:right w:val="single" w:sz="4" w:space="0" w:color="000000"/>
            </w:tcBorders>
            <w:shd w:val="clear" w:color="auto" w:fill="D2D2D2"/>
          </w:tcPr>
          <w:p>
            <w:pPr/>
          </w:p>
        </w:tc>
        <w:tc>
          <w:tcPr>
            <w:tcW w:w="494" w:type="dxa"/>
            <w:vMerge w:val="restart"/>
            <w:tcBorders>
              <w:top w:val="single" w:sz="4" w:space="0" w:color="000000"/>
              <w:left w:val="single" w:sz="9" w:space="0" w:color="D2D2D2"/>
              <w:right w:val="single" w:sz="4" w:space="0" w:color="000000"/>
            </w:tcBorders>
          </w:tcPr>
          <w:p>
            <w:pPr>
              <w:pStyle w:val="TableParagraph"/>
              <w:spacing w:line="240" w:lineRule="auto" w:before="91"/>
              <w:ind w:left="49" w:right="0"/>
              <w:jc w:val="left"/>
              <w:rPr>
                <w:rFonts w:ascii="Times New Roman" w:hAnsi="Times New Roman" w:cs="Times New Roman" w:eastAsia="Times New Roman" w:hint="default"/>
                <w:sz w:val="18"/>
                <w:szCs w:val="18"/>
              </w:rPr>
            </w:pPr>
            <w:r>
              <w:rPr>
                <w:rFonts w:ascii="Times New Roman"/>
                <w:sz w:val="18"/>
              </w:rPr>
              <w:t>1,902</w:t>
            </w:r>
          </w:p>
          <w:p>
            <w:pPr>
              <w:pStyle w:val="TableParagraph"/>
              <w:spacing w:line="240" w:lineRule="auto" w:before="102"/>
              <w:ind w:left="94" w:right="0"/>
              <w:jc w:val="left"/>
              <w:rPr>
                <w:rFonts w:ascii="Times New Roman" w:hAnsi="Times New Roman" w:cs="Times New Roman" w:eastAsia="Times New Roman" w:hint="default"/>
                <w:sz w:val="18"/>
                <w:szCs w:val="18"/>
              </w:rPr>
            </w:pPr>
            <w:r>
              <w:rPr>
                <w:rFonts w:ascii="Times New Roman"/>
                <w:sz w:val="18"/>
              </w:rPr>
              <w:t>,159,</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229.0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466"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153,41</w:t>
            </w:r>
          </w:p>
          <w:p>
            <w:pPr>
              <w:pStyle w:val="TableParagraph"/>
              <w:spacing w:line="240" w:lineRule="auto" w:before="102"/>
              <w:ind w:left="100" w:right="0"/>
              <w:jc w:val="left"/>
              <w:rPr>
                <w:rFonts w:ascii="Times New Roman" w:hAnsi="Times New Roman" w:cs="Times New Roman" w:eastAsia="Times New Roman" w:hint="default"/>
                <w:sz w:val="18"/>
                <w:szCs w:val="18"/>
              </w:rPr>
            </w:pPr>
            <w:r>
              <w:rPr>
                <w:rFonts w:ascii="Times New Roman"/>
                <w:sz w:val="18"/>
              </w:rPr>
              <w:t>5,558.</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41</w:t>
            </w:r>
          </w:p>
        </w:tc>
        <w:tc>
          <w:tcPr>
            <w:tcW w:w="586"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96,417</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,455.3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583" w:type="dxa"/>
            <w:vMerge w:val="restart"/>
            <w:tcBorders>
              <w:top w:val="single" w:sz="4" w:space="0" w:color="000000"/>
              <w:left w:val="single" w:sz="4" w:space="0" w:color="000000"/>
              <w:right w:val="single" w:sz="4" w:space="0" w:color="000000"/>
            </w:tcBorders>
          </w:tcPr>
          <w:p>
            <w:pPr/>
          </w:p>
        </w:tc>
        <w:tc>
          <w:tcPr>
            <w:tcW w:w="58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2" w:right="0"/>
              <w:jc w:val="center"/>
              <w:rPr>
                <w:rFonts w:ascii="Times New Roman" w:hAnsi="Times New Roman" w:cs="Times New Roman" w:eastAsia="Times New Roman" w:hint="default"/>
                <w:sz w:val="18"/>
                <w:szCs w:val="18"/>
              </w:rPr>
            </w:pPr>
            <w:r>
              <w:rPr>
                <w:rFonts w:ascii="Times New Roman"/>
                <w:sz w:val="18"/>
              </w:rPr>
              <w:t>1,054,</w:t>
            </w:r>
          </w:p>
          <w:p>
            <w:pPr>
              <w:pStyle w:val="TableParagraph"/>
              <w:spacing w:line="240" w:lineRule="auto" w:before="102"/>
              <w:ind w:left="39" w:right="0"/>
              <w:jc w:val="center"/>
              <w:rPr>
                <w:rFonts w:ascii="Times New Roman" w:hAnsi="Times New Roman" w:cs="Times New Roman" w:eastAsia="Times New Roman" w:hint="default"/>
                <w:sz w:val="18"/>
                <w:szCs w:val="18"/>
              </w:rPr>
            </w:pPr>
            <w:r>
              <w:rPr>
                <w:rFonts w:ascii="Times New Roman"/>
                <w:sz w:val="18"/>
              </w:rPr>
              <w:t>820,24</w:t>
            </w:r>
          </w:p>
          <w:p>
            <w:pPr>
              <w:pStyle w:val="TableParagraph"/>
              <w:spacing w:line="240" w:lineRule="auto" w:before="105"/>
              <w:ind w:left="219" w:right="0"/>
              <w:jc w:val="center"/>
              <w:rPr>
                <w:rFonts w:ascii="Times New Roman" w:hAnsi="Times New Roman" w:cs="Times New Roman" w:eastAsia="Times New Roman" w:hint="default"/>
                <w:sz w:val="18"/>
                <w:szCs w:val="18"/>
              </w:rPr>
            </w:pPr>
            <w:r>
              <w:rPr>
                <w:rFonts w:ascii="Times New Roman"/>
                <w:sz w:val="18"/>
              </w:rPr>
              <w:t>7.30</w:t>
            </w: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0" w:right="0"/>
              <w:jc w:val="center"/>
              <w:rPr>
                <w:rFonts w:ascii="Times New Roman" w:hAnsi="Times New Roman" w:cs="Times New Roman" w:eastAsia="Times New Roman" w:hint="default"/>
                <w:sz w:val="18"/>
                <w:szCs w:val="18"/>
              </w:rPr>
            </w:pPr>
            <w:r>
              <w:rPr>
                <w:rFonts w:ascii="Times New Roman"/>
                <w:sz w:val="18"/>
              </w:rPr>
              <w:t>3,206,</w:t>
            </w:r>
          </w:p>
          <w:p>
            <w:pPr>
              <w:pStyle w:val="TableParagraph"/>
              <w:spacing w:line="240" w:lineRule="auto" w:before="102"/>
              <w:ind w:left="36" w:right="0"/>
              <w:jc w:val="center"/>
              <w:rPr>
                <w:rFonts w:ascii="Times New Roman" w:hAnsi="Times New Roman" w:cs="Times New Roman" w:eastAsia="Times New Roman" w:hint="default"/>
                <w:sz w:val="18"/>
                <w:szCs w:val="18"/>
              </w:rPr>
            </w:pPr>
            <w:r>
              <w:rPr>
                <w:rFonts w:ascii="Times New Roman"/>
                <w:sz w:val="18"/>
              </w:rPr>
              <w:t>812,49</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0.08</w:t>
            </w:r>
          </w:p>
        </w:tc>
        <w:tc>
          <w:tcPr>
            <w:tcW w:w="58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119,79</w:t>
            </w:r>
          </w:p>
          <w:p>
            <w:pPr>
              <w:pStyle w:val="TableParagraph"/>
              <w:spacing w:line="240" w:lineRule="auto" w:before="102"/>
              <w:ind w:left="103" w:right="0"/>
              <w:jc w:val="left"/>
              <w:rPr>
                <w:rFonts w:ascii="Times New Roman" w:hAnsi="Times New Roman" w:cs="Times New Roman" w:eastAsia="Times New Roman" w:hint="default"/>
                <w:sz w:val="18"/>
                <w:szCs w:val="18"/>
              </w:rPr>
            </w:pPr>
            <w:r>
              <w:rPr>
                <w:rFonts w:ascii="Times New Roman"/>
                <w:sz w:val="18"/>
              </w:rPr>
              <w:t>9,394.</w:t>
            </w:r>
          </w:p>
          <w:p>
            <w:pPr>
              <w:pStyle w:val="TableParagraph"/>
              <w:spacing w:line="240" w:lineRule="auto" w:before="105"/>
              <w:ind w:left="374" w:right="0"/>
              <w:jc w:val="left"/>
              <w:rPr>
                <w:rFonts w:ascii="Times New Roman" w:hAnsi="Times New Roman" w:cs="Times New Roman" w:eastAsia="Times New Roman" w:hint="default"/>
                <w:sz w:val="18"/>
                <w:szCs w:val="18"/>
              </w:rPr>
            </w:pPr>
            <w:r>
              <w:rPr>
                <w:rFonts w:ascii="Times New Roman"/>
                <w:sz w:val="18"/>
              </w:rPr>
              <w:t>64</w:t>
            </w:r>
          </w:p>
        </w:tc>
        <w:tc>
          <w:tcPr>
            <w:tcW w:w="57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5" w:right="0"/>
              <w:jc w:val="center"/>
              <w:rPr>
                <w:rFonts w:ascii="Times New Roman" w:hAnsi="Times New Roman" w:cs="Times New Roman" w:eastAsia="Times New Roman" w:hint="default"/>
                <w:sz w:val="18"/>
                <w:szCs w:val="18"/>
              </w:rPr>
            </w:pPr>
            <w:r>
              <w:rPr>
                <w:rFonts w:ascii="Times New Roman"/>
                <w:sz w:val="18"/>
              </w:rPr>
              <w:t>3,326,</w:t>
            </w:r>
          </w:p>
          <w:p>
            <w:pPr>
              <w:pStyle w:val="TableParagraph"/>
              <w:spacing w:line="240" w:lineRule="auto" w:before="102"/>
              <w:ind w:left="39" w:right="0"/>
              <w:jc w:val="center"/>
              <w:rPr>
                <w:rFonts w:ascii="Times New Roman" w:hAnsi="Times New Roman" w:cs="Times New Roman" w:eastAsia="Times New Roman" w:hint="default"/>
                <w:sz w:val="18"/>
                <w:szCs w:val="18"/>
              </w:rPr>
            </w:pPr>
            <w:r>
              <w:rPr>
                <w:rFonts w:ascii="Times New Roman"/>
                <w:sz w:val="18"/>
              </w:rPr>
              <w:t>611,88</w:t>
            </w:r>
          </w:p>
          <w:p>
            <w:pPr>
              <w:pStyle w:val="TableParagraph"/>
              <w:spacing w:line="240" w:lineRule="auto" w:before="105"/>
              <w:ind w:left="211" w:right="0"/>
              <w:jc w:val="center"/>
              <w:rPr>
                <w:rFonts w:ascii="Times New Roman" w:hAnsi="Times New Roman" w:cs="Times New Roman" w:eastAsia="Times New Roman" w:hint="default"/>
                <w:sz w:val="18"/>
                <w:szCs w:val="18"/>
              </w:rPr>
            </w:pPr>
            <w:r>
              <w:rPr>
                <w:rFonts w:ascii="Times New Roman"/>
                <w:sz w:val="18"/>
              </w:rPr>
              <w:t>4.72</w:t>
            </w:r>
          </w:p>
        </w:tc>
      </w:tr>
      <w:tr>
        <w:trPr>
          <w:trHeight w:val="703" w:hRule="exact"/>
        </w:trPr>
        <w:tc>
          <w:tcPr>
            <w:tcW w:w="124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4" w:lineRule="auto" w:before="49"/>
              <w:ind w:left="12" w:right="20"/>
              <w:jc w:val="left"/>
              <w:rPr>
                <w:rFonts w:ascii="宋体" w:hAnsi="宋体" w:cs="宋体" w:eastAsia="宋体" w:hint="default"/>
                <w:sz w:val="18"/>
                <w:szCs w:val="18"/>
              </w:rPr>
            </w:pPr>
            <w:r>
              <w:rPr>
                <w:rFonts w:ascii="宋体" w:hAnsi="宋体" w:cs="宋体" w:eastAsia="宋体" w:hint="default"/>
                <w:spacing w:val="-9"/>
                <w:sz w:val="18"/>
                <w:szCs w:val="18"/>
              </w:rPr>
              <w:t>二、本年期初余</w:t>
            </w:r>
            <w:r>
              <w:rPr>
                <w:rFonts w:ascii="宋体" w:hAnsi="宋体" w:cs="宋体" w:eastAsia="宋体" w:hint="default"/>
                <w:sz w:val="18"/>
                <w:szCs w:val="18"/>
              </w:rPr>
              <w:t> 额</w:t>
            </w:r>
          </w:p>
        </w:tc>
        <w:tc>
          <w:tcPr>
            <w:tcW w:w="494" w:type="dxa"/>
            <w:vMerge/>
            <w:tcBorders>
              <w:left w:val="single" w:sz="9" w:space="0" w:color="D2D2D2"/>
              <w:right w:val="single" w:sz="4" w:space="0" w:color="000000"/>
            </w:tcBorders>
          </w:tcPr>
          <w:p>
            <w:pPr/>
          </w:p>
        </w:tc>
        <w:tc>
          <w:tcPr>
            <w:tcW w:w="466"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317" w:hRule="exact"/>
        </w:trPr>
        <w:tc>
          <w:tcPr>
            <w:tcW w:w="1241" w:type="dxa"/>
            <w:tcBorders>
              <w:top w:val="nil" w:sz="6" w:space="0" w:color="auto"/>
              <w:left w:val="single" w:sz="4" w:space="0" w:color="000000"/>
              <w:bottom w:val="single" w:sz="4" w:space="0" w:color="000000"/>
              <w:right w:val="single" w:sz="4" w:space="0" w:color="000000"/>
            </w:tcBorders>
            <w:shd w:val="clear" w:color="auto" w:fill="D2D2D2"/>
          </w:tcPr>
          <w:p>
            <w:pPr/>
          </w:p>
        </w:tc>
        <w:tc>
          <w:tcPr>
            <w:tcW w:w="494" w:type="dxa"/>
            <w:vMerge/>
            <w:tcBorders>
              <w:left w:val="single" w:sz="9" w:space="0" w:color="D2D2D2"/>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r>
      <w:tr>
        <w:trPr>
          <w:trHeight w:val="1027" w:hRule="exact"/>
        </w:trPr>
        <w:tc>
          <w:tcPr>
            <w:tcW w:w="12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20"/>
              <w:jc w:val="both"/>
              <w:rPr>
                <w:rFonts w:ascii="宋体" w:hAnsi="宋体" w:cs="宋体" w:eastAsia="宋体" w:hint="default"/>
                <w:sz w:val="18"/>
                <w:szCs w:val="18"/>
              </w:rPr>
            </w:pPr>
            <w:r>
              <w:rPr>
                <w:rFonts w:ascii="宋体" w:hAnsi="宋体" w:cs="宋体" w:eastAsia="宋体" w:hint="default"/>
                <w:spacing w:val="-9"/>
                <w:sz w:val="18"/>
                <w:szCs w:val="18"/>
              </w:rPr>
              <w:t>三、本期增减变</w:t>
            </w:r>
            <w:r>
              <w:rPr>
                <w:rFonts w:ascii="宋体" w:hAnsi="宋体" w:cs="宋体" w:eastAsia="宋体" w:hint="default"/>
                <w:sz w:val="18"/>
                <w:szCs w:val="18"/>
              </w:rPr>
              <w:t> </w:t>
            </w:r>
            <w:r>
              <w:rPr>
                <w:rFonts w:ascii="宋体" w:hAnsi="宋体" w:cs="宋体" w:eastAsia="宋体" w:hint="default"/>
                <w:spacing w:val="-9"/>
                <w:sz w:val="18"/>
                <w:szCs w:val="18"/>
              </w:rPr>
              <w:t>动金额（减少以</w:t>
            </w:r>
            <w:r>
              <w:rPr>
                <w:rFonts w:ascii="宋体" w:hAnsi="宋体" w:cs="宋体" w:eastAsia="宋体" w:hint="default"/>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49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32,88</w:t>
            </w:r>
          </w:p>
          <w:p>
            <w:pPr>
              <w:pStyle w:val="TableParagraph"/>
              <w:spacing w:line="240" w:lineRule="auto" w:before="105"/>
              <w:ind w:left="21" w:right="0"/>
              <w:jc w:val="center"/>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5"/>
              <w:ind w:left="201" w:right="0"/>
              <w:jc w:val="center"/>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17,061</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,149.3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62,472</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6" w:right="0"/>
              <w:jc w:val="left"/>
              <w:rPr>
                <w:rFonts w:ascii="Times New Roman" w:hAnsi="Times New Roman" w:cs="Times New Roman" w:eastAsia="Times New Roman" w:hint="default"/>
                <w:sz w:val="18"/>
                <w:szCs w:val="18"/>
              </w:rPr>
            </w:pPr>
            <w:r>
              <w:rPr>
                <w:rFonts w:ascii="Times New Roman"/>
                <w:sz w:val="18"/>
              </w:rPr>
              <w:t>-28,39</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1,085.</w:t>
            </w:r>
          </w:p>
          <w:p>
            <w:pPr>
              <w:pStyle w:val="TableParagraph"/>
              <w:spacing w:line="240" w:lineRule="auto" w:before="105"/>
              <w:ind w:left="372" w:right="0"/>
              <w:jc w:val="left"/>
              <w:rPr>
                <w:rFonts w:ascii="Times New Roman" w:hAnsi="Times New Roman" w:cs="Times New Roman" w:eastAsia="Times New Roman" w:hint="default"/>
                <w:sz w:val="18"/>
                <w:szCs w:val="18"/>
              </w:rPr>
            </w:pPr>
            <w:r>
              <w:rPr>
                <w:rFonts w:ascii="Times New Roman"/>
                <w:sz w:val="18"/>
              </w:rPr>
              <w:t>29</w:t>
            </w: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10,821</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,370.2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-353,8</w:t>
            </w:r>
          </w:p>
          <w:p>
            <w:pPr>
              <w:pStyle w:val="TableParagraph"/>
              <w:spacing w:line="240" w:lineRule="auto" w:before="105"/>
              <w:ind w:left="60" w:right="0"/>
              <w:jc w:val="left"/>
              <w:rPr>
                <w:rFonts w:ascii="Times New Roman" w:hAnsi="Times New Roman" w:cs="Times New Roman" w:eastAsia="Times New Roman" w:hint="default"/>
                <w:sz w:val="18"/>
                <w:szCs w:val="18"/>
              </w:rPr>
            </w:pPr>
            <w:r>
              <w:rPr>
                <w:rFonts w:ascii="Times New Roman"/>
                <w:sz w:val="18"/>
              </w:rPr>
              <w:t>67,583</w:t>
            </w:r>
          </w:p>
          <w:p>
            <w:pPr>
              <w:pStyle w:val="TableParagraph"/>
              <w:spacing w:line="240" w:lineRule="auto" w:before="105"/>
              <w:ind w:left="328" w:right="0"/>
              <w:jc w:val="left"/>
              <w:rPr>
                <w:rFonts w:ascii="Times New Roman" w:hAnsi="Times New Roman" w:cs="Times New Roman" w:eastAsia="Times New Roman" w:hint="default"/>
                <w:sz w:val="18"/>
                <w:szCs w:val="18"/>
              </w:rPr>
            </w:pPr>
            <w:r>
              <w:rPr>
                <w:rFonts w:ascii="Times New Roman"/>
                <w:sz w:val="18"/>
              </w:rPr>
              <w:t>.34</w:t>
            </w: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6" w:right="0"/>
              <w:jc w:val="left"/>
              <w:rPr>
                <w:rFonts w:ascii="Times New Roman" w:hAnsi="Times New Roman" w:cs="Times New Roman" w:eastAsia="Times New Roman" w:hint="default"/>
                <w:sz w:val="18"/>
                <w:szCs w:val="18"/>
              </w:rPr>
            </w:pPr>
            <w:r>
              <w:rPr>
                <w:rFonts w:ascii="Times New Roman"/>
                <w:sz w:val="18"/>
              </w:rPr>
              <w:t>-383,9</w:t>
            </w:r>
          </w:p>
          <w:p>
            <w:pPr>
              <w:pStyle w:val="TableParagraph"/>
              <w:spacing w:line="240" w:lineRule="auto" w:before="105"/>
              <w:ind w:left="57" w:right="0"/>
              <w:jc w:val="left"/>
              <w:rPr>
                <w:rFonts w:ascii="Times New Roman" w:hAnsi="Times New Roman" w:cs="Times New Roman" w:eastAsia="Times New Roman" w:hint="default"/>
                <w:sz w:val="18"/>
                <w:szCs w:val="18"/>
              </w:rPr>
            </w:pPr>
            <w:r>
              <w:rPr>
                <w:rFonts w:ascii="Times New Roman"/>
                <w:sz w:val="18"/>
              </w:rPr>
              <w:t>68,149</w:t>
            </w:r>
          </w:p>
          <w:p>
            <w:pPr>
              <w:pStyle w:val="TableParagraph"/>
              <w:spacing w:line="240" w:lineRule="auto" w:before="105"/>
              <w:ind w:left="326" w:right="0"/>
              <w:jc w:val="left"/>
              <w:rPr>
                <w:rFonts w:ascii="Times New Roman" w:hAnsi="Times New Roman" w:cs="Times New Roman" w:eastAsia="Times New Roman" w:hint="default"/>
                <w:sz w:val="18"/>
                <w:szCs w:val="18"/>
              </w:rPr>
            </w:pPr>
            <w:r>
              <w:rPr>
                <w:rFonts w:ascii="Times New Roman"/>
                <w:sz w:val="18"/>
              </w:rPr>
              <w:t>.10</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-53,73</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8,163.</w:t>
            </w:r>
          </w:p>
          <w:p>
            <w:pPr>
              <w:pStyle w:val="TableParagraph"/>
              <w:spacing w:line="240" w:lineRule="auto" w:before="105"/>
              <w:ind w:left="374" w:right="0"/>
              <w:jc w:val="left"/>
              <w:rPr>
                <w:rFonts w:ascii="Times New Roman" w:hAnsi="Times New Roman" w:cs="Times New Roman" w:eastAsia="Times New Roman" w:hint="default"/>
                <w:sz w:val="18"/>
                <w:szCs w:val="18"/>
              </w:rPr>
            </w:pPr>
            <w:r>
              <w:rPr>
                <w:rFonts w:ascii="Times New Roman"/>
                <w:sz w:val="18"/>
              </w:rPr>
              <w:t>86</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1" w:right="0"/>
              <w:jc w:val="left"/>
              <w:rPr>
                <w:rFonts w:ascii="Times New Roman" w:hAnsi="Times New Roman" w:cs="Times New Roman" w:eastAsia="Times New Roman" w:hint="default"/>
                <w:sz w:val="18"/>
                <w:szCs w:val="18"/>
              </w:rPr>
            </w:pPr>
            <w:r>
              <w:rPr>
                <w:rFonts w:ascii="Times New Roman"/>
                <w:sz w:val="18"/>
              </w:rPr>
              <w:t>-437,7</w:t>
            </w:r>
          </w:p>
          <w:p>
            <w:pPr>
              <w:pStyle w:val="TableParagraph"/>
              <w:spacing w:line="240" w:lineRule="auto" w:before="105"/>
              <w:ind w:left="52" w:right="0"/>
              <w:jc w:val="left"/>
              <w:rPr>
                <w:rFonts w:ascii="Times New Roman" w:hAnsi="Times New Roman" w:cs="Times New Roman" w:eastAsia="Times New Roman" w:hint="default"/>
                <w:sz w:val="18"/>
                <w:szCs w:val="18"/>
              </w:rPr>
            </w:pPr>
            <w:r>
              <w:rPr>
                <w:rFonts w:ascii="Times New Roman"/>
                <w:sz w:val="18"/>
              </w:rPr>
              <w:t>06,312</w:t>
            </w:r>
          </w:p>
          <w:p>
            <w:pPr>
              <w:pStyle w:val="TableParagraph"/>
              <w:spacing w:line="240" w:lineRule="auto" w:before="105"/>
              <w:ind w:left="321" w:right="0"/>
              <w:jc w:val="left"/>
              <w:rPr>
                <w:rFonts w:ascii="Times New Roman" w:hAnsi="Times New Roman" w:cs="Times New Roman" w:eastAsia="Times New Roman" w:hint="default"/>
                <w:sz w:val="18"/>
                <w:szCs w:val="18"/>
              </w:rPr>
            </w:pPr>
            <w:r>
              <w:rPr>
                <w:rFonts w:ascii="Times New Roman"/>
                <w:sz w:val="18"/>
              </w:rPr>
              <w:t>.96</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52"/>
        <w:gridCol w:w="494"/>
        <w:gridCol w:w="466"/>
        <w:gridCol w:w="466"/>
        <w:gridCol w:w="468"/>
        <w:gridCol w:w="583"/>
        <w:gridCol w:w="586"/>
        <w:gridCol w:w="583"/>
        <w:gridCol w:w="584"/>
        <w:gridCol w:w="583"/>
        <w:gridCol w:w="583"/>
        <w:gridCol w:w="586"/>
        <w:gridCol w:w="584"/>
        <w:gridCol w:w="583"/>
        <w:gridCol w:w="586"/>
        <w:gridCol w:w="578"/>
      </w:tblGrid>
      <w:tr>
        <w:trPr>
          <w:trHeight w:val="1025"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22" w:right="20"/>
              <w:jc w:val="left"/>
              <w:rPr>
                <w:rFonts w:ascii="宋体" w:hAnsi="宋体" w:cs="宋体" w:eastAsia="宋体" w:hint="default"/>
                <w:sz w:val="18"/>
                <w:szCs w:val="18"/>
              </w:rPr>
            </w:pPr>
            <w:r>
              <w:rPr>
                <w:rFonts w:ascii="宋体" w:hAnsi="宋体" w:cs="宋体" w:eastAsia="宋体" w:hint="default"/>
                <w:spacing w:val="-9"/>
                <w:sz w:val="18"/>
                <w:szCs w:val="18"/>
              </w:rPr>
              <w:t>（一）综合收益</w:t>
            </w:r>
            <w:r>
              <w:rPr>
                <w:rFonts w:ascii="宋体" w:hAnsi="宋体" w:cs="宋体" w:eastAsia="宋体" w:hint="default"/>
                <w:sz w:val="18"/>
                <w:szCs w:val="18"/>
              </w:rPr>
              <w:t> 总额</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6" w:right="0"/>
              <w:jc w:val="left"/>
              <w:rPr>
                <w:rFonts w:ascii="Times New Roman" w:hAnsi="Times New Roman" w:cs="Times New Roman" w:eastAsia="Times New Roman" w:hint="default"/>
                <w:sz w:val="18"/>
                <w:szCs w:val="18"/>
              </w:rPr>
            </w:pPr>
            <w:r>
              <w:rPr>
                <w:rFonts w:ascii="Times New Roman"/>
                <w:sz w:val="18"/>
              </w:rPr>
              <w:t>-28,39</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1,085.</w:t>
            </w:r>
          </w:p>
          <w:p>
            <w:pPr>
              <w:pStyle w:val="TableParagraph"/>
              <w:spacing w:line="240" w:lineRule="auto" w:before="105"/>
              <w:ind w:left="372" w:right="0"/>
              <w:jc w:val="left"/>
              <w:rPr>
                <w:rFonts w:ascii="Times New Roman" w:hAnsi="Times New Roman" w:cs="Times New Roman" w:eastAsia="Times New Roman" w:hint="default"/>
                <w:sz w:val="18"/>
                <w:szCs w:val="18"/>
              </w:rPr>
            </w:pPr>
            <w:r>
              <w:rPr>
                <w:rFonts w:ascii="Times New Roman"/>
                <w:sz w:val="18"/>
              </w:rPr>
              <w:t>29</w:t>
            </w: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-342,8</w:t>
            </w:r>
          </w:p>
          <w:p>
            <w:pPr>
              <w:pStyle w:val="TableParagraph"/>
              <w:spacing w:line="240" w:lineRule="auto" w:before="105"/>
              <w:ind w:left="60" w:right="0"/>
              <w:jc w:val="left"/>
              <w:rPr>
                <w:rFonts w:ascii="Times New Roman" w:hAnsi="Times New Roman" w:cs="Times New Roman" w:eastAsia="Times New Roman" w:hint="default"/>
                <w:sz w:val="18"/>
                <w:szCs w:val="18"/>
              </w:rPr>
            </w:pPr>
            <w:r>
              <w:rPr>
                <w:rFonts w:ascii="Times New Roman"/>
                <w:sz w:val="18"/>
              </w:rPr>
              <w:t>85,845</w:t>
            </w:r>
          </w:p>
          <w:p>
            <w:pPr>
              <w:pStyle w:val="TableParagraph"/>
              <w:spacing w:line="240" w:lineRule="auto" w:before="105"/>
              <w:ind w:left="328" w:right="0"/>
              <w:jc w:val="left"/>
              <w:rPr>
                <w:rFonts w:ascii="Times New Roman" w:hAnsi="Times New Roman" w:cs="Times New Roman" w:eastAsia="Times New Roman" w:hint="default"/>
                <w:sz w:val="18"/>
                <w:szCs w:val="18"/>
              </w:rPr>
            </w:pPr>
            <w:r>
              <w:rPr>
                <w:rFonts w:ascii="Times New Roman"/>
                <w:sz w:val="18"/>
              </w:rPr>
              <w:t>.54</w:t>
            </w: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-371,2</w:t>
            </w:r>
          </w:p>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76,930</w:t>
            </w:r>
          </w:p>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.83</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-391,9</w:t>
            </w:r>
          </w:p>
          <w:p>
            <w:pPr>
              <w:pStyle w:val="TableParagraph"/>
              <w:spacing w:line="240" w:lineRule="auto" w:before="105"/>
              <w:ind w:left="26" w:right="0"/>
              <w:jc w:val="left"/>
              <w:rPr>
                <w:rFonts w:ascii="Times New Roman" w:hAnsi="Times New Roman" w:cs="Times New Roman" w:eastAsia="Times New Roman" w:hint="default"/>
                <w:sz w:val="18"/>
                <w:szCs w:val="18"/>
              </w:rPr>
            </w:pPr>
            <w:r>
              <w:rPr>
                <w:rFonts w:ascii="Times New Roman"/>
                <w:sz w:val="18"/>
              </w:rPr>
              <w:t>64.38</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-371,6</w:t>
            </w:r>
          </w:p>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68,895</w:t>
            </w:r>
          </w:p>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.21</w:t>
            </w:r>
          </w:p>
        </w:tc>
      </w:tr>
      <w:tr>
        <w:trPr>
          <w:trHeight w:val="1027"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4" w:lineRule="auto"/>
              <w:ind w:left="22" w:right="20"/>
              <w:jc w:val="left"/>
              <w:rPr>
                <w:rFonts w:ascii="宋体" w:hAnsi="宋体" w:cs="宋体" w:eastAsia="宋体" w:hint="default"/>
                <w:sz w:val="18"/>
                <w:szCs w:val="18"/>
              </w:rPr>
            </w:pPr>
            <w:r>
              <w:rPr>
                <w:rFonts w:ascii="宋体" w:hAnsi="宋体" w:cs="宋体" w:eastAsia="宋体" w:hint="default"/>
                <w:spacing w:val="-9"/>
                <w:sz w:val="18"/>
                <w:szCs w:val="18"/>
              </w:rPr>
              <w:t>（二）所有者投</w:t>
            </w:r>
            <w:r>
              <w:rPr>
                <w:rFonts w:ascii="宋体" w:hAnsi="宋体" w:cs="宋体" w:eastAsia="宋体" w:hint="default"/>
                <w:sz w:val="18"/>
                <w:szCs w:val="18"/>
              </w:rPr>
              <w:t> 入和减少资本</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2" w:right="0"/>
              <w:jc w:val="center"/>
              <w:rPr>
                <w:rFonts w:ascii="Times New Roman" w:hAnsi="Times New Roman" w:cs="Times New Roman" w:eastAsia="Times New Roman" w:hint="default"/>
                <w:sz w:val="18"/>
                <w:szCs w:val="18"/>
              </w:rPr>
            </w:pPr>
            <w:r>
              <w:rPr>
                <w:rFonts w:ascii="Times New Roman"/>
                <w:sz w:val="18"/>
              </w:rPr>
              <w:t>32,88</w:t>
            </w:r>
          </w:p>
          <w:p>
            <w:pPr>
              <w:pStyle w:val="TableParagraph"/>
              <w:spacing w:line="240" w:lineRule="auto" w:before="102"/>
              <w:ind w:left="31" w:right="0"/>
              <w:jc w:val="center"/>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5"/>
              <w:ind w:left="212" w:right="0"/>
              <w:jc w:val="center"/>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17,061</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,149.3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62,472</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-160,3</w:t>
            </w:r>
          </w:p>
          <w:p>
            <w:pPr>
              <w:pStyle w:val="TableParagraph"/>
              <w:spacing w:line="240" w:lineRule="auto" w:before="102"/>
              <w:ind w:left="146" w:right="0"/>
              <w:jc w:val="left"/>
              <w:rPr>
                <w:rFonts w:ascii="Times New Roman" w:hAnsi="Times New Roman" w:cs="Times New Roman" w:eastAsia="Times New Roman" w:hint="default"/>
                <w:sz w:val="18"/>
                <w:szCs w:val="18"/>
              </w:rPr>
            </w:pPr>
            <w:r>
              <w:rPr>
                <w:rFonts w:ascii="Times New Roman"/>
                <w:sz w:val="18"/>
              </w:rPr>
              <w:t>67.59</w:t>
            </w: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-12,69</w:t>
            </w:r>
          </w:p>
          <w:p>
            <w:pPr>
              <w:pStyle w:val="TableParagraph"/>
              <w:spacing w:line="240" w:lineRule="auto" w:before="102"/>
              <w:ind w:left="23" w:right="0"/>
              <w:jc w:val="left"/>
              <w:rPr>
                <w:rFonts w:ascii="Times New Roman" w:hAnsi="Times New Roman" w:cs="Times New Roman" w:eastAsia="Times New Roman" w:hint="default"/>
                <w:sz w:val="18"/>
                <w:szCs w:val="18"/>
              </w:rPr>
            </w:pPr>
            <w:r>
              <w:rPr>
                <w:rFonts w:ascii="Times New Roman"/>
                <w:sz w:val="18"/>
              </w:rPr>
              <w:t>1,218.</w:t>
            </w:r>
          </w:p>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27</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6" w:right="0"/>
              <w:jc w:val="left"/>
              <w:rPr>
                <w:rFonts w:ascii="Times New Roman" w:hAnsi="Times New Roman" w:cs="Times New Roman" w:eastAsia="Times New Roman" w:hint="default"/>
                <w:sz w:val="18"/>
                <w:szCs w:val="18"/>
              </w:rPr>
            </w:pPr>
            <w:r>
              <w:rPr>
                <w:rFonts w:ascii="Times New Roman"/>
                <w:sz w:val="18"/>
              </w:rPr>
              <w:t>-53,34</w:t>
            </w:r>
          </w:p>
          <w:p>
            <w:pPr>
              <w:pStyle w:val="TableParagraph"/>
              <w:spacing w:line="240" w:lineRule="auto" w:before="102"/>
              <w:ind w:left="26" w:right="0"/>
              <w:jc w:val="left"/>
              <w:rPr>
                <w:rFonts w:ascii="Times New Roman" w:hAnsi="Times New Roman" w:cs="Times New Roman" w:eastAsia="Times New Roman" w:hint="default"/>
                <w:sz w:val="18"/>
                <w:szCs w:val="18"/>
              </w:rPr>
            </w:pPr>
            <w:r>
              <w:rPr>
                <w:rFonts w:ascii="Times New Roman"/>
                <w:sz w:val="18"/>
              </w:rPr>
              <w:t>6,199.</w:t>
            </w:r>
          </w:p>
          <w:p>
            <w:pPr>
              <w:pStyle w:val="TableParagraph"/>
              <w:spacing w:line="240" w:lineRule="auto" w:before="105"/>
              <w:ind w:left="26" w:right="0"/>
              <w:jc w:val="left"/>
              <w:rPr>
                <w:rFonts w:ascii="Times New Roman" w:hAnsi="Times New Roman" w:cs="Times New Roman" w:eastAsia="Times New Roman" w:hint="default"/>
                <w:sz w:val="18"/>
                <w:szCs w:val="18"/>
              </w:rPr>
            </w:pPr>
            <w:r>
              <w:rPr>
                <w:rFonts w:ascii="Times New Roman"/>
                <w:sz w:val="18"/>
              </w:rPr>
              <w:t>48</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-66,03</w:t>
            </w:r>
          </w:p>
          <w:p>
            <w:pPr>
              <w:pStyle w:val="TableParagraph"/>
              <w:spacing w:line="240" w:lineRule="auto" w:before="102"/>
              <w:ind w:left="23" w:right="0"/>
              <w:jc w:val="left"/>
              <w:rPr>
                <w:rFonts w:ascii="Times New Roman" w:hAnsi="Times New Roman" w:cs="Times New Roman" w:eastAsia="Times New Roman" w:hint="default"/>
                <w:sz w:val="18"/>
                <w:szCs w:val="18"/>
              </w:rPr>
            </w:pPr>
            <w:r>
              <w:rPr>
                <w:rFonts w:ascii="Times New Roman"/>
                <w:sz w:val="18"/>
              </w:rPr>
              <w:t>7,417.</w:t>
            </w:r>
          </w:p>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75</w:t>
            </w:r>
          </w:p>
        </w:tc>
      </w:tr>
      <w:tr>
        <w:trPr>
          <w:trHeight w:val="1025"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00" w:lineRule="auto"/>
              <w:ind w:left="22" w:right="4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 的普通股</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2" w:right="0"/>
              <w:jc w:val="center"/>
              <w:rPr>
                <w:rFonts w:ascii="Times New Roman" w:hAnsi="Times New Roman" w:cs="Times New Roman" w:eastAsia="Times New Roman" w:hint="default"/>
                <w:sz w:val="18"/>
                <w:szCs w:val="18"/>
              </w:rPr>
            </w:pPr>
            <w:r>
              <w:rPr>
                <w:rFonts w:ascii="Times New Roman"/>
                <w:sz w:val="18"/>
              </w:rPr>
              <w:t>32,88</w:t>
            </w:r>
          </w:p>
          <w:p>
            <w:pPr>
              <w:pStyle w:val="TableParagraph"/>
              <w:spacing w:line="240" w:lineRule="auto" w:before="105"/>
              <w:ind w:left="31" w:right="0"/>
              <w:jc w:val="center"/>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5"/>
              <w:ind w:left="212" w:right="0"/>
              <w:jc w:val="center"/>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29,634</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,633.1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62,472</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42,633</w:t>
            </w:r>
          </w:p>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.13</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-33,90</w:t>
            </w:r>
          </w:p>
          <w:p>
            <w:pPr>
              <w:pStyle w:val="TableParagraph"/>
              <w:spacing w:line="240" w:lineRule="auto" w:before="105"/>
              <w:ind w:left="26" w:right="0"/>
              <w:jc w:val="lef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5"/>
              <w:ind w:left="26" w:right="0"/>
              <w:jc w:val="left"/>
              <w:rPr>
                <w:rFonts w:ascii="Times New Roman" w:hAnsi="Times New Roman" w:cs="Times New Roman" w:eastAsia="Times New Roman" w:hint="default"/>
                <w:sz w:val="18"/>
                <w:szCs w:val="18"/>
              </w:rPr>
            </w:pPr>
            <w:r>
              <w:rPr>
                <w:rFonts w:ascii="Times New Roman"/>
                <w:sz w:val="18"/>
              </w:rPr>
              <w:t>00</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-33,85</w:t>
            </w:r>
          </w:p>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7,366.</w:t>
            </w:r>
          </w:p>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87</w:t>
            </w:r>
          </w:p>
        </w:tc>
      </w:tr>
      <w:tr>
        <w:trPr>
          <w:trHeight w:val="1028"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22" w:right="4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 具持有者投入 资本</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4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 入所有者权益 的金额</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5,074,</w:t>
            </w:r>
          </w:p>
          <w:p>
            <w:pPr>
              <w:pStyle w:val="TableParagraph"/>
              <w:spacing w:line="240" w:lineRule="auto" w:before="105"/>
              <w:ind w:left="57" w:right="0"/>
              <w:jc w:val="left"/>
              <w:rPr>
                <w:rFonts w:ascii="Times New Roman" w:hAnsi="Times New Roman" w:cs="Times New Roman" w:eastAsia="Times New Roman" w:hint="default"/>
                <w:sz w:val="18"/>
                <w:szCs w:val="18"/>
              </w:rPr>
            </w:pPr>
            <w:r>
              <w:rPr>
                <w:rFonts w:ascii="Times New Roman"/>
                <w:sz w:val="18"/>
              </w:rPr>
              <w:t>868.33</w:t>
            </w: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5,074,</w:t>
            </w:r>
          </w:p>
          <w:p>
            <w:pPr>
              <w:pStyle w:val="TableParagraph"/>
              <w:spacing w:line="240" w:lineRule="auto" w:before="105"/>
              <w:ind w:left="57" w:right="0"/>
              <w:jc w:val="left"/>
              <w:rPr>
                <w:rFonts w:ascii="Times New Roman" w:hAnsi="Times New Roman" w:cs="Times New Roman" w:eastAsia="Times New Roman" w:hint="default"/>
                <w:sz w:val="18"/>
                <w:szCs w:val="18"/>
              </w:rPr>
            </w:pPr>
            <w:r>
              <w:rPr>
                <w:rFonts w:ascii="Times New Roman"/>
                <w:sz w:val="18"/>
              </w:rPr>
              <w:t>868.33</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17,765</w:t>
            </w:r>
          </w:p>
          <w:p>
            <w:pPr>
              <w:pStyle w:val="TableParagraph"/>
              <w:spacing w:line="240" w:lineRule="auto" w:before="105"/>
              <w:ind w:left="328" w:right="0"/>
              <w:jc w:val="left"/>
              <w:rPr>
                <w:rFonts w:ascii="Times New Roman" w:hAnsi="Times New Roman" w:cs="Times New Roman" w:eastAsia="Times New Roman" w:hint="default"/>
                <w:sz w:val="18"/>
                <w:szCs w:val="18"/>
              </w:rPr>
            </w:pPr>
            <w:r>
              <w:rPr>
                <w:rFonts w:ascii="Times New Roman"/>
                <w:sz w:val="18"/>
              </w:rPr>
              <w:t>.00</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5" w:right="0"/>
              <w:jc w:val="left"/>
              <w:rPr>
                <w:rFonts w:ascii="Times New Roman" w:hAnsi="Times New Roman" w:cs="Times New Roman" w:eastAsia="Times New Roman" w:hint="default"/>
                <w:sz w:val="18"/>
                <w:szCs w:val="18"/>
              </w:rPr>
            </w:pPr>
            <w:r>
              <w:rPr>
                <w:rFonts w:ascii="Times New Roman"/>
                <w:sz w:val="18"/>
              </w:rPr>
              <w:t>5,092,</w:t>
            </w:r>
          </w:p>
          <w:p>
            <w:pPr>
              <w:pStyle w:val="TableParagraph"/>
              <w:spacing w:line="240" w:lineRule="auto" w:before="105"/>
              <w:ind w:left="52" w:right="0"/>
              <w:jc w:val="left"/>
              <w:rPr>
                <w:rFonts w:ascii="Times New Roman" w:hAnsi="Times New Roman" w:cs="Times New Roman" w:eastAsia="Times New Roman" w:hint="default"/>
                <w:sz w:val="18"/>
                <w:szCs w:val="18"/>
              </w:rPr>
            </w:pPr>
            <w:r>
              <w:rPr>
                <w:rFonts w:ascii="Times New Roman"/>
                <w:sz w:val="18"/>
              </w:rPr>
              <w:t>633.33</w:t>
            </w:r>
          </w:p>
        </w:tc>
      </w:tr>
      <w:tr>
        <w:trPr>
          <w:trHeight w:val="1027"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6" w:right="0"/>
              <w:jc w:val="left"/>
              <w:rPr>
                <w:rFonts w:ascii="Times New Roman" w:hAnsi="Times New Roman" w:cs="Times New Roman" w:eastAsia="Times New Roman" w:hint="default"/>
                <w:sz w:val="18"/>
                <w:szCs w:val="18"/>
              </w:rPr>
            </w:pPr>
            <w:r>
              <w:rPr>
                <w:rFonts w:ascii="Times New Roman"/>
                <w:sz w:val="18"/>
              </w:rPr>
              <w:t>-17,64</w:t>
            </w:r>
          </w:p>
          <w:p>
            <w:pPr>
              <w:pStyle w:val="TableParagraph"/>
              <w:spacing w:line="240" w:lineRule="auto" w:before="102"/>
              <w:ind w:left="100" w:right="0"/>
              <w:jc w:val="left"/>
              <w:rPr>
                <w:rFonts w:ascii="Times New Roman" w:hAnsi="Times New Roman" w:cs="Times New Roman" w:eastAsia="Times New Roman" w:hint="default"/>
                <w:sz w:val="18"/>
                <w:szCs w:val="18"/>
              </w:rPr>
            </w:pPr>
            <w:r>
              <w:rPr>
                <w:rFonts w:ascii="Times New Roman"/>
                <w:sz w:val="18"/>
              </w:rPr>
              <w:t>8,352.</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14</w:t>
            </w: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-160,3</w:t>
            </w:r>
          </w:p>
          <w:p>
            <w:pPr>
              <w:pStyle w:val="TableParagraph"/>
              <w:spacing w:line="240" w:lineRule="auto" w:before="102"/>
              <w:ind w:left="146" w:right="0"/>
              <w:jc w:val="left"/>
              <w:rPr>
                <w:rFonts w:ascii="Times New Roman" w:hAnsi="Times New Roman" w:cs="Times New Roman" w:eastAsia="Times New Roman" w:hint="default"/>
                <w:sz w:val="18"/>
                <w:szCs w:val="18"/>
              </w:rPr>
            </w:pPr>
            <w:r>
              <w:rPr>
                <w:rFonts w:ascii="Times New Roman"/>
                <w:sz w:val="18"/>
              </w:rPr>
              <w:t>67.59</w:t>
            </w: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-17,80</w:t>
            </w:r>
          </w:p>
          <w:p>
            <w:pPr>
              <w:pStyle w:val="TableParagraph"/>
              <w:spacing w:line="240" w:lineRule="auto" w:before="102"/>
              <w:ind w:left="23" w:right="0"/>
              <w:jc w:val="left"/>
              <w:rPr>
                <w:rFonts w:ascii="Times New Roman" w:hAnsi="Times New Roman" w:cs="Times New Roman" w:eastAsia="Times New Roman" w:hint="default"/>
                <w:sz w:val="18"/>
                <w:szCs w:val="18"/>
              </w:rPr>
            </w:pPr>
            <w:r>
              <w:rPr>
                <w:rFonts w:ascii="Times New Roman"/>
                <w:sz w:val="18"/>
              </w:rPr>
              <w:t>8,719.</w:t>
            </w:r>
          </w:p>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73</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6" w:right="0"/>
              <w:jc w:val="left"/>
              <w:rPr>
                <w:rFonts w:ascii="Times New Roman" w:hAnsi="Times New Roman" w:cs="Times New Roman" w:eastAsia="Times New Roman" w:hint="default"/>
                <w:sz w:val="18"/>
                <w:szCs w:val="18"/>
              </w:rPr>
            </w:pPr>
            <w:r>
              <w:rPr>
                <w:rFonts w:ascii="Times New Roman"/>
                <w:sz w:val="18"/>
              </w:rPr>
              <w:t>-19,46</w:t>
            </w:r>
          </w:p>
          <w:p>
            <w:pPr>
              <w:pStyle w:val="TableParagraph"/>
              <w:spacing w:line="240" w:lineRule="auto" w:before="102"/>
              <w:ind w:left="26" w:right="0"/>
              <w:jc w:val="left"/>
              <w:rPr>
                <w:rFonts w:ascii="Times New Roman" w:hAnsi="Times New Roman" w:cs="Times New Roman" w:eastAsia="Times New Roman" w:hint="default"/>
                <w:sz w:val="18"/>
                <w:szCs w:val="18"/>
              </w:rPr>
            </w:pPr>
            <w:r>
              <w:rPr>
                <w:rFonts w:ascii="Times New Roman"/>
                <w:sz w:val="18"/>
              </w:rPr>
              <w:t>3,964.</w:t>
            </w:r>
          </w:p>
          <w:p>
            <w:pPr>
              <w:pStyle w:val="TableParagraph"/>
              <w:spacing w:line="240" w:lineRule="auto" w:before="105"/>
              <w:ind w:left="26" w:right="0"/>
              <w:jc w:val="left"/>
              <w:rPr>
                <w:rFonts w:ascii="Times New Roman" w:hAnsi="Times New Roman" w:cs="Times New Roman" w:eastAsia="Times New Roman" w:hint="default"/>
                <w:sz w:val="18"/>
                <w:szCs w:val="18"/>
              </w:rPr>
            </w:pPr>
            <w:r>
              <w:rPr>
                <w:rFonts w:ascii="Times New Roman"/>
                <w:sz w:val="18"/>
              </w:rPr>
              <w:t>48</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-37,27</w:t>
            </w:r>
          </w:p>
          <w:p>
            <w:pPr>
              <w:pStyle w:val="TableParagraph"/>
              <w:spacing w:line="240" w:lineRule="auto" w:before="102"/>
              <w:ind w:left="23" w:right="0"/>
              <w:jc w:val="left"/>
              <w:rPr>
                <w:rFonts w:ascii="Times New Roman" w:hAnsi="Times New Roman" w:cs="Times New Roman" w:eastAsia="Times New Roman" w:hint="default"/>
                <w:sz w:val="18"/>
                <w:szCs w:val="18"/>
              </w:rPr>
            </w:pPr>
            <w:r>
              <w:rPr>
                <w:rFonts w:ascii="Times New Roman"/>
                <w:sz w:val="18"/>
              </w:rPr>
              <w:t>2,684.</w:t>
            </w:r>
          </w:p>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21</w:t>
            </w:r>
          </w:p>
        </w:tc>
      </w:tr>
      <w:tr>
        <w:trPr>
          <w:trHeight w:val="1025"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2" w:right="0"/>
              <w:jc w:val="left"/>
              <w:rPr>
                <w:rFonts w:ascii="宋体" w:hAnsi="宋体" w:cs="宋体" w:eastAsia="宋体" w:hint="default"/>
                <w:sz w:val="18"/>
                <w:szCs w:val="18"/>
              </w:rPr>
            </w:pPr>
            <w:r>
              <w:rPr>
                <w:rFonts w:ascii="宋体" w:hAnsi="宋体" w:cs="宋体" w:eastAsia="宋体" w:hint="default"/>
                <w:spacing w:val="-9"/>
                <w:sz w:val="18"/>
                <w:szCs w:val="18"/>
              </w:rPr>
              <w:t>（三）利润分配</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10,981</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,737.8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-10,98</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1,737.</w:t>
            </w:r>
          </w:p>
          <w:p>
            <w:pPr>
              <w:pStyle w:val="TableParagraph"/>
              <w:spacing w:line="240" w:lineRule="auto" w:before="105"/>
              <w:ind w:left="374" w:right="0"/>
              <w:jc w:val="left"/>
              <w:rPr>
                <w:rFonts w:ascii="Times New Roman" w:hAnsi="Times New Roman" w:cs="Times New Roman" w:eastAsia="Times New Roman" w:hint="default"/>
                <w:sz w:val="18"/>
                <w:szCs w:val="18"/>
              </w:rPr>
            </w:pPr>
            <w:r>
              <w:rPr>
                <w:rFonts w:ascii="Times New Roman"/>
                <w:sz w:val="18"/>
              </w:rPr>
              <w:t>80</w:t>
            </w: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97" w:lineRule="auto"/>
              <w:ind w:left="22" w:right="4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 积</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10,981</w:t>
            </w:r>
          </w:p>
          <w:p>
            <w:pPr>
              <w:pStyle w:val="TableParagraph"/>
              <w:spacing w:line="240" w:lineRule="auto" w:before="103"/>
              <w:ind w:right="19"/>
              <w:jc w:val="right"/>
              <w:rPr>
                <w:rFonts w:ascii="Times New Roman" w:hAnsi="Times New Roman" w:cs="Times New Roman" w:eastAsia="Times New Roman" w:hint="default"/>
                <w:sz w:val="18"/>
                <w:szCs w:val="18"/>
              </w:rPr>
            </w:pPr>
            <w:r>
              <w:rPr>
                <w:rFonts w:ascii="Times New Roman"/>
                <w:sz w:val="18"/>
              </w:rPr>
              <w:t>,737.8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8" w:right="0"/>
              <w:jc w:val="left"/>
              <w:rPr>
                <w:rFonts w:ascii="Times New Roman" w:hAnsi="Times New Roman" w:cs="Times New Roman" w:eastAsia="Times New Roman" w:hint="default"/>
                <w:sz w:val="18"/>
                <w:szCs w:val="18"/>
              </w:rPr>
            </w:pPr>
            <w:r>
              <w:rPr>
                <w:rFonts w:ascii="Times New Roman"/>
                <w:sz w:val="18"/>
              </w:rPr>
              <w:t>-10,98</w:t>
            </w:r>
          </w:p>
          <w:p>
            <w:pPr>
              <w:pStyle w:val="TableParagraph"/>
              <w:spacing w:line="240" w:lineRule="auto" w:before="103"/>
              <w:ind w:left="103" w:right="0"/>
              <w:jc w:val="left"/>
              <w:rPr>
                <w:rFonts w:ascii="Times New Roman" w:hAnsi="Times New Roman" w:cs="Times New Roman" w:eastAsia="Times New Roman" w:hint="default"/>
                <w:sz w:val="18"/>
                <w:szCs w:val="18"/>
              </w:rPr>
            </w:pPr>
            <w:r>
              <w:rPr>
                <w:rFonts w:ascii="Times New Roman"/>
                <w:sz w:val="18"/>
              </w:rPr>
              <w:t>1,737.</w:t>
            </w:r>
          </w:p>
          <w:p>
            <w:pPr>
              <w:pStyle w:val="TableParagraph"/>
              <w:spacing w:line="240" w:lineRule="auto" w:before="105"/>
              <w:ind w:left="374" w:right="0"/>
              <w:jc w:val="left"/>
              <w:rPr>
                <w:rFonts w:ascii="Times New Roman" w:hAnsi="Times New Roman" w:cs="Times New Roman" w:eastAsia="Times New Roman" w:hint="default"/>
                <w:sz w:val="18"/>
                <w:szCs w:val="18"/>
              </w:rPr>
            </w:pPr>
            <w:r>
              <w:rPr>
                <w:rFonts w:ascii="Times New Roman"/>
                <w:sz w:val="18"/>
              </w:rPr>
              <w:t>80</w:t>
            </w: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45"/>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 险准备</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20"/>
              <w:jc w:val="left"/>
              <w:rPr>
                <w:rFonts w:ascii="宋体" w:hAnsi="宋体" w:cs="宋体" w:eastAsia="宋体" w:hint="default"/>
                <w:sz w:val="18"/>
                <w:szCs w:val="18"/>
              </w:rPr>
            </w:pPr>
            <w:r>
              <w:rPr>
                <w:rFonts w:ascii="Times New Roman" w:hAnsi="Times New Roman" w:cs="Times New Roman" w:eastAsia="Times New Roman" w:hint="default"/>
                <w:spacing w:val="-20"/>
                <w:sz w:val="18"/>
                <w:szCs w:val="18"/>
              </w:rPr>
              <w:t>3</w:t>
            </w:r>
            <w:r>
              <w:rPr>
                <w:rFonts w:ascii="宋体" w:hAnsi="宋体" w:cs="宋体" w:eastAsia="宋体" w:hint="default"/>
                <w:spacing w:val="-20"/>
                <w:sz w:val="18"/>
                <w:szCs w:val="18"/>
              </w:rPr>
              <w:t>．对所有者（或</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股东）的分配</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20"/>
              <w:jc w:val="left"/>
              <w:rPr>
                <w:rFonts w:ascii="宋体" w:hAnsi="宋体" w:cs="宋体" w:eastAsia="宋体" w:hint="default"/>
                <w:sz w:val="18"/>
                <w:szCs w:val="18"/>
              </w:rPr>
            </w:pPr>
            <w:r>
              <w:rPr>
                <w:rFonts w:ascii="宋体" w:hAnsi="宋体" w:cs="宋体" w:eastAsia="宋体" w:hint="default"/>
                <w:spacing w:val="-9"/>
                <w:sz w:val="18"/>
                <w:szCs w:val="18"/>
              </w:rPr>
              <w:t>（四）所有者权</w:t>
            </w:r>
            <w:r>
              <w:rPr>
                <w:rFonts w:ascii="宋体" w:hAnsi="宋体" w:cs="宋体" w:eastAsia="宋体" w:hint="default"/>
                <w:sz w:val="18"/>
                <w:szCs w:val="18"/>
              </w:rPr>
              <w:t> 益内部结转</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4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 增资本（或股 本）</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22" w:right="4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 增资本（或股 本）</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4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 补亏损</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52"/>
        <w:gridCol w:w="494"/>
        <w:gridCol w:w="466"/>
        <w:gridCol w:w="466"/>
        <w:gridCol w:w="468"/>
        <w:gridCol w:w="583"/>
        <w:gridCol w:w="586"/>
        <w:gridCol w:w="583"/>
        <w:gridCol w:w="584"/>
        <w:gridCol w:w="583"/>
        <w:gridCol w:w="583"/>
        <w:gridCol w:w="586"/>
        <w:gridCol w:w="584"/>
        <w:gridCol w:w="583"/>
        <w:gridCol w:w="586"/>
        <w:gridCol w:w="578"/>
      </w:tblGrid>
      <w:tr>
        <w:trPr>
          <w:trHeight w:val="675"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8"/>
              <w:ind w:left="22" w:right="137"/>
              <w:jc w:val="left"/>
              <w:rPr>
                <w:rFonts w:ascii="宋体" w:hAnsi="宋体" w:cs="宋体" w:eastAsia="宋体" w:hint="default"/>
                <w:sz w:val="18"/>
                <w:szCs w:val="18"/>
              </w:rPr>
            </w:pPr>
            <w:r>
              <w:rPr>
                <w:rFonts w:ascii="宋体" w:hAnsi="宋体" w:cs="宋体" w:eastAsia="宋体" w:hint="default"/>
                <w:sz w:val="18"/>
                <w:szCs w:val="18"/>
              </w:rPr>
              <w:t>划变动额结转 留存收益</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46"/>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．其他综合收 益结转留存收 益</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
                <w:sz w:val="18"/>
                <w:szCs w:val="18"/>
              </w:rPr>
              <w:t>（五）专项储备</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494"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337" w:hRule="exact"/>
        </w:trPr>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2" w:right="20"/>
              <w:jc w:val="left"/>
              <w:rPr>
                <w:rFonts w:ascii="宋体" w:hAnsi="宋体" w:cs="宋体" w:eastAsia="宋体" w:hint="default"/>
                <w:sz w:val="18"/>
                <w:szCs w:val="18"/>
              </w:rPr>
            </w:pPr>
            <w:r>
              <w:rPr>
                <w:rFonts w:ascii="宋体" w:hAnsi="宋体" w:cs="宋体" w:eastAsia="宋体" w:hint="default"/>
                <w:spacing w:val="-9"/>
                <w:sz w:val="18"/>
                <w:szCs w:val="18"/>
              </w:rPr>
              <w:t>四、本期期末余</w:t>
            </w:r>
            <w:r>
              <w:rPr>
                <w:rFonts w:ascii="宋体" w:hAnsi="宋体" w:cs="宋体" w:eastAsia="宋体" w:hint="default"/>
                <w:sz w:val="18"/>
                <w:szCs w:val="18"/>
              </w:rPr>
              <w:t> 额</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5" w:right="0"/>
              <w:jc w:val="left"/>
              <w:rPr>
                <w:rFonts w:ascii="Times New Roman" w:hAnsi="Times New Roman" w:cs="Times New Roman" w:eastAsia="Times New Roman" w:hint="default"/>
                <w:sz w:val="18"/>
                <w:szCs w:val="18"/>
              </w:rPr>
            </w:pPr>
            <w:r>
              <w:rPr>
                <w:rFonts w:ascii="Times New Roman"/>
                <w:sz w:val="18"/>
              </w:rPr>
              <w:t>1,935</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,039,</w:t>
            </w:r>
          </w:p>
          <w:p>
            <w:pPr>
              <w:pStyle w:val="TableParagraph"/>
              <w:spacing w:line="240" w:lineRule="auto" w:before="105"/>
              <w:ind w:left="55" w:right="0"/>
              <w:jc w:val="left"/>
              <w:rPr>
                <w:rFonts w:ascii="Times New Roman" w:hAnsi="Times New Roman" w:cs="Times New Roman" w:eastAsia="Times New Roman" w:hint="default"/>
                <w:sz w:val="18"/>
                <w:szCs w:val="18"/>
              </w:rPr>
            </w:pPr>
            <w:r>
              <w:rPr>
                <w:rFonts w:ascii="Times New Roman"/>
                <w:sz w:val="18"/>
              </w:rPr>
              <w:t>229.0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170,47</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6,707.</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73</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62,472</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-28,39</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1,085.</w:t>
            </w:r>
          </w:p>
          <w:p>
            <w:pPr>
              <w:pStyle w:val="TableParagraph"/>
              <w:spacing w:line="240" w:lineRule="auto" w:before="105"/>
              <w:ind w:left="372" w:right="0"/>
              <w:jc w:val="left"/>
              <w:rPr>
                <w:rFonts w:ascii="Times New Roman" w:hAnsi="Times New Roman" w:cs="Times New Roman" w:eastAsia="Times New Roman" w:hint="default"/>
                <w:sz w:val="18"/>
                <w:szCs w:val="18"/>
              </w:rPr>
            </w:pPr>
            <w:r>
              <w:rPr>
                <w:rFonts w:ascii="Times New Roman"/>
                <w:sz w:val="18"/>
              </w:rPr>
              <w:t>29</w:t>
            </w: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107,23</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8,825.</w:t>
            </w:r>
          </w:p>
          <w:p>
            <w:pPr>
              <w:pStyle w:val="TableParagraph"/>
              <w:spacing w:line="240" w:lineRule="auto" w:before="105"/>
              <w:ind w:left="371" w:right="0"/>
              <w:jc w:val="left"/>
              <w:rPr>
                <w:rFonts w:ascii="Times New Roman" w:hAnsi="Times New Roman" w:cs="Times New Roman" w:eastAsia="Times New Roman" w:hint="default"/>
                <w:sz w:val="18"/>
                <w:szCs w:val="18"/>
              </w:rPr>
            </w:pPr>
            <w:r>
              <w:rPr>
                <w:rFonts w:ascii="Times New Roman"/>
                <w:sz w:val="18"/>
              </w:rPr>
              <w:t>58</w:t>
            </w:r>
          </w:p>
        </w:tc>
        <w:tc>
          <w:tcPr>
            <w:tcW w:w="583" w:type="dxa"/>
            <w:tcBorders>
              <w:top w:val="single" w:sz="4" w:space="0" w:color="000000"/>
              <w:left w:val="single" w:sz="4" w:space="0" w:color="000000"/>
              <w:bottom w:val="single" w:sz="4" w:space="0" w:color="000000"/>
              <w:right w:val="single" w:sz="4" w:space="0" w:color="000000"/>
            </w:tcBorders>
          </w:tcPr>
          <w:p>
            <w:pP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0" w:right="0"/>
              <w:jc w:val="left"/>
              <w:rPr>
                <w:rFonts w:ascii="Times New Roman" w:hAnsi="Times New Roman" w:cs="Times New Roman" w:eastAsia="Times New Roman" w:hint="default"/>
                <w:sz w:val="18"/>
                <w:szCs w:val="18"/>
              </w:rPr>
            </w:pPr>
            <w:r>
              <w:rPr>
                <w:rFonts w:ascii="Times New Roman"/>
                <w:sz w:val="18"/>
              </w:rPr>
              <w:t>700,95</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2,663.</w:t>
            </w:r>
          </w:p>
          <w:p>
            <w:pPr>
              <w:pStyle w:val="TableParagraph"/>
              <w:spacing w:line="240" w:lineRule="auto" w:before="105"/>
              <w:ind w:left="374" w:right="0"/>
              <w:jc w:val="left"/>
              <w:rPr>
                <w:rFonts w:ascii="Times New Roman" w:hAnsi="Times New Roman" w:cs="Times New Roman" w:eastAsia="Times New Roman" w:hint="default"/>
                <w:sz w:val="18"/>
                <w:szCs w:val="18"/>
              </w:rPr>
            </w:pPr>
            <w:r>
              <w:rPr>
                <w:rFonts w:ascii="Times New Roman"/>
                <w:sz w:val="18"/>
              </w:rPr>
              <w:t>96</w:t>
            </w: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0" w:right="0"/>
              <w:jc w:val="center"/>
              <w:rPr>
                <w:rFonts w:ascii="Times New Roman" w:hAnsi="Times New Roman" w:cs="Times New Roman" w:eastAsia="Times New Roman" w:hint="default"/>
                <w:sz w:val="18"/>
                <w:szCs w:val="18"/>
              </w:rPr>
            </w:pPr>
            <w:r>
              <w:rPr>
                <w:rFonts w:ascii="Times New Roman"/>
                <w:sz w:val="18"/>
              </w:rPr>
              <w:t>2,822,</w:t>
            </w:r>
          </w:p>
          <w:p>
            <w:pPr>
              <w:pStyle w:val="TableParagraph"/>
              <w:spacing w:line="240" w:lineRule="auto" w:before="105"/>
              <w:ind w:left="36" w:right="0"/>
              <w:jc w:val="center"/>
              <w:rPr>
                <w:rFonts w:ascii="Times New Roman" w:hAnsi="Times New Roman" w:cs="Times New Roman" w:eastAsia="Times New Roman" w:hint="default"/>
                <w:sz w:val="18"/>
                <w:szCs w:val="18"/>
              </w:rPr>
            </w:pPr>
            <w:r>
              <w:rPr>
                <w:rFonts w:ascii="Times New Roman"/>
                <w:sz w:val="18"/>
              </w:rPr>
              <w:t>844,34</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0.98</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66,061</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,230.7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5" w:right="0"/>
              <w:jc w:val="center"/>
              <w:rPr>
                <w:rFonts w:ascii="Times New Roman" w:hAnsi="Times New Roman" w:cs="Times New Roman" w:eastAsia="Times New Roman" w:hint="default"/>
                <w:sz w:val="18"/>
                <w:szCs w:val="18"/>
              </w:rPr>
            </w:pPr>
            <w:r>
              <w:rPr>
                <w:rFonts w:ascii="Times New Roman"/>
                <w:sz w:val="18"/>
              </w:rPr>
              <w:t>2,888,</w:t>
            </w:r>
          </w:p>
          <w:p>
            <w:pPr>
              <w:pStyle w:val="TableParagraph"/>
              <w:spacing w:line="240" w:lineRule="auto" w:before="105"/>
              <w:ind w:left="31" w:right="0"/>
              <w:jc w:val="center"/>
              <w:rPr>
                <w:rFonts w:ascii="Times New Roman" w:hAnsi="Times New Roman" w:cs="Times New Roman" w:eastAsia="Times New Roman" w:hint="default"/>
                <w:sz w:val="18"/>
                <w:szCs w:val="18"/>
              </w:rPr>
            </w:pPr>
            <w:r>
              <w:rPr>
                <w:rFonts w:ascii="Times New Roman"/>
                <w:sz w:val="18"/>
              </w:rPr>
              <w:t>905,57</w:t>
            </w:r>
          </w:p>
          <w:p>
            <w:pPr>
              <w:pStyle w:val="TableParagraph"/>
              <w:spacing w:line="240" w:lineRule="auto" w:before="105"/>
              <w:ind w:left="211" w:right="0"/>
              <w:jc w:val="center"/>
              <w:rPr>
                <w:rFonts w:ascii="Times New Roman" w:hAnsi="Times New Roman" w:cs="Times New Roman" w:eastAsia="Times New Roman" w:hint="default"/>
                <w:sz w:val="18"/>
                <w:szCs w:val="18"/>
              </w:rPr>
            </w:pPr>
            <w:r>
              <w:rPr>
                <w:rFonts w:ascii="Times New Roman"/>
                <w:sz w:val="18"/>
              </w:rPr>
              <w:t>1.76</w:t>
            </w:r>
          </w:p>
        </w:tc>
      </w:tr>
    </w:tbl>
    <w:p>
      <w:pPr>
        <w:pStyle w:val="BodyText"/>
        <w:spacing w:line="240" w:lineRule="auto" w:before="49"/>
        <w:ind w:right="1133"/>
        <w:jc w:val="left"/>
      </w:pPr>
      <w:r>
        <w:rPr/>
        <w:t>上期金额</w:t>
      </w:r>
    </w:p>
    <w:p>
      <w:pPr>
        <w:pStyle w:val="BodyText"/>
        <w:spacing w:line="240" w:lineRule="auto" w:before="117"/>
        <w:ind w:left="0" w:right="1131"/>
        <w:jc w:val="right"/>
      </w:pPr>
      <w:r>
        <w:rPr/>
        <w:t>单位：元</w:t>
      </w:r>
    </w:p>
    <w:p>
      <w:pPr>
        <w:spacing w:line="240" w:lineRule="auto" w:before="3"/>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190"/>
        <w:gridCol w:w="500"/>
        <w:gridCol w:w="449"/>
        <w:gridCol w:w="449"/>
        <w:gridCol w:w="493"/>
        <w:gridCol w:w="576"/>
        <w:gridCol w:w="576"/>
        <w:gridCol w:w="578"/>
        <w:gridCol w:w="576"/>
        <w:gridCol w:w="576"/>
        <w:gridCol w:w="578"/>
        <w:gridCol w:w="588"/>
        <w:gridCol w:w="567"/>
        <w:gridCol w:w="569"/>
        <w:gridCol w:w="641"/>
        <w:gridCol w:w="653"/>
      </w:tblGrid>
      <w:tr>
        <w:trPr>
          <w:trHeight w:val="402" w:hRule="exact"/>
        </w:trPr>
        <w:tc>
          <w:tcPr>
            <w:tcW w:w="1190" w:type="dxa"/>
            <w:vMerge w:val="restart"/>
            <w:tcBorders>
              <w:top w:val="single" w:sz="4" w:space="0" w:color="000000"/>
              <w:left w:val="single" w:sz="4" w:space="0" w:color="000000"/>
              <w:right w:val="single" w:sz="4" w:space="0" w:color="000000"/>
            </w:tcBorders>
            <w:shd w:val="clear" w:color="auto" w:fill="D2D2D2"/>
          </w:tcPr>
          <w:p>
            <w:pPr/>
          </w:p>
        </w:tc>
        <w:tc>
          <w:tcPr>
            <w:tcW w:w="8369" w:type="dxa"/>
            <w:gridSpan w:val="1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w:t>
            </w:r>
          </w:p>
        </w:tc>
      </w:tr>
      <w:tr>
        <w:trPr>
          <w:trHeight w:val="252" w:hRule="exact"/>
        </w:trPr>
        <w:tc>
          <w:tcPr>
            <w:tcW w:w="1190" w:type="dxa"/>
            <w:vMerge/>
            <w:tcBorders>
              <w:left w:val="single" w:sz="4" w:space="0" w:color="000000"/>
              <w:right w:val="single" w:sz="4" w:space="0" w:color="000000"/>
            </w:tcBorders>
            <w:shd w:val="clear" w:color="auto" w:fill="D2D2D2"/>
          </w:tcPr>
          <w:p>
            <w:pPr/>
          </w:p>
        </w:tc>
        <w:tc>
          <w:tcPr>
            <w:tcW w:w="7076" w:type="dxa"/>
            <w:gridSpan w:val="1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41" w:type="dxa"/>
            <w:vMerge w:val="restart"/>
            <w:tcBorders>
              <w:top w:val="single" w:sz="4" w:space="0" w:color="000000"/>
              <w:left w:val="single" w:sz="4" w:space="0" w:color="000000"/>
              <w:right w:val="single" w:sz="4" w:space="0" w:color="000000"/>
            </w:tcBorders>
            <w:shd w:val="clear" w:color="auto" w:fill="D2D2D2"/>
          </w:tcPr>
          <w:p>
            <w:pPr/>
          </w:p>
        </w:tc>
        <w:tc>
          <w:tcPr>
            <w:tcW w:w="653"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49" w:hRule="exact"/>
        </w:trPr>
        <w:tc>
          <w:tcPr>
            <w:tcW w:w="1190" w:type="dxa"/>
            <w:vMerge/>
            <w:tcBorders>
              <w:left w:val="single" w:sz="4" w:space="0" w:color="000000"/>
              <w:bottom w:val="nil" w:sz="6" w:space="0" w:color="auto"/>
              <w:right w:val="single" w:sz="4" w:space="0" w:color="000000"/>
            </w:tcBorders>
            <w:shd w:val="clear" w:color="auto" w:fill="D2D2D2"/>
          </w:tcPr>
          <w:p>
            <w:pPr/>
          </w:p>
        </w:tc>
        <w:tc>
          <w:tcPr>
            <w:tcW w:w="7076" w:type="dxa"/>
            <w:gridSpan w:val="13"/>
            <w:vMerge/>
            <w:tcBorders>
              <w:left w:val="single" w:sz="4" w:space="0" w:color="000000"/>
              <w:bottom w:val="single" w:sz="4" w:space="0" w:color="000000"/>
              <w:right w:val="single" w:sz="4" w:space="0" w:color="000000"/>
            </w:tcBorders>
            <w:shd w:val="clear" w:color="auto" w:fill="D2D2D2"/>
          </w:tcPr>
          <w:p>
            <w:pPr/>
          </w:p>
        </w:tc>
        <w:tc>
          <w:tcPr>
            <w:tcW w:w="641" w:type="dxa"/>
            <w:vMerge/>
            <w:tcBorders>
              <w:left w:val="single" w:sz="4" w:space="0" w:color="000000"/>
              <w:bottom w:val="nil" w:sz="6" w:space="0" w:color="auto"/>
              <w:right w:val="single" w:sz="4" w:space="0" w:color="000000"/>
            </w:tcBorders>
            <w:shd w:val="clear" w:color="auto" w:fill="D2D2D2"/>
          </w:tcPr>
          <w:p>
            <w:pPr/>
          </w:p>
        </w:tc>
        <w:tc>
          <w:tcPr>
            <w:tcW w:w="65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52" w:right="48"/>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206" w:hRule="exact"/>
        </w:trPr>
        <w:tc>
          <w:tcPr>
            <w:tcW w:w="11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500" w:type="dxa"/>
            <w:vMerge w:val="restart"/>
            <w:tcBorders>
              <w:top w:val="single" w:sz="4" w:space="0" w:color="000000"/>
              <w:left w:val="single" w:sz="4" w:space="0" w:color="000000"/>
              <w:right w:val="single" w:sz="4" w:space="0" w:color="000000"/>
            </w:tcBorders>
            <w:shd w:val="clear" w:color="auto" w:fill="D2D2D2"/>
          </w:tcPr>
          <w:p>
            <w:pPr/>
          </w:p>
        </w:tc>
        <w:tc>
          <w:tcPr>
            <w:tcW w:w="1390"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48"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57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8"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94"/>
              <w:ind w:left="103" w:right="103"/>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57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8"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94"/>
              <w:ind w:left="103" w:right="103"/>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588"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94"/>
              <w:ind w:left="110" w:right="107"/>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567" w:type="dxa"/>
            <w:vMerge w:val="restart"/>
            <w:tcBorders>
              <w:top w:val="single" w:sz="4" w:space="0" w:color="000000"/>
              <w:left w:val="single" w:sz="4" w:space="0" w:color="000000"/>
              <w:right w:val="single" w:sz="4" w:space="0" w:color="000000"/>
            </w:tcBorders>
            <w:shd w:val="clear" w:color="auto" w:fill="D2D2D2"/>
          </w:tcPr>
          <w:p>
            <w:pPr/>
          </w:p>
        </w:tc>
        <w:tc>
          <w:tcPr>
            <w:tcW w:w="569" w:type="dxa"/>
            <w:vMerge w:val="restart"/>
            <w:tcBorders>
              <w:top w:val="single" w:sz="4" w:space="0" w:color="000000"/>
              <w:left w:val="single" w:sz="4" w:space="0" w:color="000000"/>
              <w:right w:val="single" w:sz="4" w:space="0" w:color="000000"/>
            </w:tcBorders>
            <w:shd w:val="clear" w:color="auto" w:fill="D2D2D2"/>
          </w:tcPr>
          <w:p>
            <w:pPr/>
          </w:p>
        </w:tc>
        <w:tc>
          <w:tcPr>
            <w:tcW w:w="641"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56"/>
              <w:ind w:left="48" w:right="41"/>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3" w:type="dxa"/>
            <w:vMerge/>
            <w:tcBorders>
              <w:left w:val="single" w:sz="4" w:space="0" w:color="000000"/>
              <w:right w:val="single" w:sz="4" w:space="0" w:color="000000"/>
            </w:tcBorders>
            <w:shd w:val="clear" w:color="auto" w:fill="D2D2D2"/>
          </w:tcPr>
          <w:p>
            <w:pPr/>
          </w:p>
        </w:tc>
      </w:tr>
      <w:tr>
        <w:trPr>
          <w:trHeight w:val="165" w:hRule="exact"/>
        </w:trPr>
        <w:tc>
          <w:tcPr>
            <w:tcW w:w="1190" w:type="dxa"/>
            <w:vMerge/>
            <w:tcBorders>
              <w:left w:val="single" w:sz="4" w:space="0" w:color="000000"/>
              <w:bottom w:val="nil" w:sz="6" w:space="0" w:color="auto"/>
              <w:right w:val="single" w:sz="4" w:space="0" w:color="000000"/>
            </w:tcBorders>
            <w:shd w:val="clear" w:color="auto" w:fill="D2D2D2"/>
          </w:tcPr>
          <w:p>
            <w:pPr/>
          </w:p>
        </w:tc>
        <w:tc>
          <w:tcPr>
            <w:tcW w:w="500" w:type="dxa"/>
            <w:vMerge/>
            <w:tcBorders>
              <w:left w:val="single" w:sz="4" w:space="0" w:color="000000"/>
              <w:bottom w:val="nil" w:sz="6" w:space="0" w:color="auto"/>
              <w:right w:val="single" w:sz="4" w:space="0" w:color="000000"/>
            </w:tcBorders>
            <w:shd w:val="clear" w:color="auto" w:fill="D2D2D2"/>
          </w:tcPr>
          <w:p>
            <w:pPr/>
          </w:p>
        </w:tc>
        <w:tc>
          <w:tcPr>
            <w:tcW w:w="1390" w:type="dxa"/>
            <w:gridSpan w:val="3"/>
            <w:vMerge/>
            <w:tcBorders>
              <w:left w:val="single" w:sz="4" w:space="0" w:color="000000"/>
              <w:bottom w:val="single" w:sz="4" w:space="0" w:color="000000"/>
              <w:right w:val="single" w:sz="4" w:space="0" w:color="000000"/>
            </w:tcBorders>
            <w:shd w:val="clear" w:color="auto" w:fill="D2D2D2"/>
          </w:tcPr>
          <w:p>
            <w:pPr/>
          </w:p>
        </w:tc>
        <w:tc>
          <w:tcPr>
            <w:tcW w:w="57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3" w:right="101"/>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57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3" w:right="19" w:hanging="80"/>
              <w:jc w:val="left"/>
              <w:rPr>
                <w:rFonts w:ascii="宋体" w:hAnsi="宋体" w:cs="宋体" w:eastAsia="宋体" w:hint="default"/>
                <w:sz w:val="18"/>
                <w:szCs w:val="18"/>
              </w:rPr>
            </w:pPr>
            <w:r>
              <w:rPr>
                <w:rFonts w:ascii="宋体" w:hAnsi="宋体" w:cs="宋体" w:eastAsia="宋体" w:hint="default"/>
                <w:spacing w:val="-7"/>
                <w:sz w:val="18"/>
                <w:szCs w:val="18"/>
              </w:rPr>
              <w:t>减：库</w:t>
            </w:r>
            <w:r>
              <w:rPr>
                <w:rFonts w:ascii="宋体" w:hAnsi="宋体" w:cs="宋体" w:eastAsia="宋体" w:hint="default"/>
                <w:sz w:val="18"/>
                <w:szCs w:val="18"/>
              </w:rPr>
              <w:t> 存股</w:t>
            </w:r>
          </w:p>
        </w:tc>
        <w:tc>
          <w:tcPr>
            <w:tcW w:w="578" w:type="dxa"/>
            <w:vMerge/>
            <w:tcBorders>
              <w:left w:val="single" w:sz="4" w:space="0" w:color="000000"/>
              <w:right w:val="single" w:sz="4" w:space="0" w:color="000000"/>
            </w:tcBorders>
            <w:shd w:val="clear" w:color="auto" w:fill="D2D2D2"/>
          </w:tcPr>
          <w:p>
            <w:pPr/>
          </w:p>
        </w:tc>
        <w:tc>
          <w:tcPr>
            <w:tcW w:w="57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3" w:right="101"/>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57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03" w:right="101"/>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578" w:type="dxa"/>
            <w:vMerge/>
            <w:tcBorders>
              <w:left w:val="single" w:sz="4" w:space="0" w:color="000000"/>
              <w:right w:val="single" w:sz="4" w:space="0" w:color="000000"/>
            </w:tcBorders>
            <w:shd w:val="clear" w:color="auto" w:fill="D2D2D2"/>
          </w:tcPr>
          <w:p>
            <w:pPr/>
          </w:p>
        </w:tc>
        <w:tc>
          <w:tcPr>
            <w:tcW w:w="588" w:type="dxa"/>
            <w:vMerge/>
            <w:tcBorders>
              <w:left w:val="single" w:sz="4" w:space="0" w:color="000000"/>
              <w:right w:val="single" w:sz="4" w:space="0" w:color="000000"/>
            </w:tcBorders>
            <w:shd w:val="clear" w:color="auto" w:fill="D2D2D2"/>
          </w:tcPr>
          <w:p>
            <w:pPr/>
          </w:p>
        </w:tc>
        <w:tc>
          <w:tcPr>
            <w:tcW w:w="567" w:type="dxa"/>
            <w:vMerge/>
            <w:tcBorders>
              <w:left w:val="single" w:sz="4" w:space="0" w:color="000000"/>
              <w:bottom w:val="nil" w:sz="6" w:space="0" w:color="auto"/>
              <w:right w:val="single" w:sz="4" w:space="0" w:color="000000"/>
            </w:tcBorders>
            <w:shd w:val="clear" w:color="auto" w:fill="D2D2D2"/>
          </w:tcPr>
          <w:p>
            <w:pPr/>
          </w:p>
        </w:tc>
        <w:tc>
          <w:tcPr>
            <w:tcW w:w="569" w:type="dxa"/>
            <w:vMerge/>
            <w:tcBorders>
              <w:left w:val="single" w:sz="4" w:space="0" w:color="000000"/>
              <w:bottom w:val="nil" w:sz="6" w:space="0" w:color="auto"/>
              <w:right w:val="single" w:sz="4" w:space="0" w:color="000000"/>
            </w:tcBorders>
            <w:shd w:val="clear" w:color="auto" w:fill="D2D2D2"/>
          </w:tcPr>
          <w:p>
            <w:pPr/>
          </w:p>
        </w:tc>
        <w:tc>
          <w:tcPr>
            <w:tcW w:w="641" w:type="dxa"/>
            <w:vMerge/>
            <w:tcBorders>
              <w:left w:val="single" w:sz="4" w:space="0" w:color="000000"/>
              <w:right w:val="single" w:sz="4" w:space="0" w:color="000000"/>
            </w:tcBorders>
            <w:shd w:val="clear" w:color="auto" w:fill="D2D2D2"/>
          </w:tcPr>
          <w:p>
            <w:pPr/>
          </w:p>
        </w:tc>
        <w:tc>
          <w:tcPr>
            <w:tcW w:w="653" w:type="dxa"/>
            <w:vMerge/>
            <w:tcBorders>
              <w:left w:val="single" w:sz="4" w:space="0" w:color="000000"/>
              <w:right w:val="single" w:sz="4" w:space="0" w:color="000000"/>
            </w:tcBorders>
            <w:shd w:val="clear" w:color="auto" w:fill="D2D2D2"/>
          </w:tcPr>
          <w:p>
            <w:pPr/>
          </w:p>
        </w:tc>
      </w:tr>
      <w:tr>
        <w:trPr>
          <w:trHeight w:val="193" w:hRule="exact"/>
        </w:trPr>
        <w:tc>
          <w:tcPr>
            <w:tcW w:w="1190" w:type="dxa"/>
            <w:vMerge w:val="restart"/>
            <w:tcBorders>
              <w:top w:val="nil" w:sz="6" w:space="0" w:color="auto"/>
              <w:left w:val="single" w:sz="4" w:space="0" w:color="000000"/>
              <w:right w:val="single" w:sz="4" w:space="0" w:color="000000"/>
            </w:tcBorders>
            <w:shd w:val="clear" w:color="auto" w:fill="D2D2D2"/>
          </w:tcPr>
          <w:p>
            <w:pPr/>
          </w:p>
        </w:tc>
        <w:tc>
          <w:tcPr>
            <w:tcW w:w="50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70"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449"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80"/>
              <w:ind w:left="129" w:right="36" w:hanging="89"/>
              <w:jc w:val="left"/>
              <w:rPr>
                <w:rFonts w:ascii="宋体" w:hAnsi="宋体" w:cs="宋体" w:eastAsia="宋体" w:hint="default"/>
                <w:sz w:val="18"/>
                <w:szCs w:val="18"/>
              </w:rPr>
            </w:pPr>
            <w:r>
              <w:rPr>
                <w:rFonts w:ascii="宋体" w:hAnsi="宋体" w:cs="宋体" w:eastAsia="宋体" w:hint="default"/>
                <w:sz w:val="18"/>
                <w:szCs w:val="18"/>
              </w:rPr>
              <w:t>优先 股</w:t>
            </w:r>
          </w:p>
        </w:tc>
        <w:tc>
          <w:tcPr>
            <w:tcW w:w="449"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80"/>
              <w:ind w:left="129" w:right="36" w:hanging="89"/>
              <w:jc w:val="left"/>
              <w:rPr>
                <w:rFonts w:ascii="宋体" w:hAnsi="宋体" w:cs="宋体" w:eastAsia="宋体" w:hint="default"/>
                <w:sz w:val="18"/>
                <w:szCs w:val="18"/>
              </w:rPr>
            </w:pPr>
            <w:r>
              <w:rPr>
                <w:rFonts w:ascii="宋体" w:hAnsi="宋体" w:cs="宋体" w:eastAsia="宋体" w:hint="default"/>
                <w:sz w:val="18"/>
                <w:szCs w:val="18"/>
              </w:rPr>
              <w:t>永续 债</w:t>
            </w:r>
          </w:p>
        </w:tc>
        <w:tc>
          <w:tcPr>
            <w:tcW w:w="493" w:type="dxa"/>
            <w:tcBorders>
              <w:top w:val="single" w:sz="4" w:space="0" w:color="000000"/>
              <w:left w:val="single" w:sz="4" w:space="0" w:color="000000"/>
              <w:bottom w:val="nil" w:sz="6" w:space="0" w:color="auto"/>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88" w:type="dxa"/>
            <w:vMerge/>
            <w:tcBorders>
              <w:left w:val="single" w:sz="4" w:space="0" w:color="000000"/>
              <w:right w:val="single" w:sz="4" w:space="0" w:color="000000"/>
            </w:tcBorders>
            <w:shd w:val="clear" w:color="auto" w:fill="D2D2D2"/>
          </w:tcPr>
          <w:p>
            <w:pPr/>
          </w:p>
        </w:tc>
        <w:tc>
          <w:tcPr>
            <w:tcW w:w="56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9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6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0"/>
              <w:ind w:left="98"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641" w:type="dxa"/>
            <w:vMerge/>
            <w:tcBorders>
              <w:left w:val="single" w:sz="4" w:space="0" w:color="000000"/>
              <w:right w:val="single" w:sz="4" w:space="0" w:color="000000"/>
            </w:tcBorders>
            <w:shd w:val="clear" w:color="auto" w:fill="D2D2D2"/>
          </w:tcPr>
          <w:p>
            <w:pPr/>
          </w:p>
        </w:tc>
        <w:tc>
          <w:tcPr>
            <w:tcW w:w="653" w:type="dxa"/>
            <w:vMerge/>
            <w:tcBorders>
              <w:left w:val="single" w:sz="4" w:space="0" w:color="000000"/>
              <w:right w:val="single" w:sz="4" w:space="0" w:color="000000"/>
            </w:tcBorders>
            <w:shd w:val="clear" w:color="auto" w:fill="D2D2D2"/>
          </w:tcPr>
          <w:p>
            <w:pPr/>
          </w:p>
        </w:tc>
      </w:tr>
      <w:tr>
        <w:trPr>
          <w:trHeight w:val="192" w:hRule="exact"/>
        </w:trPr>
        <w:tc>
          <w:tcPr>
            <w:tcW w:w="1190" w:type="dxa"/>
            <w:vMerge/>
            <w:tcBorders>
              <w:left w:val="single" w:sz="4" w:space="0" w:color="000000"/>
              <w:right w:val="single" w:sz="4" w:space="0" w:color="000000"/>
            </w:tcBorders>
            <w:shd w:val="clear" w:color="auto" w:fill="D2D2D2"/>
          </w:tcPr>
          <w:p>
            <w:pPr/>
          </w:p>
        </w:tc>
        <w:tc>
          <w:tcPr>
            <w:tcW w:w="500" w:type="dxa"/>
            <w:vMerge/>
            <w:tcBorders>
              <w:left w:val="single" w:sz="4" w:space="0" w:color="000000"/>
              <w:bottom w:val="nil" w:sz="6" w:space="0" w:color="auto"/>
              <w:right w:val="single" w:sz="4" w:space="0" w:color="000000"/>
            </w:tcBorders>
            <w:shd w:val="clear" w:color="auto" w:fill="D2D2D2"/>
          </w:tcPr>
          <w:p>
            <w:pPr/>
          </w:p>
        </w:tc>
        <w:tc>
          <w:tcPr>
            <w:tcW w:w="449" w:type="dxa"/>
            <w:vMerge/>
            <w:tcBorders>
              <w:left w:val="single" w:sz="4" w:space="0" w:color="000000"/>
              <w:right w:val="single" w:sz="4" w:space="0" w:color="000000"/>
            </w:tcBorders>
            <w:shd w:val="clear" w:color="auto" w:fill="D2D2D2"/>
          </w:tcPr>
          <w:p>
            <w:pPr/>
          </w:p>
        </w:tc>
        <w:tc>
          <w:tcPr>
            <w:tcW w:w="449" w:type="dxa"/>
            <w:vMerge/>
            <w:tcBorders>
              <w:left w:val="single" w:sz="4" w:space="0" w:color="000000"/>
              <w:right w:val="single" w:sz="4" w:space="0" w:color="000000"/>
            </w:tcBorders>
            <w:shd w:val="clear" w:color="auto" w:fill="D2D2D2"/>
          </w:tcPr>
          <w:p>
            <w:pPr/>
          </w:p>
        </w:tc>
        <w:tc>
          <w:tcPr>
            <w:tcW w:w="49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6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76"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88" w:type="dxa"/>
            <w:vMerge/>
            <w:tcBorders>
              <w:left w:val="single" w:sz="4" w:space="0" w:color="000000"/>
              <w:right w:val="single" w:sz="4" w:space="0" w:color="000000"/>
            </w:tcBorders>
            <w:shd w:val="clear" w:color="auto" w:fill="D2D2D2"/>
          </w:tcPr>
          <w:p>
            <w:pPr/>
          </w:p>
        </w:tc>
        <w:tc>
          <w:tcPr>
            <w:tcW w:w="567" w:type="dxa"/>
            <w:vMerge/>
            <w:tcBorders>
              <w:left w:val="single" w:sz="4" w:space="0" w:color="000000"/>
              <w:bottom w:val="nil" w:sz="6" w:space="0" w:color="auto"/>
              <w:right w:val="single" w:sz="4" w:space="0" w:color="000000"/>
            </w:tcBorders>
            <w:shd w:val="clear" w:color="auto" w:fill="D2D2D2"/>
          </w:tcPr>
          <w:p>
            <w:pPr/>
          </w:p>
        </w:tc>
        <w:tc>
          <w:tcPr>
            <w:tcW w:w="569" w:type="dxa"/>
            <w:vMerge/>
            <w:tcBorders>
              <w:left w:val="single" w:sz="4" w:space="0" w:color="000000"/>
              <w:bottom w:val="nil" w:sz="6" w:space="0" w:color="auto"/>
              <w:right w:val="single" w:sz="4" w:space="0" w:color="000000"/>
            </w:tcBorders>
            <w:shd w:val="clear" w:color="auto" w:fill="D2D2D2"/>
          </w:tcPr>
          <w:p>
            <w:pPr/>
          </w:p>
        </w:tc>
        <w:tc>
          <w:tcPr>
            <w:tcW w:w="641" w:type="dxa"/>
            <w:vMerge/>
            <w:tcBorders>
              <w:left w:val="single" w:sz="4" w:space="0" w:color="000000"/>
              <w:bottom w:val="nil" w:sz="6" w:space="0" w:color="auto"/>
              <w:right w:val="single" w:sz="4" w:space="0" w:color="000000"/>
            </w:tcBorders>
            <w:shd w:val="clear" w:color="auto" w:fill="D2D2D2"/>
          </w:tcPr>
          <w:p>
            <w:pPr/>
          </w:p>
        </w:tc>
        <w:tc>
          <w:tcPr>
            <w:tcW w:w="653" w:type="dxa"/>
            <w:vMerge/>
            <w:tcBorders>
              <w:left w:val="single" w:sz="4" w:space="0" w:color="000000"/>
              <w:right w:val="single" w:sz="4" w:space="0" w:color="000000"/>
            </w:tcBorders>
            <w:shd w:val="clear" w:color="auto" w:fill="D2D2D2"/>
          </w:tcPr>
          <w:p>
            <w:pPr/>
          </w:p>
        </w:tc>
      </w:tr>
      <w:tr>
        <w:trPr>
          <w:trHeight w:val="134" w:hRule="exact"/>
        </w:trPr>
        <w:tc>
          <w:tcPr>
            <w:tcW w:w="1190" w:type="dxa"/>
            <w:vMerge/>
            <w:tcBorders>
              <w:left w:val="single" w:sz="4" w:space="0" w:color="000000"/>
              <w:right w:val="single" w:sz="4" w:space="0" w:color="000000"/>
            </w:tcBorders>
            <w:shd w:val="clear" w:color="auto" w:fill="D2D2D2"/>
          </w:tcPr>
          <w:p>
            <w:pPr/>
          </w:p>
        </w:tc>
        <w:tc>
          <w:tcPr>
            <w:tcW w:w="500" w:type="dxa"/>
            <w:vMerge w:val="restart"/>
            <w:tcBorders>
              <w:top w:val="nil" w:sz="6" w:space="0" w:color="auto"/>
              <w:left w:val="single" w:sz="4" w:space="0" w:color="000000"/>
              <w:right w:val="single" w:sz="4" w:space="0" w:color="000000"/>
            </w:tcBorders>
            <w:shd w:val="clear" w:color="auto" w:fill="D2D2D2"/>
          </w:tcPr>
          <w:p>
            <w:pPr/>
          </w:p>
        </w:tc>
        <w:tc>
          <w:tcPr>
            <w:tcW w:w="449" w:type="dxa"/>
            <w:vMerge/>
            <w:tcBorders>
              <w:left w:val="single" w:sz="4" w:space="0" w:color="000000"/>
              <w:right w:val="single" w:sz="4" w:space="0" w:color="000000"/>
            </w:tcBorders>
            <w:shd w:val="clear" w:color="auto" w:fill="D2D2D2"/>
          </w:tcPr>
          <w:p>
            <w:pPr/>
          </w:p>
        </w:tc>
        <w:tc>
          <w:tcPr>
            <w:tcW w:w="449" w:type="dxa"/>
            <w:vMerge/>
            <w:tcBorders>
              <w:left w:val="single" w:sz="4" w:space="0" w:color="000000"/>
              <w:right w:val="single" w:sz="4" w:space="0" w:color="000000"/>
            </w:tcBorders>
            <w:shd w:val="clear" w:color="auto" w:fill="D2D2D2"/>
          </w:tcPr>
          <w:p>
            <w:pPr/>
          </w:p>
        </w:tc>
        <w:tc>
          <w:tcPr>
            <w:tcW w:w="493" w:type="dxa"/>
            <w:vMerge/>
            <w:tcBorders>
              <w:left w:val="single" w:sz="4" w:space="0" w:color="000000"/>
              <w:bottom w:val="nil" w:sz="6" w:space="0" w:color="auto"/>
              <w:right w:val="single" w:sz="4" w:space="0" w:color="000000"/>
            </w:tcBorders>
            <w:shd w:val="clear" w:color="auto" w:fill="D2D2D2"/>
          </w:tcPr>
          <w:p>
            <w:pPr/>
          </w:p>
        </w:tc>
        <w:tc>
          <w:tcPr>
            <w:tcW w:w="576" w:type="dxa"/>
            <w:vMerge/>
            <w:tcBorders>
              <w:left w:val="single" w:sz="4" w:space="0" w:color="000000"/>
              <w:bottom w:val="nil" w:sz="6" w:space="0" w:color="auto"/>
              <w:right w:val="single" w:sz="4" w:space="0" w:color="000000"/>
            </w:tcBorders>
            <w:shd w:val="clear" w:color="auto" w:fill="D2D2D2"/>
          </w:tcPr>
          <w:p>
            <w:pPr/>
          </w:p>
        </w:tc>
        <w:tc>
          <w:tcPr>
            <w:tcW w:w="576" w:type="dxa"/>
            <w:vMerge/>
            <w:tcBorders>
              <w:left w:val="single" w:sz="4" w:space="0" w:color="000000"/>
              <w:bottom w:val="nil" w:sz="6" w:space="0" w:color="auto"/>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76" w:type="dxa"/>
            <w:vMerge/>
            <w:tcBorders>
              <w:left w:val="single" w:sz="4" w:space="0" w:color="000000"/>
              <w:bottom w:val="nil" w:sz="6" w:space="0" w:color="auto"/>
              <w:right w:val="single" w:sz="4" w:space="0" w:color="000000"/>
            </w:tcBorders>
            <w:shd w:val="clear" w:color="auto" w:fill="D2D2D2"/>
          </w:tcPr>
          <w:p>
            <w:pPr/>
          </w:p>
        </w:tc>
        <w:tc>
          <w:tcPr>
            <w:tcW w:w="576" w:type="dxa"/>
            <w:vMerge/>
            <w:tcBorders>
              <w:left w:val="single" w:sz="4" w:space="0" w:color="000000"/>
              <w:bottom w:val="nil" w:sz="6" w:space="0" w:color="auto"/>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588" w:type="dxa"/>
            <w:vMerge/>
            <w:tcBorders>
              <w:left w:val="single" w:sz="4" w:space="0" w:color="000000"/>
              <w:right w:val="single" w:sz="4" w:space="0" w:color="000000"/>
            </w:tcBorders>
            <w:shd w:val="clear" w:color="auto" w:fill="D2D2D2"/>
          </w:tcPr>
          <w:p>
            <w:pPr/>
          </w:p>
        </w:tc>
        <w:tc>
          <w:tcPr>
            <w:tcW w:w="567" w:type="dxa"/>
            <w:vMerge w:val="restart"/>
            <w:tcBorders>
              <w:top w:val="nil" w:sz="6" w:space="0" w:color="auto"/>
              <w:left w:val="single" w:sz="4" w:space="0" w:color="000000"/>
              <w:right w:val="single" w:sz="4" w:space="0" w:color="000000"/>
            </w:tcBorders>
            <w:shd w:val="clear" w:color="auto" w:fill="D2D2D2"/>
          </w:tcPr>
          <w:p>
            <w:pPr/>
          </w:p>
        </w:tc>
        <w:tc>
          <w:tcPr>
            <w:tcW w:w="569" w:type="dxa"/>
            <w:vMerge w:val="restart"/>
            <w:tcBorders>
              <w:top w:val="nil" w:sz="6" w:space="0" w:color="auto"/>
              <w:left w:val="single" w:sz="4" w:space="0" w:color="000000"/>
              <w:right w:val="single" w:sz="4" w:space="0" w:color="000000"/>
            </w:tcBorders>
            <w:shd w:val="clear" w:color="auto" w:fill="D2D2D2"/>
          </w:tcPr>
          <w:p>
            <w:pPr/>
          </w:p>
        </w:tc>
        <w:tc>
          <w:tcPr>
            <w:tcW w:w="641" w:type="dxa"/>
            <w:vMerge w:val="restart"/>
            <w:tcBorders>
              <w:top w:val="nil" w:sz="6" w:space="0" w:color="auto"/>
              <w:left w:val="single" w:sz="4" w:space="0" w:color="000000"/>
              <w:right w:val="single" w:sz="4" w:space="0" w:color="000000"/>
            </w:tcBorders>
            <w:shd w:val="clear" w:color="auto" w:fill="D2D2D2"/>
          </w:tcPr>
          <w:p>
            <w:pPr/>
          </w:p>
        </w:tc>
        <w:tc>
          <w:tcPr>
            <w:tcW w:w="653" w:type="dxa"/>
            <w:vMerge/>
            <w:tcBorders>
              <w:left w:val="single" w:sz="4" w:space="0" w:color="000000"/>
              <w:bottom w:val="nil" w:sz="6" w:space="0" w:color="auto"/>
              <w:right w:val="single" w:sz="4" w:space="0" w:color="000000"/>
            </w:tcBorders>
            <w:shd w:val="clear" w:color="auto" w:fill="D2D2D2"/>
          </w:tcPr>
          <w:p>
            <w:pPr/>
          </w:p>
        </w:tc>
      </w:tr>
      <w:tr>
        <w:trPr>
          <w:trHeight w:val="215" w:hRule="exact"/>
        </w:trPr>
        <w:tc>
          <w:tcPr>
            <w:tcW w:w="1190" w:type="dxa"/>
            <w:vMerge/>
            <w:tcBorders>
              <w:left w:val="single" w:sz="4" w:space="0" w:color="000000"/>
              <w:bottom w:val="single" w:sz="4" w:space="0" w:color="000000"/>
              <w:right w:val="single" w:sz="4" w:space="0" w:color="000000"/>
            </w:tcBorders>
            <w:shd w:val="clear" w:color="auto" w:fill="D2D2D2"/>
          </w:tcPr>
          <w:p>
            <w:pPr/>
          </w:p>
        </w:tc>
        <w:tc>
          <w:tcPr>
            <w:tcW w:w="500" w:type="dxa"/>
            <w:vMerge/>
            <w:tcBorders>
              <w:left w:val="single" w:sz="4" w:space="0" w:color="000000"/>
              <w:bottom w:val="single" w:sz="4" w:space="0" w:color="000000"/>
              <w:right w:val="single" w:sz="4" w:space="0" w:color="000000"/>
            </w:tcBorders>
            <w:shd w:val="clear" w:color="auto" w:fill="D2D2D2"/>
          </w:tcPr>
          <w:p>
            <w:pPr/>
          </w:p>
        </w:tc>
        <w:tc>
          <w:tcPr>
            <w:tcW w:w="449" w:type="dxa"/>
            <w:vMerge/>
            <w:tcBorders>
              <w:left w:val="single" w:sz="4" w:space="0" w:color="000000"/>
              <w:bottom w:val="single" w:sz="4" w:space="0" w:color="000000"/>
              <w:right w:val="single" w:sz="4" w:space="0" w:color="000000"/>
            </w:tcBorders>
            <w:shd w:val="clear" w:color="auto" w:fill="D2D2D2"/>
          </w:tcPr>
          <w:p>
            <w:pPr/>
          </w:p>
        </w:tc>
        <w:tc>
          <w:tcPr>
            <w:tcW w:w="449" w:type="dxa"/>
            <w:vMerge/>
            <w:tcBorders>
              <w:left w:val="single" w:sz="4" w:space="0" w:color="000000"/>
              <w:bottom w:val="single" w:sz="4" w:space="0" w:color="000000"/>
              <w:right w:val="single" w:sz="4" w:space="0" w:color="000000"/>
            </w:tcBorders>
            <w:shd w:val="clear" w:color="auto" w:fill="D2D2D2"/>
          </w:tcPr>
          <w:p>
            <w:pPr/>
          </w:p>
        </w:tc>
        <w:tc>
          <w:tcPr>
            <w:tcW w:w="493" w:type="dxa"/>
            <w:tcBorders>
              <w:top w:val="nil" w:sz="6" w:space="0" w:color="auto"/>
              <w:left w:val="single" w:sz="4" w:space="0" w:color="000000"/>
              <w:bottom w:val="single" w:sz="4" w:space="0" w:color="000000"/>
              <w:right w:val="single" w:sz="4" w:space="0" w:color="000000"/>
            </w:tcBorders>
            <w:shd w:val="clear" w:color="auto" w:fill="D2D2D2"/>
          </w:tcPr>
          <w:p>
            <w:pPr/>
          </w:p>
        </w:tc>
        <w:tc>
          <w:tcPr>
            <w:tcW w:w="576" w:type="dxa"/>
            <w:tcBorders>
              <w:top w:val="nil" w:sz="6" w:space="0" w:color="auto"/>
              <w:left w:val="single" w:sz="4" w:space="0" w:color="000000"/>
              <w:bottom w:val="single" w:sz="4" w:space="0" w:color="000000"/>
              <w:right w:val="single" w:sz="4" w:space="0" w:color="000000"/>
            </w:tcBorders>
            <w:shd w:val="clear" w:color="auto" w:fill="D2D2D2"/>
          </w:tcPr>
          <w:p>
            <w:pPr/>
          </w:p>
        </w:tc>
        <w:tc>
          <w:tcPr>
            <w:tcW w:w="576" w:type="dxa"/>
            <w:tcBorders>
              <w:top w:val="nil" w:sz="6" w:space="0" w:color="auto"/>
              <w:left w:val="single" w:sz="4" w:space="0" w:color="000000"/>
              <w:bottom w:val="single" w:sz="4" w:space="0" w:color="000000"/>
              <w:right w:val="single" w:sz="4" w:space="0" w:color="000000"/>
            </w:tcBorders>
            <w:shd w:val="clear" w:color="auto" w:fill="D2D2D2"/>
          </w:tcPr>
          <w:p>
            <w:pPr/>
          </w:p>
        </w:tc>
        <w:tc>
          <w:tcPr>
            <w:tcW w:w="578" w:type="dxa"/>
            <w:vMerge/>
            <w:tcBorders>
              <w:left w:val="single" w:sz="4" w:space="0" w:color="000000"/>
              <w:bottom w:val="single" w:sz="4" w:space="0" w:color="000000"/>
              <w:right w:val="single" w:sz="4" w:space="0" w:color="000000"/>
            </w:tcBorders>
            <w:shd w:val="clear" w:color="auto" w:fill="D2D2D2"/>
          </w:tcPr>
          <w:p>
            <w:pPr/>
          </w:p>
        </w:tc>
        <w:tc>
          <w:tcPr>
            <w:tcW w:w="576" w:type="dxa"/>
            <w:tcBorders>
              <w:top w:val="nil" w:sz="6" w:space="0" w:color="auto"/>
              <w:left w:val="single" w:sz="4" w:space="0" w:color="000000"/>
              <w:bottom w:val="single" w:sz="4" w:space="0" w:color="000000"/>
              <w:right w:val="single" w:sz="4" w:space="0" w:color="000000"/>
            </w:tcBorders>
            <w:shd w:val="clear" w:color="auto" w:fill="D2D2D2"/>
          </w:tcPr>
          <w:p>
            <w:pPr/>
          </w:p>
        </w:tc>
        <w:tc>
          <w:tcPr>
            <w:tcW w:w="576" w:type="dxa"/>
            <w:tcBorders>
              <w:top w:val="nil" w:sz="6" w:space="0" w:color="auto"/>
              <w:left w:val="single" w:sz="4" w:space="0" w:color="000000"/>
              <w:bottom w:val="single" w:sz="4" w:space="0" w:color="000000"/>
              <w:right w:val="single" w:sz="4" w:space="0" w:color="000000"/>
            </w:tcBorders>
            <w:shd w:val="clear" w:color="auto" w:fill="D2D2D2"/>
          </w:tcPr>
          <w:p>
            <w:pPr/>
          </w:p>
        </w:tc>
        <w:tc>
          <w:tcPr>
            <w:tcW w:w="578" w:type="dxa"/>
            <w:vMerge/>
            <w:tcBorders>
              <w:left w:val="single" w:sz="4" w:space="0" w:color="000000"/>
              <w:bottom w:val="single" w:sz="4" w:space="0" w:color="000000"/>
              <w:right w:val="single" w:sz="4" w:space="0" w:color="000000"/>
            </w:tcBorders>
            <w:shd w:val="clear" w:color="auto" w:fill="D2D2D2"/>
          </w:tcPr>
          <w:p>
            <w:pPr/>
          </w:p>
        </w:tc>
        <w:tc>
          <w:tcPr>
            <w:tcW w:w="588" w:type="dxa"/>
            <w:vMerge/>
            <w:tcBorders>
              <w:left w:val="single" w:sz="4" w:space="0" w:color="000000"/>
              <w:bottom w:val="single" w:sz="4" w:space="0" w:color="000000"/>
              <w:right w:val="single" w:sz="4" w:space="0" w:color="000000"/>
            </w:tcBorders>
            <w:shd w:val="clear" w:color="auto" w:fill="D2D2D2"/>
          </w:tcPr>
          <w:p>
            <w:pPr/>
          </w:p>
        </w:tc>
        <w:tc>
          <w:tcPr>
            <w:tcW w:w="567" w:type="dxa"/>
            <w:vMerge/>
            <w:tcBorders>
              <w:left w:val="single" w:sz="4" w:space="0" w:color="000000"/>
              <w:bottom w:val="single" w:sz="4" w:space="0" w:color="000000"/>
              <w:right w:val="single" w:sz="4" w:space="0" w:color="000000"/>
            </w:tcBorders>
            <w:shd w:val="clear" w:color="auto" w:fill="D2D2D2"/>
          </w:tcPr>
          <w:p>
            <w:pPr/>
          </w:p>
        </w:tc>
        <w:tc>
          <w:tcPr>
            <w:tcW w:w="569" w:type="dxa"/>
            <w:vMerge/>
            <w:tcBorders>
              <w:left w:val="single" w:sz="4" w:space="0" w:color="000000"/>
              <w:bottom w:val="single" w:sz="4" w:space="0" w:color="000000"/>
              <w:right w:val="single" w:sz="4" w:space="0" w:color="000000"/>
            </w:tcBorders>
            <w:shd w:val="clear" w:color="auto" w:fill="D2D2D2"/>
          </w:tcPr>
          <w:p>
            <w:pPr/>
          </w:p>
        </w:tc>
        <w:tc>
          <w:tcPr>
            <w:tcW w:w="641" w:type="dxa"/>
            <w:vMerge/>
            <w:tcBorders>
              <w:left w:val="single" w:sz="4" w:space="0" w:color="000000"/>
              <w:bottom w:val="single" w:sz="4" w:space="0" w:color="000000"/>
              <w:right w:val="single" w:sz="4" w:space="0" w:color="000000"/>
            </w:tcBorders>
            <w:shd w:val="clear" w:color="auto" w:fill="D2D2D2"/>
          </w:tcPr>
          <w:p>
            <w:pPr/>
          </w:p>
        </w:tc>
        <w:tc>
          <w:tcPr>
            <w:tcW w:w="653"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19" w:hRule="exact"/>
        </w:trPr>
        <w:tc>
          <w:tcPr>
            <w:tcW w:w="1190" w:type="dxa"/>
            <w:tcBorders>
              <w:top w:val="single" w:sz="4" w:space="0" w:color="000000"/>
              <w:left w:val="single" w:sz="4" w:space="0" w:color="000000"/>
              <w:bottom w:val="nil" w:sz="6" w:space="0" w:color="auto"/>
              <w:right w:val="single" w:sz="4" w:space="0" w:color="000000"/>
            </w:tcBorders>
            <w:shd w:val="clear" w:color="auto" w:fill="D2D2D2"/>
          </w:tcPr>
          <w:p>
            <w:pPr/>
          </w:p>
        </w:tc>
        <w:tc>
          <w:tcPr>
            <w:tcW w:w="500" w:type="dxa"/>
            <w:vMerge w:val="restart"/>
            <w:tcBorders>
              <w:top w:val="single" w:sz="4" w:space="0" w:color="000000"/>
              <w:left w:val="single" w:sz="9" w:space="0" w:color="D2D2D2"/>
              <w:right w:val="single" w:sz="4" w:space="0" w:color="000000"/>
            </w:tcBorders>
          </w:tcPr>
          <w:p>
            <w:pPr>
              <w:pStyle w:val="TableParagraph"/>
              <w:spacing w:line="240" w:lineRule="auto" w:before="93"/>
              <w:ind w:left="57" w:right="0"/>
              <w:jc w:val="left"/>
              <w:rPr>
                <w:rFonts w:ascii="Times New Roman" w:hAnsi="Times New Roman" w:cs="Times New Roman" w:eastAsia="Times New Roman" w:hint="default"/>
                <w:sz w:val="18"/>
                <w:szCs w:val="18"/>
              </w:rPr>
            </w:pPr>
            <w:r>
              <w:rPr>
                <w:rFonts w:ascii="Times New Roman"/>
                <w:sz w:val="18"/>
              </w:rPr>
              <w:t>1,923</w:t>
            </w:r>
          </w:p>
          <w:p>
            <w:pPr>
              <w:pStyle w:val="TableParagraph"/>
              <w:spacing w:line="240" w:lineRule="auto" w:before="102"/>
              <w:ind w:left="103" w:right="0"/>
              <w:jc w:val="left"/>
              <w:rPr>
                <w:rFonts w:ascii="Times New Roman" w:hAnsi="Times New Roman" w:cs="Times New Roman" w:eastAsia="Times New Roman" w:hint="default"/>
                <w:sz w:val="18"/>
                <w:szCs w:val="18"/>
              </w:rPr>
            </w:pPr>
            <w:r>
              <w:rPr>
                <w:rFonts w:ascii="Times New Roman"/>
                <w:sz w:val="18"/>
              </w:rPr>
              <w:t>,597,</w:t>
            </w:r>
          </w:p>
          <w:p>
            <w:pPr>
              <w:pStyle w:val="TableParagraph"/>
              <w:spacing w:line="240" w:lineRule="auto" w:before="105"/>
              <w:ind w:left="57" w:right="0"/>
              <w:jc w:val="left"/>
              <w:rPr>
                <w:rFonts w:ascii="Times New Roman" w:hAnsi="Times New Roman" w:cs="Times New Roman" w:eastAsia="Times New Roman" w:hint="default"/>
                <w:sz w:val="18"/>
                <w:szCs w:val="18"/>
              </w:rPr>
            </w:pPr>
            <w:r>
              <w:rPr>
                <w:rFonts w:ascii="Times New Roman"/>
                <w:sz w:val="18"/>
              </w:rPr>
              <w:t>501.0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3"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220,90</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8,695.</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57</w:t>
            </w:r>
          </w:p>
        </w:tc>
        <w:tc>
          <w:tcPr>
            <w:tcW w:w="57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38,525</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,177.0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78" w:type="dxa"/>
            <w:vMerge w:val="restart"/>
            <w:tcBorders>
              <w:top w:val="single" w:sz="17" w:space="0" w:color="D2D2D2"/>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75,593</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,568.4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578" w:type="dxa"/>
            <w:vMerge w:val="restart"/>
            <w:tcBorders>
              <w:top w:val="single" w:sz="17" w:space="0" w:color="D2D2D2"/>
              <w:left w:val="single" w:sz="4" w:space="0" w:color="000000"/>
              <w:right w:val="single" w:sz="4" w:space="0" w:color="000000"/>
            </w:tcBorders>
          </w:tcPr>
          <w:p>
            <w:pPr/>
          </w:p>
        </w:tc>
        <w:tc>
          <w:tcPr>
            <w:tcW w:w="588" w:type="dxa"/>
            <w:vMerge w:val="restart"/>
            <w:tcBorders>
              <w:top w:val="single" w:sz="17" w:space="0" w:color="D2D2D2"/>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915,75</w:t>
            </w:r>
          </w:p>
          <w:p>
            <w:pPr>
              <w:pStyle w:val="TableParagraph"/>
              <w:spacing w:line="240" w:lineRule="auto" w:before="102"/>
              <w:ind w:left="105" w:right="0"/>
              <w:jc w:val="left"/>
              <w:rPr>
                <w:rFonts w:ascii="Times New Roman" w:hAnsi="Times New Roman" w:cs="Times New Roman" w:eastAsia="Times New Roman" w:hint="default"/>
                <w:sz w:val="18"/>
                <w:szCs w:val="18"/>
              </w:rPr>
            </w:pPr>
            <w:r>
              <w:rPr>
                <w:rFonts w:ascii="Times New Roman"/>
                <w:sz w:val="18"/>
              </w:rPr>
              <w:t>8,650.</w:t>
            </w:r>
          </w:p>
          <w:p>
            <w:pPr>
              <w:pStyle w:val="TableParagraph"/>
              <w:spacing w:line="240" w:lineRule="auto" w:before="105"/>
              <w:ind w:left="376" w:right="0"/>
              <w:jc w:val="left"/>
              <w:rPr>
                <w:rFonts w:ascii="Times New Roman" w:hAnsi="Times New Roman" w:cs="Times New Roman" w:eastAsia="Times New Roman" w:hint="default"/>
                <w:sz w:val="18"/>
                <w:szCs w:val="18"/>
              </w:rPr>
            </w:pPr>
            <w:r>
              <w:rPr>
                <w:rFonts w:ascii="Times New Roman"/>
                <w:sz w:val="18"/>
              </w:rPr>
              <w:t>75</w:t>
            </w:r>
          </w:p>
        </w:tc>
        <w:tc>
          <w:tcPr>
            <w:tcW w:w="567" w:type="dxa"/>
            <w:vMerge w:val="restart"/>
            <w:tcBorders>
              <w:top w:val="single" w:sz="4" w:space="0" w:color="000000"/>
              <w:left w:val="single" w:sz="4" w:space="0" w:color="000000"/>
              <w:right w:val="single" w:sz="4" w:space="0" w:color="000000"/>
            </w:tcBorders>
          </w:tcPr>
          <w:p>
            <w:pPr/>
          </w:p>
        </w:tc>
        <w:tc>
          <w:tcPr>
            <w:tcW w:w="569"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1" w:right="0"/>
              <w:jc w:val="center"/>
              <w:rPr>
                <w:rFonts w:ascii="Times New Roman" w:hAnsi="Times New Roman" w:cs="Times New Roman" w:eastAsia="Times New Roman" w:hint="default"/>
                <w:sz w:val="18"/>
                <w:szCs w:val="18"/>
              </w:rPr>
            </w:pPr>
            <w:r>
              <w:rPr>
                <w:rFonts w:ascii="Times New Roman"/>
                <w:sz w:val="18"/>
              </w:rPr>
              <w:t>3,097,</w:t>
            </w:r>
          </w:p>
          <w:p>
            <w:pPr>
              <w:pStyle w:val="TableParagraph"/>
              <w:spacing w:line="240" w:lineRule="auto" w:before="102"/>
              <w:ind w:left="17" w:right="0"/>
              <w:jc w:val="center"/>
              <w:rPr>
                <w:rFonts w:ascii="Times New Roman" w:hAnsi="Times New Roman" w:cs="Times New Roman" w:eastAsia="Times New Roman" w:hint="default"/>
                <w:sz w:val="18"/>
                <w:szCs w:val="18"/>
              </w:rPr>
            </w:pPr>
            <w:r>
              <w:rPr>
                <w:rFonts w:ascii="Times New Roman"/>
                <w:sz w:val="18"/>
              </w:rPr>
              <w:t>333,23</w:t>
            </w:r>
          </w:p>
          <w:p>
            <w:pPr>
              <w:pStyle w:val="TableParagraph"/>
              <w:spacing w:line="240" w:lineRule="auto" w:before="105"/>
              <w:ind w:left="197" w:right="0"/>
              <w:jc w:val="center"/>
              <w:rPr>
                <w:rFonts w:ascii="Times New Roman" w:hAnsi="Times New Roman" w:cs="Times New Roman" w:eastAsia="Times New Roman" w:hint="default"/>
                <w:sz w:val="18"/>
                <w:szCs w:val="18"/>
              </w:rPr>
            </w:pPr>
            <w:r>
              <w:rPr>
                <w:rFonts w:ascii="Times New Roman"/>
                <w:sz w:val="18"/>
              </w:rPr>
              <w:t>8.78</w:t>
            </w:r>
          </w:p>
        </w:tc>
        <w:tc>
          <w:tcPr>
            <w:tcW w:w="64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167,487</w:t>
            </w:r>
          </w:p>
          <w:p>
            <w:pPr>
              <w:pStyle w:val="TableParagraph"/>
              <w:spacing w:line="240" w:lineRule="auto" w:before="102"/>
              <w:ind w:left="72" w:right="0"/>
              <w:jc w:val="left"/>
              <w:rPr>
                <w:rFonts w:ascii="Times New Roman" w:hAnsi="Times New Roman" w:cs="Times New Roman" w:eastAsia="Times New Roman" w:hint="default"/>
                <w:sz w:val="18"/>
                <w:szCs w:val="18"/>
              </w:rPr>
            </w:pPr>
            <w:r>
              <w:rPr>
                <w:rFonts w:ascii="Times New Roman"/>
                <w:sz w:val="18"/>
              </w:rPr>
              <w:t>,224.37</w:t>
            </w:r>
          </w:p>
        </w:tc>
        <w:tc>
          <w:tcPr>
            <w:tcW w:w="65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3,264,8</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20,463.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15</w:t>
            </w:r>
          </w:p>
        </w:tc>
      </w:tr>
      <w:tr>
        <w:trPr>
          <w:trHeight w:val="703" w:hRule="exact"/>
        </w:trPr>
        <w:tc>
          <w:tcPr>
            <w:tcW w:w="11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4" w:lineRule="auto" w:before="49"/>
              <w:ind w:left="12" w:right="87"/>
              <w:jc w:val="left"/>
              <w:rPr>
                <w:rFonts w:ascii="宋体" w:hAnsi="宋体" w:cs="宋体" w:eastAsia="宋体" w:hint="default"/>
                <w:sz w:val="18"/>
                <w:szCs w:val="18"/>
              </w:rPr>
            </w:pPr>
            <w:r>
              <w:rPr>
                <w:rFonts w:ascii="宋体" w:hAnsi="宋体" w:cs="宋体" w:eastAsia="宋体" w:hint="default"/>
                <w:sz w:val="18"/>
                <w:szCs w:val="18"/>
              </w:rPr>
              <w:t>一、上年期末 余额</w:t>
            </w:r>
          </w:p>
        </w:tc>
        <w:tc>
          <w:tcPr>
            <w:tcW w:w="500" w:type="dxa"/>
            <w:vMerge/>
            <w:tcBorders>
              <w:left w:val="single" w:sz="9" w:space="0" w:color="D2D2D2"/>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3"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588"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569" w:type="dxa"/>
            <w:vMerge/>
            <w:tcBorders>
              <w:left w:val="single" w:sz="4" w:space="0" w:color="000000"/>
              <w:right w:val="single" w:sz="4" w:space="0" w:color="000000"/>
            </w:tcBorders>
          </w:tcPr>
          <w:p>
            <w:pPr/>
          </w:p>
        </w:tc>
        <w:tc>
          <w:tcPr>
            <w:tcW w:w="641" w:type="dxa"/>
            <w:vMerge/>
            <w:tcBorders>
              <w:left w:val="single" w:sz="4" w:space="0" w:color="000000"/>
              <w:right w:val="single" w:sz="4" w:space="0" w:color="000000"/>
            </w:tcBorders>
          </w:tcPr>
          <w:p>
            <w:pPr/>
          </w:p>
        </w:tc>
        <w:tc>
          <w:tcPr>
            <w:tcW w:w="653" w:type="dxa"/>
            <w:vMerge/>
            <w:tcBorders>
              <w:left w:val="single" w:sz="4" w:space="0" w:color="000000"/>
              <w:right w:val="single" w:sz="4" w:space="0" w:color="000000"/>
            </w:tcBorders>
          </w:tcPr>
          <w:p>
            <w:pPr/>
          </w:p>
        </w:tc>
      </w:tr>
      <w:tr>
        <w:trPr>
          <w:trHeight w:val="317" w:hRule="exact"/>
        </w:trPr>
        <w:tc>
          <w:tcPr>
            <w:tcW w:w="1190" w:type="dxa"/>
            <w:tcBorders>
              <w:top w:val="nil" w:sz="6" w:space="0" w:color="auto"/>
              <w:left w:val="single" w:sz="4" w:space="0" w:color="000000"/>
              <w:bottom w:val="single" w:sz="4" w:space="0" w:color="000000"/>
              <w:right w:val="single" w:sz="4" w:space="0" w:color="000000"/>
            </w:tcBorders>
            <w:shd w:val="clear" w:color="auto" w:fill="D2D2D2"/>
          </w:tcPr>
          <w:p>
            <w:pPr/>
          </w:p>
        </w:tc>
        <w:tc>
          <w:tcPr>
            <w:tcW w:w="500" w:type="dxa"/>
            <w:vMerge/>
            <w:tcBorders>
              <w:left w:val="single" w:sz="9" w:space="0" w:color="D2D2D2"/>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3"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588"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569" w:type="dxa"/>
            <w:vMerge/>
            <w:tcBorders>
              <w:left w:val="single" w:sz="4" w:space="0" w:color="000000"/>
              <w:bottom w:val="single" w:sz="4" w:space="0" w:color="000000"/>
              <w:right w:val="single" w:sz="4" w:space="0" w:color="000000"/>
            </w:tcBorders>
          </w:tcPr>
          <w:p>
            <w:pPr/>
          </w:p>
        </w:tc>
        <w:tc>
          <w:tcPr>
            <w:tcW w:w="641" w:type="dxa"/>
            <w:vMerge/>
            <w:tcBorders>
              <w:left w:val="single" w:sz="4" w:space="0" w:color="000000"/>
              <w:bottom w:val="single" w:sz="4" w:space="0" w:color="000000"/>
              <w:right w:val="single" w:sz="4" w:space="0" w:color="000000"/>
            </w:tcBorders>
          </w:tcPr>
          <w:p>
            <w:pPr/>
          </w:p>
        </w:tc>
        <w:tc>
          <w:tcPr>
            <w:tcW w:w="653" w:type="dxa"/>
            <w:vMerge/>
            <w:tcBorders>
              <w:left w:val="single" w:sz="4" w:space="0" w:color="000000"/>
              <w:bottom w:val="single" w:sz="4" w:space="0" w:color="000000"/>
              <w:right w:val="single" w:sz="4" w:space="0" w:color="000000"/>
            </w:tcBorders>
          </w:tcPr>
          <w:p>
            <w:pPr/>
          </w:p>
        </w:tc>
      </w:tr>
      <w:tr>
        <w:trPr>
          <w:trHeight w:val="713" w:hRule="exact"/>
        </w:trPr>
        <w:tc>
          <w:tcPr>
            <w:tcW w:w="1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85" w:firstLine="360"/>
              <w:jc w:val="left"/>
              <w:rPr>
                <w:rFonts w:ascii="宋体" w:hAnsi="宋体" w:cs="宋体" w:eastAsia="宋体" w:hint="default"/>
                <w:sz w:val="18"/>
                <w:szCs w:val="18"/>
              </w:rPr>
            </w:pPr>
            <w:r>
              <w:rPr>
                <w:rFonts w:ascii="宋体" w:hAnsi="宋体" w:cs="宋体" w:eastAsia="宋体" w:hint="default"/>
                <w:sz w:val="18"/>
                <w:szCs w:val="18"/>
              </w:rPr>
              <w:t>加：会计 政策变更</w:t>
            </w:r>
          </w:p>
        </w:tc>
        <w:tc>
          <w:tcPr>
            <w:tcW w:w="50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2" w:right="0"/>
              <w:jc w:val="left"/>
              <w:rPr>
                <w:rFonts w:ascii="宋体" w:hAnsi="宋体" w:cs="宋体" w:eastAsia="宋体" w:hint="default"/>
                <w:sz w:val="18"/>
                <w:szCs w:val="18"/>
              </w:rPr>
            </w:pPr>
            <w:r>
              <w:rPr>
                <w:rFonts w:ascii="宋体" w:hAnsi="宋体" w:cs="宋体" w:eastAsia="宋体" w:hint="default"/>
                <w:sz w:val="18"/>
                <w:szCs w:val="18"/>
              </w:rPr>
              <w:t>前期</w:t>
            </w:r>
          </w:p>
          <w:p>
            <w:pPr>
              <w:pStyle w:val="TableParagraph"/>
              <w:spacing w:line="240" w:lineRule="auto" w:before="74"/>
              <w:ind w:left="12" w:right="0"/>
              <w:jc w:val="left"/>
              <w:rPr>
                <w:rFonts w:ascii="宋体" w:hAnsi="宋体" w:cs="宋体" w:eastAsia="宋体" w:hint="default"/>
                <w:sz w:val="18"/>
                <w:szCs w:val="18"/>
              </w:rPr>
            </w:pPr>
            <w:r>
              <w:rPr>
                <w:rFonts w:ascii="宋体" w:hAnsi="宋体" w:cs="宋体" w:eastAsia="宋体" w:hint="default"/>
                <w:sz w:val="18"/>
                <w:szCs w:val="18"/>
              </w:rPr>
              <w:t>差错更正</w:t>
            </w:r>
          </w:p>
        </w:tc>
        <w:tc>
          <w:tcPr>
            <w:tcW w:w="50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85" w:firstLine="720"/>
              <w:jc w:val="both"/>
              <w:rPr>
                <w:rFonts w:ascii="宋体" w:hAnsi="宋体" w:cs="宋体" w:eastAsia="宋体" w:hint="default"/>
                <w:sz w:val="18"/>
                <w:szCs w:val="18"/>
              </w:rPr>
            </w:pPr>
            <w:r>
              <w:rPr>
                <w:rFonts w:ascii="宋体" w:hAnsi="宋体" w:cs="宋体" w:eastAsia="宋体" w:hint="default"/>
                <w:sz w:val="18"/>
                <w:szCs w:val="18"/>
              </w:rPr>
              <w:t>同一 控制下企业合 并</w:t>
            </w:r>
          </w:p>
        </w:tc>
        <w:tc>
          <w:tcPr>
            <w:tcW w:w="50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00" w:type="dxa"/>
            <w:tcBorders>
              <w:top w:val="single" w:sz="4" w:space="0" w:color="000000"/>
              <w:left w:val="single" w:sz="12" w:space="0" w:color="D2D2D2"/>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1190" w:type="dxa"/>
            <w:tcBorders>
              <w:top w:val="single" w:sz="4" w:space="0" w:color="000000"/>
              <w:left w:val="single" w:sz="4" w:space="0" w:color="000000"/>
              <w:bottom w:val="nil" w:sz="6" w:space="0" w:color="auto"/>
              <w:right w:val="single" w:sz="4" w:space="0" w:color="000000"/>
            </w:tcBorders>
            <w:shd w:val="clear" w:color="auto" w:fill="D2D2D2"/>
          </w:tcPr>
          <w:p>
            <w:pPr/>
          </w:p>
        </w:tc>
        <w:tc>
          <w:tcPr>
            <w:tcW w:w="500" w:type="dxa"/>
            <w:vMerge w:val="restart"/>
            <w:tcBorders>
              <w:top w:val="single" w:sz="4" w:space="0" w:color="000000"/>
              <w:left w:val="single" w:sz="9" w:space="0" w:color="D2D2D2"/>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1,923</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,597,</w:t>
            </w:r>
          </w:p>
          <w:p>
            <w:pPr>
              <w:pStyle w:val="TableParagraph"/>
              <w:spacing w:line="240" w:lineRule="auto" w:before="105"/>
              <w:ind w:left="57" w:right="0"/>
              <w:jc w:val="left"/>
              <w:rPr>
                <w:rFonts w:ascii="Times New Roman" w:hAnsi="Times New Roman" w:cs="Times New Roman" w:eastAsia="Times New Roman" w:hint="default"/>
                <w:sz w:val="18"/>
                <w:szCs w:val="18"/>
              </w:rPr>
            </w:pPr>
            <w:r>
              <w:rPr>
                <w:rFonts w:ascii="Times New Roman"/>
                <w:sz w:val="18"/>
              </w:rPr>
              <w:t>501.0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3"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220,90</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8,695.</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57</w:t>
            </w:r>
          </w:p>
        </w:tc>
        <w:tc>
          <w:tcPr>
            <w:tcW w:w="57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38,525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,177.0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78"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75,593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,568.4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578" w:type="dxa"/>
            <w:vMerge w:val="restart"/>
            <w:tcBorders>
              <w:top w:val="single" w:sz="4" w:space="0" w:color="000000"/>
              <w:left w:val="single" w:sz="4" w:space="0" w:color="000000"/>
              <w:right w:val="single" w:sz="4" w:space="0" w:color="000000"/>
            </w:tcBorders>
          </w:tcPr>
          <w:p>
            <w:pPr/>
          </w:p>
        </w:tc>
        <w:tc>
          <w:tcPr>
            <w:tcW w:w="58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915,75</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8,650.</w:t>
            </w:r>
          </w:p>
          <w:p>
            <w:pPr>
              <w:pStyle w:val="TableParagraph"/>
              <w:spacing w:line="240" w:lineRule="auto" w:before="105"/>
              <w:ind w:left="376" w:right="0"/>
              <w:jc w:val="left"/>
              <w:rPr>
                <w:rFonts w:ascii="Times New Roman" w:hAnsi="Times New Roman" w:cs="Times New Roman" w:eastAsia="Times New Roman" w:hint="default"/>
                <w:sz w:val="18"/>
                <w:szCs w:val="18"/>
              </w:rPr>
            </w:pPr>
            <w:r>
              <w:rPr>
                <w:rFonts w:ascii="Times New Roman"/>
                <w:sz w:val="18"/>
              </w:rPr>
              <w:t>75</w:t>
            </w:r>
          </w:p>
        </w:tc>
        <w:tc>
          <w:tcPr>
            <w:tcW w:w="567" w:type="dxa"/>
            <w:vMerge w:val="restart"/>
            <w:tcBorders>
              <w:top w:val="single" w:sz="4" w:space="0" w:color="000000"/>
              <w:left w:val="single" w:sz="4" w:space="0" w:color="000000"/>
              <w:right w:val="single" w:sz="4" w:space="0" w:color="000000"/>
            </w:tcBorders>
          </w:tcPr>
          <w:p>
            <w:pPr/>
          </w:p>
        </w:tc>
        <w:tc>
          <w:tcPr>
            <w:tcW w:w="56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1" w:right="0"/>
              <w:jc w:val="center"/>
              <w:rPr>
                <w:rFonts w:ascii="Times New Roman" w:hAnsi="Times New Roman" w:cs="Times New Roman" w:eastAsia="Times New Roman" w:hint="default"/>
                <w:sz w:val="18"/>
                <w:szCs w:val="18"/>
              </w:rPr>
            </w:pPr>
            <w:r>
              <w:rPr>
                <w:rFonts w:ascii="Times New Roman"/>
                <w:sz w:val="18"/>
              </w:rPr>
              <w:t>3,097,</w:t>
            </w:r>
          </w:p>
          <w:p>
            <w:pPr>
              <w:pStyle w:val="TableParagraph"/>
              <w:spacing w:line="240" w:lineRule="auto" w:before="105"/>
              <w:ind w:left="17" w:right="0"/>
              <w:jc w:val="center"/>
              <w:rPr>
                <w:rFonts w:ascii="Times New Roman" w:hAnsi="Times New Roman" w:cs="Times New Roman" w:eastAsia="Times New Roman" w:hint="default"/>
                <w:sz w:val="18"/>
                <w:szCs w:val="18"/>
              </w:rPr>
            </w:pPr>
            <w:r>
              <w:rPr>
                <w:rFonts w:ascii="Times New Roman"/>
                <w:sz w:val="18"/>
              </w:rPr>
              <w:t>333,23</w:t>
            </w:r>
          </w:p>
          <w:p>
            <w:pPr>
              <w:pStyle w:val="TableParagraph"/>
              <w:spacing w:line="240" w:lineRule="auto" w:before="105"/>
              <w:ind w:left="197" w:right="0"/>
              <w:jc w:val="center"/>
              <w:rPr>
                <w:rFonts w:ascii="Times New Roman" w:hAnsi="Times New Roman" w:cs="Times New Roman" w:eastAsia="Times New Roman" w:hint="default"/>
                <w:sz w:val="18"/>
                <w:szCs w:val="18"/>
              </w:rPr>
            </w:pPr>
            <w:r>
              <w:rPr>
                <w:rFonts w:ascii="Times New Roman"/>
                <w:sz w:val="18"/>
              </w:rPr>
              <w:t>8.78</w:t>
            </w:r>
          </w:p>
        </w:tc>
        <w:tc>
          <w:tcPr>
            <w:tcW w:w="64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167,487</w:t>
            </w:r>
          </w:p>
          <w:p>
            <w:pPr>
              <w:pStyle w:val="TableParagraph"/>
              <w:spacing w:line="240" w:lineRule="auto" w:before="105"/>
              <w:ind w:left="72" w:right="0"/>
              <w:jc w:val="left"/>
              <w:rPr>
                <w:rFonts w:ascii="Times New Roman" w:hAnsi="Times New Roman" w:cs="Times New Roman" w:eastAsia="Times New Roman" w:hint="default"/>
                <w:sz w:val="18"/>
                <w:szCs w:val="18"/>
              </w:rPr>
            </w:pPr>
            <w:r>
              <w:rPr>
                <w:rFonts w:ascii="Times New Roman"/>
                <w:sz w:val="18"/>
              </w:rPr>
              <w:t>,224.37</w:t>
            </w:r>
          </w:p>
        </w:tc>
        <w:tc>
          <w:tcPr>
            <w:tcW w:w="65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3,264,8</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20,463.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15</w:t>
            </w:r>
          </w:p>
        </w:tc>
      </w:tr>
      <w:tr>
        <w:trPr>
          <w:trHeight w:val="703" w:hRule="exact"/>
        </w:trPr>
        <w:tc>
          <w:tcPr>
            <w:tcW w:w="11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12" w:right="87"/>
              <w:jc w:val="left"/>
              <w:rPr>
                <w:rFonts w:ascii="宋体" w:hAnsi="宋体" w:cs="宋体" w:eastAsia="宋体" w:hint="default"/>
                <w:sz w:val="18"/>
                <w:szCs w:val="18"/>
              </w:rPr>
            </w:pPr>
            <w:r>
              <w:rPr>
                <w:rFonts w:ascii="宋体" w:hAnsi="宋体" w:cs="宋体" w:eastAsia="宋体" w:hint="default"/>
                <w:sz w:val="18"/>
                <w:szCs w:val="18"/>
              </w:rPr>
              <w:t>二、本年期初 余额</w:t>
            </w:r>
          </w:p>
        </w:tc>
        <w:tc>
          <w:tcPr>
            <w:tcW w:w="500" w:type="dxa"/>
            <w:vMerge/>
            <w:tcBorders>
              <w:left w:val="single" w:sz="9" w:space="0" w:color="D2D2D2"/>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3"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588"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569" w:type="dxa"/>
            <w:vMerge/>
            <w:tcBorders>
              <w:left w:val="single" w:sz="4" w:space="0" w:color="000000"/>
              <w:right w:val="single" w:sz="4" w:space="0" w:color="000000"/>
            </w:tcBorders>
          </w:tcPr>
          <w:p>
            <w:pPr/>
          </w:p>
        </w:tc>
        <w:tc>
          <w:tcPr>
            <w:tcW w:w="641" w:type="dxa"/>
            <w:vMerge/>
            <w:tcBorders>
              <w:left w:val="single" w:sz="4" w:space="0" w:color="000000"/>
              <w:right w:val="single" w:sz="4" w:space="0" w:color="000000"/>
            </w:tcBorders>
          </w:tcPr>
          <w:p>
            <w:pPr/>
          </w:p>
        </w:tc>
        <w:tc>
          <w:tcPr>
            <w:tcW w:w="653" w:type="dxa"/>
            <w:vMerge/>
            <w:tcBorders>
              <w:left w:val="single" w:sz="4" w:space="0" w:color="000000"/>
              <w:right w:val="single" w:sz="4" w:space="0" w:color="000000"/>
            </w:tcBorders>
          </w:tcPr>
          <w:p>
            <w:pPr/>
          </w:p>
        </w:tc>
      </w:tr>
      <w:tr>
        <w:trPr>
          <w:trHeight w:val="317" w:hRule="exact"/>
        </w:trPr>
        <w:tc>
          <w:tcPr>
            <w:tcW w:w="1190" w:type="dxa"/>
            <w:tcBorders>
              <w:top w:val="nil" w:sz="6" w:space="0" w:color="auto"/>
              <w:left w:val="single" w:sz="4" w:space="0" w:color="000000"/>
              <w:bottom w:val="single" w:sz="4" w:space="0" w:color="000000"/>
              <w:right w:val="single" w:sz="4" w:space="0" w:color="000000"/>
            </w:tcBorders>
            <w:shd w:val="clear" w:color="auto" w:fill="D2D2D2"/>
          </w:tcPr>
          <w:p>
            <w:pPr/>
          </w:p>
        </w:tc>
        <w:tc>
          <w:tcPr>
            <w:tcW w:w="500" w:type="dxa"/>
            <w:vMerge/>
            <w:tcBorders>
              <w:left w:val="single" w:sz="9" w:space="0" w:color="D2D2D2"/>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3"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588"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569" w:type="dxa"/>
            <w:vMerge/>
            <w:tcBorders>
              <w:left w:val="single" w:sz="4" w:space="0" w:color="000000"/>
              <w:bottom w:val="single" w:sz="4" w:space="0" w:color="000000"/>
              <w:right w:val="single" w:sz="4" w:space="0" w:color="000000"/>
            </w:tcBorders>
          </w:tcPr>
          <w:p>
            <w:pPr/>
          </w:p>
        </w:tc>
        <w:tc>
          <w:tcPr>
            <w:tcW w:w="641" w:type="dxa"/>
            <w:vMerge/>
            <w:tcBorders>
              <w:left w:val="single" w:sz="4" w:space="0" w:color="000000"/>
              <w:bottom w:val="single" w:sz="4" w:space="0" w:color="000000"/>
              <w:right w:val="single" w:sz="4" w:space="0" w:color="000000"/>
            </w:tcBorders>
          </w:tcPr>
          <w:p>
            <w:pPr/>
          </w:p>
        </w:tc>
        <w:tc>
          <w:tcPr>
            <w:tcW w:w="653" w:type="dxa"/>
            <w:vMerge/>
            <w:tcBorders>
              <w:left w:val="single" w:sz="4" w:space="0" w:color="000000"/>
              <w:bottom w:val="single" w:sz="4" w:space="0" w:color="000000"/>
              <w:right w:val="single" w:sz="4" w:space="0" w:color="000000"/>
            </w:tcBorders>
          </w:tcPr>
          <w:p>
            <w:pPr/>
          </w:p>
        </w:tc>
      </w:tr>
      <w:tr>
        <w:trPr>
          <w:trHeight w:val="674" w:hRule="exact"/>
        </w:trPr>
        <w:tc>
          <w:tcPr>
            <w:tcW w:w="1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87"/>
              <w:jc w:val="left"/>
              <w:rPr>
                <w:rFonts w:ascii="宋体" w:hAnsi="宋体" w:cs="宋体" w:eastAsia="宋体" w:hint="default"/>
                <w:sz w:val="18"/>
                <w:szCs w:val="18"/>
              </w:rPr>
            </w:pPr>
            <w:r>
              <w:rPr>
                <w:rFonts w:ascii="宋体" w:hAnsi="宋体" w:cs="宋体" w:eastAsia="宋体" w:hint="default"/>
                <w:sz w:val="18"/>
                <w:szCs w:val="18"/>
              </w:rPr>
              <w:t>三、本期增减 变动金额（减</w:t>
            </w:r>
          </w:p>
        </w:tc>
        <w:tc>
          <w:tcPr>
            <w:tcW w:w="50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left="84" w:right="0"/>
              <w:jc w:val="left"/>
              <w:rPr>
                <w:rFonts w:ascii="Times New Roman" w:hAnsi="Times New Roman" w:cs="Times New Roman" w:eastAsia="Times New Roman" w:hint="default"/>
                <w:sz w:val="18"/>
                <w:szCs w:val="18"/>
              </w:rPr>
            </w:pPr>
            <w:r>
              <w:rPr>
                <w:rFonts w:ascii="Times New Roman"/>
                <w:sz w:val="18"/>
              </w:rPr>
              <w:t>-21,4</w:t>
            </w:r>
          </w:p>
          <w:p>
            <w:pPr>
              <w:pStyle w:val="TableParagraph"/>
              <w:spacing w:line="240" w:lineRule="auto" w:before="102"/>
              <w:ind w:left="52" w:right="0"/>
              <w:jc w:val="left"/>
              <w:rPr>
                <w:rFonts w:ascii="Times New Roman" w:hAnsi="Times New Roman" w:cs="Times New Roman" w:eastAsia="Times New Roman" w:hint="default"/>
                <w:sz w:val="18"/>
                <w:szCs w:val="18"/>
              </w:rPr>
            </w:pPr>
            <w:r>
              <w:rPr>
                <w:rFonts w:ascii="Times New Roman"/>
                <w:sz w:val="18"/>
              </w:rPr>
              <w:t>38,27</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9" w:right="0"/>
              <w:jc w:val="left"/>
              <w:rPr>
                <w:rFonts w:ascii="Times New Roman" w:hAnsi="Times New Roman" w:cs="Times New Roman" w:eastAsia="Times New Roman" w:hint="default"/>
                <w:sz w:val="18"/>
                <w:szCs w:val="18"/>
              </w:rPr>
            </w:pPr>
            <w:r>
              <w:rPr>
                <w:rFonts w:ascii="Times New Roman"/>
                <w:sz w:val="18"/>
              </w:rPr>
              <w:t>-67,49</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3,137.</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9" w:right="0"/>
              <w:jc w:val="left"/>
              <w:rPr>
                <w:rFonts w:ascii="Times New Roman" w:hAnsi="Times New Roman" w:cs="Times New Roman" w:eastAsia="Times New Roman" w:hint="default"/>
                <w:sz w:val="18"/>
                <w:szCs w:val="18"/>
              </w:rPr>
            </w:pPr>
            <w:r>
              <w:rPr>
                <w:rFonts w:ascii="Times New Roman"/>
                <w:sz w:val="18"/>
              </w:rPr>
              <w:t>-38,52</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5,177.</w:t>
            </w: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0" w:right="0"/>
              <w:jc w:val="left"/>
              <w:rPr>
                <w:rFonts w:ascii="Times New Roman" w:hAnsi="Times New Roman" w:cs="Times New Roman" w:eastAsia="Times New Roman" w:hint="default"/>
                <w:sz w:val="18"/>
                <w:szCs w:val="18"/>
              </w:rPr>
            </w:pPr>
            <w:r>
              <w:rPr>
                <w:rFonts w:ascii="Times New Roman"/>
                <w:sz w:val="18"/>
              </w:rPr>
              <w:t>20,823</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,886.9</w:t>
            </w: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2" w:right="0"/>
              <w:jc w:val="left"/>
              <w:rPr>
                <w:rFonts w:ascii="Times New Roman" w:hAnsi="Times New Roman" w:cs="Times New Roman" w:eastAsia="Times New Roman" w:hint="default"/>
                <w:sz w:val="18"/>
                <w:szCs w:val="18"/>
              </w:rPr>
            </w:pPr>
            <w:r>
              <w:rPr>
                <w:rFonts w:ascii="Times New Roman"/>
                <w:sz w:val="18"/>
              </w:rPr>
              <w:t>139,06</w:t>
            </w:r>
          </w:p>
          <w:p>
            <w:pPr>
              <w:pStyle w:val="TableParagraph"/>
              <w:spacing w:line="240" w:lineRule="auto" w:before="102"/>
              <w:ind w:left="105" w:right="0"/>
              <w:jc w:val="left"/>
              <w:rPr>
                <w:rFonts w:ascii="Times New Roman" w:hAnsi="Times New Roman" w:cs="Times New Roman" w:eastAsia="Times New Roman" w:hint="default"/>
                <w:sz w:val="18"/>
                <w:szCs w:val="18"/>
              </w:rPr>
            </w:pPr>
            <w:r>
              <w:rPr>
                <w:rFonts w:ascii="Times New Roman"/>
                <w:sz w:val="18"/>
              </w:rPr>
              <w:t>1,596.</w:t>
            </w: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0" w:right="0"/>
              <w:jc w:val="left"/>
              <w:rPr>
                <w:rFonts w:ascii="Times New Roman" w:hAnsi="Times New Roman" w:cs="Times New Roman" w:eastAsia="Times New Roman" w:hint="default"/>
                <w:sz w:val="18"/>
                <w:szCs w:val="18"/>
              </w:rPr>
            </w:pPr>
            <w:r>
              <w:rPr>
                <w:rFonts w:ascii="Times New Roman"/>
                <w:sz w:val="18"/>
              </w:rPr>
              <w:t>109,47</w:t>
            </w:r>
          </w:p>
          <w:p>
            <w:pPr>
              <w:pStyle w:val="TableParagraph"/>
              <w:spacing w:line="240" w:lineRule="auto" w:before="102"/>
              <w:ind w:left="84" w:right="0"/>
              <w:jc w:val="left"/>
              <w:rPr>
                <w:rFonts w:ascii="Times New Roman" w:hAnsi="Times New Roman" w:cs="Times New Roman" w:eastAsia="Times New Roman" w:hint="default"/>
                <w:sz w:val="18"/>
                <w:szCs w:val="18"/>
              </w:rPr>
            </w:pPr>
            <w:r>
              <w:rPr>
                <w:rFonts w:ascii="Times New Roman"/>
                <w:sz w:val="18"/>
              </w:rPr>
              <w:t>9,251.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-47,687</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61,791,</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11"/>
        <w:gridCol w:w="490"/>
        <w:gridCol w:w="449"/>
        <w:gridCol w:w="449"/>
        <w:gridCol w:w="493"/>
        <w:gridCol w:w="576"/>
        <w:gridCol w:w="576"/>
        <w:gridCol w:w="578"/>
        <w:gridCol w:w="576"/>
        <w:gridCol w:w="576"/>
        <w:gridCol w:w="578"/>
        <w:gridCol w:w="588"/>
        <w:gridCol w:w="567"/>
        <w:gridCol w:w="569"/>
        <w:gridCol w:w="641"/>
        <w:gridCol w:w="653"/>
      </w:tblGrid>
      <w:tr>
        <w:trPr>
          <w:trHeight w:val="675"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8"/>
              <w:ind w:left="22" w:right="117"/>
              <w:jc w:val="left"/>
              <w:rPr>
                <w:rFonts w:ascii="宋体" w:hAnsi="宋体" w:cs="宋体" w:eastAsia="宋体" w:hint="default"/>
                <w:sz w:val="18"/>
                <w:szCs w:val="18"/>
              </w:rPr>
            </w:pPr>
            <w:r>
              <w:rPr>
                <w:rFonts w:ascii="宋体" w:hAnsi="宋体" w:cs="宋体" w:eastAsia="宋体" w:hint="default"/>
                <w:sz w:val="18"/>
                <w:szCs w:val="18"/>
              </w:rPr>
              <w:t>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44" w:right="0"/>
              <w:jc w:val="left"/>
              <w:rPr>
                <w:rFonts w:ascii="Times New Roman" w:hAnsi="Times New Roman" w:cs="Times New Roman" w:eastAsia="Times New Roman" w:hint="default"/>
                <w:sz w:val="18"/>
                <w:szCs w:val="18"/>
              </w:rPr>
            </w:pPr>
            <w:r>
              <w:rPr>
                <w:rFonts w:ascii="Times New Roman"/>
                <w:sz w:val="18"/>
              </w:rPr>
              <w:t>2.00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364" w:right="0"/>
              <w:jc w:val="left"/>
              <w:rPr>
                <w:rFonts w:ascii="Times New Roman" w:hAnsi="Times New Roman" w:cs="Times New Roman" w:eastAsia="Times New Roman" w:hint="default"/>
                <w:sz w:val="18"/>
                <w:szCs w:val="18"/>
              </w:rPr>
            </w:pPr>
            <w:r>
              <w:rPr>
                <w:rFonts w:ascii="Times New Roman"/>
                <w:sz w:val="18"/>
              </w:rPr>
              <w:t>16</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364" w:right="0"/>
              <w:jc w:val="left"/>
              <w:rPr>
                <w:rFonts w:ascii="Times New Roman" w:hAnsi="Times New Roman" w:cs="Times New Roman" w:eastAsia="Times New Roman" w:hint="default"/>
                <w:sz w:val="18"/>
                <w:szCs w:val="18"/>
              </w:rPr>
            </w:pPr>
            <w:r>
              <w:rPr>
                <w:rFonts w:ascii="Times New Roman"/>
                <w:sz w:val="18"/>
              </w:rPr>
              <w:t>00</w:t>
            </w: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1</w:t>
            </w: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376" w:right="0"/>
              <w:jc w:val="left"/>
              <w:rPr>
                <w:rFonts w:ascii="Times New Roman" w:hAnsi="Times New Roman" w:cs="Times New Roman" w:eastAsia="Times New Roman" w:hint="default"/>
                <w:sz w:val="18"/>
                <w:szCs w:val="18"/>
              </w:rPr>
            </w:pPr>
            <w:r>
              <w:rPr>
                <w:rFonts w:ascii="Times New Roman"/>
                <w:sz w:val="18"/>
              </w:rPr>
              <w:t>55</w:t>
            </w: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355" w:right="0"/>
              <w:jc w:val="left"/>
              <w:rPr>
                <w:rFonts w:ascii="Times New Roman" w:hAnsi="Times New Roman" w:cs="Times New Roman" w:eastAsia="Times New Roman" w:hint="default"/>
                <w:sz w:val="18"/>
                <w:szCs w:val="18"/>
              </w:rPr>
            </w:pPr>
            <w:r>
              <w:rPr>
                <w:rFonts w:ascii="Times New Roman"/>
                <w:sz w:val="18"/>
              </w:rPr>
              <w:t>30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72" w:right="0"/>
              <w:jc w:val="left"/>
              <w:rPr>
                <w:rFonts w:ascii="Times New Roman" w:hAnsi="Times New Roman" w:cs="Times New Roman" w:eastAsia="Times New Roman" w:hint="default"/>
                <w:sz w:val="18"/>
                <w:szCs w:val="18"/>
              </w:rPr>
            </w:pPr>
            <w:r>
              <w:rPr>
                <w:rFonts w:ascii="Times New Roman"/>
                <w:sz w:val="18"/>
              </w:rPr>
              <w:t>,829.73</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27" w:right="0"/>
              <w:jc w:val="left"/>
              <w:rPr>
                <w:rFonts w:ascii="Times New Roman" w:hAnsi="Times New Roman" w:cs="Times New Roman" w:eastAsia="Times New Roman" w:hint="default"/>
                <w:sz w:val="18"/>
                <w:szCs w:val="18"/>
              </w:rPr>
            </w:pPr>
            <w:r>
              <w:rPr>
                <w:rFonts w:ascii="Times New Roman"/>
                <w:sz w:val="18"/>
              </w:rPr>
              <w:t>421.57</w:t>
            </w:r>
          </w:p>
        </w:tc>
      </w:tr>
      <w:tr>
        <w:trPr>
          <w:trHeight w:val="1025"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2" w:right="96"/>
              <w:jc w:val="left"/>
              <w:rPr>
                <w:rFonts w:ascii="宋体" w:hAnsi="宋体" w:cs="宋体" w:eastAsia="宋体" w:hint="default"/>
                <w:sz w:val="18"/>
                <w:szCs w:val="18"/>
              </w:rPr>
            </w:pPr>
            <w:r>
              <w:rPr>
                <w:rFonts w:ascii="宋体" w:hAnsi="宋体" w:cs="宋体" w:eastAsia="宋体" w:hint="default"/>
                <w:sz w:val="18"/>
                <w:szCs w:val="18"/>
              </w:rPr>
              <w:t>（一）综合收 益总额</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2" w:right="0"/>
              <w:jc w:val="left"/>
              <w:rPr>
                <w:rFonts w:ascii="Times New Roman" w:hAnsi="Times New Roman" w:cs="Times New Roman" w:eastAsia="Times New Roman" w:hint="default"/>
                <w:sz w:val="18"/>
                <w:szCs w:val="18"/>
              </w:rPr>
            </w:pPr>
            <w:r>
              <w:rPr>
                <w:rFonts w:ascii="Times New Roman"/>
                <w:sz w:val="18"/>
              </w:rPr>
              <w:t>216,76</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9,784.</w:t>
            </w:r>
          </w:p>
          <w:p>
            <w:pPr>
              <w:pStyle w:val="TableParagraph"/>
              <w:spacing w:line="240" w:lineRule="auto" w:before="105"/>
              <w:ind w:left="376" w:right="0"/>
              <w:jc w:val="left"/>
              <w:rPr>
                <w:rFonts w:ascii="Times New Roman" w:hAnsi="Times New Roman" w:cs="Times New Roman" w:eastAsia="Times New Roman" w:hint="default"/>
                <w:sz w:val="18"/>
                <w:szCs w:val="18"/>
              </w:rPr>
            </w:pPr>
            <w:r>
              <w:rPr>
                <w:rFonts w:ascii="Times New Roman"/>
                <w:sz w:val="18"/>
              </w:rPr>
              <w:t>07</w:t>
            </w: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216,76</w:t>
            </w:r>
          </w:p>
          <w:p>
            <w:pPr>
              <w:pStyle w:val="TableParagraph"/>
              <w:spacing w:line="240" w:lineRule="auto" w:before="105"/>
              <w:ind w:left="84" w:right="0"/>
              <w:jc w:val="left"/>
              <w:rPr>
                <w:rFonts w:ascii="Times New Roman" w:hAnsi="Times New Roman" w:cs="Times New Roman" w:eastAsia="Times New Roman" w:hint="default"/>
                <w:sz w:val="18"/>
                <w:szCs w:val="18"/>
              </w:rPr>
            </w:pPr>
            <w:r>
              <w:rPr>
                <w:rFonts w:ascii="Times New Roman"/>
                <w:sz w:val="18"/>
              </w:rPr>
              <w:t>9,784.</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07</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-2,957,</w:t>
            </w:r>
          </w:p>
          <w:p>
            <w:pPr>
              <w:pStyle w:val="TableParagraph"/>
              <w:spacing w:line="240" w:lineRule="auto" w:before="105"/>
              <w:ind w:left="117" w:right="0"/>
              <w:jc w:val="left"/>
              <w:rPr>
                <w:rFonts w:ascii="Times New Roman" w:hAnsi="Times New Roman" w:cs="Times New Roman" w:eastAsia="Times New Roman" w:hint="default"/>
                <w:sz w:val="18"/>
                <w:szCs w:val="18"/>
              </w:rPr>
            </w:pPr>
            <w:r>
              <w:rPr>
                <w:rFonts w:ascii="Times New Roman"/>
                <w:sz w:val="18"/>
              </w:rPr>
              <w:t>188.18</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213,812</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,595.89</w:t>
            </w:r>
          </w:p>
        </w:tc>
      </w:tr>
      <w:tr>
        <w:trPr>
          <w:trHeight w:val="1027"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96"/>
              <w:jc w:val="both"/>
              <w:rPr>
                <w:rFonts w:ascii="宋体" w:hAnsi="宋体" w:cs="宋体" w:eastAsia="宋体" w:hint="default"/>
                <w:sz w:val="18"/>
                <w:szCs w:val="18"/>
              </w:rPr>
            </w:pPr>
            <w:r>
              <w:rPr>
                <w:rFonts w:ascii="宋体" w:hAnsi="宋体" w:cs="宋体" w:eastAsia="宋体" w:hint="default"/>
                <w:sz w:val="18"/>
                <w:szCs w:val="18"/>
              </w:rPr>
              <w:t>（二）所有者 投入和减少资 本</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 w:right="0"/>
              <w:jc w:val="left"/>
              <w:rPr>
                <w:rFonts w:ascii="Times New Roman" w:hAnsi="Times New Roman" w:cs="Times New Roman" w:eastAsia="Times New Roman" w:hint="default"/>
                <w:sz w:val="18"/>
                <w:szCs w:val="18"/>
              </w:rPr>
            </w:pPr>
            <w:r>
              <w:rPr>
                <w:rFonts w:ascii="Times New Roman"/>
                <w:sz w:val="18"/>
              </w:rPr>
              <w:t>-21,4</w:t>
            </w:r>
          </w:p>
          <w:p>
            <w:pPr>
              <w:pStyle w:val="TableParagraph"/>
              <w:spacing w:line="240" w:lineRule="auto" w:before="105"/>
              <w:ind w:left="52" w:right="0"/>
              <w:jc w:val="left"/>
              <w:rPr>
                <w:rFonts w:ascii="Times New Roman" w:hAnsi="Times New Roman" w:cs="Times New Roman" w:eastAsia="Times New Roman" w:hint="default"/>
                <w:sz w:val="18"/>
                <w:szCs w:val="18"/>
              </w:rPr>
            </w:pPr>
            <w:r>
              <w:rPr>
                <w:rFonts w:ascii="Times New Roman"/>
                <w:sz w:val="18"/>
              </w:rPr>
              <w:t>38,27</w:t>
            </w:r>
          </w:p>
          <w:p>
            <w:pPr>
              <w:pStyle w:val="TableParagraph"/>
              <w:spacing w:line="240" w:lineRule="auto" w:before="105"/>
              <w:ind w:left="144" w:right="0"/>
              <w:jc w:val="left"/>
              <w:rPr>
                <w:rFonts w:ascii="Times New Roman" w:hAnsi="Times New Roman" w:cs="Times New Roman" w:eastAsia="Times New Roman" w:hint="default"/>
                <w:sz w:val="18"/>
                <w:szCs w:val="18"/>
              </w:rPr>
            </w:pPr>
            <w:r>
              <w:rPr>
                <w:rFonts w:ascii="Times New Roman"/>
                <w:sz w:val="18"/>
              </w:rPr>
              <w:t>2.00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-67,49</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3,137.</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16</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-38,52</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5,177.</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00</w:t>
            </w: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 w:right="0"/>
              <w:jc w:val="left"/>
              <w:rPr>
                <w:rFonts w:ascii="Times New Roman" w:hAnsi="Times New Roman" w:cs="Times New Roman" w:eastAsia="Times New Roman" w:hint="default"/>
                <w:sz w:val="18"/>
                <w:szCs w:val="18"/>
              </w:rPr>
            </w:pPr>
            <w:r>
              <w:rPr>
                <w:rFonts w:ascii="Times New Roman"/>
                <w:sz w:val="18"/>
              </w:rPr>
              <w:t>-50,40</w:t>
            </w:r>
          </w:p>
          <w:p>
            <w:pPr>
              <w:pStyle w:val="TableParagraph"/>
              <w:spacing w:line="240" w:lineRule="auto" w:before="105"/>
              <w:ind w:left="84" w:right="0"/>
              <w:jc w:val="left"/>
              <w:rPr>
                <w:rFonts w:ascii="Times New Roman" w:hAnsi="Times New Roman" w:cs="Times New Roman" w:eastAsia="Times New Roman" w:hint="default"/>
                <w:sz w:val="18"/>
                <w:szCs w:val="18"/>
              </w:rPr>
            </w:pPr>
            <w:r>
              <w:rPr>
                <w:rFonts w:ascii="Times New Roman"/>
                <w:sz w:val="18"/>
              </w:rPr>
              <w:t>6,232.</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16</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-34,440</w:t>
            </w:r>
          </w:p>
          <w:p>
            <w:pPr>
              <w:pStyle w:val="TableParagraph"/>
              <w:spacing w:line="240" w:lineRule="auto" w:before="105"/>
              <w:ind w:left="72" w:right="0"/>
              <w:jc w:val="left"/>
              <w:rPr>
                <w:rFonts w:ascii="Times New Roman" w:hAnsi="Times New Roman" w:cs="Times New Roman" w:eastAsia="Times New Roman" w:hint="default"/>
                <w:sz w:val="18"/>
                <w:szCs w:val="18"/>
              </w:rPr>
            </w:pPr>
            <w:r>
              <w:rPr>
                <w:rFonts w:ascii="Times New Roman"/>
                <w:sz w:val="18"/>
              </w:rPr>
              <w:t>,641.55</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-84,846</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,873.71</w:t>
            </w:r>
          </w:p>
        </w:tc>
      </w:tr>
      <w:tr>
        <w:trPr>
          <w:trHeight w:val="1025"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00" w:lineRule="auto"/>
              <w:ind w:left="22" w:right="2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．所有者投入</w:t>
            </w:r>
            <w:r>
              <w:rPr>
                <w:rFonts w:ascii="宋体" w:hAnsi="宋体" w:cs="宋体" w:eastAsia="宋体" w:hint="default"/>
                <w:sz w:val="18"/>
                <w:szCs w:val="18"/>
              </w:rPr>
              <w:t> 的普通股</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 w:right="0"/>
              <w:jc w:val="left"/>
              <w:rPr>
                <w:rFonts w:ascii="Times New Roman" w:hAnsi="Times New Roman" w:cs="Times New Roman" w:eastAsia="Times New Roman" w:hint="default"/>
                <w:sz w:val="18"/>
                <w:szCs w:val="18"/>
              </w:rPr>
            </w:pPr>
            <w:r>
              <w:rPr>
                <w:rFonts w:ascii="Times New Roman"/>
                <w:sz w:val="18"/>
              </w:rPr>
              <w:t>-21,4</w:t>
            </w:r>
          </w:p>
          <w:p>
            <w:pPr>
              <w:pStyle w:val="TableParagraph"/>
              <w:spacing w:line="240" w:lineRule="auto" w:before="105"/>
              <w:ind w:left="52" w:right="0"/>
              <w:jc w:val="left"/>
              <w:rPr>
                <w:rFonts w:ascii="Times New Roman" w:hAnsi="Times New Roman" w:cs="Times New Roman" w:eastAsia="Times New Roman" w:hint="default"/>
                <w:sz w:val="18"/>
                <w:szCs w:val="18"/>
              </w:rPr>
            </w:pPr>
            <w:r>
              <w:rPr>
                <w:rFonts w:ascii="Times New Roman"/>
                <w:sz w:val="18"/>
              </w:rPr>
              <w:t>38,27</w:t>
            </w:r>
          </w:p>
          <w:p>
            <w:pPr>
              <w:pStyle w:val="TableParagraph"/>
              <w:spacing w:line="240" w:lineRule="auto" w:before="105"/>
              <w:ind w:left="144" w:right="0"/>
              <w:jc w:val="left"/>
              <w:rPr>
                <w:rFonts w:ascii="Times New Roman" w:hAnsi="Times New Roman" w:cs="Times New Roman" w:eastAsia="Times New Roman" w:hint="default"/>
                <w:sz w:val="18"/>
                <w:szCs w:val="18"/>
              </w:rPr>
            </w:pPr>
            <w:r>
              <w:rPr>
                <w:rFonts w:ascii="Times New Roman"/>
                <w:sz w:val="18"/>
              </w:rPr>
              <w:t>2.00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-83,65</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0,728.</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24</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-5,883,</w:t>
            </w:r>
          </w:p>
          <w:p>
            <w:pPr>
              <w:pStyle w:val="TableParagraph"/>
              <w:spacing w:line="240" w:lineRule="auto" w:before="105"/>
              <w:ind w:left="50" w:right="0"/>
              <w:jc w:val="left"/>
              <w:rPr>
                <w:rFonts w:ascii="Times New Roman" w:hAnsi="Times New Roman" w:cs="Times New Roman" w:eastAsia="Times New Roman" w:hint="default"/>
                <w:sz w:val="18"/>
                <w:szCs w:val="18"/>
              </w:rPr>
            </w:pPr>
            <w:r>
              <w:rPr>
                <w:rFonts w:ascii="Times New Roman"/>
                <w:sz w:val="18"/>
              </w:rPr>
              <w:t>823.50</w:t>
            </w: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 w:right="0"/>
              <w:jc w:val="left"/>
              <w:rPr>
                <w:rFonts w:ascii="Times New Roman" w:hAnsi="Times New Roman" w:cs="Times New Roman" w:eastAsia="Times New Roman" w:hint="default"/>
                <w:sz w:val="18"/>
                <w:szCs w:val="18"/>
              </w:rPr>
            </w:pPr>
            <w:r>
              <w:rPr>
                <w:rFonts w:ascii="Times New Roman"/>
                <w:sz w:val="18"/>
              </w:rPr>
              <w:t>-99,20</w:t>
            </w:r>
          </w:p>
          <w:p>
            <w:pPr>
              <w:pStyle w:val="TableParagraph"/>
              <w:spacing w:line="240" w:lineRule="auto" w:before="105"/>
              <w:ind w:left="84" w:right="0"/>
              <w:jc w:val="left"/>
              <w:rPr>
                <w:rFonts w:ascii="Times New Roman" w:hAnsi="Times New Roman" w:cs="Times New Roman" w:eastAsia="Times New Roman" w:hint="default"/>
                <w:sz w:val="18"/>
                <w:szCs w:val="18"/>
              </w:rPr>
            </w:pPr>
            <w:r>
              <w:rPr>
                <w:rFonts w:ascii="Times New Roman"/>
                <w:sz w:val="18"/>
              </w:rPr>
              <w:t>5,176.</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74</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40,500,</w:t>
            </w:r>
          </w:p>
          <w:p>
            <w:pPr>
              <w:pStyle w:val="TableParagraph"/>
              <w:spacing w:line="240" w:lineRule="auto" w:before="105"/>
              <w:ind w:left="117" w:right="0"/>
              <w:jc w:val="left"/>
              <w:rPr>
                <w:rFonts w:ascii="Times New Roman" w:hAnsi="Times New Roman" w:cs="Times New Roman" w:eastAsia="Times New Roman" w:hint="default"/>
                <w:sz w:val="18"/>
                <w:szCs w:val="18"/>
              </w:rPr>
            </w:pPr>
            <w:r>
              <w:rPr>
                <w:rFonts w:ascii="Times New Roman"/>
                <w:sz w:val="18"/>
              </w:rPr>
              <w:t>000.00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-58,705</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,176.74</w:t>
            </w:r>
          </w:p>
        </w:tc>
      </w:tr>
      <w:tr>
        <w:trPr>
          <w:trHeight w:val="1028"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2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．其他权益工</w:t>
            </w:r>
            <w:r>
              <w:rPr>
                <w:rFonts w:ascii="宋体" w:hAnsi="宋体" w:cs="宋体" w:eastAsia="宋体" w:hint="default"/>
                <w:sz w:val="18"/>
                <w:szCs w:val="18"/>
              </w:rPr>
              <w:t> 具持有者投入 资本</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2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．股份支付计</w:t>
            </w:r>
            <w:r>
              <w:rPr>
                <w:rFonts w:ascii="宋体" w:hAnsi="宋体" w:cs="宋体" w:eastAsia="宋体" w:hint="default"/>
                <w:sz w:val="18"/>
                <w:szCs w:val="18"/>
              </w:rPr>
              <w:t> 入所有者权益 的金额</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16,157</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,591.0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-32,64</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1,353.</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50</w:t>
            </w: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48,798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,944.5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48,798,</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944.58</w:t>
            </w:r>
          </w:p>
        </w:tc>
      </w:tr>
      <w:tr>
        <w:trPr>
          <w:trHeight w:val="715"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-74,940</w:t>
            </w:r>
          </w:p>
          <w:p>
            <w:pPr>
              <w:pStyle w:val="TableParagraph"/>
              <w:spacing w:line="240" w:lineRule="auto" w:before="105"/>
              <w:ind w:left="72" w:right="0"/>
              <w:jc w:val="left"/>
              <w:rPr>
                <w:rFonts w:ascii="Times New Roman" w:hAnsi="Times New Roman" w:cs="Times New Roman" w:eastAsia="Times New Roman" w:hint="default"/>
                <w:sz w:val="18"/>
                <w:szCs w:val="18"/>
              </w:rPr>
            </w:pPr>
            <w:r>
              <w:rPr>
                <w:rFonts w:ascii="Times New Roman"/>
                <w:sz w:val="18"/>
              </w:rPr>
              <w:t>,641.55</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 w:right="0"/>
              <w:jc w:val="left"/>
              <w:rPr>
                <w:rFonts w:ascii="Times New Roman" w:hAnsi="Times New Roman" w:cs="Times New Roman" w:eastAsia="Times New Roman" w:hint="default"/>
                <w:sz w:val="18"/>
                <w:szCs w:val="18"/>
              </w:rPr>
            </w:pPr>
            <w:r>
              <w:rPr>
                <w:rFonts w:ascii="Times New Roman"/>
                <w:sz w:val="18"/>
              </w:rPr>
              <w:t>-74,940</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,641.55</w:t>
            </w:r>
          </w:p>
        </w:tc>
      </w:tr>
      <w:tr>
        <w:trPr>
          <w:trHeight w:val="1025"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2" w:right="96"/>
              <w:jc w:val="left"/>
              <w:rPr>
                <w:rFonts w:ascii="宋体" w:hAnsi="宋体" w:cs="宋体" w:eastAsia="宋体" w:hint="default"/>
                <w:sz w:val="18"/>
                <w:szCs w:val="18"/>
              </w:rPr>
            </w:pPr>
            <w:r>
              <w:rPr>
                <w:rFonts w:ascii="宋体" w:hAnsi="宋体" w:cs="宋体" w:eastAsia="宋体" w:hint="default"/>
                <w:sz w:val="18"/>
                <w:szCs w:val="18"/>
              </w:rPr>
              <w:t>（三）利润分 配</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20,823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,886.9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-77,70</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8,187.</w:t>
            </w:r>
          </w:p>
          <w:p>
            <w:pPr>
              <w:pStyle w:val="TableParagraph"/>
              <w:spacing w:line="240" w:lineRule="auto" w:before="105"/>
              <w:ind w:left="376" w:right="0"/>
              <w:jc w:val="left"/>
              <w:rPr>
                <w:rFonts w:ascii="Times New Roman" w:hAnsi="Times New Roman" w:cs="Times New Roman" w:eastAsia="Times New Roman" w:hint="default"/>
                <w:sz w:val="18"/>
                <w:szCs w:val="18"/>
              </w:rPr>
            </w:pPr>
            <w:r>
              <w:rPr>
                <w:rFonts w:ascii="Times New Roman"/>
                <w:sz w:val="18"/>
              </w:rPr>
              <w:t>52</w:t>
            </w: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 w:right="0"/>
              <w:jc w:val="left"/>
              <w:rPr>
                <w:rFonts w:ascii="Times New Roman" w:hAnsi="Times New Roman" w:cs="Times New Roman" w:eastAsia="Times New Roman" w:hint="default"/>
                <w:sz w:val="18"/>
                <w:szCs w:val="18"/>
              </w:rPr>
            </w:pPr>
            <w:r>
              <w:rPr>
                <w:rFonts w:ascii="Times New Roman"/>
                <w:sz w:val="18"/>
              </w:rPr>
              <w:t>-56,88</w:t>
            </w:r>
          </w:p>
          <w:p>
            <w:pPr>
              <w:pStyle w:val="TableParagraph"/>
              <w:spacing w:line="240" w:lineRule="auto" w:before="105"/>
              <w:ind w:left="84" w:right="0"/>
              <w:jc w:val="left"/>
              <w:rPr>
                <w:rFonts w:ascii="Times New Roman" w:hAnsi="Times New Roman" w:cs="Times New Roman" w:eastAsia="Times New Roman" w:hint="default"/>
                <w:sz w:val="18"/>
                <w:szCs w:val="18"/>
              </w:rPr>
            </w:pPr>
            <w:r>
              <w:rPr>
                <w:rFonts w:ascii="Times New Roman"/>
                <w:sz w:val="18"/>
              </w:rPr>
              <w:t>4,300.</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61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-10,290</w:t>
            </w:r>
          </w:p>
          <w:p>
            <w:pPr>
              <w:pStyle w:val="TableParagraph"/>
              <w:spacing w:line="240" w:lineRule="auto" w:before="105"/>
              <w:ind w:left="72" w:right="0"/>
              <w:jc w:val="left"/>
              <w:rPr>
                <w:rFonts w:ascii="Times New Roman" w:hAnsi="Times New Roman" w:cs="Times New Roman" w:eastAsia="Times New Roman" w:hint="default"/>
                <w:sz w:val="18"/>
                <w:szCs w:val="18"/>
              </w:rPr>
            </w:pPr>
            <w:r>
              <w:rPr>
                <w:rFonts w:ascii="Times New Roman"/>
                <w:sz w:val="18"/>
              </w:rPr>
              <w:t>,000.00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-67,174</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,300.61</w:t>
            </w:r>
          </w:p>
        </w:tc>
      </w:tr>
      <w:tr>
        <w:trPr>
          <w:trHeight w:val="1027"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00" w:lineRule="auto"/>
              <w:ind w:left="22" w:right="2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．提取盈余公</w:t>
            </w:r>
            <w:r>
              <w:rPr>
                <w:rFonts w:ascii="宋体" w:hAnsi="宋体" w:cs="宋体" w:eastAsia="宋体" w:hint="default"/>
                <w:sz w:val="18"/>
                <w:szCs w:val="18"/>
              </w:rPr>
              <w:t> 积</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20,823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,886.9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-20,82</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3,886.</w:t>
            </w:r>
          </w:p>
          <w:p>
            <w:pPr>
              <w:pStyle w:val="TableParagraph"/>
              <w:spacing w:line="240" w:lineRule="auto" w:before="105"/>
              <w:ind w:left="376" w:right="0"/>
              <w:jc w:val="left"/>
              <w:rPr>
                <w:rFonts w:ascii="Times New Roman" w:hAnsi="Times New Roman" w:cs="Times New Roman" w:eastAsia="Times New Roman" w:hint="default"/>
                <w:sz w:val="18"/>
                <w:szCs w:val="18"/>
              </w:rPr>
            </w:pPr>
            <w:r>
              <w:rPr>
                <w:rFonts w:ascii="Times New Roman"/>
                <w:sz w:val="18"/>
              </w:rPr>
              <w:t>91</w:t>
            </w: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2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．提取一般风</w:t>
            </w:r>
            <w:r>
              <w:rPr>
                <w:rFonts w:ascii="宋体" w:hAnsi="宋体" w:cs="宋体" w:eastAsia="宋体" w:hint="default"/>
                <w:sz w:val="18"/>
                <w:szCs w:val="18"/>
              </w:rPr>
              <w:t> 险准备</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w:t>
            </w:r>
          </w:p>
          <w:p>
            <w:pPr>
              <w:pStyle w:val="TableParagraph"/>
              <w:spacing w:line="316" w:lineRule="auto" w:before="63"/>
              <w:ind w:left="22" w:right="96"/>
              <w:jc w:val="left"/>
              <w:rPr>
                <w:rFonts w:ascii="宋体" w:hAnsi="宋体" w:cs="宋体" w:eastAsia="宋体" w:hint="default"/>
                <w:sz w:val="18"/>
                <w:szCs w:val="18"/>
              </w:rPr>
            </w:pPr>
            <w:r>
              <w:rPr>
                <w:rFonts w:ascii="宋体" w:hAnsi="宋体" w:cs="宋体" w:eastAsia="宋体" w:hint="default"/>
                <w:sz w:val="18"/>
                <w:szCs w:val="18"/>
              </w:rPr>
              <w:t>（或股东）的 分配</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-56,88</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4,300.</w:t>
            </w:r>
          </w:p>
          <w:p>
            <w:pPr>
              <w:pStyle w:val="TableParagraph"/>
              <w:spacing w:line="240" w:lineRule="auto" w:before="105"/>
              <w:ind w:left="376" w:right="0"/>
              <w:jc w:val="left"/>
              <w:rPr>
                <w:rFonts w:ascii="Times New Roman" w:hAnsi="Times New Roman" w:cs="Times New Roman" w:eastAsia="Times New Roman" w:hint="default"/>
                <w:sz w:val="18"/>
                <w:szCs w:val="18"/>
              </w:rPr>
            </w:pPr>
            <w:r>
              <w:rPr>
                <w:rFonts w:ascii="Times New Roman"/>
                <w:sz w:val="18"/>
              </w:rPr>
              <w:t>61</w:t>
            </w: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 w:right="0"/>
              <w:jc w:val="left"/>
              <w:rPr>
                <w:rFonts w:ascii="Times New Roman" w:hAnsi="Times New Roman" w:cs="Times New Roman" w:eastAsia="Times New Roman" w:hint="default"/>
                <w:sz w:val="18"/>
                <w:szCs w:val="18"/>
              </w:rPr>
            </w:pPr>
            <w:r>
              <w:rPr>
                <w:rFonts w:ascii="Times New Roman"/>
                <w:sz w:val="18"/>
              </w:rPr>
              <w:t>-56,88</w:t>
            </w:r>
          </w:p>
          <w:p>
            <w:pPr>
              <w:pStyle w:val="TableParagraph"/>
              <w:spacing w:line="240" w:lineRule="auto" w:before="105"/>
              <w:ind w:left="84" w:right="0"/>
              <w:jc w:val="left"/>
              <w:rPr>
                <w:rFonts w:ascii="Times New Roman" w:hAnsi="Times New Roman" w:cs="Times New Roman" w:eastAsia="Times New Roman" w:hint="default"/>
                <w:sz w:val="18"/>
                <w:szCs w:val="18"/>
              </w:rPr>
            </w:pPr>
            <w:r>
              <w:rPr>
                <w:rFonts w:ascii="Times New Roman"/>
                <w:sz w:val="18"/>
              </w:rPr>
              <w:t>4,300.</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61</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-10,290</w:t>
            </w:r>
          </w:p>
          <w:p>
            <w:pPr>
              <w:pStyle w:val="TableParagraph"/>
              <w:spacing w:line="240" w:lineRule="auto" w:before="105"/>
              <w:ind w:left="72" w:right="0"/>
              <w:jc w:val="left"/>
              <w:rPr>
                <w:rFonts w:ascii="Times New Roman" w:hAnsi="Times New Roman" w:cs="Times New Roman" w:eastAsia="Times New Roman" w:hint="default"/>
                <w:sz w:val="18"/>
                <w:szCs w:val="18"/>
              </w:rPr>
            </w:pPr>
            <w:r>
              <w:rPr>
                <w:rFonts w:ascii="Times New Roman"/>
                <w:sz w:val="18"/>
              </w:rPr>
              <w:t>,000.00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-67,174</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,300.61</w:t>
            </w:r>
          </w:p>
        </w:tc>
      </w:tr>
      <w:tr>
        <w:trPr>
          <w:trHeight w:val="401"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2" w:right="96"/>
              <w:jc w:val="left"/>
              <w:rPr>
                <w:rFonts w:ascii="宋体" w:hAnsi="宋体" w:cs="宋体" w:eastAsia="宋体" w:hint="default"/>
                <w:sz w:val="18"/>
                <w:szCs w:val="18"/>
              </w:rPr>
            </w:pPr>
            <w:r>
              <w:rPr>
                <w:rFonts w:ascii="宋体" w:hAnsi="宋体" w:cs="宋体" w:eastAsia="宋体" w:hint="default"/>
                <w:sz w:val="18"/>
                <w:szCs w:val="18"/>
              </w:rPr>
              <w:t>（四）所有者 权益内部结转</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2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．资本公积转</w:t>
            </w:r>
            <w:r>
              <w:rPr>
                <w:rFonts w:ascii="宋体" w:hAnsi="宋体" w:cs="宋体" w:eastAsia="宋体" w:hint="default"/>
                <w:sz w:val="18"/>
                <w:szCs w:val="18"/>
              </w:rPr>
              <w:t> 增资本（或股 本）</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2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．盈余公积转</w:t>
            </w:r>
            <w:r>
              <w:rPr>
                <w:rFonts w:ascii="宋体" w:hAnsi="宋体" w:cs="宋体" w:eastAsia="宋体" w:hint="default"/>
                <w:sz w:val="18"/>
                <w:szCs w:val="18"/>
              </w:rPr>
              <w:t> 增资本（或股 本）</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11"/>
        <w:gridCol w:w="490"/>
        <w:gridCol w:w="449"/>
        <w:gridCol w:w="449"/>
        <w:gridCol w:w="493"/>
        <w:gridCol w:w="576"/>
        <w:gridCol w:w="576"/>
        <w:gridCol w:w="578"/>
        <w:gridCol w:w="576"/>
        <w:gridCol w:w="576"/>
        <w:gridCol w:w="578"/>
        <w:gridCol w:w="588"/>
        <w:gridCol w:w="567"/>
        <w:gridCol w:w="569"/>
        <w:gridCol w:w="641"/>
        <w:gridCol w:w="653"/>
      </w:tblGrid>
      <w:tr>
        <w:trPr>
          <w:trHeight w:val="363"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补亏损</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2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．设定受益计</w:t>
            </w:r>
            <w:r>
              <w:rPr>
                <w:rFonts w:ascii="宋体" w:hAnsi="宋体" w:cs="宋体" w:eastAsia="宋体" w:hint="default"/>
                <w:sz w:val="18"/>
                <w:szCs w:val="18"/>
              </w:rPr>
              <w:t> 划变动额结转 留存收益</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2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．其他综合收</w:t>
            </w:r>
            <w:r>
              <w:rPr>
                <w:rFonts w:ascii="宋体" w:hAnsi="宋体" w:cs="宋体" w:eastAsia="宋体" w:hint="default"/>
                <w:sz w:val="18"/>
                <w:szCs w:val="18"/>
              </w:rPr>
              <w:t> 益结转留存收 益</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96"/>
              <w:jc w:val="left"/>
              <w:rPr>
                <w:rFonts w:ascii="宋体" w:hAnsi="宋体" w:cs="宋体" w:eastAsia="宋体" w:hint="default"/>
                <w:sz w:val="18"/>
                <w:szCs w:val="18"/>
              </w:rPr>
            </w:pPr>
            <w:r>
              <w:rPr>
                <w:rFonts w:ascii="宋体" w:hAnsi="宋体" w:cs="宋体" w:eastAsia="宋体" w:hint="default"/>
                <w:sz w:val="18"/>
                <w:szCs w:val="18"/>
              </w:rPr>
              <w:t>（五）专项储 备</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r>
      <w:tr>
        <w:trPr>
          <w:trHeight w:val="1339" w:hRule="exact"/>
        </w:trPr>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2" w:right="96"/>
              <w:jc w:val="left"/>
              <w:rPr>
                <w:rFonts w:ascii="宋体" w:hAnsi="宋体" w:cs="宋体" w:eastAsia="宋体" w:hint="default"/>
                <w:sz w:val="18"/>
                <w:szCs w:val="18"/>
              </w:rPr>
            </w:pPr>
            <w:r>
              <w:rPr>
                <w:rFonts w:ascii="宋体" w:hAnsi="宋体" w:cs="宋体" w:eastAsia="宋体" w:hint="default"/>
                <w:sz w:val="18"/>
                <w:szCs w:val="18"/>
              </w:rPr>
              <w:t>四、本期期末 余额</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 w:right="0"/>
              <w:jc w:val="left"/>
              <w:rPr>
                <w:rFonts w:ascii="Times New Roman" w:hAnsi="Times New Roman" w:cs="Times New Roman" w:eastAsia="Times New Roman" w:hint="default"/>
                <w:sz w:val="18"/>
                <w:szCs w:val="18"/>
              </w:rPr>
            </w:pPr>
            <w:r>
              <w:rPr>
                <w:rFonts w:ascii="Times New Roman"/>
                <w:sz w:val="18"/>
              </w:rPr>
              <w:t>1,902</w:t>
            </w:r>
          </w:p>
          <w:p>
            <w:pPr>
              <w:pStyle w:val="TableParagraph"/>
              <w:spacing w:line="240" w:lineRule="auto" w:before="105"/>
              <w:ind w:left="98" w:right="0"/>
              <w:jc w:val="left"/>
              <w:rPr>
                <w:rFonts w:ascii="Times New Roman" w:hAnsi="Times New Roman" w:cs="Times New Roman" w:eastAsia="Times New Roman" w:hint="default"/>
                <w:sz w:val="18"/>
                <w:szCs w:val="18"/>
              </w:rPr>
            </w:pPr>
            <w:r>
              <w:rPr>
                <w:rFonts w:ascii="Times New Roman"/>
                <w:sz w:val="18"/>
              </w:rPr>
              <w:t>,159,</w:t>
            </w:r>
          </w:p>
          <w:p>
            <w:pPr>
              <w:pStyle w:val="TableParagraph"/>
              <w:spacing w:line="240" w:lineRule="auto" w:before="105"/>
              <w:ind w:left="52" w:right="0"/>
              <w:jc w:val="left"/>
              <w:rPr>
                <w:rFonts w:ascii="Times New Roman" w:hAnsi="Times New Roman" w:cs="Times New Roman" w:eastAsia="Times New Roman" w:hint="default"/>
                <w:sz w:val="18"/>
                <w:szCs w:val="18"/>
              </w:rPr>
            </w:pPr>
            <w:r>
              <w:rPr>
                <w:rFonts w:ascii="Times New Roman"/>
                <w:sz w:val="18"/>
              </w:rPr>
              <w:t>229.0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153,41</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5,558.</w:t>
            </w:r>
          </w:p>
          <w:p>
            <w:pPr>
              <w:pStyle w:val="TableParagraph"/>
              <w:spacing w:line="240" w:lineRule="auto" w:before="105"/>
              <w:ind w:left="364" w:right="0"/>
              <w:jc w:val="left"/>
              <w:rPr>
                <w:rFonts w:ascii="Times New Roman" w:hAnsi="Times New Roman" w:cs="Times New Roman" w:eastAsia="Times New Roman" w:hint="default"/>
                <w:sz w:val="18"/>
                <w:szCs w:val="18"/>
              </w:rPr>
            </w:pPr>
            <w:r>
              <w:rPr>
                <w:rFonts w:ascii="Times New Roman"/>
                <w:sz w:val="18"/>
              </w:rPr>
              <w:t>41</w:t>
            </w:r>
          </w:p>
        </w:tc>
        <w:tc>
          <w:tcPr>
            <w:tcW w:w="57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96,417</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,455.3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57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5" w:right="0"/>
              <w:jc w:val="center"/>
              <w:rPr>
                <w:rFonts w:ascii="Times New Roman" w:hAnsi="Times New Roman" w:cs="Times New Roman" w:eastAsia="Times New Roman" w:hint="default"/>
                <w:sz w:val="18"/>
                <w:szCs w:val="18"/>
              </w:rPr>
            </w:pPr>
            <w:r>
              <w:rPr>
                <w:rFonts w:ascii="Times New Roman"/>
                <w:sz w:val="18"/>
              </w:rPr>
              <w:t>1,054,</w:t>
            </w:r>
          </w:p>
          <w:p>
            <w:pPr>
              <w:pStyle w:val="TableParagraph"/>
              <w:spacing w:line="240" w:lineRule="auto" w:before="105"/>
              <w:ind w:left="41" w:right="0"/>
              <w:jc w:val="center"/>
              <w:rPr>
                <w:rFonts w:ascii="Times New Roman" w:hAnsi="Times New Roman" w:cs="Times New Roman" w:eastAsia="Times New Roman" w:hint="default"/>
                <w:sz w:val="18"/>
                <w:szCs w:val="18"/>
              </w:rPr>
            </w:pPr>
            <w:r>
              <w:rPr>
                <w:rFonts w:ascii="Times New Roman"/>
                <w:sz w:val="18"/>
              </w:rPr>
              <w:t>820,24</w:t>
            </w:r>
          </w:p>
          <w:p>
            <w:pPr>
              <w:pStyle w:val="TableParagraph"/>
              <w:spacing w:line="240" w:lineRule="auto" w:before="105"/>
              <w:ind w:left="221" w:right="0"/>
              <w:jc w:val="center"/>
              <w:rPr>
                <w:rFonts w:ascii="Times New Roman" w:hAnsi="Times New Roman" w:cs="Times New Roman" w:eastAsia="Times New Roman" w:hint="default"/>
                <w:sz w:val="18"/>
                <w:szCs w:val="18"/>
              </w:rPr>
            </w:pPr>
            <w:r>
              <w:rPr>
                <w:rFonts w:ascii="Times New Roman"/>
                <w:sz w:val="18"/>
              </w:rPr>
              <w:t>7.30</w:t>
            </w:r>
          </w:p>
        </w:tc>
        <w:tc>
          <w:tcPr>
            <w:tcW w:w="567"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1" w:right="0"/>
              <w:jc w:val="center"/>
              <w:rPr>
                <w:rFonts w:ascii="Times New Roman" w:hAnsi="Times New Roman" w:cs="Times New Roman" w:eastAsia="Times New Roman" w:hint="default"/>
                <w:sz w:val="18"/>
                <w:szCs w:val="18"/>
              </w:rPr>
            </w:pPr>
            <w:r>
              <w:rPr>
                <w:rFonts w:ascii="Times New Roman"/>
                <w:sz w:val="18"/>
              </w:rPr>
              <w:t>3,206,</w:t>
            </w:r>
          </w:p>
          <w:p>
            <w:pPr>
              <w:pStyle w:val="TableParagraph"/>
              <w:spacing w:line="240" w:lineRule="auto" w:before="105"/>
              <w:ind w:left="17" w:right="0"/>
              <w:jc w:val="center"/>
              <w:rPr>
                <w:rFonts w:ascii="Times New Roman" w:hAnsi="Times New Roman" w:cs="Times New Roman" w:eastAsia="Times New Roman" w:hint="default"/>
                <w:sz w:val="18"/>
                <w:szCs w:val="18"/>
              </w:rPr>
            </w:pPr>
            <w:r>
              <w:rPr>
                <w:rFonts w:ascii="Times New Roman"/>
                <w:sz w:val="18"/>
              </w:rPr>
              <w:t>812,49</w:t>
            </w:r>
          </w:p>
          <w:p>
            <w:pPr>
              <w:pStyle w:val="TableParagraph"/>
              <w:spacing w:line="240" w:lineRule="auto" w:before="105"/>
              <w:ind w:left="197" w:right="0"/>
              <w:jc w:val="center"/>
              <w:rPr>
                <w:rFonts w:ascii="Times New Roman" w:hAnsi="Times New Roman" w:cs="Times New Roman" w:eastAsia="Times New Roman" w:hint="default"/>
                <w:sz w:val="18"/>
                <w:szCs w:val="18"/>
              </w:rPr>
            </w:pPr>
            <w:r>
              <w:rPr>
                <w:rFonts w:ascii="Times New Roman"/>
                <w:sz w:val="18"/>
              </w:rPr>
              <w:t>0.08</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119,799</w:t>
            </w:r>
          </w:p>
          <w:p>
            <w:pPr>
              <w:pStyle w:val="TableParagraph"/>
              <w:spacing w:line="240" w:lineRule="auto" w:before="105"/>
              <w:ind w:left="72" w:right="0"/>
              <w:jc w:val="left"/>
              <w:rPr>
                <w:rFonts w:ascii="Times New Roman" w:hAnsi="Times New Roman" w:cs="Times New Roman" w:eastAsia="Times New Roman" w:hint="default"/>
                <w:sz w:val="18"/>
                <w:szCs w:val="18"/>
              </w:rPr>
            </w:pPr>
            <w:r>
              <w:rPr>
                <w:rFonts w:ascii="Times New Roman"/>
                <w:sz w:val="18"/>
              </w:rPr>
              <w:t>,394.64</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3,326,6</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pacing w:val="-1"/>
                <w:w w:val="95"/>
                <w:sz w:val="18"/>
              </w:rPr>
              <w:t>11,884.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72</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1133"/>
        <w:jc w:val="left"/>
        <w:rPr>
          <w:b w:val="0"/>
          <w:bCs w:val="0"/>
        </w:rPr>
      </w:pPr>
      <w:bookmarkStart w:name="8、母公司所有者权益变动表" w:id="168"/>
      <w:bookmarkEnd w:id="168"/>
      <w:r>
        <w:rPr>
          <w:b w:val="0"/>
          <w:bCs w:val="0"/>
        </w:rPr>
      </w:r>
      <w:r>
        <w:rPr>
          <w:rFonts w:ascii="Times New Roman" w:hAnsi="Times New Roman" w:cs="Times New Roman" w:eastAsia="Times New Roman" w:hint="default"/>
        </w:rPr>
        <w:t>8</w:t>
      </w:r>
      <w:r>
        <w:rPr/>
        <w:t>、母公司所有者权益变动表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1133"/>
        <w:jc w:val="left"/>
      </w:pPr>
      <w:r>
        <w:rPr/>
        <w:t>本期金额</w:t>
      </w:r>
    </w:p>
    <w:p>
      <w:pPr>
        <w:pStyle w:val="BodyText"/>
        <w:spacing w:line="240" w:lineRule="auto" w:before="115"/>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283"/>
        <w:gridCol w:w="640"/>
        <w:gridCol w:w="605"/>
        <w:gridCol w:w="603"/>
        <w:gridCol w:w="605"/>
        <w:gridCol w:w="727"/>
        <w:gridCol w:w="728"/>
        <w:gridCol w:w="725"/>
        <w:gridCol w:w="727"/>
        <w:gridCol w:w="727"/>
        <w:gridCol w:w="615"/>
        <w:gridCol w:w="710"/>
        <w:gridCol w:w="862"/>
      </w:tblGrid>
      <w:tr>
        <w:trPr>
          <w:trHeight w:val="401" w:hRule="exact"/>
        </w:trPr>
        <w:tc>
          <w:tcPr>
            <w:tcW w:w="1283" w:type="dxa"/>
            <w:tcBorders>
              <w:top w:val="single" w:sz="4" w:space="0" w:color="000000"/>
              <w:left w:val="single" w:sz="4" w:space="0" w:color="000000"/>
              <w:bottom w:val="nil" w:sz="6" w:space="0" w:color="auto"/>
              <w:right w:val="single" w:sz="4" w:space="0" w:color="000000"/>
            </w:tcBorders>
            <w:shd w:val="clear" w:color="auto" w:fill="D2D2D2"/>
          </w:tcPr>
          <w:p>
            <w:pPr/>
          </w:p>
        </w:tc>
        <w:tc>
          <w:tcPr>
            <w:tcW w:w="8273"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206" w:hRule="exact"/>
        </w:trPr>
        <w:tc>
          <w:tcPr>
            <w:tcW w:w="128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640" w:type="dxa"/>
            <w:tcBorders>
              <w:top w:val="single" w:sz="4" w:space="0" w:color="000000"/>
              <w:left w:val="single" w:sz="4" w:space="0" w:color="000000"/>
              <w:bottom w:val="nil" w:sz="6" w:space="0" w:color="auto"/>
              <w:right w:val="single" w:sz="4" w:space="0" w:color="000000"/>
            </w:tcBorders>
            <w:shd w:val="clear" w:color="auto" w:fill="D2D2D2"/>
          </w:tcPr>
          <w:p>
            <w:pPr/>
          </w:p>
        </w:tc>
        <w:tc>
          <w:tcPr>
            <w:tcW w:w="1813"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36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2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268" w:right="86"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72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268" w:right="20" w:hanging="245"/>
              <w:jc w:val="left"/>
              <w:rPr>
                <w:rFonts w:ascii="宋体" w:hAnsi="宋体" w:cs="宋体" w:eastAsia="宋体" w:hint="default"/>
                <w:sz w:val="18"/>
                <w:szCs w:val="18"/>
              </w:rPr>
            </w:pPr>
            <w:r>
              <w:rPr>
                <w:rFonts w:ascii="宋体" w:hAnsi="宋体" w:cs="宋体" w:eastAsia="宋体" w:hint="default"/>
                <w:spacing w:val="-13"/>
                <w:sz w:val="18"/>
                <w:szCs w:val="18"/>
              </w:rPr>
              <w:t>减：库存</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股</w:t>
            </w:r>
          </w:p>
        </w:tc>
        <w:tc>
          <w:tcPr>
            <w:tcW w:w="72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88" w:right="84"/>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72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268" w:right="86"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72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268" w:right="86"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1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22" w:right="29" w:hanging="89"/>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10" w:type="dxa"/>
            <w:tcBorders>
              <w:top w:val="single" w:sz="4" w:space="0" w:color="000000"/>
              <w:left w:val="single" w:sz="4" w:space="0" w:color="000000"/>
              <w:bottom w:val="nil" w:sz="6" w:space="0" w:color="auto"/>
              <w:right w:val="single" w:sz="4" w:space="0" w:color="000000"/>
            </w:tcBorders>
            <w:shd w:val="clear" w:color="auto" w:fill="D2D2D2"/>
          </w:tcPr>
          <w:p>
            <w:pPr/>
          </w:p>
        </w:tc>
        <w:tc>
          <w:tcPr>
            <w:tcW w:w="86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55" w:right="62" w:hanging="89"/>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92" w:hRule="exact"/>
        </w:trPr>
        <w:tc>
          <w:tcPr>
            <w:tcW w:w="1283" w:type="dxa"/>
            <w:vMerge/>
            <w:tcBorders>
              <w:left w:val="single" w:sz="4" w:space="0" w:color="000000"/>
              <w:bottom w:val="nil" w:sz="6" w:space="0" w:color="auto"/>
              <w:right w:val="single" w:sz="4" w:space="0" w:color="000000"/>
            </w:tcBorders>
            <w:shd w:val="clear" w:color="auto" w:fill="D2D2D2"/>
          </w:tcPr>
          <w:p>
            <w:pPr/>
          </w:p>
        </w:tc>
        <w:tc>
          <w:tcPr>
            <w:tcW w:w="64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40"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813" w:type="dxa"/>
            <w:gridSpan w:val="3"/>
            <w:vMerge/>
            <w:tcBorders>
              <w:left w:val="single" w:sz="4" w:space="0" w:color="000000"/>
              <w:bottom w:val="single" w:sz="4" w:space="0" w:color="000000"/>
              <w:right w:val="single" w:sz="4" w:space="0" w:color="000000"/>
            </w:tcBorders>
            <w:shd w:val="clear" w:color="auto" w:fill="D2D2D2"/>
          </w:tcPr>
          <w:p>
            <w:pPr/>
          </w:p>
        </w:tc>
        <w:tc>
          <w:tcPr>
            <w:tcW w:w="727" w:type="dxa"/>
            <w:vMerge/>
            <w:tcBorders>
              <w:left w:val="single" w:sz="4" w:space="0" w:color="000000"/>
              <w:right w:val="single" w:sz="4" w:space="0" w:color="000000"/>
            </w:tcBorders>
            <w:shd w:val="clear" w:color="auto" w:fill="D2D2D2"/>
          </w:tcPr>
          <w:p>
            <w:pPr/>
          </w:p>
        </w:tc>
        <w:tc>
          <w:tcPr>
            <w:tcW w:w="728" w:type="dxa"/>
            <w:vMerge/>
            <w:tcBorders>
              <w:left w:val="single" w:sz="4" w:space="0" w:color="000000"/>
              <w:right w:val="single" w:sz="4" w:space="0" w:color="000000"/>
            </w:tcBorders>
            <w:shd w:val="clear" w:color="auto" w:fill="D2D2D2"/>
          </w:tcPr>
          <w:p>
            <w:pPr/>
          </w:p>
        </w:tc>
        <w:tc>
          <w:tcPr>
            <w:tcW w:w="725" w:type="dxa"/>
            <w:vMerge/>
            <w:tcBorders>
              <w:left w:val="single" w:sz="4" w:space="0" w:color="000000"/>
              <w:right w:val="single" w:sz="4" w:space="0" w:color="000000"/>
            </w:tcBorders>
            <w:shd w:val="clear" w:color="auto" w:fill="D2D2D2"/>
          </w:tcPr>
          <w:p>
            <w:pPr/>
          </w:p>
        </w:tc>
        <w:tc>
          <w:tcPr>
            <w:tcW w:w="727" w:type="dxa"/>
            <w:vMerge/>
            <w:tcBorders>
              <w:left w:val="single" w:sz="4" w:space="0" w:color="000000"/>
              <w:right w:val="single" w:sz="4" w:space="0" w:color="000000"/>
            </w:tcBorders>
            <w:shd w:val="clear" w:color="auto" w:fill="D2D2D2"/>
          </w:tcPr>
          <w:p>
            <w:pPr/>
          </w:p>
        </w:tc>
        <w:tc>
          <w:tcPr>
            <w:tcW w:w="727" w:type="dxa"/>
            <w:vMerge/>
            <w:tcBorders>
              <w:left w:val="single" w:sz="4" w:space="0" w:color="000000"/>
              <w:right w:val="single" w:sz="4" w:space="0" w:color="000000"/>
            </w:tcBorders>
            <w:shd w:val="clear" w:color="auto" w:fill="D2D2D2"/>
          </w:tcPr>
          <w:p>
            <w:pPr/>
          </w:p>
        </w:tc>
        <w:tc>
          <w:tcPr>
            <w:tcW w:w="615" w:type="dxa"/>
            <w:vMerge/>
            <w:tcBorders>
              <w:left w:val="single" w:sz="4" w:space="0" w:color="000000"/>
              <w:right w:val="single" w:sz="4" w:space="0" w:color="000000"/>
            </w:tcBorders>
            <w:shd w:val="clear" w:color="auto" w:fill="D2D2D2"/>
          </w:tcPr>
          <w:p>
            <w:pPr/>
          </w:p>
        </w:tc>
        <w:tc>
          <w:tcPr>
            <w:tcW w:w="71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7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62" w:type="dxa"/>
            <w:vMerge/>
            <w:tcBorders>
              <w:left w:val="single" w:sz="4" w:space="0" w:color="000000"/>
              <w:right w:val="single" w:sz="4" w:space="0" w:color="000000"/>
            </w:tcBorders>
            <w:shd w:val="clear" w:color="auto" w:fill="D2D2D2"/>
          </w:tcPr>
          <w:p>
            <w:pPr/>
          </w:p>
        </w:tc>
      </w:tr>
      <w:tr>
        <w:trPr>
          <w:trHeight w:val="202" w:hRule="exact"/>
        </w:trPr>
        <w:tc>
          <w:tcPr>
            <w:tcW w:w="1283" w:type="dxa"/>
            <w:vMerge w:val="restart"/>
            <w:tcBorders>
              <w:top w:val="nil" w:sz="6" w:space="0" w:color="auto"/>
              <w:left w:val="single" w:sz="4" w:space="0" w:color="000000"/>
              <w:right w:val="single" w:sz="4" w:space="0" w:color="000000"/>
            </w:tcBorders>
            <w:shd w:val="clear" w:color="auto" w:fill="D2D2D2"/>
          </w:tcPr>
          <w:p>
            <w:pPr/>
          </w:p>
        </w:tc>
        <w:tc>
          <w:tcPr>
            <w:tcW w:w="640" w:type="dxa"/>
            <w:vMerge/>
            <w:tcBorders>
              <w:left w:val="single" w:sz="4" w:space="0" w:color="000000"/>
              <w:bottom w:val="nil" w:sz="6" w:space="0" w:color="auto"/>
              <w:right w:val="single" w:sz="4" w:space="0" w:color="000000"/>
            </w:tcBorders>
            <w:shd w:val="clear" w:color="auto" w:fill="D2D2D2"/>
          </w:tcPr>
          <w:p>
            <w:pPr/>
          </w:p>
        </w:tc>
        <w:tc>
          <w:tcPr>
            <w:tcW w:w="60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0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0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1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27" w:type="dxa"/>
            <w:vMerge/>
            <w:tcBorders>
              <w:left w:val="single" w:sz="4" w:space="0" w:color="000000"/>
              <w:right w:val="single" w:sz="4" w:space="0" w:color="000000"/>
            </w:tcBorders>
            <w:shd w:val="clear" w:color="auto" w:fill="D2D2D2"/>
          </w:tcPr>
          <w:p>
            <w:pPr/>
          </w:p>
        </w:tc>
        <w:tc>
          <w:tcPr>
            <w:tcW w:w="728" w:type="dxa"/>
            <w:vMerge/>
            <w:tcBorders>
              <w:left w:val="single" w:sz="4" w:space="0" w:color="000000"/>
              <w:right w:val="single" w:sz="4" w:space="0" w:color="000000"/>
            </w:tcBorders>
            <w:shd w:val="clear" w:color="auto" w:fill="D2D2D2"/>
          </w:tcPr>
          <w:p>
            <w:pPr/>
          </w:p>
        </w:tc>
        <w:tc>
          <w:tcPr>
            <w:tcW w:w="725" w:type="dxa"/>
            <w:vMerge/>
            <w:tcBorders>
              <w:left w:val="single" w:sz="4" w:space="0" w:color="000000"/>
              <w:right w:val="single" w:sz="4" w:space="0" w:color="000000"/>
            </w:tcBorders>
            <w:shd w:val="clear" w:color="auto" w:fill="D2D2D2"/>
          </w:tcPr>
          <w:p>
            <w:pPr/>
          </w:p>
        </w:tc>
        <w:tc>
          <w:tcPr>
            <w:tcW w:w="727" w:type="dxa"/>
            <w:vMerge/>
            <w:tcBorders>
              <w:left w:val="single" w:sz="4" w:space="0" w:color="000000"/>
              <w:right w:val="single" w:sz="4" w:space="0" w:color="000000"/>
            </w:tcBorders>
            <w:shd w:val="clear" w:color="auto" w:fill="D2D2D2"/>
          </w:tcPr>
          <w:p>
            <w:pPr/>
          </w:p>
        </w:tc>
        <w:tc>
          <w:tcPr>
            <w:tcW w:w="727" w:type="dxa"/>
            <w:vMerge/>
            <w:tcBorders>
              <w:left w:val="single" w:sz="4" w:space="0" w:color="000000"/>
              <w:right w:val="single" w:sz="4" w:space="0" w:color="000000"/>
            </w:tcBorders>
            <w:shd w:val="clear" w:color="auto" w:fill="D2D2D2"/>
          </w:tcPr>
          <w:p>
            <w:pPr/>
          </w:p>
        </w:tc>
        <w:tc>
          <w:tcPr>
            <w:tcW w:w="615" w:type="dxa"/>
            <w:vMerge/>
            <w:tcBorders>
              <w:left w:val="single" w:sz="4" w:space="0" w:color="000000"/>
              <w:right w:val="single" w:sz="4" w:space="0" w:color="000000"/>
            </w:tcBorders>
            <w:shd w:val="clear" w:color="auto" w:fill="D2D2D2"/>
          </w:tcPr>
          <w:p>
            <w:pPr/>
          </w:p>
        </w:tc>
        <w:tc>
          <w:tcPr>
            <w:tcW w:w="710" w:type="dxa"/>
            <w:vMerge/>
            <w:tcBorders>
              <w:left w:val="single" w:sz="4" w:space="0" w:color="000000"/>
              <w:bottom w:val="nil" w:sz="6" w:space="0" w:color="auto"/>
              <w:right w:val="single" w:sz="4" w:space="0" w:color="000000"/>
            </w:tcBorders>
            <w:shd w:val="clear" w:color="auto" w:fill="D2D2D2"/>
          </w:tcPr>
          <w:p>
            <w:pPr/>
          </w:p>
        </w:tc>
        <w:tc>
          <w:tcPr>
            <w:tcW w:w="862" w:type="dxa"/>
            <w:vMerge/>
            <w:tcBorders>
              <w:left w:val="single" w:sz="4" w:space="0" w:color="000000"/>
              <w:right w:val="single" w:sz="4" w:space="0" w:color="000000"/>
            </w:tcBorders>
            <w:shd w:val="clear" w:color="auto" w:fill="D2D2D2"/>
          </w:tcPr>
          <w:p>
            <w:pPr/>
          </w:p>
        </w:tc>
      </w:tr>
      <w:tr>
        <w:trPr>
          <w:trHeight w:val="182" w:hRule="exact"/>
        </w:trPr>
        <w:tc>
          <w:tcPr>
            <w:tcW w:w="1283" w:type="dxa"/>
            <w:vMerge/>
            <w:tcBorders>
              <w:left w:val="single" w:sz="4" w:space="0" w:color="000000"/>
              <w:bottom w:val="single" w:sz="4" w:space="0" w:color="000000"/>
              <w:right w:val="single" w:sz="4" w:space="0" w:color="000000"/>
            </w:tcBorders>
            <w:shd w:val="clear" w:color="auto" w:fill="D2D2D2"/>
          </w:tcPr>
          <w:p>
            <w:pPr/>
          </w:p>
        </w:tc>
        <w:tc>
          <w:tcPr>
            <w:tcW w:w="640" w:type="dxa"/>
            <w:tcBorders>
              <w:top w:val="nil" w:sz="6" w:space="0" w:color="auto"/>
              <w:left w:val="single" w:sz="4" w:space="0" w:color="000000"/>
              <w:bottom w:val="single" w:sz="4" w:space="0" w:color="000000"/>
              <w:right w:val="single" w:sz="4" w:space="0" w:color="000000"/>
            </w:tcBorders>
            <w:shd w:val="clear" w:color="auto" w:fill="D2D2D2"/>
          </w:tcPr>
          <w:p>
            <w:pPr/>
          </w:p>
        </w:tc>
        <w:tc>
          <w:tcPr>
            <w:tcW w:w="605" w:type="dxa"/>
            <w:vMerge/>
            <w:tcBorders>
              <w:left w:val="single" w:sz="4" w:space="0" w:color="000000"/>
              <w:bottom w:val="single" w:sz="4" w:space="0" w:color="000000"/>
              <w:right w:val="single" w:sz="4" w:space="0" w:color="000000"/>
            </w:tcBorders>
            <w:shd w:val="clear" w:color="auto" w:fill="D2D2D2"/>
          </w:tcPr>
          <w:p>
            <w:pPr/>
          </w:p>
        </w:tc>
        <w:tc>
          <w:tcPr>
            <w:tcW w:w="603" w:type="dxa"/>
            <w:vMerge/>
            <w:tcBorders>
              <w:left w:val="single" w:sz="4" w:space="0" w:color="000000"/>
              <w:bottom w:val="single" w:sz="4" w:space="0" w:color="000000"/>
              <w:right w:val="single" w:sz="4" w:space="0" w:color="000000"/>
            </w:tcBorders>
            <w:shd w:val="clear" w:color="auto" w:fill="D2D2D2"/>
          </w:tcPr>
          <w:p>
            <w:pPr/>
          </w:p>
        </w:tc>
        <w:tc>
          <w:tcPr>
            <w:tcW w:w="605" w:type="dxa"/>
            <w:vMerge/>
            <w:tcBorders>
              <w:left w:val="single" w:sz="4" w:space="0" w:color="000000"/>
              <w:bottom w:val="single" w:sz="4" w:space="0" w:color="000000"/>
              <w:right w:val="single" w:sz="4" w:space="0" w:color="000000"/>
            </w:tcBorders>
            <w:shd w:val="clear" w:color="auto" w:fill="D2D2D2"/>
          </w:tcPr>
          <w:p>
            <w:pPr/>
          </w:p>
        </w:tc>
        <w:tc>
          <w:tcPr>
            <w:tcW w:w="727" w:type="dxa"/>
            <w:vMerge/>
            <w:tcBorders>
              <w:left w:val="single" w:sz="4" w:space="0" w:color="000000"/>
              <w:bottom w:val="single" w:sz="4" w:space="0" w:color="000000"/>
              <w:right w:val="single" w:sz="4" w:space="0" w:color="000000"/>
            </w:tcBorders>
            <w:shd w:val="clear" w:color="auto" w:fill="D2D2D2"/>
          </w:tcPr>
          <w:p>
            <w:pPr/>
          </w:p>
        </w:tc>
        <w:tc>
          <w:tcPr>
            <w:tcW w:w="728" w:type="dxa"/>
            <w:vMerge/>
            <w:tcBorders>
              <w:left w:val="single" w:sz="4" w:space="0" w:color="000000"/>
              <w:bottom w:val="single" w:sz="4" w:space="0" w:color="000000"/>
              <w:right w:val="single" w:sz="4" w:space="0" w:color="000000"/>
            </w:tcBorders>
            <w:shd w:val="clear" w:color="auto" w:fill="D2D2D2"/>
          </w:tcPr>
          <w:p>
            <w:pPr/>
          </w:p>
        </w:tc>
        <w:tc>
          <w:tcPr>
            <w:tcW w:w="725" w:type="dxa"/>
            <w:vMerge/>
            <w:tcBorders>
              <w:left w:val="single" w:sz="4" w:space="0" w:color="000000"/>
              <w:bottom w:val="single" w:sz="4" w:space="0" w:color="000000"/>
              <w:right w:val="single" w:sz="4" w:space="0" w:color="000000"/>
            </w:tcBorders>
            <w:shd w:val="clear" w:color="auto" w:fill="D2D2D2"/>
          </w:tcPr>
          <w:p>
            <w:pPr/>
          </w:p>
        </w:tc>
        <w:tc>
          <w:tcPr>
            <w:tcW w:w="727" w:type="dxa"/>
            <w:vMerge/>
            <w:tcBorders>
              <w:left w:val="single" w:sz="4" w:space="0" w:color="000000"/>
              <w:bottom w:val="single" w:sz="4" w:space="0" w:color="000000"/>
              <w:right w:val="single" w:sz="4" w:space="0" w:color="000000"/>
            </w:tcBorders>
            <w:shd w:val="clear" w:color="auto" w:fill="D2D2D2"/>
          </w:tcPr>
          <w:p>
            <w:pPr/>
          </w:p>
        </w:tc>
        <w:tc>
          <w:tcPr>
            <w:tcW w:w="727" w:type="dxa"/>
            <w:vMerge/>
            <w:tcBorders>
              <w:left w:val="single" w:sz="4" w:space="0" w:color="000000"/>
              <w:bottom w:val="single" w:sz="4" w:space="0" w:color="000000"/>
              <w:right w:val="single" w:sz="4" w:space="0" w:color="000000"/>
            </w:tcBorders>
            <w:shd w:val="clear" w:color="auto" w:fill="D2D2D2"/>
          </w:tcPr>
          <w:p>
            <w:pPr/>
          </w:p>
        </w:tc>
        <w:tc>
          <w:tcPr>
            <w:tcW w:w="615" w:type="dxa"/>
            <w:vMerge/>
            <w:tcBorders>
              <w:left w:val="single" w:sz="4" w:space="0" w:color="000000"/>
              <w:bottom w:val="single" w:sz="4" w:space="0" w:color="000000"/>
              <w:right w:val="single" w:sz="4" w:space="0" w:color="000000"/>
            </w:tcBorders>
            <w:shd w:val="clear" w:color="auto" w:fill="D2D2D2"/>
          </w:tcPr>
          <w:p>
            <w:pPr/>
          </w:p>
        </w:tc>
        <w:tc>
          <w:tcPr>
            <w:tcW w:w="710" w:type="dxa"/>
            <w:tcBorders>
              <w:top w:val="nil" w:sz="6" w:space="0" w:color="auto"/>
              <w:left w:val="single" w:sz="4" w:space="0" w:color="000000"/>
              <w:bottom w:val="single" w:sz="4" w:space="0" w:color="000000"/>
              <w:right w:val="single" w:sz="4" w:space="0" w:color="000000"/>
            </w:tcBorders>
            <w:shd w:val="clear" w:color="auto" w:fill="D2D2D2"/>
          </w:tcPr>
          <w:p>
            <w:pPr/>
          </w:p>
        </w:tc>
        <w:tc>
          <w:tcPr>
            <w:tcW w:w="862" w:type="dxa"/>
            <w:vMerge/>
            <w:tcBorders>
              <w:left w:val="single" w:sz="4" w:space="0" w:color="000000"/>
              <w:bottom w:val="single" w:sz="4" w:space="0" w:color="000000"/>
              <w:right w:val="single" w:sz="4" w:space="0" w:color="000000"/>
            </w:tcBorders>
            <w:shd w:val="clear" w:color="auto" w:fill="D2D2D2"/>
          </w:tcPr>
          <w:p>
            <w:pPr/>
          </w:p>
        </w:tc>
      </w:tr>
      <w:tr>
        <w:trPr>
          <w:trHeight w:val="185" w:hRule="exact"/>
        </w:trPr>
        <w:tc>
          <w:tcPr>
            <w:tcW w:w="1283" w:type="dxa"/>
            <w:tcBorders>
              <w:top w:val="single" w:sz="4" w:space="0" w:color="000000"/>
              <w:left w:val="single" w:sz="4" w:space="0" w:color="000000"/>
              <w:bottom w:val="nil" w:sz="6" w:space="0" w:color="auto"/>
              <w:right w:val="single" w:sz="4" w:space="0" w:color="000000"/>
            </w:tcBorders>
            <w:shd w:val="clear" w:color="auto" w:fill="D2D2D2"/>
          </w:tcPr>
          <w:p>
            <w:pPr/>
          </w:p>
        </w:tc>
        <w:tc>
          <w:tcPr>
            <w:tcW w:w="640" w:type="dxa"/>
            <w:vMerge w:val="restart"/>
            <w:tcBorders>
              <w:top w:val="single" w:sz="4" w:space="0" w:color="000000"/>
              <w:left w:val="single" w:sz="10" w:space="0" w:color="D2D2D2"/>
              <w:right w:val="single" w:sz="4" w:space="0" w:color="000000"/>
            </w:tcBorders>
          </w:tcPr>
          <w:p>
            <w:pPr>
              <w:pStyle w:val="TableParagraph"/>
              <w:spacing w:line="240" w:lineRule="auto" w:before="115"/>
              <w:ind w:right="21"/>
              <w:jc w:val="right"/>
              <w:rPr>
                <w:rFonts w:ascii="Times New Roman" w:hAnsi="Times New Roman" w:cs="Times New Roman" w:eastAsia="Times New Roman" w:hint="default"/>
                <w:sz w:val="18"/>
                <w:szCs w:val="18"/>
              </w:rPr>
            </w:pPr>
            <w:r>
              <w:rPr>
                <w:rFonts w:ascii="Times New Roman"/>
                <w:spacing w:val="-1"/>
                <w:sz w:val="18"/>
              </w:rPr>
              <w:t>1,902,1</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59,229.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605" w:type="dxa"/>
            <w:vMerge w:val="restart"/>
            <w:tcBorders>
              <w:top w:val="single" w:sz="4" w:space="0" w:color="000000"/>
              <w:left w:val="single" w:sz="4" w:space="0" w:color="000000"/>
              <w:right w:val="single" w:sz="4" w:space="0" w:color="000000"/>
            </w:tcBorders>
          </w:tcPr>
          <w:p>
            <w:pPr/>
          </w:p>
        </w:tc>
        <w:tc>
          <w:tcPr>
            <w:tcW w:w="603" w:type="dxa"/>
            <w:vMerge w:val="restart"/>
            <w:tcBorders>
              <w:top w:val="single" w:sz="4" w:space="0" w:color="000000"/>
              <w:left w:val="single" w:sz="4" w:space="0" w:color="000000"/>
              <w:right w:val="single" w:sz="4" w:space="0" w:color="000000"/>
            </w:tcBorders>
          </w:tcPr>
          <w:p>
            <w:pPr/>
          </w:p>
        </w:tc>
        <w:tc>
          <w:tcPr>
            <w:tcW w:w="605"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21" w:space="0" w:color="D2D2D2"/>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154,732,</w:t>
            </w:r>
          </w:p>
          <w:p>
            <w:pPr>
              <w:pStyle w:val="TableParagraph"/>
              <w:spacing w:line="240" w:lineRule="auto" w:before="102"/>
              <w:ind w:left="175" w:right="0"/>
              <w:jc w:val="center"/>
              <w:rPr>
                <w:rFonts w:ascii="Times New Roman" w:hAnsi="Times New Roman" w:cs="Times New Roman" w:eastAsia="Times New Roman" w:hint="default"/>
                <w:sz w:val="18"/>
                <w:szCs w:val="18"/>
              </w:rPr>
            </w:pPr>
            <w:r>
              <w:rPr>
                <w:rFonts w:ascii="Times New Roman"/>
                <w:sz w:val="18"/>
              </w:rPr>
              <w:t>501.26</w:t>
            </w:r>
          </w:p>
        </w:tc>
        <w:tc>
          <w:tcPr>
            <w:tcW w:w="728" w:type="dxa"/>
            <w:vMerge w:val="restart"/>
            <w:tcBorders>
              <w:top w:val="single" w:sz="21" w:space="0" w:color="D2D2D2"/>
              <w:left w:val="single" w:sz="4" w:space="0" w:color="000000"/>
              <w:right w:val="single" w:sz="4" w:space="0" w:color="000000"/>
            </w:tcBorders>
          </w:tcPr>
          <w:p>
            <w:pPr/>
          </w:p>
        </w:tc>
        <w:tc>
          <w:tcPr>
            <w:tcW w:w="725" w:type="dxa"/>
            <w:vMerge w:val="restart"/>
            <w:tcBorders>
              <w:top w:val="single" w:sz="21" w:space="0" w:color="D2D2D2"/>
              <w:left w:val="single" w:sz="4" w:space="0" w:color="000000"/>
              <w:right w:val="single" w:sz="4" w:space="0" w:color="000000"/>
            </w:tcBorders>
          </w:tcPr>
          <w:p>
            <w:pPr/>
          </w:p>
        </w:tc>
        <w:tc>
          <w:tcPr>
            <w:tcW w:w="727" w:type="dxa"/>
            <w:vMerge w:val="restart"/>
            <w:tcBorders>
              <w:top w:val="single" w:sz="21" w:space="0" w:color="D2D2D2"/>
              <w:left w:val="single" w:sz="4" w:space="0" w:color="000000"/>
              <w:right w:val="single" w:sz="4" w:space="0" w:color="000000"/>
            </w:tcBorders>
          </w:tcPr>
          <w:p>
            <w:pPr/>
          </w:p>
        </w:tc>
        <w:tc>
          <w:tcPr>
            <w:tcW w:w="727" w:type="dxa"/>
            <w:vMerge w:val="restart"/>
            <w:tcBorders>
              <w:top w:val="single" w:sz="21" w:space="0" w:color="D2D2D2"/>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96,257,0</w:t>
            </w:r>
          </w:p>
          <w:p>
            <w:pPr>
              <w:pStyle w:val="TableParagraph"/>
              <w:spacing w:line="240" w:lineRule="auto" w:before="102"/>
              <w:ind w:left="287" w:right="0"/>
              <w:jc w:val="left"/>
              <w:rPr>
                <w:rFonts w:ascii="Times New Roman" w:hAnsi="Times New Roman" w:cs="Times New Roman" w:eastAsia="Times New Roman" w:hint="default"/>
                <w:sz w:val="18"/>
                <w:szCs w:val="18"/>
              </w:rPr>
            </w:pPr>
            <w:r>
              <w:rPr>
                <w:rFonts w:ascii="Times New Roman"/>
                <w:sz w:val="18"/>
              </w:rPr>
              <w:t>87.78</w:t>
            </w:r>
          </w:p>
        </w:tc>
        <w:tc>
          <w:tcPr>
            <w:tcW w:w="615" w:type="dxa"/>
            <w:vMerge w:val="restart"/>
            <w:tcBorders>
              <w:top w:val="single" w:sz="21" w:space="0" w:color="D2D2D2"/>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595,41</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pacing w:val="-1"/>
                <w:sz w:val="18"/>
              </w:rPr>
              <w:t>4,010.8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710" w:type="dxa"/>
            <w:vMerge w:val="restart"/>
            <w:tcBorders>
              <w:top w:val="single" w:sz="4" w:space="0" w:color="000000"/>
              <w:left w:val="single" w:sz="4" w:space="0" w:color="000000"/>
              <w:right w:val="single" w:sz="4" w:space="0" w:color="000000"/>
            </w:tcBorders>
          </w:tcPr>
          <w:p>
            <w:pPr/>
          </w:p>
        </w:tc>
        <w:tc>
          <w:tcPr>
            <w:tcW w:w="862" w:type="dxa"/>
            <w:vMerge w:val="restart"/>
            <w:tcBorders>
              <w:top w:val="single" w:sz="21" w:space="0" w:color="D2D2D2"/>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2,748,562,</w:t>
            </w:r>
          </w:p>
          <w:p>
            <w:pPr>
              <w:pStyle w:val="TableParagraph"/>
              <w:spacing w:line="240" w:lineRule="auto" w:before="102"/>
              <w:ind w:left="335" w:right="0"/>
              <w:jc w:val="left"/>
              <w:rPr>
                <w:rFonts w:ascii="Times New Roman" w:hAnsi="Times New Roman" w:cs="Times New Roman" w:eastAsia="Times New Roman" w:hint="default"/>
                <w:sz w:val="18"/>
                <w:szCs w:val="18"/>
              </w:rPr>
            </w:pPr>
            <w:r>
              <w:rPr>
                <w:rFonts w:ascii="Times New Roman"/>
                <w:sz w:val="18"/>
              </w:rPr>
              <w:t>828.91</w:t>
            </w:r>
          </w:p>
        </w:tc>
      </w:tr>
      <w:tr>
        <w:trPr>
          <w:trHeight w:val="703" w:hRule="exact"/>
        </w:trPr>
        <w:tc>
          <w:tcPr>
            <w:tcW w:w="128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4" w:lineRule="auto" w:before="49"/>
              <w:ind w:left="12" w:right="9"/>
              <w:jc w:val="left"/>
              <w:rPr>
                <w:rFonts w:ascii="宋体" w:hAnsi="宋体" w:cs="宋体" w:eastAsia="宋体" w:hint="default"/>
                <w:sz w:val="18"/>
                <w:szCs w:val="18"/>
              </w:rPr>
            </w:pPr>
            <w:r>
              <w:rPr>
                <w:rFonts w:ascii="宋体" w:hAnsi="宋体" w:cs="宋体" w:eastAsia="宋体" w:hint="default"/>
                <w:spacing w:val="-2"/>
                <w:sz w:val="18"/>
                <w:szCs w:val="18"/>
              </w:rPr>
              <w:t>一、上年期末余</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额</w:t>
            </w:r>
          </w:p>
        </w:tc>
        <w:tc>
          <w:tcPr>
            <w:tcW w:w="640" w:type="dxa"/>
            <w:vMerge/>
            <w:tcBorders>
              <w:left w:val="single" w:sz="10" w:space="0" w:color="D2D2D2"/>
              <w:right w:val="single" w:sz="4" w:space="0" w:color="000000"/>
            </w:tcBorders>
          </w:tcPr>
          <w:p>
            <w:pPr/>
          </w:p>
        </w:tc>
        <w:tc>
          <w:tcPr>
            <w:tcW w:w="605" w:type="dxa"/>
            <w:vMerge/>
            <w:tcBorders>
              <w:left w:val="single" w:sz="4" w:space="0" w:color="000000"/>
              <w:right w:val="single" w:sz="4" w:space="0" w:color="000000"/>
            </w:tcBorders>
          </w:tcPr>
          <w:p>
            <w:pPr/>
          </w:p>
        </w:tc>
        <w:tc>
          <w:tcPr>
            <w:tcW w:w="603" w:type="dxa"/>
            <w:vMerge/>
            <w:tcBorders>
              <w:left w:val="single" w:sz="4" w:space="0" w:color="000000"/>
              <w:right w:val="single" w:sz="4" w:space="0" w:color="000000"/>
            </w:tcBorders>
          </w:tcPr>
          <w:p>
            <w:pPr/>
          </w:p>
        </w:tc>
        <w:tc>
          <w:tcPr>
            <w:tcW w:w="605"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8" w:type="dxa"/>
            <w:vMerge/>
            <w:tcBorders>
              <w:left w:val="single" w:sz="4" w:space="0" w:color="000000"/>
              <w:right w:val="single" w:sz="4" w:space="0" w:color="000000"/>
            </w:tcBorders>
          </w:tcPr>
          <w:p>
            <w:pPr/>
          </w:p>
        </w:tc>
        <w:tc>
          <w:tcPr>
            <w:tcW w:w="725"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10" w:type="dxa"/>
            <w:vMerge/>
            <w:tcBorders>
              <w:left w:val="single" w:sz="4" w:space="0" w:color="000000"/>
              <w:right w:val="single" w:sz="4" w:space="0" w:color="000000"/>
            </w:tcBorders>
          </w:tcPr>
          <w:p>
            <w:pPr/>
          </w:p>
        </w:tc>
        <w:tc>
          <w:tcPr>
            <w:tcW w:w="862" w:type="dxa"/>
            <w:vMerge/>
            <w:tcBorders>
              <w:left w:val="single" w:sz="4" w:space="0" w:color="000000"/>
              <w:right w:val="single" w:sz="4" w:space="0" w:color="000000"/>
            </w:tcBorders>
          </w:tcPr>
          <w:p>
            <w:pPr/>
          </w:p>
        </w:tc>
      </w:tr>
      <w:tr>
        <w:trPr>
          <w:trHeight w:val="161" w:hRule="exact"/>
        </w:trPr>
        <w:tc>
          <w:tcPr>
            <w:tcW w:w="1283" w:type="dxa"/>
            <w:tcBorders>
              <w:top w:val="nil" w:sz="6" w:space="0" w:color="auto"/>
              <w:left w:val="single" w:sz="4" w:space="0" w:color="000000"/>
              <w:bottom w:val="single" w:sz="4" w:space="0" w:color="000000"/>
              <w:right w:val="single" w:sz="4" w:space="0" w:color="000000"/>
            </w:tcBorders>
            <w:shd w:val="clear" w:color="auto" w:fill="D2D2D2"/>
          </w:tcPr>
          <w:p>
            <w:pPr/>
          </w:p>
        </w:tc>
        <w:tc>
          <w:tcPr>
            <w:tcW w:w="640" w:type="dxa"/>
            <w:vMerge/>
            <w:tcBorders>
              <w:left w:val="single" w:sz="10" w:space="0" w:color="D2D2D2"/>
              <w:bottom w:val="single" w:sz="4" w:space="0" w:color="000000"/>
              <w:right w:val="single" w:sz="4" w:space="0" w:color="000000"/>
            </w:tcBorders>
          </w:tcPr>
          <w:p>
            <w:pPr/>
          </w:p>
        </w:tc>
        <w:tc>
          <w:tcPr>
            <w:tcW w:w="605" w:type="dxa"/>
            <w:vMerge/>
            <w:tcBorders>
              <w:left w:val="single" w:sz="4" w:space="0" w:color="000000"/>
              <w:bottom w:val="single" w:sz="4" w:space="0" w:color="000000"/>
              <w:right w:val="single" w:sz="4" w:space="0" w:color="000000"/>
            </w:tcBorders>
          </w:tcPr>
          <w:p>
            <w:pPr/>
          </w:p>
        </w:tc>
        <w:tc>
          <w:tcPr>
            <w:tcW w:w="603" w:type="dxa"/>
            <w:vMerge/>
            <w:tcBorders>
              <w:left w:val="single" w:sz="4" w:space="0" w:color="000000"/>
              <w:bottom w:val="single" w:sz="4" w:space="0" w:color="000000"/>
              <w:right w:val="single" w:sz="4" w:space="0" w:color="000000"/>
            </w:tcBorders>
          </w:tcPr>
          <w:p>
            <w:pPr/>
          </w:p>
        </w:tc>
        <w:tc>
          <w:tcPr>
            <w:tcW w:w="605"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8" w:type="dxa"/>
            <w:vMerge/>
            <w:tcBorders>
              <w:left w:val="single" w:sz="4" w:space="0" w:color="000000"/>
              <w:bottom w:val="single" w:sz="4" w:space="0" w:color="000000"/>
              <w:right w:val="single" w:sz="4" w:space="0" w:color="000000"/>
            </w:tcBorders>
          </w:tcPr>
          <w:p>
            <w:pPr/>
          </w:p>
        </w:tc>
        <w:tc>
          <w:tcPr>
            <w:tcW w:w="725"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615" w:type="dxa"/>
            <w:vMerge/>
            <w:tcBorders>
              <w:left w:val="single" w:sz="4" w:space="0" w:color="000000"/>
              <w:bottom w:val="single" w:sz="4" w:space="0" w:color="000000"/>
              <w:right w:val="single" w:sz="4" w:space="0" w:color="000000"/>
            </w:tcBorders>
          </w:tcPr>
          <w:p>
            <w:pPr/>
          </w:p>
        </w:tc>
        <w:tc>
          <w:tcPr>
            <w:tcW w:w="710" w:type="dxa"/>
            <w:vMerge/>
            <w:tcBorders>
              <w:left w:val="single" w:sz="4" w:space="0" w:color="000000"/>
              <w:bottom w:val="single" w:sz="4" w:space="0" w:color="000000"/>
              <w:right w:val="single" w:sz="4" w:space="0" w:color="000000"/>
            </w:tcBorders>
          </w:tcPr>
          <w:p>
            <w:pPr/>
          </w:p>
        </w:tc>
        <w:tc>
          <w:tcPr>
            <w:tcW w:w="862" w:type="dxa"/>
            <w:vMerge/>
            <w:tcBorders>
              <w:left w:val="single" w:sz="4" w:space="0" w:color="000000"/>
              <w:bottom w:val="single" w:sz="4" w:space="0" w:color="000000"/>
              <w:right w:val="single" w:sz="4" w:space="0" w:color="000000"/>
            </w:tcBorders>
          </w:tcPr>
          <w:p>
            <w:pPr/>
          </w:p>
        </w:tc>
      </w:tr>
      <w:tr>
        <w:trPr>
          <w:trHeight w:val="713" w:hRule="exact"/>
        </w:trPr>
        <w:tc>
          <w:tcPr>
            <w:tcW w:w="1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8" w:firstLine="360"/>
              <w:jc w:val="left"/>
              <w:rPr>
                <w:rFonts w:ascii="宋体" w:hAnsi="宋体" w:cs="宋体" w:eastAsia="宋体" w:hint="default"/>
                <w:sz w:val="18"/>
                <w:szCs w:val="18"/>
              </w:rPr>
            </w:pPr>
            <w:r>
              <w:rPr>
                <w:rFonts w:ascii="宋体" w:hAnsi="宋体" w:cs="宋体" w:eastAsia="宋体" w:hint="default"/>
                <w:spacing w:val="-2"/>
                <w:sz w:val="18"/>
                <w:szCs w:val="18"/>
              </w:rPr>
              <w:t>加：会计政</w:t>
            </w:r>
            <w:r>
              <w:rPr>
                <w:rFonts w:ascii="宋体" w:hAnsi="宋体" w:cs="宋体" w:eastAsia="宋体" w:hint="default"/>
                <w:sz w:val="18"/>
                <w:szCs w:val="18"/>
              </w:rPr>
              <w:t> 策变更</w:t>
            </w:r>
          </w:p>
        </w:tc>
        <w:tc>
          <w:tcPr>
            <w:tcW w:w="640" w:type="dxa"/>
            <w:tcBorders>
              <w:top w:val="single" w:sz="4" w:space="0" w:color="000000"/>
              <w:left w:val="single" w:sz="10" w:space="0" w:color="D2D2D2"/>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2" w:right="0"/>
              <w:jc w:val="left"/>
              <w:rPr>
                <w:rFonts w:ascii="宋体" w:hAnsi="宋体" w:cs="宋体" w:eastAsia="宋体" w:hint="default"/>
                <w:sz w:val="18"/>
                <w:szCs w:val="18"/>
              </w:rPr>
            </w:pPr>
            <w:r>
              <w:rPr>
                <w:rFonts w:ascii="宋体" w:hAnsi="宋体" w:cs="宋体" w:eastAsia="宋体" w:hint="default"/>
                <w:sz w:val="18"/>
                <w:szCs w:val="18"/>
              </w:rPr>
              <w:t>前期</w:t>
            </w:r>
          </w:p>
          <w:p>
            <w:pPr>
              <w:pStyle w:val="TableParagraph"/>
              <w:spacing w:line="240" w:lineRule="auto" w:before="74"/>
              <w:ind w:left="12" w:right="0"/>
              <w:jc w:val="left"/>
              <w:rPr>
                <w:rFonts w:ascii="宋体" w:hAnsi="宋体" w:cs="宋体" w:eastAsia="宋体" w:hint="default"/>
                <w:sz w:val="18"/>
                <w:szCs w:val="18"/>
              </w:rPr>
            </w:pPr>
            <w:r>
              <w:rPr>
                <w:rFonts w:ascii="宋体" w:hAnsi="宋体" w:cs="宋体" w:eastAsia="宋体" w:hint="default"/>
                <w:sz w:val="18"/>
                <w:szCs w:val="18"/>
              </w:rPr>
              <w:t>差错更正</w:t>
            </w:r>
          </w:p>
        </w:tc>
        <w:tc>
          <w:tcPr>
            <w:tcW w:w="640" w:type="dxa"/>
            <w:tcBorders>
              <w:top w:val="single" w:sz="4" w:space="0" w:color="000000"/>
              <w:left w:val="single" w:sz="10" w:space="0" w:color="D2D2D2"/>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40" w:type="dxa"/>
            <w:tcBorders>
              <w:top w:val="single" w:sz="4" w:space="0" w:color="000000"/>
              <w:left w:val="single" w:sz="10" w:space="0" w:color="D2D2D2"/>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163" w:hRule="exact"/>
        </w:trPr>
        <w:tc>
          <w:tcPr>
            <w:tcW w:w="1283" w:type="dxa"/>
            <w:tcBorders>
              <w:top w:val="single" w:sz="4" w:space="0" w:color="000000"/>
              <w:left w:val="single" w:sz="4" w:space="0" w:color="000000"/>
              <w:bottom w:val="nil" w:sz="6" w:space="0" w:color="auto"/>
              <w:right w:val="single" w:sz="4" w:space="0" w:color="000000"/>
            </w:tcBorders>
            <w:shd w:val="clear" w:color="auto" w:fill="D2D2D2"/>
          </w:tcPr>
          <w:p>
            <w:pPr/>
          </w:p>
        </w:tc>
        <w:tc>
          <w:tcPr>
            <w:tcW w:w="640" w:type="dxa"/>
            <w:vMerge w:val="restart"/>
            <w:tcBorders>
              <w:top w:val="single" w:sz="4" w:space="0" w:color="000000"/>
              <w:left w:val="single" w:sz="10" w:space="0" w:color="D2D2D2"/>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1,902,1</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59,229.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605" w:type="dxa"/>
            <w:vMerge w:val="restart"/>
            <w:tcBorders>
              <w:top w:val="single" w:sz="4" w:space="0" w:color="000000"/>
              <w:left w:val="single" w:sz="4" w:space="0" w:color="000000"/>
              <w:right w:val="single" w:sz="4" w:space="0" w:color="000000"/>
            </w:tcBorders>
          </w:tcPr>
          <w:p>
            <w:pPr/>
          </w:p>
        </w:tc>
        <w:tc>
          <w:tcPr>
            <w:tcW w:w="603" w:type="dxa"/>
            <w:vMerge w:val="restart"/>
            <w:tcBorders>
              <w:top w:val="single" w:sz="4" w:space="0" w:color="000000"/>
              <w:left w:val="single" w:sz="4" w:space="0" w:color="000000"/>
              <w:right w:val="single" w:sz="4" w:space="0" w:color="000000"/>
            </w:tcBorders>
          </w:tcPr>
          <w:p>
            <w:pPr/>
          </w:p>
        </w:tc>
        <w:tc>
          <w:tcPr>
            <w:tcW w:w="605"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154,732,</w:t>
            </w:r>
          </w:p>
          <w:p>
            <w:pPr>
              <w:pStyle w:val="TableParagraph"/>
              <w:spacing w:line="240" w:lineRule="auto" w:before="102"/>
              <w:ind w:left="175" w:right="0"/>
              <w:jc w:val="center"/>
              <w:rPr>
                <w:rFonts w:ascii="Times New Roman" w:hAnsi="Times New Roman" w:cs="Times New Roman" w:eastAsia="Times New Roman" w:hint="default"/>
                <w:sz w:val="18"/>
                <w:szCs w:val="18"/>
              </w:rPr>
            </w:pPr>
            <w:r>
              <w:rPr>
                <w:rFonts w:ascii="Times New Roman"/>
                <w:sz w:val="18"/>
              </w:rPr>
              <w:t>501.26</w:t>
            </w:r>
          </w:p>
        </w:tc>
        <w:tc>
          <w:tcPr>
            <w:tcW w:w="728" w:type="dxa"/>
            <w:vMerge w:val="restart"/>
            <w:tcBorders>
              <w:top w:val="single" w:sz="4" w:space="0" w:color="000000"/>
              <w:left w:val="single" w:sz="4" w:space="0" w:color="000000"/>
              <w:right w:val="single" w:sz="4" w:space="0" w:color="000000"/>
            </w:tcBorders>
          </w:tcPr>
          <w:p>
            <w:pPr/>
          </w:p>
        </w:tc>
        <w:tc>
          <w:tcPr>
            <w:tcW w:w="725"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96,257,0</w:t>
            </w:r>
          </w:p>
          <w:p>
            <w:pPr>
              <w:pStyle w:val="TableParagraph"/>
              <w:spacing w:line="240" w:lineRule="auto" w:before="102"/>
              <w:ind w:left="287" w:right="0"/>
              <w:jc w:val="left"/>
              <w:rPr>
                <w:rFonts w:ascii="Times New Roman" w:hAnsi="Times New Roman" w:cs="Times New Roman" w:eastAsia="Times New Roman" w:hint="default"/>
                <w:sz w:val="18"/>
                <w:szCs w:val="18"/>
              </w:rPr>
            </w:pPr>
            <w:r>
              <w:rPr>
                <w:rFonts w:ascii="Times New Roman"/>
                <w:sz w:val="18"/>
              </w:rPr>
              <w:t>87.78</w:t>
            </w:r>
          </w:p>
        </w:tc>
        <w:tc>
          <w:tcPr>
            <w:tcW w:w="615" w:type="dxa"/>
            <w:vMerge w:val="restart"/>
            <w:tcBorders>
              <w:top w:val="single" w:sz="4" w:space="0" w:color="000000"/>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595,41</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pacing w:val="-1"/>
                <w:sz w:val="18"/>
              </w:rPr>
              <w:t>4,010.8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710" w:type="dxa"/>
            <w:vMerge w:val="restart"/>
            <w:tcBorders>
              <w:top w:val="single" w:sz="4" w:space="0" w:color="000000"/>
              <w:left w:val="single" w:sz="4" w:space="0" w:color="000000"/>
              <w:right w:val="single" w:sz="4" w:space="0" w:color="000000"/>
            </w:tcBorders>
          </w:tcPr>
          <w:p>
            <w:pPr/>
          </w:p>
        </w:tc>
        <w:tc>
          <w:tcPr>
            <w:tcW w:w="86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2,748,562,</w:t>
            </w:r>
          </w:p>
          <w:p>
            <w:pPr>
              <w:pStyle w:val="TableParagraph"/>
              <w:spacing w:line="240" w:lineRule="auto" w:before="102"/>
              <w:ind w:left="335" w:right="0"/>
              <w:jc w:val="left"/>
              <w:rPr>
                <w:rFonts w:ascii="Times New Roman" w:hAnsi="Times New Roman" w:cs="Times New Roman" w:eastAsia="Times New Roman" w:hint="default"/>
                <w:sz w:val="18"/>
                <w:szCs w:val="18"/>
              </w:rPr>
            </w:pPr>
            <w:r>
              <w:rPr>
                <w:rFonts w:ascii="Times New Roman"/>
                <w:sz w:val="18"/>
              </w:rPr>
              <w:t>828.91</w:t>
            </w:r>
          </w:p>
        </w:tc>
      </w:tr>
      <w:tr>
        <w:trPr>
          <w:trHeight w:val="703" w:hRule="exact"/>
        </w:trPr>
        <w:tc>
          <w:tcPr>
            <w:tcW w:w="128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4" w:lineRule="auto" w:before="49"/>
              <w:ind w:left="12" w:right="9"/>
              <w:jc w:val="left"/>
              <w:rPr>
                <w:rFonts w:ascii="宋体" w:hAnsi="宋体" w:cs="宋体" w:eastAsia="宋体" w:hint="default"/>
                <w:sz w:val="18"/>
                <w:szCs w:val="18"/>
              </w:rPr>
            </w:pPr>
            <w:r>
              <w:rPr>
                <w:rFonts w:ascii="宋体" w:hAnsi="宋体" w:cs="宋体" w:eastAsia="宋体" w:hint="default"/>
                <w:spacing w:val="-2"/>
                <w:sz w:val="18"/>
                <w:szCs w:val="18"/>
              </w:rPr>
              <w:t>二、本年期初余</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额</w:t>
            </w:r>
          </w:p>
        </w:tc>
        <w:tc>
          <w:tcPr>
            <w:tcW w:w="640" w:type="dxa"/>
            <w:vMerge/>
            <w:tcBorders>
              <w:left w:val="single" w:sz="10" w:space="0" w:color="D2D2D2"/>
              <w:right w:val="single" w:sz="4" w:space="0" w:color="000000"/>
            </w:tcBorders>
          </w:tcPr>
          <w:p>
            <w:pPr/>
          </w:p>
        </w:tc>
        <w:tc>
          <w:tcPr>
            <w:tcW w:w="605" w:type="dxa"/>
            <w:vMerge/>
            <w:tcBorders>
              <w:left w:val="single" w:sz="4" w:space="0" w:color="000000"/>
              <w:right w:val="single" w:sz="4" w:space="0" w:color="000000"/>
            </w:tcBorders>
          </w:tcPr>
          <w:p>
            <w:pPr/>
          </w:p>
        </w:tc>
        <w:tc>
          <w:tcPr>
            <w:tcW w:w="603" w:type="dxa"/>
            <w:vMerge/>
            <w:tcBorders>
              <w:left w:val="single" w:sz="4" w:space="0" w:color="000000"/>
              <w:right w:val="single" w:sz="4" w:space="0" w:color="000000"/>
            </w:tcBorders>
          </w:tcPr>
          <w:p>
            <w:pPr/>
          </w:p>
        </w:tc>
        <w:tc>
          <w:tcPr>
            <w:tcW w:w="605"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8" w:type="dxa"/>
            <w:vMerge/>
            <w:tcBorders>
              <w:left w:val="single" w:sz="4" w:space="0" w:color="000000"/>
              <w:right w:val="single" w:sz="4" w:space="0" w:color="000000"/>
            </w:tcBorders>
          </w:tcPr>
          <w:p>
            <w:pPr/>
          </w:p>
        </w:tc>
        <w:tc>
          <w:tcPr>
            <w:tcW w:w="725"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10" w:type="dxa"/>
            <w:vMerge/>
            <w:tcBorders>
              <w:left w:val="single" w:sz="4" w:space="0" w:color="000000"/>
              <w:right w:val="single" w:sz="4" w:space="0" w:color="000000"/>
            </w:tcBorders>
          </w:tcPr>
          <w:p>
            <w:pPr/>
          </w:p>
        </w:tc>
        <w:tc>
          <w:tcPr>
            <w:tcW w:w="862" w:type="dxa"/>
            <w:vMerge/>
            <w:tcBorders>
              <w:left w:val="single" w:sz="4" w:space="0" w:color="000000"/>
              <w:right w:val="single" w:sz="4" w:space="0" w:color="000000"/>
            </w:tcBorders>
          </w:tcPr>
          <w:p>
            <w:pPr/>
          </w:p>
        </w:tc>
      </w:tr>
      <w:tr>
        <w:trPr>
          <w:trHeight w:val="161" w:hRule="exact"/>
        </w:trPr>
        <w:tc>
          <w:tcPr>
            <w:tcW w:w="1283" w:type="dxa"/>
            <w:tcBorders>
              <w:top w:val="nil" w:sz="6" w:space="0" w:color="auto"/>
              <w:left w:val="single" w:sz="4" w:space="0" w:color="000000"/>
              <w:bottom w:val="single" w:sz="4" w:space="0" w:color="000000"/>
              <w:right w:val="single" w:sz="4" w:space="0" w:color="000000"/>
            </w:tcBorders>
            <w:shd w:val="clear" w:color="auto" w:fill="D2D2D2"/>
          </w:tcPr>
          <w:p>
            <w:pPr/>
          </w:p>
        </w:tc>
        <w:tc>
          <w:tcPr>
            <w:tcW w:w="640" w:type="dxa"/>
            <w:vMerge/>
            <w:tcBorders>
              <w:left w:val="single" w:sz="10" w:space="0" w:color="D2D2D2"/>
              <w:bottom w:val="single" w:sz="4" w:space="0" w:color="000000"/>
              <w:right w:val="single" w:sz="4" w:space="0" w:color="000000"/>
            </w:tcBorders>
          </w:tcPr>
          <w:p>
            <w:pPr/>
          </w:p>
        </w:tc>
        <w:tc>
          <w:tcPr>
            <w:tcW w:w="605" w:type="dxa"/>
            <w:vMerge/>
            <w:tcBorders>
              <w:left w:val="single" w:sz="4" w:space="0" w:color="000000"/>
              <w:bottom w:val="single" w:sz="4" w:space="0" w:color="000000"/>
              <w:right w:val="single" w:sz="4" w:space="0" w:color="000000"/>
            </w:tcBorders>
          </w:tcPr>
          <w:p>
            <w:pPr/>
          </w:p>
        </w:tc>
        <w:tc>
          <w:tcPr>
            <w:tcW w:w="603" w:type="dxa"/>
            <w:vMerge/>
            <w:tcBorders>
              <w:left w:val="single" w:sz="4" w:space="0" w:color="000000"/>
              <w:bottom w:val="single" w:sz="4" w:space="0" w:color="000000"/>
              <w:right w:val="single" w:sz="4" w:space="0" w:color="000000"/>
            </w:tcBorders>
          </w:tcPr>
          <w:p>
            <w:pPr/>
          </w:p>
        </w:tc>
        <w:tc>
          <w:tcPr>
            <w:tcW w:w="605"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8" w:type="dxa"/>
            <w:vMerge/>
            <w:tcBorders>
              <w:left w:val="single" w:sz="4" w:space="0" w:color="000000"/>
              <w:bottom w:val="single" w:sz="4" w:space="0" w:color="000000"/>
              <w:right w:val="single" w:sz="4" w:space="0" w:color="000000"/>
            </w:tcBorders>
          </w:tcPr>
          <w:p>
            <w:pPr/>
          </w:p>
        </w:tc>
        <w:tc>
          <w:tcPr>
            <w:tcW w:w="725"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615" w:type="dxa"/>
            <w:vMerge/>
            <w:tcBorders>
              <w:left w:val="single" w:sz="4" w:space="0" w:color="000000"/>
              <w:bottom w:val="single" w:sz="4" w:space="0" w:color="000000"/>
              <w:right w:val="single" w:sz="4" w:space="0" w:color="000000"/>
            </w:tcBorders>
          </w:tcPr>
          <w:p>
            <w:pPr/>
          </w:p>
        </w:tc>
        <w:tc>
          <w:tcPr>
            <w:tcW w:w="710" w:type="dxa"/>
            <w:vMerge/>
            <w:tcBorders>
              <w:left w:val="single" w:sz="4" w:space="0" w:color="000000"/>
              <w:bottom w:val="single" w:sz="4" w:space="0" w:color="000000"/>
              <w:right w:val="single" w:sz="4" w:space="0" w:color="000000"/>
            </w:tcBorders>
          </w:tcPr>
          <w:p>
            <w:pPr/>
          </w:p>
        </w:tc>
        <w:tc>
          <w:tcPr>
            <w:tcW w:w="862" w:type="dxa"/>
            <w:vMerge/>
            <w:tcBorders>
              <w:left w:val="single" w:sz="4" w:space="0" w:color="000000"/>
              <w:bottom w:val="single" w:sz="4" w:space="0" w:color="000000"/>
              <w:right w:val="single" w:sz="4" w:space="0" w:color="000000"/>
            </w:tcBorders>
          </w:tcPr>
          <w:p>
            <w:pPr/>
          </w:p>
        </w:tc>
      </w:tr>
      <w:tr>
        <w:trPr>
          <w:trHeight w:val="1025" w:hRule="exact"/>
        </w:trPr>
        <w:tc>
          <w:tcPr>
            <w:tcW w:w="1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
              <w:jc w:val="both"/>
              <w:rPr>
                <w:rFonts w:ascii="宋体" w:hAnsi="宋体" w:cs="宋体" w:eastAsia="宋体" w:hint="default"/>
                <w:sz w:val="18"/>
                <w:szCs w:val="18"/>
              </w:rPr>
            </w:pPr>
            <w:r>
              <w:rPr>
                <w:rFonts w:ascii="宋体" w:hAnsi="宋体" w:cs="宋体" w:eastAsia="宋体" w:hint="default"/>
                <w:spacing w:val="-2"/>
                <w:sz w:val="18"/>
                <w:szCs w:val="18"/>
              </w:rPr>
              <w:t>三、本期增减变</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动金额（减少以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64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8" w:right="0"/>
              <w:jc w:val="left"/>
              <w:rPr>
                <w:rFonts w:ascii="Times New Roman" w:hAnsi="Times New Roman" w:cs="Times New Roman" w:eastAsia="Times New Roman" w:hint="default"/>
                <w:sz w:val="18"/>
                <w:szCs w:val="18"/>
              </w:rPr>
            </w:pPr>
            <w:r>
              <w:rPr>
                <w:rFonts w:ascii="Times New Roman"/>
                <w:sz w:val="18"/>
              </w:rPr>
              <w:t>32,880,</w:t>
            </w:r>
          </w:p>
          <w:p>
            <w:pPr>
              <w:pStyle w:val="TableParagraph"/>
              <w:spacing w:line="240" w:lineRule="auto" w:before="105"/>
              <w:ind w:left="104" w:right="0"/>
              <w:jc w:val="left"/>
              <w:rPr>
                <w:rFonts w:ascii="Times New Roman" w:hAnsi="Times New Roman" w:cs="Times New Roman" w:eastAsia="Times New Roman" w:hint="default"/>
                <w:sz w:val="18"/>
                <w:szCs w:val="18"/>
              </w:rPr>
            </w:pPr>
            <w:r>
              <w:rPr>
                <w:rFonts w:ascii="Times New Roman"/>
                <w:sz w:val="18"/>
              </w:rPr>
              <w:t>000.00</w:t>
            </w: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34,684,6</w:t>
            </w:r>
          </w:p>
          <w:p>
            <w:pPr>
              <w:pStyle w:val="TableParagraph"/>
              <w:spacing w:line="240" w:lineRule="auto" w:before="105"/>
              <w:ind w:left="287" w:right="0"/>
              <w:jc w:val="left"/>
              <w:rPr>
                <w:rFonts w:ascii="Times New Roman" w:hAnsi="Times New Roman" w:cs="Times New Roman" w:eastAsia="Times New Roman" w:hint="default"/>
                <w:sz w:val="18"/>
                <w:szCs w:val="18"/>
              </w:rPr>
            </w:pPr>
            <w:r>
              <w:rPr>
                <w:rFonts w:ascii="Times New Roman"/>
                <w:sz w:val="18"/>
              </w:rPr>
              <w:t>33.33</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62,472,0</w:t>
            </w:r>
          </w:p>
          <w:p>
            <w:pPr>
              <w:pStyle w:val="TableParagraph"/>
              <w:spacing w:line="240" w:lineRule="auto" w:before="105"/>
              <w:ind w:left="290" w:right="0"/>
              <w:jc w:val="left"/>
              <w:rPr>
                <w:rFonts w:ascii="Times New Roman" w:hAnsi="Times New Roman" w:cs="Times New Roman" w:eastAsia="Times New Roman" w:hint="default"/>
                <w:sz w:val="18"/>
                <w:szCs w:val="18"/>
              </w:rPr>
            </w:pPr>
            <w:r>
              <w:rPr>
                <w:rFonts w:ascii="Times New Roman"/>
                <w:sz w:val="18"/>
              </w:rPr>
              <w:t>00.00</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3" w:right="0"/>
              <w:jc w:val="center"/>
              <w:rPr>
                <w:rFonts w:ascii="Times New Roman" w:hAnsi="Times New Roman" w:cs="Times New Roman" w:eastAsia="Times New Roman" w:hint="default"/>
                <w:sz w:val="18"/>
                <w:szCs w:val="18"/>
              </w:rPr>
            </w:pPr>
            <w:r>
              <w:rPr>
                <w:rFonts w:ascii="Times New Roman"/>
                <w:sz w:val="18"/>
              </w:rPr>
              <w:t>-28,391,</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180.51</w:t>
            </w: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10,981,7</w:t>
            </w:r>
          </w:p>
          <w:p>
            <w:pPr>
              <w:pStyle w:val="TableParagraph"/>
              <w:spacing w:line="240" w:lineRule="auto" w:before="105"/>
              <w:ind w:left="287" w:right="0"/>
              <w:jc w:val="left"/>
              <w:rPr>
                <w:rFonts w:ascii="Times New Roman" w:hAnsi="Times New Roman" w:cs="Times New Roman" w:eastAsia="Times New Roman" w:hint="default"/>
                <w:sz w:val="18"/>
                <w:szCs w:val="18"/>
              </w:rPr>
            </w:pPr>
            <w:r>
              <w:rPr>
                <w:rFonts w:ascii="Times New Roman"/>
                <w:sz w:val="18"/>
              </w:rPr>
              <w:t>37.80</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98,835,</w:t>
            </w:r>
          </w:p>
          <w:p>
            <w:pPr>
              <w:pStyle w:val="TableParagraph"/>
              <w:spacing w:line="240" w:lineRule="auto" w:before="105"/>
              <w:ind w:left="88" w:right="0"/>
              <w:jc w:val="left"/>
              <w:rPr>
                <w:rFonts w:ascii="Times New Roman" w:hAnsi="Times New Roman" w:cs="Times New Roman" w:eastAsia="Times New Roman" w:hint="default"/>
                <w:sz w:val="18"/>
                <w:szCs w:val="18"/>
              </w:rPr>
            </w:pPr>
            <w:r>
              <w:rPr>
                <w:rFonts w:ascii="Times New Roman"/>
                <w:sz w:val="18"/>
              </w:rPr>
              <w:t>640.18</w:t>
            </w: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0" w:right="0"/>
              <w:jc w:val="left"/>
              <w:rPr>
                <w:rFonts w:ascii="Times New Roman" w:hAnsi="Times New Roman" w:cs="Times New Roman" w:eastAsia="Times New Roman" w:hint="default"/>
                <w:sz w:val="18"/>
                <w:szCs w:val="18"/>
              </w:rPr>
            </w:pPr>
            <w:r>
              <w:rPr>
                <w:rFonts w:ascii="Times New Roman"/>
                <w:sz w:val="18"/>
              </w:rPr>
              <w:t>86,518,83</w:t>
            </w:r>
          </w:p>
          <w:p>
            <w:pPr>
              <w:pStyle w:val="TableParagraph"/>
              <w:spacing w:line="240" w:lineRule="auto" w:before="105"/>
              <w:ind w:left="515" w:right="0"/>
              <w:jc w:val="left"/>
              <w:rPr>
                <w:rFonts w:ascii="Times New Roman" w:hAnsi="Times New Roman" w:cs="Times New Roman" w:eastAsia="Times New Roman" w:hint="default"/>
                <w:sz w:val="18"/>
                <w:szCs w:val="18"/>
              </w:rPr>
            </w:pPr>
            <w:r>
              <w:rPr>
                <w:rFonts w:ascii="Times New Roman"/>
                <w:sz w:val="18"/>
              </w:rPr>
              <w:t>0.80</w:t>
            </w:r>
          </w:p>
        </w:tc>
      </w:tr>
    </w:tbl>
    <w:p>
      <w:pPr>
        <w:spacing w:after="0" w:line="240" w:lineRule="auto"/>
        <w:jc w:val="left"/>
        <w:rPr>
          <w:rFonts w:ascii="Times New Roman" w:hAnsi="Times New Roman" w:cs="Times New Roman" w:eastAsia="Times New Roman" w:hint="default"/>
          <w:sz w:val="18"/>
          <w:szCs w:val="18"/>
        </w:rPr>
        <w:sectPr>
          <w:footerReference w:type="default" r:id="rId17"/>
          <w:pgSz w:w="11910" w:h="16840"/>
          <w:pgMar w:footer="980" w:header="745"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305"/>
        <w:gridCol w:w="629"/>
        <w:gridCol w:w="605"/>
        <w:gridCol w:w="603"/>
        <w:gridCol w:w="605"/>
        <w:gridCol w:w="727"/>
        <w:gridCol w:w="728"/>
        <w:gridCol w:w="725"/>
        <w:gridCol w:w="727"/>
        <w:gridCol w:w="727"/>
        <w:gridCol w:w="615"/>
        <w:gridCol w:w="710"/>
        <w:gridCol w:w="862"/>
      </w:tblGrid>
      <w:tr>
        <w:trPr>
          <w:trHeight w:val="1025" w:hRule="exact"/>
        </w:trPr>
        <w:tc>
          <w:tcPr>
            <w:tcW w:w="1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22" w:right="19"/>
              <w:jc w:val="left"/>
              <w:rPr>
                <w:rFonts w:ascii="宋体" w:hAnsi="宋体" w:cs="宋体" w:eastAsia="宋体" w:hint="default"/>
                <w:sz w:val="18"/>
                <w:szCs w:val="18"/>
              </w:rPr>
            </w:pPr>
            <w:r>
              <w:rPr>
                <w:rFonts w:ascii="宋体" w:hAnsi="宋体" w:cs="宋体" w:eastAsia="宋体" w:hint="default"/>
                <w:spacing w:val="-2"/>
                <w:sz w:val="18"/>
                <w:szCs w:val="18"/>
              </w:rPr>
              <w:t>（一）综合收益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总额</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3" w:right="0"/>
              <w:jc w:val="center"/>
              <w:rPr>
                <w:rFonts w:ascii="Times New Roman" w:hAnsi="Times New Roman" w:cs="Times New Roman" w:eastAsia="Times New Roman" w:hint="default"/>
                <w:sz w:val="18"/>
                <w:szCs w:val="18"/>
              </w:rPr>
            </w:pPr>
            <w:r>
              <w:rPr>
                <w:rFonts w:ascii="Times New Roman"/>
                <w:sz w:val="18"/>
              </w:rPr>
              <w:t>-28,391,</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180.51</w:t>
            </w: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109,81</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pacing w:val="-1"/>
                <w:sz w:val="18"/>
              </w:rPr>
              <w:t>7,377.9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10" w:right="0"/>
              <w:jc w:val="left"/>
              <w:rPr>
                <w:rFonts w:ascii="Times New Roman" w:hAnsi="Times New Roman" w:cs="Times New Roman" w:eastAsia="Times New Roman" w:hint="default"/>
                <w:sz w:val="18"/>
                <w:szCs w:val="18"/>
              </w:rPr>
            </w:pPr>
            <w:r>
              <w:rPr>
                <w:rFonts w:ascii="Times New Roman"/>
                <w:sz w:val="18"/>
              </w:rPr>
              <w:t>81,426,19</w:t>
            </w:r>
          </w:p>
          <w:p>
            <w:pPr>
              <w:pStyle w:val="TableParagraph"/>
              <w:spacing w:line="240" w:lineRule="auto" w:before="105"/>
              <w:ind w:left="515" w:right="0"/>
              <w:jc w:val="left"/>
              <w:rPr>
                <w:rFonts w:ascii="Times New Roman" w:hAnsi="Times New Roman" w:cs="Times New Roman" w:eastAsia="Times New Roman" w:hint="default"/>
                <w:sz w:val="18"/>
                <w:szCs w:val="18"/>
              </w:rPr>
            </w:pPr>
            <w:r>
              <w:rPr>
                <w:rFonts w:ascii="Times New Roman"/>
                <w:sz w:val="18"/>
              </w:rPr>
              <w:t>7.47</w:t>
            </w:r>
          </w:p>
        </w:tc>
      </w:tr>
      <w:tr>
        <w:trPr>
          <w:trHeight w:val="715" w:hRule="exact"/>
        </w:trPr>
        <w:tc>
          <w:tcPr>
            <w:tcW w:w="1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19"/>
              <w:jc w:val="left"/>
              <w:rPr>
                <w:rFonts w:ascii="宋体" w:hAnsi="宋体" w:cs="宋体" w:eastAsia="宋体" w:hint="default"/>
                <w:sz w:val="18"/>
                <w:szCs w:val="18"/>
              </w:rPr>
            </w:pPr>
            <w:r>
              <w:rPr>
                <w:rFonts w:ascii="宋体" w:hAnsi="宋体" w:cs="宋体" w:eastAsia="宋体" w:hint="default"/>
                <w:spacing w:val="-2"/>
                <w:sz w:val="18"/>
                <w:szCs w:val="18"/>
              </w:rPr>
              <w:t>（二）所有者投</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入和减少资本</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5" w:right="0"/>
              <w:jc w:val="left"/>
              <w:rPr>
                <w:rFonts w:ascii="Times New Roman" w:hAnsi="Times New Roman" w:cs="Times New Roman" w:eastAsia="Times New Roman" w:hint="default"/>
                <w:sz w:val="18"/>
                <w:szCs w:val="18"/>
              </w:rPr>
            </w:pPr>
            <w:r>
              <w:rPr>
                <w:rFonts w:ascii="Times New Roman"/>
                <w:sz w:val="18"/>
              </w:rPr>
              <w:t>32,880,</w:t>
            </w:r>
          </w:p>
          <w:p>
            <w:pPr>
              <w:pStyle w:val="TableParagraph"/>
              <w:spacing w:line="240" w:lineRule="auto" w:before="102"/>
              <w:ind w:left="100" w:right="0"/>
              <w:jc w:val="left"/>
              <w:rPr>
                <w:rFonts w:ascii="Times New Roman" w:hAnsi="Times New Roman" w:cs="Times New Roman" w:eastAsia="Times New Roman" w:hint="default"/>
                <w:sz w:val="18"/>
                <w:szCs w:val="18"/>
              </w:rPr>
            </w:pPr>
            <w:r>
              <w:rPr>
                <w:rFonts w:ascii="Times New Roman"/>
                <w:sz w:val="18"/>
              </w:rPr>
              <w:t>000.00</w:t>
            </w: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2" w:right="0"/>
              <w:jc w:val="left"/>
              <w:rPr>
                <w:rFonts w:ascii="Times New Roman" w:hAnsi="Times New Roman" w:cs="Times New Roman" w:eastAsia="Times New Roman" w:hint="default"/>
                <w:sz w:val="18"/>
                <w:szCs w:val="18"/>
              </w:rPr>
            </w:pPr>
            <w:r>
              <w:rPr>
                <w:rFonts w:ascii="Times New Roman"/>
                <w:sz w:val="18"/>
              </w:rPr>
              <w:t>34,684,6</w:t>
            </w:r>
          </w:p>
          <w:p>
            <w:pPr>
              <w:pStyle w:val="TableParagraph"/>
              <w:spacing w:line="240" w:lineRule="auto" w:before="102"/>
              <w:ind w:left="287" w:right="0"/>
              <w:jc w:val="left"/>
              <w:rPr>
                <w:rFonts w:ascii="Times New Roman" w:hAnsi="Times New Roman" w:cs="Times New Roman" w:eastAsia="Times New Roman" w:hint="default"/>
                <w:sz w:val="18"/>
                <w:szCs w:val="18"/>
              </w:rPr>
            </w:pPr>
            <w:r>
              <w:rPr>
                <w:rFonts w:ascii="Times New Roman"/>
                <w:sz w:val="18"/>
              </w:rPr>
              <w:t>33.33</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4" w:right="0"/>
              <w:jc w:val="left"/>
              <w:rPr>
                <w:rFonts w:ascii="Times New Roman" w:hAnsi="Times New Roman" w:cs="Times New Roman" w:eastAsia="Times New Roman" w:hint="default"/>
                <w:sz w:val="18"/>
                <w:szCs w:val="18"/>
              </w:rPr>
            </w:pPr>
            <w:r>
              <w:rPr>
                <w:rFonts w:ascii="Times New Roman"/>
                <w:sz w:val="18"/>
              </w:rPr>
              <w:t>62,472,0</w:t>
            </w:r>
          </w:p>
          <w:p>
            <w:pPr>
              <w:pStyle w:val="TableParagraph"/>
              <w:spacing w:line="240" w:lineRule="auto" w:before="102"/>
              <w:ind w:left="290" w:right="0"/>
              <w:jc w:val="left"/>
              <w:rPr>
                <w:rFonts w:ascii="Times New Roman" w:hAnsi="Times New Roman" w:cs="Times New Roman" w:eastAsia="Times New Roman" w:hint="default"/>
                <w:sz w:val="18"/>
                <w:szCs w:val="18"/>
              </w:rPr>
            </w:pPr>
            <w:r>
              <w:rPr>
                <w:rFonts w:ascii="Times New Roman"/>
                <w:sz w:val="18"/>
              </w:rPr>
              <w:t>00.00</w:t>
            </w: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5,092,633.</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33</w:t>
            </w:r>
          </w:p>
        </w:tc>
      </w:tr>
      <w:tr>
        <w:trPr>
          <w:trHeight w:val="713" w:hRule="exact"/>
        </w:trPr>
        <w:tc>
          <w:tcPr>
            <w:tcW w:w="1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9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 的普通股</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5" w:right="0"/>
              <w:jc w:val="left"/>
              <w:rPr>
                <w:rFonts w:ascii="Times New Roman" w:hAnsi="Times New Roman" w:cs="Times New Roman" w:eastAsia="Times New Roman" w:hint="default"/>
                <w:sz w:val="18"/>
                <w:szCs w:val="18"/>
              </w:rPr>
            </w:pPr>
            <w:r>
              <w:rPr>
                <w:rFonts w:ascii="Times New Roman"/>
                <w:sz w:val="18"/>
              </w:rPr>
              <w:t>32,880,</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000.00</w:t>
            </w: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2" w:right="0"/>
              <w:jc w:val="left"/>
              <w:rPr>
                <w:rFonts w:ascii="Times New Roman" w:hAnsi="Times New Roman" w:cs="Times New Roman" w:eastAsia="Times New Roman" w:hint="default"/>
                <w:sz w:val="18"/>
                <w:szCs w:val="18"/>
              </w:rPr>
            </w:pPr>
            <w:r>
              <w:rPr>
                <w:rFonts w:ascii="Times New Roman"/>
                <w:sz w:val="18"/>
              </w:rPr>
              <w:t>29,592,0</w:t>
            </w:r>
          </w:p>
          <w:p>
            <w:pPr>
              <w:pStyle w:val="TableParagraph"/>
              <w:spacing w:line="240" w:lineRule="auto" w:before="105"/>
              <w:ind w:left="287" w:right="0"/>
              <w:jc w:val="left"/>
              <w:rPr>
                <w:rFonts w:ascii="Times New Roman" w:hAnsi="Times New Roman" w:cs="Times New Roman" w:eastAsia="Times New Roman" w:hint="default"/>
                <w:sz w:val="18"/>
                <w:szCs w:val="18"/>
              </w:rPr>
            </w:pPr>
            <w:r>
              <w:rPr>
                <w:rFonts w:ascii="Times New Roman"/>
                <w:sz w:val="18"/>
              </w:rPr>
              <w:t>00.00</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 w:right="0"/>
              <w:jc w:val="left"/>
              <w:rPr>
                <w:rFonts w:ascii="Times New Roman" w:hAnsi="Times New Roman" w:cs="Times New Roman" w:eastAsia="Times New Roman" w:hint="default"/>
                <w:sz w:val="18"/>
                <w:szCs w:val="18"/>
              </w:rPr>
            </w:pPr>
            <w:r>
              <w:rPr>
                <w:rFonts w:ascii="Times New Roman"/>
                <w:sz w:val="18"/>
              </w:rPr>
              <w:t>62,472,0</w:t>
            </w:r>
          </w:p>
          <w:p>
            <w:pPr>
              <w:pStyle w:val="TableParagraph"/>
              <w:spacing w:line="240" w:lineRule="auto" w:before="105"/>
              <w:ind w:left="290" w:right="0"/>
              <w:jc w:val="left"/>
              <w:rPr>
                <w:rFonts w:ascii="Times New Roman" w:hAnsi="Times New Roman" w:cs="Times New Roman" w:eastAsia="Times New Roman" w:hint="default"/>
                <w:sz w:val="18"/>
                <w:szCs w:val="18"/>
              </w:rPr>
            </w:pPr>
            <w:r>
              <w:rPr>
                <w:rFonts w:ascii="Times New Roman"/>
                <w:sz w:val="18"/>
              </w:rPr>
              <w:t>00.00</w:t>
            </w: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22" w:right="9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 具持有者投入 资本</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99"/>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 入所有者权益 的金额</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5,092,63</w:t>
            </w:r>
          </w:p>
          <w:p>
            <w:pPr>
              <w:pStyle w:val="TableParagraph"/>
              <w:spacing w:line="240" w:lineRule="auto" w:before="105"/>
              <w:ind w:left="379" w:right="0"/>
              <w:jc w:val="left"/>
              <w:rPr>
                <w:rFonts w:ascii="Times New Roman" w:hAnsi="Times New Roman" w:cs="Times New Roman" w:eastAsia="Times New Roman" w:hint="default"/>
                <w:sz w:val="18"/>
                <w:szCs w:val="18"/>
              </w:rPr>
            </w:pPr>
            <w:r>
              <w:rPr>
                <w:rFonts w:ascii="Times New Roman"/>
                <w:sz w:val="18"/>
              </w:rPr>
              <w:t>3.33</w:t>
            </w: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5,092,633.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33</w:t>
            </w:r>
          </w:p>
        </w:tc>
      </w:tr>
      <w:tr>
        <w:trPr>
          <w:trHeight w:val="403" w:hRule="exact"/>
        </w:trPr>
        <w:tc>
          <w:tcPr>
            <w:tcW w:w="1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2" w:right="0"/>
              <w:jc w:val="left"/>
              <w:rPr>
                <w:rFonts w:ascii="Times New Roman" w:hAnsi="Times New Roman" w:cs="Times New Roman" w:eastAsia="Times New Roman" w:hint="default"/>
                <w:sz w:val="18"/>
                <w:szCs w:val="18"/>
              </w:rPr>
            </w:pPr>
            <w:r>
              <w:rPr>
                <w:rFonts w:ascii="Times New Roman"/>
                <w:sz w:val="18"/>
              </w:rPr>
              <w:t>10,981,7</w:t>
            </w:r>
          </w:p>
          <w:p>
            <w:pPr>
              <w:pStyle w:val="TableParagraph"/>
              <w:spacing w:line="240" w:lineRule="auto" w:before="105"/>
              <w:ind w:left="287" w:right="0"/>
              <w:jc w:val="left"/>
              <w:rPr>
                <w:rFonts w:ascii="Times New Roman" w:hAnsi="Times New Roman" w:cs="Times New Roman" w:eastAsia="Times New Roman" w:hint="default"/>
                <w:sz w:val="18"/>
                <w:szCs w:val="18"/>
              </w:rPr>
            </w:pPr>
            <w:r>
              <w:rPr>
                <w:rFonts w:ascii="Times New Roman"/>
                <w:sz w:val="18"/>
              </w:rPr>
              <w:t>37.80</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-10,981</w:t>
            </w:r>
          </w:p>
          <w:p>
            <w:pPr>
              <w:pStyle w:val="TableParagraph"/>
              <w:spacing w:line="240" w:lineRule="auto" w:before="105"/>
              <w:ind w:left="43" w:right="0"/>
              <w:jc w:val="left"/>
              <w:rPr>
                <w:rFonts w:ascii="Times New Roman" w:hAnsi="Times New Roman" w:cs="Times New Roman" w:eastAsia="Times New Roman" w:hint="default"/>
                <w:sz w:val="18"/>
                <w:szCs w:val="18"/>
              </w:rPr>
            </w:pPr>
            <w:r>
              <w:rPr>
                <w:rFonts w:ascii="Times New Roman"/>
                <w:sz w:val="18"/>
              </w:rPr>
              <w:t>,737.80</w:t>
            </w: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9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 积</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2" w:right="0"/>
              <w:jc w:val="left"/>
              <w:rPr>
                <w:rFonts w:ascii="Times New Roman" w:hAnsi="Times New Roman" w:cs="Times New Roman" w:eastAsia="Times New Roman" w:hint="default"/>
                <w:sz w:val="18"/>
                <w:szCs w:val="18"/>
              </w:rPr>
            </w:pPr>
            <w:r>
              <w:rPr>
                <w:rFonts w:ascii="Times New Roman"/>
                <w:sz w:val="18"/>
              </w:rPr>
              <w:t>10,981,7</w:t>
            </w:r>
          </w:p>
          <w:p>
            <w:pPr>
              <w:pStyle w:val="TableParagraph"/>
              <w:spacing w:line="240" w:lineRule="auto" w:before="102"/>
              <w:ind w:left="287" w:right="0"/>
              <w:jc w:val="left"/>
              <w:rPr>
                <w:rFonts w:ascii="Times New Roman" w:hAnsi="Times New Roman" w:cs="Times New Roman" w:eastAsia="Times New Roman" w:hint="default"/>
                <w:sz w:val="18"/>
                <w:szCs w:val="18"/>
              </w:rPr>
            </w:pPr>
            <w:r>
              <w:rPr>
                <w:rFonts w:ascii="Times New Roman"/>
                <w:sz w:val="18"/>
              </w:rPr>
              <w:t>37.80</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8" w:right="0"/>
              <w:jc w:val="left"/>
              <w:rPr>
                <w:rFonts w:ascii="Times New Roman" w:hAnsi="Times New Roman" w:cs="Times New Roman" w:eastAsia="Times New Roman" w:hint="default"/>
                <w:sz w:val="18"/>
                <w:szCs w:val="18"/>
              </w:rPr>
            </w:pPr>
            <w:r>
              <w:rPr>
                <w:rFonts w:ascii="Times New Roman"/>
                <w:sz w:val="18"/>
              </w:rPr>
              <w:t>-10,981</w:t>
            </w:r>
          </w:p>
          <w:p>
            <w:pPr>
              <w:pStyle w:val="TableParagraph"/>
              <w:spacing w:line="240" w:lineRule="auto" w:before="102"/>
              <w:ind w:left="43" w:right="0"/>
              <w:jc w:val="left"/>
              <w:rPr>
                <w:rFonts w:ascii="Times New Roman" w:hAnsi="Times New Roman" w:cs="Times New Roman" w:eastAsia="Times New Roman" w:hint="default"/>
                <w:sz w:val="18"/>
                <w:szCs w:val="18"/>
              </w:rPr>
            </w:pPr>
            <w:r>
              <w:rPr>
                <w:rFonts w:ascii="Times New Roman"/>
                <w:sz w:val="18"/>
              </w:rPr>
              <w:t>,737.80</w:t>
            </w: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21"/>
              <w:jc w:val="left"/>
              <w:rPr>
                <w:rFonts w:ascii="宋体" w:hAnsi="宋体" w:cs="宋体" w:eastAsia="宋体" w:hint="default"/>
                <w:sz w:val="18"/>
                <w:szCs w:val="18"/>
              </w:rPr>
            </w:pPr>
            <w:r>
              <w:rPr>
                <w:rFonts w:ascii="Times New Roman" w:hAnsi="Times New Roman" w:cs="Times New Roman" w:eastAsia="Times New Roman" w:hint="default"/>
                <w:spacing w:val="-13"/>
                <w:sz w:val="18"/>
                <w:szCs w:val="18"/>
              </w:rPr>
              <w:t>2</w:t>
            </w:r>
            <w:r>
              <w:rPr>
                <w:rFonts w:ascii="宋体" w:hAnsi="宋体" w:cs="宋体" w:eastAsia="宋体" w:hint="default"/>
                <w:spacing w:val="-13"/>
                <w:sz w:val="18"/>
                <w:szCs w:val="18"/>
              </w:rPr>
              <w:t>．对所有者（或</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股东）的分配</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19"/>
              <w:jc w:val="left"/>
              <w:rPr>
                <w:rFonts w:ascii="宋体" w:hAnsi="宋体" w:cs="宋体" w:eastAsia="宋体" w:hint="default"/>
                <w:sz w:val="18"/>
                <w:szCs w:val="18"/>
              </w:rPr>
            </w:pPr>
            <w:r>
              <w:rPr>
                <w:rFonts w:ascii="宋体" w:hAnsi="宋体" w:cs="宋体" w:eastAsia="宋体" w:hint="default"/>
                <w:spacing w:val="-2"/>
                <w:sz w:val="18"/>
                <w:szCs w:val="18"/>
              </w:rPr>
              <w:t>（四）所有者权</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益内部结转</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22" w:right="9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 增资本（或股 本）</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9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 增资本（或股 本）</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99"/>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 补亏损</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99"/>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 划变动额结转 留存收益</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22" w:right="99"/>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．其他综合收 益结转留存收 益</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18"/>
          <w:pgSz w:w="11910" w:h="16840"/>
          <w:pgMar w:footer="980" w:header="745" w:top="1060" w:bottom="1160" w:left="980" w:right="0"/>
          <w:pgNumType w:start="101"/>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305"/>
        <w:gridCol w:w="629"/>
        <w:gridCol w:w="605"/>
        <w:gridCol w:w="603"/>
        <w:gridCol w:w="605"/>
        <w:gridCol w:w="727"/>
        <w:gridCol w:w="728"/>
        <w:gridCol w:w="725"/>
        <w:gridCol w:w="727"/>
        <w:gridCol w:w="727"/>
        <w:gridCol w:w="615"/>
        <w:gridCol w:w="710"/>
        <w:gridCol w:w="862"/>
      </w:tblGrid>
      <w:tr>
        <w:trPr>
          <w:trHeight w:val="401" w:hRule="exact"/>
        </w:trPr>
        <w:tc>
          <w:tcPr>
            <w:tcW w:w="1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29"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4" w:lineRule="auto"/>
              <w:ind w:left="22" w:right="19"/>
              <w:jc w:val="left"/>
              <w:rPr>
                <w:rFonts w:ascii="宋体" w:hAnsi="宋体" w:cs="宋体" w:eastAsia="宋体" w:hint="default"/>
                <w:sz w:val="18"/>
                <w:szCs w:val="18"/>
              </w:rPr>
            </w:pPr>
            <w:r>
              <w:rPr>
                <w:rFonts w:ascii="宋体" w:hAnsi="宋体" w:cs="宋体" w:eastAsia="宋体" w:hint="default"/>
                <w:spacing w:val="-2"/>
                <w:sz w:val="18"/>
                <w:szCs w:val="18"/>
              </w:rPr>
              <w:t>四、本期期末余</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额</w:t>
            </w:r>
          </w:p>
        </w:tc>
        <w:tc>
          <w:tcPr>
            <w:tcW w:w="6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1,935,0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39,229.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605"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189,417,</w:t>
            </w:r>
          </w:p>
          <w:p>
            <w:pPr>
              <w:pStyle w:val="TableParagraph"/>
              <w:spacing w:line="240" w:lineRule="auto" w:before="102"/>
              <w:ind w:left="175" w:right="0"/>
              <w:jc w:val="center"/>
              <w:rPr>
                <w:rFonts w:ascii="Times New Roman" w:hAnsi="Times New Roman" w:cs="Times New Roman" w:eastAsia="Times New Roman" w:hint="default"/>
                <w:sz w:val="18"/>
                <w:szCs w:val="18"/>
              </w:rPr>
            </w:pPr>
            <w:r>
              <w:rPr>
                <w:rFonts w:ascii="Times New Roman"/>
                <w:sz w:val="18"/>
              </w:rPr>
              <w:t>134.59</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62,472,0</w:t>
            </w:r>
          </w:p>
          <w:p>
            <w:pPr>
              <w:pStyle w:val="TableParagraph"/>
              <w:spacing w:line="240" w:lineRule="auto" w:before="102"/>
              <w:ind w:left="290" w:right="0"/>
              <w:jc w:val="left"/>
              <w:rPr>
                <w:rFonts w:ascii="Times New Roman" w:hAnsi="Times New Roman" w:cs="Times New Roman" w:eastAsia="Times New Roman" w:hint="default"/>
                <w:sz w:val="18"/>
                <w:szCs w:val="18"/>
              </w:rPr>
            </w:pPr>
            <w:r>
              <w:rPr>
                <w:rFonts w:ascii="Times New Roman"/>
                <w:sz w:val="18"/>
              </w:rPr>
              <w:t>00.00</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73" w:right="0"/>
              <w:jc w:val="center"/>
              <w:rPr>
                <w:rFonts w:ascii="Times New Roman" w:hAnsi="Times New Roman" w:cs="Times New Roman" w:eastAsia="Times New Roman" w:hint="default"/>
                <w:sz w:val="18"/>
                <w:szCs w:val="18"/>
              </w:rPr>
            </w:pPr>
            <w:r>
              <w:rPr>
                <w:rFonts w:ascii="Times New Roman"/>
                <w:sz w:val="18"/>
              </w:rPr>
              <w:t>-28,391,</w:t>
            </w:r>
          </w:p>
          <w:p>
            <w:pPr>
              <w:pStyle w:val="TableParagraph"/>
              <w:spacing w:line="240" w:lineRule="auto" w:before="102"/>
              <w:ind w:left="178" w:right="0"/>
              <w:jc w:val="center"/>
              <w:rPr>
                <w:rFonts w:ascii="Times New Roman" w:hAnsi="Times New Roman" w:cs="Times New Roman" w:eastAsia="Times New Roman" w:hint="default"/>
                <w:sz w:val="18"/>
                <w:szCs w:val="18"/>
              </w:rPr>
            </w:pPr>
            <w:r>
              <w:rPr>
                <w:rFonts w:ascii="Times New Roman"/>
                <w:sz w:val="18"/>
              </w:rPr>
              <w:t>180.51</w:t>
            </w:r>
          </w:p>
        </w:tc>
        <w:tc>
          <w:tcPr>
            <w:tcW w:w="72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107,238,</w:t>
            </w:r>
          </w:p>
          <w:p>
            <w:pPr>
              <w:pStyle w:val="TableParagraph"/>
              <w:spacing w:line="240" w:lineRule="auto" w:before="102"/>
              <w:ind w:left="175" w:right="0"/>
              <w:jc w:val="center"/>
              <w:rPr>
                <w:rFonts w:ascii="Times New Roman" w:hAnsi="Times New Roman" w:cs="Times New Roman" w:eastAsia="Times New Roman" w:hint="default"/>
                <w:sz w:val="18"/>
                <w:szCs w:val="18"/>
              </w:rPr>
            </w:pPr>
            <w:r>
              <w:rPr>
                <w:rFonts w:ascii="Times New Roman"/>
                <w:sz w:val="18"/>
              </w:rPr>
              <w:t>825.58</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694,24</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pacing w:val="-1"/>
                <w:sz w:val="18"/>
              </w:rPr>
              <w:t>9,651.0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710"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2,835,081,</w:t>
            </w:r>
          </w:p>
          <w:p>
            <w:pPr>
              <w:pStyle w:val="TableParagraph"/>
              <w:spacing w:line="240" w:lineRule="auto" w:before="102"/>
              <w:ind w:left="335" w:right="0"/>
              <w:jc w:val="left"/>
              <w:rPr>
                <w:rFonts w:ascii="Times New Roman" w:hAnsi="Times New Roman" w:cs="Times New Roman" w:eastAsia="Times New Roman" w:hint="default"/>
                <w:sz w:val="18"/>
                <w:szCs w:val="18"/>
              </w:rPr>
            </w:pPr>
            <w:r>
              <w:rPr>
                <w:rFonts w:ascii="Times New Roman"/>
                <w:sz w:val="18"/>
              </w:rPr>
              <w:t>659.71</w:t>
            </w:r>
          </w:p>
        </w:tc>
      </w:tr>
    </w:tbl>
    <w:p>
      <w:pPr>
        <w:pStyle w:val="BodyText"/>
        <w:spacing w:line="240" w:lineRule="auto" w:before="49"/>
        <w:ind w:right="1133"/>
        <w:jc w:val="left"/>
      </w:pPr>
      <w:r>
        <w:rPr/>
        <w:t>上期金额</w:t>
      </w:r>
    </w:p>
    <w:p>
      <w:pPr>
        <w:pStyle w:val="BodyText"/>
        <w:spacing w:line="240" w:lineRule="auto" w:before="115"/>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220"/>
        <w:gridCol w:w="593"/>
        <w:gridCol w:w="574"/>
        <w:gridCol w:w="572"/>
        <w:gridCol w:w="571"/>
        <w:gridCol w:w="686"/>
        <w:gridCol w:w="686"/>
        <w:gridCol w:w="684"/>
        <w:gridCol w:w="782"/>
        <w:gridCol w:w="665"/>
        <w:gridCol w:w="797"/>
        <w:gridCol w:w="797"/>
        <w:gridCol w:w="931"/>
      </w:tblGrid>
      <w:tr>
        <w:trPr>
          <w:trHeight w:val="398" w:hRule="exact"/>
        </w:trPr>
        <w:tc>
          <w:tcPr>
            <w:tcW w:w="1220" w:type="dxa"/>
            <w:vMerge w:val="restart"/>
            <w:tcBorders>
              <w:top w:val="single" w:sz="4" w:space="0" w:color="000000"/>
              <w:left w:val="single" w:sz="4" w:space="0" w:color="000000"/>
              <w:right w:val="single" w:sz="4" w:space="0" w:color="000000"/>
            </w:tcBorders>
            <w:shd w:val="clear" w:color="auto" w:fill="D2D2D2"/>
          </w:tcPr>
          <w:p>
            <w:pPr/>
          </w:p>
        </w:tc>
        <w:tc>
          <w:tcPr>
            <w:tcW w:w="8339"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w:t>
            </w:r>
          </w:p>
        </w:tc>
      </w:tr>
      <w:tr>
        <w:trPr>
          <w:trHeight w:val="188" w:hRule="exact"/>
        </w:trPr>
        <w:tc>
          <w:tcPr>
            <w:tcW w:w="1220" w:type="dxa"/>
            <w:vMerge/>
            <w:tcBorders>
              <w:left w:val="single" w:sz="4" w:space="0" w:color="000000"/>
              <w:bottom w:val="nil" w:sz="6" w:space="0" w:color="auto"/>
              <w:right w:val="single" w:sz="4" w:space="0" w:color="000000"/>
            </w:tcBorders>
            <w:shd w:val="clear" w:color="auto" w:fill="D2D2D2"/>
          </w:tcPr>
          <w:p>
            <w:pPr/>
          </w:p>
        </w:tc>
        <w:tc>
          <w:tcPr>
            <w:tcW w:w="593" w:type="dxa"/>
            <w:vMerge w:val="restart"/>
            <w:tcBorders>
              <w:top w:val="single" w:sz="4" w:space="0" w:color="000000"/>
              <w:left w:val="single" w:sz="4" w:space="0" w:color="000000"/>
              <w:right w:val="single" w:sz="4" w:space="0" w:color="000000"/>
            </w:tcBorders>
            <w:shd w:val="clear" w:color="auto" w:fill="D2D2D2"/>
          </w:tcPr>
          <w:p>
            <w:pPr/>
          </w:p>
        </w:tc>
        <w:tc>
          <w:tcPr>
            <w:tcW w:w="171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6"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86" w:type="dxa"/>
            <w:tcBorders>
              <w:top w:val="single" w:sz="4" w:space="0" w:color="000000"/>
              <w:left w:val="single" w:sz="4" w:space="0" w:color="000000"/>
              <w:bottom w:val="nil" w:sz="6" w:space="0" w:color="auto"/>
              <w:right w:val="single" w:sz="4" w:space="0" w:color="000000"/>
            </w:tcBorders>
            <w:shd w:val="clear" w:color="auto" w:fill="D2D2D2"/>
          </w:tcPr>
          <w:p>
            <w:pPr/>
          </w:p>
        </w:tc>
        <w:tc>
          <w:tcPr>
            <w:tcW w:w="686" w:type="dxa"/>
            <w:tcBorders>
              <w:top w:val="single" w:sz="4" w:space="0" w:color="000000"/>
              <w:left w:val="single" w:sz="4" w:space="0" w:color="000000"/>
              <w:bottom w:val="nil" w:sz="6" w:space="0" w:color="auto"/>
              <w:right w:val="single" w:sz="4" w:space="0" w:color="000000"/>
            </w:tcBorders>
            <w:shd w:val="clear" w:color="auto" w:fill="D2D2D2"/>
          </w:tcPr>
          <w:p>
            <w:pPr/>
          </w:p>
        </w:tc>
        <w:tc>
          <w:tcPr>
            <w:tcW w:w="684" w:type="dxa"/>
            <w:tcBorders>
              <w:top w:val="single" w:sz="4" w:space="0" w:color="000000"/>
              <w:left w:val="single" w:sz="4" w:space="0" w:color="000000"/>
              <w:bottom w:val="nil" w:sz="6" w:space="0" w:color="auto"/>
              <w:right w:val="single" w:sz="4" w:space="0" w:color="000000"/>
            </w:tcBorders>
            <w:shd w:val="clear" w:color="auto" w:fill="D2D2D2"/>
          </w:tcPr>
          <w:p>
            <w:pPr/>
          </w:p>
        </w:tc>
        <w:tc>
          <w:tcPr>
            <w:tcW w:w="782" w:type="dxa"/>
            <w:vMerge w:val="restart"/>
            <w:tcBorders>
              <w:top w:val="single" w:sz="4" w:space="0" w:color="000000"/>
              <w:left w:val="single" w:sz="4" w:space="0" w:color="000000"/>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vMerge w:val="restart"/>
            <w:tcBorders>
              <w:top w:val="single" w:sz="4" w:space="0" w:color="000000"/>
              <w:left w:val="single" w:sz="4" w:space="0" w:color="000000"/>
              <w:right w:val="single" w:sz="4" w:space="0" w:color="000000"/>
            </w:tcBorders>
            <w:shd w:val="clear" w:color="auto" w:fill="D2D2D2"/>
          </w:tcPr>
          <w:p>
            <w:pPr/>
          </w:p>
        </w:tc>
        <w:tc>
          <w:tcPr>
            <w:tcW w:w="931"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78" w:hRule="exact"/>
        </w:trPr>
        <w:tc>
          <w:tcPr>
            <w:tcW w:w="122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6"/>
              <w:ind w:right="7"/>
              <w:jc w:val="center"/>
              <w:rPr>
                <w:rFonts w:ascii="宋体" w:hAnsi="宋体" w:cs="宋体" w:eastAsia="宋体" w:hint="default"/>
                <w:sz w:val="18"/>
                <w:szCs w:val="18"/>
              </w:rPr>
            </w:pPr>
            <w:r>
              <w:rPr>
                <w:rFonts w:ascii="宋体" w:hAnsi="宋体" w:cs="宋体" w:eastAsia="宋体" w:hint="default"/>
                <w:sz w:val="18"/>
                <w:szCs w:val="18"/>
              </w:rPr>
              <w:t>项目</w:t>
            </w:r>
          </w:p>
        </w:tc>
        <w:tc>
          <w:tcPr>
            <w:tcW w:w="593" w:type="dxa"/>
            <w:vMerge/>
            <w:tcBorders>
              <w:left w:val="single" w:sz="4" w:space="0" w:color="000000"/>
              <w:bottom w:val="nil" w:sz="6" w:space="0" w:color="auto"/>
              <w:right w:val="single" w:sz="4" w:space="0" w:color="000000"/>
            </w:tcBorders>
            <w:shd w:val="clear" w:color="auto" w:fill="D2D2D2"/>
          </w:tcPr>
          <w:p>
            <w:pPr/>
          </w:p>
        </w:tc>
        <w:tc>
          <w:tcPr>
            <w:tcW w:w="1717" w:type="dxa"/>
            <w:gridSpan w:val="3"/>
            <w:vMerge/>
            <w:tcBorders>
              <w:left w:val="single" w:sz="4" w:space="0" w:color="000000"/>
              <w:bottom w:val="single" w:sz="4" w:space="0" w:color="000000"/>
              <w:right w:val="single" w:sz="4" w:space="0" w:color="000000"/>
            </w:tcBorders>
            <w:shd w:val="clear" w:color="auto" w:fill="D2D2D2"/>
          </w:tcPr>
          <w:p>
            <w:pPr/>
          </w:p>
        </w:tc>
        <w:tc>
          <w:tcPr>
            <w:tcW w:w="68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60"/>
              <w:ind w:left="249" w:right="65"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8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60"/>
              <w:ind w:left="249" w:right="22" w:hanging="226"/>
              <w:jc w:val="left"/>
              <w:rPr>
                <w:rFonts w:ascii="宋体" w:hAnsi="宋体" w:cs="宋体" w:eastAsia="宋体" w:hint="default"/>
                <w:sz w:val="18"/>
                <w:szCs w:val="18"/>
              </w:rPr>
            </w:pPr>
            <w:r>
              <w:rPr>
                <w:rFonts w:ascii="宋体" w:hAnsi="宋体" w:cs="宋体" w:eastAsia="宋体" w:hint="default"/>
                <w:spacing w:val="-23"/>
                <w:sz w:val="18"/>
                <w:szCs w:val="18"/>
              </w:rPr>
              <w:t>减：库存</w:t>
            </w:r>
            <w:r>
              <w:rPr>
                <w:rFonts w:ascii="宋体" w:hAnsi="宋体" w:cs="宋体" w:eastAsia="宋体" w:hint="default"/>
                <w:sz w:val="18"/>
                <w:szCs w:val="18"/>
              </w:rPr>
              <w:t> 股</w:t>
            </w:r>
          </w:p>
        </w:tc>
        <w:tc>
          <w:tcPr>
            <w:tcW w:w="68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60"/>
              <w:ind w:left="67" w:right="65"/>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782"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4"/>
              <w:ind w:left="237" w:right="55"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4"/>
              <w:ind w:left="304" w:right="32" w:hanging="272"/>
              <w:jc w:val="left"/>
              <w:rPr>
                <w:rFonts w:ascii="宋体" w:hAnsi="宋体" w:cs="宋体" w:eastAsia="宋体" w:hint="default"/>
                <w:sz w:val="18"/>
                <w:szCs w:val="18"/>
              </w:rPr>
            </w:pPr>
            <w:r>
              <w:rPr>
                <w:rFonts w:ascii="宋体" w:hAnsi="宋体" w:cs="宋体" w:eastAsia="宋体" w:hint="default"/>
                <w:sz w:val="18"/>
                <w:szCs w:val="18"/>
              </w:rPr>
              <w:t>未分配利 润</w:t>
            </w:r>
          </w:p>
        </w:tc>
        <w:tc>
          <w:tcPr>
            <w:tcW w:w="797" w:type="dxa"/>
            <w:vMerge/>
            <w:tcBorders>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4"/>
              <w:ind w:left="189" w:right="98" w:hanging="89"/>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87" w:hRule="exact"/>
        </w:trPr>
        <w:tc>
          <w:tcPr>
            <w:tcW w:w="1220" w:type="dxa"/>
            <w:vMerge/>
            <w:tcBorders>
              <w:left w:val="single" w:sz="4" w:space="0" w:color="000000"/>
              <w:bottom w:val="nil" w:sz="6" w:space="0" w:color="auto"/>
              <w:right w:val="single" w:sz="4" w:space="0" w:color="000000"/>
            </w:tcBorders>
            <w:shd w:val="clear" w:color="auto" w:fill="D2D2D2"/>
          </w:tcPr>
          <w:p>
            <w:pPr/>
          </w:p>
        </w:tc>
        <w:tc>
          <w:tcPr>
            <w:tcW w:w="59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2"/>
              <w:ind w:left="11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7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1"/>
              <w:ind w:left="194" w:right="98" w:hanging="92"/>
              <w:jc w:val="left"/>
              <w:rPr>
                <w:rFonts w:ascii="宋体" w:hAnsi="宋体" w:cs="宋体" w:eastAsia="宋体" w:hint="default"/>
                <w:sz w:val="18"/>
                <w:szCs w:val="18"/>
              </w:rPr>
            </w:pPr>
            <w:r>
              <w:rPr>
                <w:rFonts w:ascii="宋体" w:hAnsi="宋体" w:cs="宋体" w:eastAsia="宋体" w:hint="default"/>
                <w:sz w:val="18"/>
                <w:szCs w:val="18"/>
              </w:rPr>
              <w:t>优先 股</w:t>
            </w:r>
          </w:p>
        </w:tc>
        <w:tc>
          <w:tcPr>
            <w:tcW w:w="57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1"/>
              <w:ind w:left="191" w:right="99" w:hanging="92"/>
              <w:jc w:val="left"/>
              <w:rPr>
                <w:rFonts w:ascii="宋体" w:hAnsi="宋体" w:cs="宋体" w:eastAsia="宋体" w:hint="default"/>
                <w:sz w:val="18"/>
                <w:szCs w:val="18"/>
              </w:rPr>
            </w:pPr>
            <w:r>
              <w:rPr>
                <w:rFonts w:ascii="宋体" w:hAnsi="宋体" w:cs="宋体" w:eastAsia="宋体" w:hint="default"/>
                <w:sz w:val="18"/>
                <w:szCs w:val="18"/>
              </w:rPr>
              <w:t>永续 债</w:t>
            </w:r>
          </w:p>
        </w:tc>
        <w:tc>
          <w:tcPr>
            <w:tcW w:w="571" w:type="dxa"/>
            <w:tcBorders>
              <w:top w:val="single" w:sz="4" w:space="0" w:color="000000"/>
              <w:left w:val="single" w:sz="4" w:space="0" w:color="000000"/>
              <w:bottom w:val="nil" w:sz="6" w:space="0" w:color="auto"/>
              <w:right w:val="single" w:sz="4" w:space="0" w:color="000000"/>
            </w:tcBorders>
            <w:shd w:val="clear" w:color="auto" w:fill="D2D2D2"/>
          </w:tcPr>
          <w:p>
            <w:pPr/>
          </w:p>
        </w:tc>
        <w:tc>
          <w:tcPr>
            <w:tcW w:w="686" w:type="dxa"/>
            <w:vMerge/>
            <w:tcBorders>
              <w:left w:val="single" w:sz="4" w:space="0" w:color="000000"/>
              <w:right w:val="single" w:sz="4" w:space="0" w:color="000000"/>
            </w:tcBorders>
            <w:shd w:val="clear" w:color="auto" w:fill="D2D2D2"/>
          </w:tcPr>
          <w:p>
            <w:pPr/>
          </w:p>
        </w:tc>
        <w:tc>
          <w:tcPr>
            <w:tcW w:w="686" w:type="dxa"/>
            <w:vMerge/>
            <w:tcBorders>
              <w:left w:val="single" w:sz="4" w:space="0" w:color="000000"/>
              <w:right w:val="single" w:sz="4" w:space="0" w:color="000000"/>
            </w:tcBorders>
            <w:shd w:val="clear" w:color="auto" w:fill="D2D2D2"/>
          </w:tcPr>
          <w:p>
            <w:pPr/>
          </w:p>
        </w:tc>
        <w:tc>
          <w:tcPr>
            <w:tcW w:w="684" w:type="dxa"/>
            <w:vMerge/>
            <w:tcBorders>
              <w:left w:val="single" w:sz="4" w:space="0" w:color="000000"/>
              <w:right w:val="single" w:sz="4" w:space="0" w:color="000000"/>
            </w:tcBorders>
            <w:shd w:val="clear" w:color="auto" w:fill="D2D2D2"/>
          </w:tcPr>
          <w:p>
            <w:pPr/>
          </w:p>
        </w:tc>
        <w:tc>
          <w:tcPr>
            <w:tcW w:w="78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1"/>
              <w:ind w:left="26"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665"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1"/>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31" w:type="dxa"/>
            <w:vMerge/>
            <w:tcBorders>
              <w:left w:val="single" w:sz="4" w:space="0" w:color="000000"/>
              <w:right w:val="single" w:sz="4" w:space="0" w:color="000000"/>
            </w:tcBorders>
            <w:shd w:val="clear" w:color="auto" w:fill="D2D2D2"/>
          </w:tcPr>
          <w:p>
            <w:pPr/>
          </w:p>
        </w:tc>
      </w:tr>
      <w:tr>
        <w:trPr>
          <w:trHeight w:val="197" w:hRule="exact"/>
        </w:trPr>
        <w:tc>
          <w:tcPr>
            <w:tcW w:w="1220" w:type="dxa"/>
            <w:vMerge w:val="restart"/>
            <w:tcBorders>
              <w:top w:val="nil" w:sz="6" w:space="0" w:color="auto"/>
              <w:left w:val="single" w:sz="4" w:space="0" w:color="000000"/>
              <w:right w:val="single" w:sz="4" w:space="0" w:color="000000"/>
            </w:tcBorders>
            <w:shd w:val="clear" w:color="auto" w:fill="D2D2D2"/>
          </w:tcPr>
          <w:p>
            <w:pPr/>
          </w:p>
        </w:tc>
        <w:tc>
          <w:tcPr>
            <w:tcW w:w="593" w:type="dxa"/>
            <w:vMerge/>
            <w:tcBorders>
              <w:left w:val="single" w:sz="4" w:space="0" w:color="000000"/>
              <w:bottom w:val="nil" w:sz="6" w:space="0" w:color="auto"/>
              <w:right w:val="single" w:sz="4" w:space="0" w:color="000000"/>
            </w:tcBorders>
            <w:shd w:val="clear" w:color="auto" w:fill="D2D2D2"/>
          </w:tcPr>
          <w:p>
            <w:pPr/>
          </w:p>
        </w:tc>
        <w:tc>
          <w:tcPr>
            <w:tcW w:w="574" w:type="dxa"/>
            <w:vMerge/>
            <w:tcBorders>
              <w:left w:val="single" w:sz="4" w:space="0" w:color="000000"/>
              <w:right w:val="single" w:sz="4" w:space="0" w:color="000000"/>
            </w:tcBorders>
            <w:shd w:val="clear" w:color="auto" w:fill="D2D2D2"/>
          </w:tcPr>
          <w:p>
            <w:pPr/>
          </w:p>
        </w:tc>
        <w:tc>
          <w:tcPr>
            <w:tcW w:w="572" w:type="dxa"/>
            <w:vMerge/>
            <w:tcBorders>
              <w:left w:val="single" w:sz="4" w:space="0" w:color="000000"/>
              <w:right w:val="single" w:sz="4" w:space="0" w:color="000000"/>
            </w:tcBorders>
            <w:shd w:val="clear" w:color="auto" w:fill="D2D2D2"/>
          </w:tcPr>
          <w:p>
            <w:pPr/>
          </w:p>
        </w:tc>
        <w:tc>
          <w:tcPr>
            <w:tcW w:w="57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86" w:type="dxa"/>
            <w:vMerge/>
            <w:tcBorders>
              <w:left w:val="single" w:sz="4" w:space="0" w:color="000000"/>
              <w:right w:val="single" w:sz="4" w:space="0" w:color="000000"/>
            </w:tcBorders>
            <w:shd w:val="clear" w:color="auto" w:fill="D2D2D2"/>
          </w:tcPr>
          <w:p>
            <w:pPr/>
          </w:p>
        </w:tc>
        <w:tc>
          <w:tcPr>
            <w:tcW w:w="686" w:type="dxa"/>
            <w:vMerge/>
            <w:tcBorders>
              <w:left w:val="single" w:sz="4" w:space="0" w:color="000000"/>
              <w:right w:val="single" w:sz="4" w:space="0" w:color="000000"/>
            </w:tcBorders>
            <w:shd w:val="clear" w:color="auto" w:fill="D2D2D2"/>
          </w:tcPr>
          <w:p>
            <w:pPr/>
          </w:p>
        </w:tc>
        <w:tc>
          <w:tcPr>
            <w:tcW w:w="684" w:type="dxa"/>
            <w:vMerge/>
            <w:tcBorders>
              <w:left w:val="single" w:sz="4" w:space="0" w:color="000000"/>
              <w:right w:val="single" w:sz="4" w:space="0" w:color="000000"/>
            </w:tcBorders>
            <w:shd w:val="clear" w:color="auto" w:fill="D2D2D2"/>
          </w:tcPr>
          <w:p>
            <w:pPr/>
          </w:p>
        </w:tc>
        <w:tc>
          <w:tcPr>
            <w:tcW w:w="782"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931" w:type="dxa"/>
            <w:vMerge/>
            <w:tcBorders>
              <w:left w:val="single" w:sz="4" w:space="0" w:color="000000"/>
              <w:right w:val="single" w:sz="4" w:space="0" w:color="000000"/>
            </w:tcBorders>
            <w:shd w:val="clear" w:color="auto" w:fill="D2D2D2"/>
          </w:tcPr>
          <w:p>
            <w:pPr/>
          </w:p>
        </w:tc>
      </w:tr>
      <w:tr>
        <w:trPr>
          <w:trHeight w:val="156" w:hRule="exact"/>
        </w:trPr>
        <w:tc>
          <w:tcPr>
            <w:tcW w:w="1220" w:type="dxa"/>
            <w:vMerge/>
            <w:tcBorders>
              <w:left w:val="single" w:sz="4" w:space="0" w:color="000000"/>
              <w:right w:val="single" w:sz="4" w:space="0" w:color="000000"/>
            </w:tcBorders>
            <w:shd w:val="clear" w:color="auto" w:fill="D2D2D2"/>
          </w:tcPr>
          <w:p>
            <w:pPr/>
          </w:p>
        </w:tc>
        <w:tc>
          <w:tcPr>
            <w:tcW w:w="593" w:type="dxa"/>
            <w:vMerge w:val="restart"/>
            <w:tcBorders>
              <w:top w:val="nil" w:sz="6" w:space="0" w:color="auto"/>
              <w:left w:val="single" w:sz="4" w:space="0" w:color="000000"/>
              <w:right w:val="single" w:sz="4" w:space="0" w:color="000000"/>
            </w:tcBorders>
            <w:shd w:val="clear" w:color="auto" w:fill="D2D2D2"/>
          </w:tcPr>
          <w:p>
            <w:pPr/>
          </w:p>
        </w:tc>
        <w:tc>
          <w:tcPr>
            <w:tcW w:w="574" w:type="dxa"/>
            <w:vMerge/>
            <w:tcBorders>
              <w:left w:val="single" w:sz="4" w:space="0" w:color="000000"/>
              <w:right w:val="single" w:sz="4" w:space="0" w:color="000000"/>
            </w:tcBorders>
            <w:shd w:val="clear" w:color="auto" w:fill="D2D2D2"/>
          </w:tcPr>
          <w:p>
            <w:pPr/>
          </w:p>
        </w:tc>
        <w:tc>
          <w:tcPr>
            <w:tcW w:w="572" w:type="dxa"/>
            <w:vMerge/>
            <w:tcBorders>
              <w:left w:val="single" w:sz="4" w:space="0" w:color="000000"/>
              <w:right w:val="single" w:sz="4" w:space="0" w:color="000000"/>
            </w:tcBorders>
            <w:shd w:val="clear" w:color="auto" w:fill="D2D2D2"/>
          </w:tcPr>
          <w:p>
            <w:pPr/>
          </w:p>
        </w:tc>
        <w:tc>
          <w:tcPr>
            <w:tcW w:w="571" w:type="dxa"/>
            <w:vMerge/>
            <w:tcBorders>
              <w:left w:val="single" w:sz="4" w:space="0" w:color="000000"/>
              <w:bottom w:val="nil" w:sz="6" w:space="0" w:color="auto"/>
              <w:right w:val="single" w:sz="4" w:space="0" w:color="000000"/>
            </w:tcBorders>
            <w:shd w:val="clear" w:color="auto" w:fill="D2D2D2"/>
          </w:tcPr>
          <w:p>
            <w:pPr/>
          </w:p>
        </w:tc>
        <w:tc>
          <w:tcPr>
            <w:tcW w:w="686" w:type="dxa"/>
            <w:vMerge/>
            <w:tcBorders>
              <w:left w:val="single" w:sz="4" w:space="0" w:color="000000"/>
              <w:bottom w:val="nil" w:sz="6" w:space="0" w:color="auto"/>
              <w:right w:val="single" w:sz="4" w:space="0" w:color="000000"/>
            </w:tcBorders>
            <w:shd w:val="clear" w:color="auto" w:fill="D2D2D2"/>
          </w:tcPr>
          <w:p>
            <w:pPr/>
          </w:p>
        </w:tc>
        <w:tc>
          <w:tcPr>
            <w:tcW w:w="686" w:type="dxa"/>
            <w:vMerge/>
            <w:tcBorders>
              <w:left w:val="single" w:sz="4" w:space="0" w:color="000000"/>
              <w:bottom w:val="nil" w:sz="6" w:space="0" w:color="auto"/>
              <w:right w:val="single" w:sz="4" w:space="0" w:color="000000"/>
            </w:tcBorders>
            <w:shd w:val="clear" w:color="auto" w:fill="D2D2D2"/>
          </w:tcPr>
          <w:p>
            <w:pPr/>
          </w:p>
        </w:tc>
        <w:tc>
          <w:tcPr>
            <w:tcW w:w="684" w:type="dxa"/>
            <w:vMerge/>
            <w:tcBorders>
              <w:left w:val="single" w:sz="4" w:space="0" w:color="000000"/>
              <w:bottom w:val="nil" w:sz="6" w:space="0" w:color="auto"/>
              <w:right w:val="single" w:sz="4" w:space="0" w:color="000000"/>
            </w:tcBorders>
            <w:shd w:val="clear" w:color="auto" w:fill="D2D2D2"/>
          </w:tcPr>
          <w:p>
            <w:pPr/>
          </w:p>
        </w:tc>
        <w:tc>
          <w:tcPr>
            <w:tcW w:w="782" w:type="dxa"/>
            <w:vMerge w:val="restart"/>
            <w:tcBorders>
              <w:top w:val="nil" w:sz="6" w:space="0" w:color="auto"/>
              <w:left w:val="single" w:sz="4" w:space="0" w:color="000000"/>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1220" w:type="dxa"/>
            <w:vMerge/>
            <w:tcBorders>
              <w:left w:val="single" w:sz="4" w:space="0" w:color="000000"/>
              <w:bottom w:val="single" w:sz="4" w:space="0" w:color="000000"/>
              <w:right w:val="single" w:sz="4" w:space="0" w:color="000000"/>
            </w:tcBorders>
            <w:shd w:val="clear" w:color="auto" w:fill="D2D2D2"/>
          </w:tcPr>
          <w:p>
            <w:pPr/>
          </w:p>
        </w:tc>
        <w:tc>
          <w:tcPr>
            <w:tcW w:w="593" w:type="dxa"/>
            <w:vMerge/>
            <w:tcBorders>
              <w:left w:val="single" w:sz="4" w:space="0" w:color="000000"/>
              <w:bottom w:val="single" w:sz="4" w:space="0" w:color="000000"/>
              <w:right w:val="single" w:sz="4" w:space="0" w:color="000000"/>
            </w:tcBorders>
            <w:shd w:val="clear" w:color="auto" w:fill="D2D2D2"/>
          </w:tcPr>
          <w:p>
            <w:pPr/>
          </w:p>
        </w:tc>
        <w:tc>
          <w:tcPr>
            <w:tcW w:w="574" w:type="dxa"/>
            <w:vMerge/>
            <w:tcBorders>
              <w:left w:val="single" w:sz="4" w:space="0" w:color="000000"/>
              <w:bottom w:val="single" w:sz="4" w:space="0" w:color="000000"/>
              <w:right w:val="single" w:sz="4" w:space="0" w:color="000000"/>
            </w:tcBorders>
            <w:shd w:val="clear" w:color="auto" w:fill="D2D2D2"/>
          </w:tcPr>
          <w:p>
            <w:pPr/>
          </w:p>
        </w:tc>
        <w:tc>
          <w:tcPr>
            <w:tcW w:w="572" w:type="dxa"/>
            <w:vMerge/>
            <w:tcBorders>
              <w:left w:val="single" w:sz="4" w:space="0" w:color="000000"/>
              <w:bottom w:val="single" w:sz="4" w:space="0" w:color="000000"/>
              <w:right w:val="single" w:sz="4" w:space="0" w:color="000000"/>
            </w:tcBorders>
            <w:shd w:val="clear" w:color="auto" w:fill="D2D2D2"/>
          </w:tcPr>
          <w:p>
            <w:pPr/>
          </w:p>
        </w:tc>
        <w:tc>
          <w:tcPr>
            <w:tcW w:w="571" w:type="dxa"/>
            <w:tcBorders>
              <w:top w:val="nil" w:sz="6" w:space="0" w:color="auto"/>
              <w:left w:val="single" w:sz="4" w:space="0" w:color="000000"/>
              <w:bottom w:val="single" w:sz="4" w:space="0" w:color="000000"/>
              <w:right w:val="single" w:sz="4" w:space="0" w:color="000000"/>
            </w:tcBorders>
            <w:shd w:val="clear" w:color="auto" w:fill="D2D2D2"/>
          </w:tcPr>
          <w:p>
            <w:pPr/>
          </w:p>
        </w:tc>
        <w:tc>
          <w:tcPr>
            <w:tcW w:w="686" w:type="dxa"/>
            <w:tcBorders>
              <w:top w:val="nil" w:sz="6" w:space="0" w:color="auto"/>
              <w:left w:val="single" w:sz="4" w:space="0" w:color="000000"/>
              <w:bottom w:val="single" w:sz="4" w:space="0" w:color="000000"/>
              <w:right w:val="single" w:sz="4" w:space="0" w:color="000000"/>
            </w:tcBorders>
            <w:shd w:val="clear" w:color="auto" w:fill="D2D2D2"/>
          </w:tcPr>
          <w:p>
            <w:pPr/>
          </w:p>
        </w:tc>
        <w:tc>
          <w:tcPr>
            <w:tcW w:w="686" w:type="dxa"/>
            <w:tcBorders>
              <w:top w:val="nil" w:sz="6" w:space="0" w:color="auto"/>
              <w:left w:val="single" w:sz="4" w:space="0" w:color="000000"/>
              <w:bottom w:val="single" w:sz="4" w:space="0" w:color="000000"/>
              <w:right w:val="single" w:sz="4" w:space="0" w:color="000000"/>
            </w:tcBorders>
            <w:shd w:val="clear" w:color="auto" w:fill="D2D2D2"/>
          </w:tcPr>
          <w:p>
            <w:pPr/>
          </w:p>
        </w:tc>
        <w:tc>
          <w:tcPr>
            <w:tcW w:w="684" w:type="dxa"/>
            <w:tcBorders>
              <w:top w:val="nil" w:sz="6" w:space="0" w:color="auto"/>
              <w:left w:val="single" w:sz="4" w:space="0" w:color="000000"/>
              <w:bottom w:val="single" w:sz="4" w:space="0" w:color="000000"/>
              <w:right w:val="single" w:sz="4" w:space="0" w:color="000000"/>
            </w:tcBorders>
            <w:shd w:val="clear" w:color="auto" w:fill="D2D2D2"/>
          </w:tcPr>
          <w:p>
            <w:pPr/>
          </w:p>
        </w:tc>
        <w:tc>
          <w:tcPr>
            <w:tcW w:w="782" w:type="dxa"/>
            <w:vMerge/>
            <w:tcBorders>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931"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1" w:hRule="exact"/>
        </w:trPr>
        <w:tc>
          <w:tcPr>
            <w:tcW w:w="1220" w:type="dxa"/>
            <w:tcBorders>
              <w:top w:val="single" w:sz="4" w:space="0" w:color="000000"/>
              <w:left w:val="single" w:sz="4" w:space="0" w:color="000000"/>
              <w:bottom w:val="nil" w:sz="6" w:space="0" w:color="auto"/>
              <w:right w:val="single" w:sz="4" w:space="0" w:color="000000"/>
            </w:tcBorders>
            <w:shd w:val="clear" w:color="auto" w:fill="D2D2D2"/>
          </w:tcPr>
          <w:p>
            <w:pPr/>
          </w:p>
        </w:tc>
        <w:tc>
          <w:tcPr>
            <w:tcW w:w="593" w:type="dxa"/>
            <w:vMerge w:val="restart"/>
            <w:tcBorders>
              <w:top w:val="single" w:sz="4" w:space="0" w:color="000000"/>
              <w:left w:val="single" w:sz="9" w:space="0" w:color="D2D2D2"/>
              <w:right w:val="single" w:sz="4" w:space="0" w:color="000000"/>
            </w:tcBorders>
          </w:tcPr>
          <w:p>
            <w:pPr>
              <w:pStyle w:val="TableParagraph"/>
              <w:spacing w:line="240" w:lineRule="auto" w:before="91"/>
              <w:ind w:left="83" w:right="0"/>
              <w:jc w:val="center"/>
              <w:rPr>
                <w:rFonts w:ascii="Times New Roman" w:hAnsi="Times New Roman" w:cs="Times New Roman" w:eastAsia="Times New Roman" w:hint="default"/>
                <w:sz w:val="18"/>
                <w:szCs w:val="18"/>
              </w:rPr>
            </w:pPr>
            <w:r>
              <w:rPr>
                <w:rFonts w:ascii="Times New Roman"/>
                <w:sz w:val="18"/>
              </w:rPr>
              <w:t>1,923,</w:t>
            </w:r>
          </w:p>
          <w:p>
            <w:pPr>
              <w:pStyle w:val="TableParagraph"/>
              <w:spacing w:line="240" w:lineRule="auto" w:before="102"/>
              <w:ind w:left="40" w:right="0"/>
              <w:jc w:val="center"/>
              <w:rPr>
                <w:rFonts w:ascii="Times New Roman" w:hAnsi="Times New Roman" w:cs="Times New Roman" w:eastAsia="Times New Roman" w:hint="default"/>
                <w:sz w:val="18"/>
                <w:szCs w:val="18"/>
              </w:rPr>
            </w:pPr>
            <w:r>
              <w:rPr>
                <w:rFonts w:ascii="Times New Roman"/>
                <w:sz w:val="18"/>
              </w:rPr>
              <w:t>597,50</w:t>
            </w:r>
          </w:p>
          <w:p>
            <w:pPr>
              <w:pStyle w:val="TableParagraph"/>
              <w:spacing w:line="240" w:lineRule="auto" w:before="105"/>
              <w:ind w:left="220" w:right="0"/>
              <w:jc w:val="center"/>
              <w:rPr>
                <w:rFonts w:ascii="Times New Roman" w:hAnsi="Times New Roman" w:cs="Times New Roman" w:eastAsia="Times New Roman" w:hint="default"/>
                <w:sz w:val="18"/>
                <w:szCs w:val="18"/>
              </w:rPr>
            </w:pPr>
            <w:r>
              <w:rPr>
                <w:rFonts w:ascii="Times New Roman"/>
                <w:sz w:val="18"/>
              </w:rPr>
              <w:t>1.00</w:t>
            </w:r>
          </w:p>
        </w:tc>
        <w:tc>
          <w:tcPr>
            <w:tcW w:w="574" w:type="dxa"/>
            <w:vMerge w:val="restart"/>
            <w:tcBorders>
              <w:top w:val="single" w:sz="4" w:space="0" w:color="000000"/>
              <w:left w:val="single" w:sz="4" w:space="0" w:color="000000"/>
              <w:right w:val="single" w:sz="4" w:space="0" w:color="000000"/>
            </w:tcBorders>
          </w:tcPr>
          <w:p>
            <w:pPr/>
          </w:p>
        </w:tc>
        <w:tc>
          <w:tcPr>
            <w:tcW w:w="572" w:type="dxa"/>
            <w:vMerge w:val="restart"/>
            <w:tcBorders>
              <w:top w:val="single" w:sz="4" w:space="0" w:color="000000"/>
              <w:left w:val="single" w:sz="4" w:space="0" w:color="000000"/>
              <w:right w:val="single" w:sz="4" w:space="0" w:color="000000"/>
            </w:tcBorders>
          </w:tcPr>
          <w:p>
            <w:pPr/>
          </w:p>
        </w:tc>
        <w:tc>
          <w:tcPr>
            <w:tcW w:w="571" w:type="dxa"/>
            <w:vMerge w:val="restart"/>
            <w:tcBorders>
              <w:top w:val="single" w:sz="4" w:space="0" w:color="000000"/>
              <w:left w:val="single" w:sz="4" w:space="0" w:color="000000"/>
              <w:right w:val="single" w:sz="4" w:space="0" w:color="000000"/>
            </w:tcBorders>
          </w:tcPr>
          <w:p>
            <w:pPr/>
          </w:p>
        </w:tc>
        <w:tc>
          <w:tcPr>
            <w:tcW w:w="68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222,225</w:t>
            </w:r>
          </w:p>
          <w:p>
            <w:pPr>
              <w:pStyle w:val="TableParagraph"/>
              <w:spacing w:line="240" w:lineRule="auto" w:before="102"/>
              <w:ind w:left="115" w:right="0"/>
              <w:jc w:val="left"/>
              <w:rPr>
                <w:rFonts w:ascii="Times New Roman" w:hAnsi="Times New Roman" w:cs="Times New Roman" w:eastAsia="Times New Roman" w:hint="default"/>
                <w:sz w:val="18"/>
                <w:szCs w:val="18"/>
              </w:rPr>
            </w:pPr>
            <w:r>
              <w:rPr>
                <w:rFonts w:ascii="Times New Roman"/>
                <w:sz w:val="18"/>
              </w:rPr>
              <w:t>,638.42</w:t>
            </w:r>
          </w:p>
        </w:tc>
        <w:tc>
          <w:tcPr>
            <w:tcW w:w="68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38,525,1</w:t>
            </w:r>
          </w:p>
          <w:p>
            <w:pPr>
              <w:pStyle w:val="TableParagraph"/>
              <w:spacing w:line="240" w:lineRule="auto" w:before="102"/>
              <w:ind w:left="249" w:right="0"/>
              <w:jc w:val="left"/>
              <w:rPr>
                <w:rFonts w:ascii="Times New Roman" w:hAnsi="Times New Roman" w:cs="Times New Roman" w:eastAsia="Times New Roman" w:hint="default"/>
                <w:sz w:val="18"/>
                <w:szCs w:val="18"/>
              </w:rPr>
            </w:pPr>
            <w:r>
              <w:rPr>
                <w:rFonts w:ascii="Times New Roman"/>
                <w:sz w:val="18"/>
              </w:rPr>
              <w:t>77.00</w:t>
            </w:r>
          </w:p>
        </w:tc>
        <w:tc>
          <w:tcPr>
            <w:tcW w:w="684" w:type="dxa"/>
            <w:vMerge w:val="restart"/>
            <w:tcBorders>
              <w:top w:val="single" w:sz="4" w:space="0" w:color="000000"/>
              <w:left w:val="single" w:sz="4" w:space="0" w:color="000000"/>
              <w:right w:val="single" w:sz="4" w:space="0" w:color="000000"/>
            </w:tcBorders>
          </w:tcPr>
          <w:p>
            <w:pPr/>
          </w:p>
        </w:tc>
        <w:tc>
          <w:tcPr>
            <w:tcW w:w="782"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75,433,</w:t>
            </w:r>
          </w:p>
          <w:p>
            <w:pPr>
              <w:pStyle w:val="TableParagraph"/>
              <w:spacing w:line="240" w:lineRule="auto" w:before="102"/>
              <w:ind w:left="139" w:right="0"/>
              <w:jc w:val="left"/>
              <w:rPr>
                <w:rFonts w:ascii="Times New Roman" w:hAnsi="Times New Roman" w:cs="Times New Roman" w:eastAsia="Times New Roman" w:hint="default"/>
                <w:sz w:val="18"/>
                <w:szCs w:val="18"/>
              </w:rPr>
            </w:pPr>
            <w:r>
              <w:rPr>
                <w:rFonts w:ascii="Times New Roman"/>
                <w:sz w:val="18"/>
              </w:rPr>
              <w:t>200.87</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464,883,3</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29.27</w:t>
            </w:r>
          </w:p>
        </w:tc>
        <w:tc>
          <w:tcPr>
            <w:tcW w:w="797" w:type="dxa"/>
            <w:vMerge w:val="restart"/>
            <w:tcBorders>
              <w:top w:val="single" w:sz="4" w:space="0" w:color="000000"/>
              <w:left w:val="single" w:sz="4" w:space="0" w:color="000000"/>
              <w:right w:val="single" w:sz="4" w:space="0" w:color="000000"/>
            </w:tcBorders>
          </w:tcPr>
          <w:p>
            <w:pP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2,647,614,4</w:t>
            </w:r>
          </w:p>
          <w:p>
            <w:pPr>
              <w:pStyle w:val="TableParagraph"/>
              <w:spacing w:line="240" w:lineRule="auto" w:before="102"/>
              <w:ind w:left="491" w:right="0"/>
              <w:jc w:val="left"/>
              <w:rPr>
                <w:rFonts w:ascii="Times New Roman" w:hAnsi="Times New Roman" w:cs="Times New Roman" w:eastAsia="Times New Roman" w:hint="default"/>
                <w:sz w:val="18"/>
                <w:szCs w:val="18"/>
              </w:rPr>
            </w:pPr>
            <w:r>
              <w:rPr>
                <w:rFonts w:ascii="Times New Roman"/>
                <w:sz w:val="18"/>
              </w:rPr>
              <w:t>92.56</w:t>
            </w:r>
          </w:p>
        </w:tc>
      </w:tr>
      <w:tr>
        <w:trPr>
          <w:trHeight w:val="703" w:hRule="exact"/>
        </w:trPr>
        <w:tc>
          <w:tcPr>
            <w:tcW w:w="122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4" w:lineRule="auto" w:before="49"/>
              <w:ind w:left="12" w:right="20"/>
              <w:jc w:val="left"/>
              <w:rPr>
                <w:rFonts w:ascii="宋体" w:hAnsi="宋体" w:cs="宋体" w:eastAsia="宋体" w:hint="default"/>
                <w:sz w:val="18"/>
                <w:szCs w:val="18"/>
              </w:rPr>
            </w:pPr>
            <w:r>
              <w:rPr>
                <w:rFonts w:ascii="宋体" w:hAnsi="宋体" w:cs="宋体" w:eastAsia="宋体" w:hint="default"/>
                <w:spacing w:val="-13"/>
                <w:sz w:val="18"/>
                <w:szCs w:val="18"/>
              </w:rPr>
              <w:t>一、上年期末余</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593" w:type="dxa"/>
            <w:vMerge/>
            <w:tcBorders>
              <w:left w:val="single" w:sz="9" w:space="0" w:color="D2D2D2"/>
              <w:right w:val="single" w:sz="4" w:space="0" w:color="000000"/>
            </w:tcBorders>
          </w:tcPr>
          <w:p>
            <w:pPr/>
          </w:p>
        </w:tc>
        <w:tc>
          <w:tcPr>
            <w:tcW w:w="574" w:type="dxa"/>
            <w:vMerge/>
            <w:tcBorders>
              <w:left w:val="single" w:sz="4" w:space="0" w:color="000000"/>
              <w:right w:val="single" w:sz="4" w:space="0" w:color="000000"/>
            </w:tcBorders>
          </w:tcPr>
          <w:p>
            <w:pPr/>
          </w:p>
        </w:tc>
        <w:tc>
          <w:tcPr>
            <w:tcW w:w="572" w:type="dxa"/>
            <w:vMerge/>
            <w:tcBorders>
              <w:left w:val="single" w:sz="4" w:space="0" w:color="000000"/>
              <w:right w:val="single" w:sz="4" w:space="0" w:color="000000"/>
            </w:tcBorders>
          </w:tcPr>
          <w:p>
            <w:pPr/>
          </w:p>
        </w:tc>
        <w:tc>
          <w:tcPr>
            <w:tcW w:w="571"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4" w:type="dxa"/>
            <w:vMerge/>
            <w:tcBorders>
              <w:left w:val="single" w:sz="4" w:space="0" w:color="000000"/>
              <w:right w:val="single" w:sz="4" w:space="0" w:color="000000"/>
            </w:tcBorders>
          </w:tcPr>
          <w:p>
            <w:pPr/>
          </w:p>
        </w:tc>
        <w:tc>
          <w:tcPr>
            <w:tcW w:w="782"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1" w:hRule="exact"/>
        </w:trPr>
        <w:tc>
          <w:tcPr>
            <w:tcW w:w="1220" w:type="dxa"/>
            <w:tcBorders>
              <w:top w:val="nil" w:sz="6" w:space="0" w:color="auto"/>
              <w:left w:val="single" w:sz="4" w:space="0" w:color="000000"/>
              <w:bottom w:val="single" w:sz="4" w:space="0" w:color="000000"/>
              <w:right w:val="single" w:sz="4" w:space="0" w:color="000000"/>
            </w:tcBorders>
            <w:shd w:val="clear" w:color="auto" w:fill="D2D2D2"/>
          </w:tcPr>
          <w:p>
            <w:pPr/>
          </w:p>
        </w:tc>
        <w:tc>
          <w:tcPr>
            <w:tcW w:w="593" w:type="dxa"/>
            <w:vMerge/>
            <w:tcBorders>
              <w:left w:val="single" w:sz="9" w:space="0" w:color="D2D2D2"/>
              <w:bottom w:val="single" w:sz="4" w:space="0" w:color="000000"/>
              <w:right w:val="single" w:sz="4" w:space="0" w:color="000000"/>
            </w:tcBorders>
          </w:tcPr>
          <w:p>
            <w:pPr/>
          </w:p>
        </w:tc>
        <w:tc>
          <w:tcPr>
            <w:tcW w:w="574" w:type="dxa"/>
            <w:vMerge/>
            <w:tcBorders>
              <w:left w:val="single" w:sz="4" w:space="0" w:color="000000"/>
              <w:bottom w:val="single" w:sz="4" w:space="0" w:color="000000"/>
              <w:right w:val="single" w:sz="4" w:space="0" w:color="000000"/>
            </w:tcBorders>
          </w:tcPr>
          <w:p>
            <w:pPr/>
          </w:p>
        </w:tc>
        <w:tc>
          <w:tcPr>
            <w:tcW w:w="572" w:type="dxa"/>
            <w:vMerge/>
            <w:tcBorders>
              <w:left w:val="single" w:sz="4" w:space="0" w:color="000000"/>
              <w:bottom w:val="single" w:sz="4" w:space="0" w:color="000000"/>
              <w:right w:val="single" w:sz="4" w:space="0" w:color="000000"/>
            </w:tcBorders>
          </w:tcPr>
          <w:p>
            <w:pPr/>
          </w:p>
        </w:tc>
        <w:tc>
          <w:tcPr>
            <w:tcW w:w="571"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4" w:type="dxa"/>
            <w:vMerge/>
            <w:tcBorders>
              <w:left w:val="single" w:sz="4" w:space="0" w:color="000000"/>
              <w:bottom w:val="single" w:sz="4" w:space="0" w:color="000000"/>
              <w:right w:val="single" w:sz="4" w:space="0" w:color="000000"/>
            </w:tcBorders>
          </w:tcPr>
          <w:p>
            <w:pPr/>
          </w:p>
        </w:tc>
        <w:tc>
          <w:tcPr>
            <w:tcW w:w="782"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r>
        <w:trPr>
          <w:trHeight w:val="715" w:hRule="exact"/>
        </w:trPr>
        <w:tc>
          <w:tcPr>
            <w:tcW w:w="1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9" w:firstLine="360"/>
              <w:jc w:val="left"/>
              <w:rPr>
                <w:rFonts w:ascii="宋体" w:hAnsi="宋体" w:cs="宋体" w:eastAsia="宋体" w:hint="default"/>
                <w:sz w:val="18"/>
                <w:szCs w:val="18"/>
              </w:rPr>
            </w:pPr>
            <w:r>
              <w:rPr>
                <w:rFonts w:ascii="宋体" w:hAnsi="宋体" w:cs="宋体" w:eastAsia="宋体" w:hint="default"/>
                <w:spacing w:val="-17"/>
                <w:sz w:val="18"/>
                <w:szCs w:val="18"/>
              </w:rPr>
              <w:t>加：会计政</w:t>
            </w:r>
            <w:r>
              <w:rPr>
                <w:rFonts w:ascii="宋体" w:hAnsi="宋体" w:cs="宋体" w:eastAsia="宋体" w:hint="default"/>
                <w:sz w:val="18"/>
                <w:szCs w:val="18"/>
              </w:rPr>
              <w:t> 策变更</w:t>
            </w:r>
          </w:p>
        </w:tc>
        <w:tc>
          <w:tcPr>
            <w:tcW w:w="593"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前期</w:t>
            </w:r>
          </w:p>
          <w:p>
            <w:pPr>
              <w:pStyle w:val="TableParagraph"/>
              <w:spacing w:line="240" w:lineRule="auto" w:before="74"/>
              <w:ind w:left="12" w:right="0"/>
              <w:jc w:val="left"/>
              <w:rPr>
                <w:rFonts w:ascii="宋体" w:hAnsi="宋体" w:cs="宋体" w:eastAsia="宋体" w:hint="default"/>
                <w:sz w:val="18"/>
                <w:szCs w:val="18"/>
              </w:rPr>
            </w:pPr>
            <w:r>
              <w:rPr>
                <w:rFonts w:ascii="宋体" w:hAnsi="宋体" w:cs="宋体" w:eastAsia="宋体" w:hint="default"/>
                <w:sz w:val="18"/>
                <w:szCs w:val="18"/>
              </w:rPr>
              <w:t>差错更正</w:t>
            </w:r>
          </w:p>
        </w:tc>
        <w:tc>
          <w:tcPr>
            <w:tcW w:w="593"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93"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220" w:type="dxa"/>
            <w:tcBorders>
              <w:top w:val="single" w:sz="4" w:space="0" w:color="000000"/>
              <w:left w:val="single" w:sz="4" w:space="0" w:color="000000"/>
              <w:bottom w:val="nil" w:sz="6" w:space="0" w:color="auto"/>
              <w:right w:val="single" w:sz="4" w:space="0" w:color="000000"/>
            </w:tcBorders>
            <w:shd w:val="clear" w:color="auto" w:fill="D2D2D2"/>
          </w:tcPr>
          <w:p>
            <w:pPr/>
          </w:p>
        </w:tc>
        <w:tc>
          <w:tcPr>
            <w:tcW w:w="593" w:type="dxa"/>
            <w:vMerge w:val="restart"/>
            <w:tcBorders>
              <w:top w:val="single" w:sz="4" w:space="0" w:color="000000"/>
              <w:left w:val="single" w:sz="9" w:space="0" w:color="D2D2D2"/>
              <w:right w:val="single" w:sz="4" w:space="0" w:color="000000"/>
            </w:tcBorders>
          </w:tcPr>
          <w:p>
            <w:pPr>
              <w:pStyle w:val="TableParagraph"/>
              <w:spacing w:line="240" w:lineRule="auto" w:before="91"/>
              <w:ind w:left="83" w:right="0"/>
              <w:jc w:val="center"/>
              <w:rPr>
                <w:rFonts w:ascii="Times New Roman" w:hAnsi="Times New Roman" w:cs="Times New Roman" w:eastAsia="Times New Roman" w:hint="default"/>
                <w:sz w:val="18"/>
                <w:szCs w:val="18"/>
              </w:rPr>
            </w:pPr>
            <w:r>
              <w:rPr>
                <w:rFonts w:ascii="Times New Roman"/>
                <w:sz w:val="18"/>
              </w:rPr>
              <w:t>1,923,</w:t>
            </w:r>
          </w:p>
          <w:p>
            <w:pPr>
              <w:pStyle w:val="TableParagraph"/>
              <w:spacing w:line="240" w:lineRule="auto" w:before="102"/>
              <w:ind w:left="40" w:right="0"/>
              <w:jc w:val="center"/>
              <w:rPr>
                <w:rFonts w:ascii="Times New Roman" w:hAnsi="Times New Roman" w:cs="Times New Roman" w:eastAsia="Times New Roman" w:hint="default"/>
                <w:sz w:val="18"/>
                <w:szCs w:val="18"/>
              </w:rPr>
            </w:pPr>
            <w:r>
              <w:rPr>
                <w:rFonts w:ascii="Times New Roman"/>
                <w:sz w:val="18"/>
              </w:rPr>
              <w:t>597,50</w:t>
            </w:r>
          </w:p>
          <w:p>
            <w:pPr>
              <w:pStyle w:val="TableParagraph"/>
              <w:spacing w:line="240" w:lineRule="auto" w:before="105"/>
              <w:ind w:left="220" w:right="0"/>
              <w:jc w:val="center"/>
              <w:rPr>
                <w:rFonts w:ascii="Times New Roman" w:hAnsi="Times New Roman" w:cs="Times New Roman" w:eastAsia="Times New Roman" w:hint="default"/>
                <w:sz w:val="18"/>
                <w:szCs w:val="18"/>
              </w:rPr>
            </w:pPr>
            <w:r>
              <w:rPr>
                <w:rFonts w:ascii="Times New Roman"/>
                <w:sz w:val="18"/>
              </w:rPr>
              <w:t>1.00</w:t>
            </w:r>
          </w:p>
        </w:tc>
        <w:tc>
          <w:tcPr>
            <w:tcW w:w="574" w:type="dxa"/>
            <w:vMerge w:val="restart"/>
            <w:tcBorders>
              <w:top w:val="single" w:sz="4" w:space="0" w:color="000000"/>
              <w:left w:val="single" w:sz="4" w:space="0" w:color="000000"/>
              <w:right w:val="single" w:sz="4" w:space="0" w:color="000000"/>
            </w:tcBorders>
          </w:tcPr>
          <w:p>
            <w:pPr/>
          </w:p>
        </w:tc>
        <w:tc>
          <w:tcPr>
            <w:tcW w:w="572" w:type="dxa"/>
            <w:vMerge w:val="restart"/>
            <w:tcBorders>
              <w:top w:val="single" w:sz="4" w:space="0" w:color="000000"/>
              <w:left w:val="single" w:sz="4" w:space="0" w:color="000000"/>
              <w:right w:val="single" w:sz="4" w:space="0" w:color="000000"/>
            </w:tcBorders>
          </w:tcPr>
          <w:p>
            <w:pPr/>
          </w:p>
        </w:tc>
        <w:tc>
          <w:tcPr>
            <w:tcW w:w="571" w:type="dxa"/>
            <w:vMerge w:val="restart"/>
            <w:tcBorders>
              <w:top w:val="single" w:sz="4" w:space="0" w:color="000000"/>
              <w:left w:val="single" w:sz="4" w:space="0" w:color="000000"/>
              <w:right w:val="single" w:sz="4" w:space="0" w:color="000000"/>
            </w:tcBorders>
          </w:tcPr>
          <w:p>
            <w:pPr/>
          </w:p>
        </w:tc>
        <w:tc>
          <w:tcPr>
            <w:tcW w:w="68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222,225</w:t>
            </w:r>
          </w:p>
          <w:p>
            <w:pPr>
              <w:pStyle w:val="TableParagraph"/>
              <w:spacing w:line="240" w:lineRule="auto" w:before="102"/>
              <w:ind w:left="115" w:right="0"/>
              <w:jc w:val="left"/>
              <w:rPr>
                <w:rFonts w:ascii="Times New Roman" w:hAnsi="Times New Roman" w:cs="Times New Roman" w:eastAsia="Times New Roman" w:hint="default"/>
                <w:sz w:val="18"/>
                <w:szCs w:val="18"/>
              </w:rPr>
            </w:pPr>
            <w:r>
              <w:rPr>
                <w:rFonts w:ascii="Times New Roman"/>
                <w:sz w:val="18"/>
              </w:rPr>
              <w:t>,638.42</w:t>
            </w:r>
          </w:p>
        </w:tc>
        <w:tc>
          <w:tcPr>
            <w:tcW w:w="68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38,525,1</w:t>
            </w:r>
          </w:p>
          <w:p>
            <w:pPr>
              <w:pStyle w:val="TableParagraph"/>
              <w:spacing w:line="240" w:lineRule="auto" w:before="102"/>
              <w:ind w:left="249" w:right="0"/>
              <w:jc w:val="left"/>
              <w:rPr>
                <w:rFonts w:ascii="Times New Roman" w:hAnsi="Times New Roman" w:cs="Times New Roman" w:eastAsia="Times New Roman" w:hint="default"/>
                <w:sz w:val="18"/>
                <w:szCs w:val="18"/>
              </w:rPr>
            </w:pPr>
            <w:r>
              <w:rPr>
                <w:rFonts w:ascii="Times New Roman"/>
                <w:sz w:val="18"/>
              </w:rPr>
              <w:t>77.00</w:t>
            </w:r>
          </w:p>
        </w:tc>
        <w:tc>
          <w:tcPr>
            <w:tcW w:w="684" w:type="dxa"/>
            <w:vMerge w:val="restart"/>
            <w:tcBorders>
              <w:top w:val="single" w:sz="4" w:space="0" w:color="000000"/>
              <w:left w:val="single" w:sz="4" w:space="0" w:color="000000"/>
              <w:right w:val="single" w:sz="4" w:space="0" w:color="000000"/>
            </w:tcBorders>
          </w:tcPr>
          <w:p>
            <w:pPr/>
          </w:p>
        </w:tc>
        <w:tc>
          <w:tcPr>
            <w:tcW w:w="782"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75,433,</w:t>
            </w:r>
          </w:p>
          <w:p>
            <w:pPr>
              <w:pStyle w:val="TableParagraph"/>
              <w:spacing w:line="240" w:lineRule="auto" w:before="102"/>
              <w:ind w:left="139" w:right="0"/>
              <w:jc w:val="left"/>
              <w:rPr>
                <w:rFonts w:ascii="Times New Roman" w:hAnsi="Times New Roman" w:cs="Times New Roman" w:eastAsia="Times New Roman" w:hint="default"/>
                <w:sz w:val="18"/>
                <w:szCs w:val="18"/>
              </w:rPr>
            </w:pPr>
            <w:r>
              <w:rPr>
                <w:rFonts w:ascii="Times New Roman"/>
                <w:sz w:val="18"/>
              </w:rPr>
              <w:t>200.87</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464,883,3</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29.27</w:t>
            </w:r>
          </w:p>
        </w:tc>
        <w:tc>
          <w:tcPr>
            <w:tcW w:w="797" w:type="dxa"/>
            <w:vMerge w:val="restart"/>
            <w:tcBorders>
              <w:top w:val="single" w:sz="4" w:space="0" w:color="000000"/>
              <w:left w:val="single" w:sz="4" w:space="0" w:color="000000"/>
              <w:right w:val="single" w:sz="4" w:space="0" w:color="000000"/>
            </w:tcBorders>
          </w:tcPr>
          <w:p>
            <w:pP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2,647,614,4</w:t>
            </w:r>
          </w:p>
          <w:p>
            <w:pPr>
              <w:pStyle w:val="TableParagraph"/>
              <w:spacing w:line="240" w:lineRule="auto" w:before="102"/>
              <w:ind w:left="491" w:right="0"/>
              <w:jc w:val="left"/>
              <w:rPr>
                <w:rFonts w:ascii="Times New Roman" w:hAnsi="Times New Roman" w:cs="Times New Roman" w:eastAsia="Times New Roman" w:hint="default"/>
                <w:sz w:val="18"/>
                <w:szCs w:val="18"/>
              </w:rPr>
            </w:pPr>
            <w:r>
              <w:rPr>
                <w:rFonts w:ascii="Times New Roman"/>
                <w:sz w:val="18"/>
              </w:rPr>
              <w:t>92.56</w:t>
            </w:r>
          </w:p>
        </w:tc>
      </w:tr>
      <w:tr>
        <w:trPr>
          <w:trHeight w:val="703" w:hRule="exact"/>
        </w:trPr>
        <w:tc>
          <w:tcPr>
            <w:tcW w:w="122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4" w:lineRule="auto" w:before="49"/>
              <w:ind w:left="12" w:right="20"/>
              <w:jc w:val="left"/>
              <w:rPr>
                <w:rFonts w:ascii="宋体" w:hAnsi="宋体" w:cs="宋体" w:eastAsia="宋体" w:hint="default"/>
                <w:sz w:val="18"/>
                <w:szCs w:val="18"/>
              </w:rPr>
            </w:pPr>
            <w:r>
              <w:rPr>
                <w:rFonts w:ascii="宋体" w:hAnsi="宋体" w:cs="宋体" w:eastAsia="宋体" w:hint="default"/>
                <w:spacing w:val="-13"/>
                <w:sz w:val="18"/>
                <w:szCs w:val="18"/>
              </w:rPr>
              <w:t>二、本年期初余</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593" w:type="dxa"/>
            <w:vMerge/>
            <w:tcBorders>
              <w:left w:val="single" w:sz="9" w:space="0" w:color="D2D2D2"/>
              <w:right w:val="single" w:sz="4" w:space="0" w:color="000000"/>
            </w:tcBorders>
          </w:tcPr>
          <w:p>
            <w:pPr/>
          </w:p>
        </w:tc>
        <w:tc>
          <w:tcPr>
            <w:tcW w:w="574" w:type="dxa"/>
            <w:vMerge/>
            <w:tcBorders>
              <w:left w:val="single" w:sz="4" w:space="0" w:color="000000"/>
              <w:right w:val="single" w:sz="4" w:space="0" w:color="000000"/>
            </w:tcBorders>
          </w:tcPr>
          <w:p>
            <w:pPr/>
          </w:p>
        </w:tc>
        <w:tc>
          <w:tcPr>
            <w:tcW w:w="572" w:type="dxa"/>
            <w:vMerge/>
            <w:tcBorders>
              <w:left w:val="single" w:sz="4" w:space="0" w:color="000000"/>
              <w:right w:val="single" w:sz="4" w:space="0" w:color="000000"/>
            </w:tcBorders>
          </w:tcPr>
          <w:p>
            <w:pPr/>
          </w:p>
        </w:tc>
        <w:tc>
          <w:tcPr>
            <w:tcW w:w="571"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4" w:type="dxa"/>
            <w:vMerge/>
            <w:tcBorders>
              <w:left w:val="single" w:sz="4" w:space="0" w:color="000000"/>
              <w:right w:val="single" w:sz="4" w:space="0" w:color="000000"/>
            </w:tcBorders>
          </w:tcPr>
          <w:p>
            <w:pPr/>
          </w:p>
        </w:tc>
        <w:tc>
          <w:tcPr>
            <w:tcW w:w="782"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1" w:hRule="exact"/>
        </w:trPr>
        <w:tc>
          <w:tcPr>
            <w:tcW w:w="1220" w:type="dxa"/>
            <w:tcBorders>
              <w:top w:val="nil" w:sz="6" w:space="0" w:color="auto"/>
              <w:left w:val="single" w:sz="4" w:space="0" w:color="000000"/>
              <w:bottom w:val="single" w:sz="4" w:space="0" w:color="000000"/>
              <w:right w:val="single" w:sz="4" w:space="0" w:color="000000"/>
            </w:tcBorders>
            <w:shd w:val="clear" w:color="auto" w:fill="D2D2D2"/>
          </w:tcPr>
          <w:p>
            <w:pPr/>
          </w:p>
        </w:tc>
        <w:tc>
          <w:tcPr>
            <w:tcW w:w="593" w:type="dxa"/>
            <w:vMerge/>
            <w:tcBorders>
              <w:left w:val="single" w:sz="9" w:space="0" w:color="D2D2D2"/>
              <w:bottom w:val="single" w:sz="4" w:space="0" w:color="000000"/>
              <w:right w:val="single" w:sz="4" w:space="0" w:color="000000"/>
            </w:tcBorders>
          </w:tcPr>
          <w:p>
            <w:pPr/>
          </w:p>
        </w:tc>
        <w:tc>
          <w:tcPr>
            <w:tcW w:w="574" w:type="dxa"/>
            <w:vMerge/>
            <w:tcBorders>
              <w:left w:val="single" w:sz="4" w:space="0" w:color="000000"/>
              <w:bottom w:val="single" w:sz="4" w:space="0" w:color="000000"/>
              <w:right w:val="single" w:sz="4" w:space="0" w:color="000000"/>
            </w:tcBorders>
          </w:tcPr>
          <w:p>
            <w:pPr/>
          </w:p>
        </w:tc>
        <w:tc>
          <w:tcPr>
            <w:tcW w:w="572" w:type="dxa"/>
            <w:vMerge/>
            <w:tcBorders>
              <w:left w:val="single" w:sz="4" w:space="0" w:color="000000"/>
              <w:bottom w:val="single" w:sz="4" w:space="0" w:color="000000"/>
              <w:right w:val="single" w:sz="4" w:space="0" w:color="000000"/>
            </w:tcBorders>
          </w:tcPr>
          <w:p>
            <w:pPr/>
          </w:p>
        </w:tc>
        <w:tc>
          <w:tcPr>
            <w:tcW w:w="571"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4" w:type="dxa"/>
            <w:vMerge/>
            <w:tcBorders>
              <w:left w:val="single" w:sz="4" w:space="0" w:color="000000"/>
              <w:bottom w:val="single" w:sz="4" w:space="0" w:color="000000"/>
              <w:right w:val="single" w:sz="4" w:space="0" w:color="000000"/>
            </w:tcBorders>
          </w:tcPr>
          <w:p>
            <w:pPr/>
          </w:p>
        </w:tc>
        <w:tc>
          <w:tcPr>
            <w:tcW w:w="782"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r>
        <w:trPr>
          <w:trHeight w:val="1027" w:hRule="exact"/>
        </w:trPr>
        <w:tc>
          <w:tcPr>
            <w:tcW w:w="1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20"/>
              <w:jc w:val="both"/>
              <w:rPr>
                <w:rFonts w:ascii="宋体" w:hAnsi="宋体" w:cs="宋体" w:eastAsia="宋体" w:hint="default"/>
                <w:sz w:val="18"/>
                <w:szCs w:val="18"/>
              </w:rPr>
            </w:pPr>
            <w:r>
              <w:rPr>
                <w:rFonts w:ascii="宋体" w:hAnsi="宋体" w:cs="宋体" w:eastAsia="宋体" w:hint="default"/>
                <w:spacing w:val="-13"/>
                <w:sz w:val="18"/>
                <w:szCs w:val="18"/>
              </w:rPr>
              <w:t>三、本期增减变</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13"/>
                <w:sz w:val="18"/>
                <w:szCs w:val="18"/>
              </w:rPr>
              <w:t>动金额（减少以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59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-21,43</w:t>
            </w:r>
          </w:p>
          <w:p>
            <w:pPr>
              <w:pStyle w:val="TableParagraph"/>
              <w:spacing w:line="240" w:lineRule="auto" w:before="105"/>
              <w:ind w:left="99" w:right="0"/>
              <w:jc w:val="left"/>
              <w:rPr>
                <w:rFonts w:ascii="Times New Roman" w:hAnsi="Times New Roman" w:cs="Times New Roman" w:eastAsia="Times New Roman" w:hint="default"/>
                <w:sz w:val="18"/>
                <w:szCs w:val="18"/>
              </w:rPr>
            </w:pPr>
            <w:r>
              <w:rPr>
                <w:rFonts w:ascii="Times New Roman"/>
                <w:sz w:val="18"/>
              </w:rPr>
              <w:t>8,272.</w:t>
            </w:r>
          </w:p>
          <w:p>
            <w:pPr>
              <w:pStyle w:val="TableParagraph"/>
              <w:spacing w:line="240" w:lineRule="auto" w:before="105"/>
              <w:ind w:left="370" w:right="0"/>
              <w:jc w:val="left"/>
              <w:rPr>
                <w:rFonts w:ascii="Times New Roman" w:hAnsi="Times New Roman" w:cs="Times New Roman" w:eastAsia="Times New Roman" w:hint="default"/>
                <w:sz w:val="18"/>
                <w:szCs w:val="18"/>
              </w:rPr>
            </w:pPr>
            <w:r>
              <w:rPr>
                <w:rFonts w:ascii="Times New Roman"/>
                <w:sz w:val="18"/>
              </w:rPr>
              <w:t>00</w:t>
            </w: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4" w:right="0"/>
              <w:jc w:val="center"/>
              <w:rPr>
                <w:rFonts w:ascii="Times New Roman" w:hAnsi="Times New Roman" w:cs="Times New Roman" w:eastAsia="Times New Roman" w:hint="default"/>
                <w:sz w:val="18"/>
                <w:szCs w:val="18"/>
              </w:rPr>
            </w:pPr>
            <w:r>
              <w:rPr>
                <w:rFonts w:ascii="Times New Roman"/>
                <w:sz w:val="18"/>
              </w:rPr>
              <w:t>-67,493,</w:t>
            </w:r>
          </w:p>
          <w:p>
            <w:pPr>
              <w:pStyle w:val="TableParagraph"/>
              <w:spacing w:line="240" w:lineRule="auto" w:before="105"/>
              <w:ind w:left="139" w:right="0"/>
              <w:jc w:val="center"/>
              <w:rPr>
                <w:rFonts w:ascii="Times New Roman" w:hAnsi="Times New Roman" w:cs="Times New Roman" w:eastAsia="Times New Roman" w:hint="default"/>
                <w:sz w:val="18"/>
                <w:szCs w:val="18"/>
              </w:rPr>
            </w:pPr>
            <w:r>
              <w:rPr>
                <w:rFonts w:ascii="Times New Roman"/>
                <w:sz w:val="18"/>
              </w:rPr>
              <w:t>137.16</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4" w:right="0"/>
              <w:jc w:val="center"/>
              <w:rPr>
                <w:rFonts w:ascii="Times New Roman" w:hAnsi="Times New Roman" w:cs="Times New Roman" w:eastAsia="Times New Roman" w:hint="default"/>
                <w:sz w:val="18"/>
                <w:szCs w:val="18"/>
              </w:rPr>
            </w:pPr>
            <w:r>
              <w:rPr>
                <w:rFonts w:ascii="Times New Roman"/>
                <w:sz w:val="18"/>
              </w:rPr>
              <w:t>-38,525,</w:t>
            </w:r>
          </w:p>
          <w:p>
            <w:pPr>
              <w:pStyle w:val="TableParagraph"/>
              <w:spacing w:line="240" w:lineRule="auto" w:before="105"/>
              <w:ind w:left="139" w:right="0"/>
              <w:jc w:val="center"/>
              <w:rPr>
                <w:rFonts w:ascii="Times New Roman" w:hAnsi="Times New Roman" w:cs="Times New Roman" w:eastAsia="Times New Roman" w:hint="default"/>
                <w:sz w:val="18"/>
                <w:szCs w:val="18"/>
              </w:rPr>
            </w:pPr>
            <w:r>
              <w:rPr>
                <w:rFonts w:ascii="Times New Roman"/>
                <w:sz w:val="18"/>
              </w:rPr>
              <w:t>177.00</w:t>
            </w: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20,823,</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886.91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130,530,6</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81.60</w:t>
            </w: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100,948,33</w:t>
            </w:r>
          </w:p>
          <w:p>
            <w:pPr>
              <w:pStyle w:val="TableParagraph"/>
              <w:spacing w:line="240" w:lineRule="auto" w:before="105"/>
              <w:ind w:left="583" w:right="0"/>
              <w:jc w:val="left"/>
              <w:rPr>
                <w:rFonts w:ascii="Times New Roman" w:hAnsi="Times New Roman" w:cs="Times New Roman" w:eastAsia="Times New Roman" w:hint="default"/>
                <w:sz w:val="18"/>
                <w:szCs w:val="18"/>
              </w:rPr>
            </w:pPr>
            <w:r>
              <w:rPr>
                <w:rFonts w:ascii="Times New Roman"/>
                <w:sz w:val="18"/>
              </w:rPr>
              <w:t>6.35</w:t>
            </w:r>
          </w:p>
        </w:tc>
      </w:tr>
      <w:tr>
        <w:trPr>
          <w:trHeight w:val="713" w:hRule="exact"/>
        </w:trPr>
        <w:tc>
          <w:tcPr>
            <w:tcW w:w="1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20"/>
              <w:jc w:val="left"/>
              <w:rPr>
                <w:rFonts w:ascii="宋体" w:hAnsi="宋体" w:cs="宋体" w:eastAsia="宋体" w:hint="default"/>
                <w:sz w:val="18"/>
                <w:szCs w:val="18"/>
              </w:rPr>
            </w:pPr>
            <w:r>
              <w:rPr>
                <w:rFonts w:ascii="宋体" w:hAnsi="宋体" w:cs="宋体" w:eastAsia="宋体" w:hint="default"/>
                <w:spacing w:val="-13"/>
                <w:sz w:val="18"/>
                <w:szCs w:val="18"/>
              </w:rPr>
              <w:t>（一）综合收益</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总额</w:t>
            </w:r>
          </w:p>
        </w:tc>
        <w:tc>
          <w:tcPr>
            <w:tcW w:w="593"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208,238,8</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69.12</w:t>
            </w: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6" w:right="0"/>
              <w:jc w:val="left"/>
              <w:rPr>
                <w:rFonts w:ascii="Times New Roman" w:hAnsi="Times New Roman" w:cs="Times New Roman" w:eastAsia="Times New Roman" w:hint="default"/>
                <w:sz w:val="18"/>
                <w:szCs w:val="18"/>
              </w:rPr>
            </w:pPr>
            <w:r>
              <w:rPr>
                <w:rFonts w:ascii="Times New Roman"/>
                <w:sz w:val="18"/>
              </w:rPr>
              <w:t>208,238,86</w:t>
            </w:r>
          </w:p>
          <w:p>
            <w:pPr>
              <w:pStyle w:val="TableParagraph"/>
              <w:spacing w:line="240" w:lineRule="auto" w:before="102"/>
              <w:ind w:left="583" w:right="0"/>
              <w:jc w:val="left"/>
              <w:rPr>
                <w:rFonts w:ascii="Times New Roman" w:hAnsi="Times New Roman" w:cs="Times New Roman" w:eastAsia="Times New Roman" w:hint="default"/>
                <w:sz w:val="18"/>
                <w:szCs w:val="18"/>
              </w:rPr>
            </w:pPr>
            <w:r>
              <w:rPr>
                <w:rFonts w:ascii="Times New Roman"/>
                <w:sz w:val="18"/>
              </w:rPr>
              <w:t>9.12</w:t>
            </w:r>
          </w:p>
        </w:tc>
      </w:tr>
      <w:tr>
        <w:trPr>
          <w:trHeight w:val="161" w:hRule="exact"/>
        </w:trPr>
        <w:tc>
          <w:tcPr>
            <w:tcW w:w="1220" w:type="dxa"/>
            <w:tcBorders>
              <w:top w:val="single" w:sz="4" w:space="0" w:color="000000"/>
              <w:left w:val="single" w:sz="4" w:space="0" w:color="000000"/>
              <w:bottom w:val="nil" w:sz="6" w:space="0" w:color="auto"/>
              <w:right w:val="single" w:sz="4" w:space="0" w:color="000000"/>
            </w:tcBorders>
            <w:shd w:val="clear" w:color="auto" w:fill="D2D2D2"/>
          </w:tcPr>
          <w:p>
            <w:pPr/>
          </w:p>
        </w:tc>
        <w:tc>
          <w:tcPr>
            <w:tcW w:w="593" w:type="dxa"/>
            <w:vMerge w:val="restart"/>
            <w:tcBorders>
              <w:top w:val="single" w:sz="4" w:space="0" w:color="000000"/>
              <w:left w:val="single" w:sz="9" w:space="0" w:color="D2D2D2"/>
              <w:right w:val="single" w:sz="4" w:space="0" w:color="000000"/>
            </w:tcBorders>
          </w:tcPr>
          <w:p>
            <w:pPr>
              <w:pStyle w:val="TableParagraph"/>
              <w:spacing w:line="240" w:lineRule="auto" w:before="91"/>
              <w:ind w:left="90" w:right="0"/>
              <w:jc w:val="left"/>
              <w:rPr>
                <w:rFonts w:ascii="Times New Roman" w:hAnsi="Times New Roman" w:cs="Times New Roman" w:eastAsia="Times New Roman" w:hint="default"/>
                <w:sz w:val="18"/>
                <w:szCs w:val="18"/>
              </w:rPr>
            </w:pPr>
            <w:r>
              <w:rPr>
                <w:rFonts w:ascii="Times New Roman"/>
                <w:sz w:val="18"/>
              </w:rPr>
              <w:t>-21,43</w:t>
            </w:r>
          </w:p>
          <w:p>
            <w:pPr>
              <w:pStyle w:val="TableParagraph"/>
              <w:spacing w:line="240" w:lineRule="auto" w:before="105"/>
              <w:ind w:left="104" w:right="0"/>
              <w:jc w:val="left"/>
              <w:rPr>
                <w:rFonts w:ascii="Times New Roman" w:hAnsi="Times New Roman" w:cs="Times New Roman" w:eastAsia="Times New Roman" w:hint="default"/>
                <w:sz w:val="18"/>
                <w:szCs w:val="18"/>
              </w:rPr>
            </w:pPr>
            <w:r>
              <w:rPr>
                <w:rFonts w:ascii="Times New Roman"/>
                <w:sz w:val="18"/>
              </w:rPr>
              <w:t>8,272.</w:t>
            </w:r>
          </w:p>
          <w:p>
            <w:pPr>
              <w:pStyle w:val="TableParagraph"/>
              <w:spacing w:line="240" w:lineRule="auto" w:before="105"/>
              <w:ind w:left="375" w:right="0"/>
              <w:jc w:val="left"/>
              <w:rPr>
                <w:rFonts w:ascii="Times New Roman" w:hAnsi="Times New Roman" w:cs="Times New Roman" w:eastAsia="Times New Roman" w:hint="default"/>
                <w:sz w:val="18"/>
                <w:szCs w:val="18"/>
              </w:rPr>
            </w:pPr>
            <w:r>
              <w:rPr>
                <w:rFonts w:ascii="Times New Roman"/>
                <w:sz w:val="18"/>
              </w:rPr>
              <w:t>00</w:t>
            </w:r>
          </w:p>
        </w:tc>
        <w:tc>
          <w:tcPr>
            <w:tcW w:w="574" w:type="dxa"/>
            <w:vMerge w:val="restart"/>
            <w:tcBorders>
              <w:top w:val="single" w:sz="4" w:space="0" w:color="000000"/>
              <w:left w:val="single" w:sz="4" w:space="0" w:color="000000"/>
              <w:right w:val="single" w:sz="4" w:space="0" w:color="000000"/>
            </w:tcBorders>
          </w:tcPr>
          <w:p>
            <w:pPr/>
          </w:p>
        </w:tc>
        <w:tc>
          <w:tcPr>
            <w:tcW w:w="572" w:type="dxa"/>
            <w:vMerge w:val="restart"/>
            <w:tcBorders>
              <w:top w:val="single" w:sz="4" w:space="0" w:color="000000"/>
              <w:left w:val="single" w:sz="4" w:space="0" w:color="000000"/>
              <w:right w:val="single" w:sz="4" w:space="0" w:color="000000"/>
            </w:tcBorders>
          </w:tcPr>
          <w:p>
            <w:pPr/>
          </w:p>
        </w:tc>
        <w:tc>
          <w:tcPr>
            <w:tcW w:w="571" w:type="dxa"/>
            <w:vMerge w:val="restart"/>
            <w:tcBorders>
              <w:top w:val="single" w:sz="4" w:space="0" w:color="000000"/>
              <w:left w:val="single" w:sz="4" w:space="0" w:color="000000"/>
              <w:right w:val="single" w:sz="4" w:space="0" w:color="000000"/>
            </w:tcBorders>
          </w:tcPr>
          <w:p>
            <w:pPr/>
          </w:p>
        </w:tc>
        <w:tc>
          <w:tcPr>
            <w:tcW w:w="68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4" w:right="0"/>
              <w:jc w:val="center"/>
              <w:rPr>
                <w:rFonts w:ascii="Times New Roman" w:hAnsi="Times New Roman" w:cs="Times New Roman" w:eastAsia="Times New Roman" w:hint="default"/>
                <w:sz w:val="18"/>
                <w:szCs w:val="18"/>
              </w:rPr>
            </w:pPr>
            <w:r>
              <w:rPr>
                <w:rFonts w:ascii="Times New Roman"/>
                <w:sz w:val="18"/>
              </w:rPr>
              <w:t>-67,493,</w:t>
            </w:r>
          </w:p>
          <w:p>
            <w:pPr>
              <w:pStyle w:val="TableParagraph"/>
              <w:spacing w:line="240" w:lineRule="auto" w:before="105"/>
              <w:ind w:left="139" w:right="0"/>
              <w:jc w:val="center"/>
              <w:rPr>
                <w:rFonts w:ascii="Times New Roman" w:hAnsi="Times New Roman" w:cs="Times New Roman" w:eastAsia="Times New Roman" w:hint="default"/>
                <w:sz w:val="18"/>
                <w:szCs w:val="18"/>
              </w:rPr>
            </w:pPr>
            <w:r>
              <w:rPr>
                <w:rFonts w:ascii="Times New Roman"/>
                <w:sz w:val="18"/>
              </w:rPr>
              <w:t>137.16</w:t>
            </w:r>
          </w:p>
        </w:tc>
        <w:tc>
          <w:tcPr>
            <w:tcW w:w="68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4" w:right="0"/>
              <w:jc w:val="center"/>
              <w:rPr>
                <w:rFonts w:ascii="Times New Roman" w:hAnsi="Times New Roman" w:cs="Times New Roman" w:eastAsia="Times New Roman" w:hint="default"/>
                <w:sz w:val="18"/>
                <w:szCs w:val="18"/>
              </w:rPr>
            </w:pPr>
            <w:r>
              <w:rPr>
                <w:rFonts w:ascii="Times New Roman"/>
                <w:sz w:val="18"/>
              </w:rPr>
              <w:t>-38,525,</w:t>
            </w:r>
          </w:p>
          <w:p>
            <w:pPr>
              <w:pStyle w:val="TableParagraph"/>
              <w:spacing w:line="240" w:lineRule="auto" w:before="105"/>
              <w:ind w:left="139" w:right="0"/>
              <w:jc w:val="center"/>
              <w:rPr>
                <w:rFonts w:ascii="Times New Roman" w:hAnsi="Times New Roman" w:cs="Times New Roman" w:eastAsia="Times New Roman" w:hint="default"/>
                <w:sz w:val="18"/>
                <w:szCs w:val="18"/>
              </w:rPr>
            </w:pPr>
            <w:r>
              <w:rPr>
                <w:rFonts w:ascii="Times New Roman"/>
                <w:sz w:val="18"/>
              </w:rPr>
              <w:t>177.00</w:t>
            </w:r>
          </w:p>
        </w:tc>
        <w:tc>
          <w:tcPr>
            <w:tcW w:w="684" w:type="dxa"/>
            <w:vMerge w:val="restart"/>
            <w:tcBorders>
              <w:top w:val="single" w:sz="4" w:space="0" w:color="000000"/>
              <w:left w:val="single" w:sz="4" w:space="0" w:color="000000"/>
              <w:right w:val="single" w:sz="4" w:space="0" w:color="000000"/>
            </w:tcBorders>
          </w:tcPr>
          <w:p>
            <w:pPr/>
          </w:p>
        </w:tc>
        <w:tc>
          <w:tcPr>
            <w:tcW w:w="782"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-50,406,232</w:t>
            </w:r>
            <w:r>
              <w:rPr>
                <w:rFonts w:ascii="Times New Roman"/>
                <w:sz w:val="18"/>
              </w:rPr>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.16</w:t>
            </w:r>
          </w:p>
        </w:tc>
      </w:tr>
      <w:tr>
        <w:trPr>
          <w:trHeight w:val="706" w:hRule="exact"/>
        </w:trPr>
        <w:tc>
          <w:tcPr>
            <w:tcW w:w="122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12" w:right="20"/>
              <w:jc w:val="left"/>
              <w:rPr>
                <w:rFonts w:ascii="宋体" w:hAnsi="宋体" w:cs="宋体" w:eastAsia="宋体" w:hint="default"/>
                <w:sz w:val="18"/>
                <w:szCs w:val="18"/>
              </w:rPr>
            </w:pPr>
            <w:r>
              <w:rPr>
                <w:rFonts w:ascii="宋体" w:hAnsi="宋体" w:cs="宋体" w:eastAsia="宋体" w:hint="default"/>
                <w:spacing w:val="-13"/>
                <w:sz w:val="18"/>
                <w:szCs w:val="18"/>
              </w:rPr>
              <w:t>（二）所有者投</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入和减少资本</w:t>
            </w:r>
          </w:p>
        </w:tc>
        <w:tc>
          <w:tcPr>
            <w:tcW w:w="593" w:type="dxa"/>
            <w:vMerge/>
            <w:tcBorders>
              <w:left w:val="single" w:sz="9" w:space="0" w:color="D2D2D2"/>
              <w:right w:val="single" w:sz="4" w:space="0" w:color="000000"/>
            </w:tcBorders>
          </w:tcPr>
          <w:p>
            <w:pPr/>
          </w:p>
        </w:tc>
        <w:tc>
          <w:tcPr>
            <w:tcW w:w="574" w:type="dxa"/>
            <w:vMerge/>
            <w:tcBorders>
              <w:left w:val="single" w:sz="4" w:space="0" w:color="000000"/>
              <w:right w:val="single" w:sz="4" w:space="0" w:color="000000"/>
            </w:tcBorders>
          </w:tcPr>
          <w:p>
            <w:pPr/>
          </w:p>
        </w:tc>
        <w:tc>
          <w:tcPr>
            <w:tcW w:w="572" w:type="dxa"/>
            <w:vMerge/>
            <w:tcBorders>
              <w:left w:val="single" w:sz="4" w:space="0" w:color="000000"/>
              <w:right w:val="single" w:sz="4" w:space="0" w:color="000000"/>
            </w:tcBorders>
          </w:tcPr>
          <w:p>
            <w:pPr/>
          </w:p>
        </w:tc>
        <w:tc>
          <w:tcPr>
            <w:tcW w:w="571"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4" w:type="dxa"/>
            <w:vMerge/>
            <w:tcBorders>
              <w:left w:val="single" w:sz="4" w:space="0" w:color="000000"/>
              <w:right w:val="single" w:sz="4" w:space="0" w:color="000000"/>
            </w:tcBorders>
          </w:tcPr>
          <w:p>
            <w:pPr/>
          </w:p>
        </w:tc>
        <w:tc>
          <w:tcPr>
            <w:tcW w:w="782"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1" w:hRule="exact"/>
        </w:trPr>
        <w:tc>
          <w:tcPr>
            <w:tcW w:w="1220" w:type="dxa"/>
            <w:tcBorders>
              <w:top w:val="nil" w:sz="6" w:space="0" w:color="auto"/>
              <w:left w:val="single" w:sz="4" w:space="0" w:color="000000"/>
              <w:bottom w:val="single" w:sz="4" w:space="0" w:color="000000"/>
              <w:right w:val="single" w:sz="4" w:space="0" w:color="000000"/>
            </w:tcBorders>
            <w:shd w:val="clear" w:color="auto" w:fill="D2D2D2"/>
          </w:tcPr>
          <w:p>
            <w:pPr/>
          </w:p>
        </w:tc>
        <w:tc>
          <w:tcPr>
            <w:tcW w:w="593" w:type="dxa"/>
            <w:vMerge/>
            <w:tcBorders>
              <w:left w:val="single" w:sz="9" w:space="0" w:color="D2D2D2"/>
              <w:bottom w:val="single" w:sz="4" w:space="0" w:color="000000"/>
              <w:right w:val="single" w:sz="4" w:space="0" w:color="000000"/>
            </w:tcBorders>
          </w:tcPr>
          <w:p>
            <w:pPr/>
          </w:p>
        </w:tc>
        <w:tc>
          <w:tcPr>
            <w:tcW w:w="574" w:type="dxa"/>
            <w:vMerge/>
            <w:tcBorders>
              <w:left w:val="single" w:sz="4" w:space="0" w:color="000000"/>
              <w:bottom w:val="single" w:sz="4" w:space="0" w:color="000000"/>
              <w:right w:val="single" w:sz="4" w:space="0" w:color="000000"/>
            </w:tcBorders>
          </w:tcPr>
          <w:p>
            <w:pPr/>
          </w:p>
        </w:tc>
        <w:tc>
          <w:tcPr>
            <w:tcW w:w="572" w:type="dxa"/>
            <w:vMerge/>
            <w:tcBorders>
              <w:left w:val="single" w:sz="4" w:space="0" w:color="000000"/>
              <w:bottom w:val="single" w:sz="4" w:space="0" w:color="000000"/>
              <w:right w:val="single" w:sz="4" w:space="0" w:color="000000"/>
            </w:tcBorders>
          </w:tcPr>
          <w:p>
            <w:pPr/>
          </w:p>
        </w:tc>
        <w:tc>
          <w:tcPr>
            <w:tcW w:w="571"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4" w:type="dxa"/>
            <w:vMerge/>
            <w:tcBorders>
              <w:left w:val="single" w:sz="4" w:space="0" w:color="000000"/>
              <w:bottom w:val="single" w:sz="4" w:space="0" w:color="000000"/>
              <w:right w:val="single" w:sz="4" w:space="0" w:color="000000"/>
            </w:tcBorders>
          </w:tcPr>
          <w:p>
            <w:pPr/>
          </w:p>
        </w:tc>
        <w:tc>
          <w:tcPr>
            <w:tcW w:w="782"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r>
        <w:trPr>
          <w:trHeight w:val="161" w:hRule="exact"/>
        </w:trPr>
        <w:tc>
          <w:tcPr>
            <w:tcW w:w="1220" w:type="dxa"/>
            <w:tcBorders>
              <w:top w:val="single" w:sz="4" w:space="0" w:color="000000"/>
              <w:left w:val="single" w:sz="4" w:space="0" w:color="000000"/>
              <w:bottom w:val="nil" w:sz="6" w:space="0" w:color="auto"/>
              <w:right w:val="single" w:sz="4" w:space="0" w:color="000000"/>
            </w:tcBorders>
            <w:shd w:val="clear" w:color="auto" w:fill="D2D2D2"/>
          </w:tcPr>
          <w:p>
            <w:pPr/>
          </w:p>
        </w:tc>
        <w:tc>
          <w:tcPr>
            <w:tcW w:w="593" w:type="dxa"/>
            <w:vMerge w:val="restart"/>
            <w:tcBorders>
              <w:top w:val="single" w:sz="4" w:space="0" w:color="000000"/>
              <w:left w:val="single" w:sz="9" w:space="0" w:color="D2D2D2"/>
              <w:right w:val="single" w:sz="4" w:space="0" w:color="000000"/>
            </w:tcBorders>
          </w:tcPr>
          <w:p>
            <w:pPr>
              <w:pStyle w:val="TableParagraph"/>
              <w:spacing w:line="240" w:lineRule="auto" w:before="91"/>
              <w:ind w:left="90" w:right="0"/>
              <w:jc w:val="left"/>
              <w:rPr>
                <w:rFonts w:ascii="Times New Roman" w:hAnsi="Times New Roman" w:cs="Times New Roman" w:eastAsia="Times New Roman" w:hint="default"/>
                <w:sz w:val="18"/>
                <w:szCs w:val="18"/>
              </w:rPr>
            </w:pPr>
            <w:r>
              <w:rPr>
                <w:rFonts w:ascii="Times New Roman"/>
                <w:sz w:val="18"/>
              </w:rPr>
              <w:t>-21,43</w:t>
            </w:r>
          </w:p>
          <w:p>
            <w:pPr>
              <w:pStyle w:val="TableParagraph"/>
              <w:spacing w:line="240" w:lineRule="auto" w:before="102"/>
              <w:ind w:left="104" w:right="0"/>
              <w:jc w:val="left"/>
              <w:rPr>
                <w:rFonts w:ascii="Times New Roman" w:hAnsi="Times New Roman" w:cs="Times New Roman" w:eastAsia="Times New Roman" w:hint="default"/>
                <w:sz w:val="18"/>
                <w:szCs w:val="18"/>
              </w:rPr>
            </w:pPr>
            <w:r>
              <w:rPr>
                <w:rFonts w:ascii="Times New Roman"/>
                <w:sz w:val="18"/>
              </w:rPr>
              <w:t>8,272.</w:t>
            </w:r>
          </w:p>
          <w:p>
            <w:pPr>
              <w:pStyle w:val="TableParagraph"/>
              <w:spacing w:line="240" w:lineRule="auto" w:before="105"/>
              <w:ind w:left="375" w:right="0"/>
              <w:jc w:val="left"/>
              <w:rPr>
                <w:rFonts w:ascii="Times New Roman" w:hAnsi="Times New Roman" w:cs="Times New Roman" w:eastAsia="Times New Roman" w:hint="default"/>
                <w:sz w:val="18"/>
                <w:szCs w:val="18"/>
              </w:rPr>
            </w:pPr>
            <w:r>
              <w:rPr>
                <w:rFonts w:ascii="Times New Roman"/>
                <w:sz w:val="18"/>
              </w:rPr>
              <w:t>00</w:t>
            </w:r>
          </w:p>
        </w:tc>
        <w:tc>
          <w:tcPr>
            <w:tcW w:w="574" w:type="dxa"/>
            <w:vMerge w:val="restart"/>
            <w:tcBorders>
              <w:top w:val="single" w:sz="4" w:space="0" w:color="000000"/>
              <w:left w:val="single" w:sz="4" w:space="0" w:color="000000"/>
              <w:right w:val="single" w:sz="4" w:space="0" w:color="000000"/>
            </w:tcBorders>
          </w:tcPr>
          <w:p>
            <w:pPr/>
          </w:p>
        </w:tc>
        <w:tc>
          <w:tcPr>
            <w:tcW w:w="572" w:type="dxa"/>
            <w:vMerge w:val="restart"/>
            <w:tcBorders>
              <w:top w:val="single" w:sz="4" w:space="0" w:color="000000"/>
              <w:left w:val="single" w:sz="4" w:space="0" w:color="000000"/>
              <w:right w:val="single" w:sz="4" w:space="0" w:color="000000"/>
            </w:tcBorders>
          </w:tcPr>
          <w:p>
            <w:pPr/>
          </w:p>
        </w:tc>
        <w:tc>
          <w:tcPr>
            <w:tcW w:w="571" w:type="dxa"/>
            <w:vMerge w:val="restart"/>
            <w:tcBorders>
              <w:top w:val="single" w:sz="4" w:space="0" w:color="000000"/>
              <w:left w:val="single" w:sz="4" w:space="0" w:color="000000"/>
              <w:right w:val="single" w:sz="4" w:space="0" w:color="000000"/>
            </w:tcBorders>
          </w:tcPr>
          <w:p>
            <w:pPr/>
          </w:p>
        </w:tc>
        <w:tc>
          <w:tcPr>
            <w:tcW w:w="68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4" w:right="0"/>
              <w:jc w:val="center"/>
              <w:rPr>
                <w:rFonts w:ascii="Times New Roman" w:hAnsi="Times New Roman" w:cs="Times New Roman" w:eastAsia="Times New Roman" w:hint="default"/>
                <w:sz w:val="18"/>
                <w:szCs w:val="18"/>
              </w:rPr>
            </w:pPr>
            <w:r>
              <w:rPr>
                <w:rFonts w:ascii="Times New Roman"/>
                <w:sz w:val="18"/>
              </w:rPr>
              <w:t>-83,650,</w:t>
            </w:r>
          </w:p>
          <w:p>
            <w:pPr>
              <w:pStyle w:val="TableParagraph"/>
              <w:spacing w:line="240" w:lineRule="auto" w:before="102"/>
              <w:ind w:left="139" w:right="0"/>
              <w:jc w:val="center"/>
              <w:rPr>
                <w:rFonts w:ascii="Times New Roman" w:hAnsi="Times New Roman" w:cs="Times New Roman" w:eastAsia="Times New Roman" w:hint="default"/>
                <w:sz w:val="18"/>
                <w:szCs w:val="18"/>
              </w:rPr>
            </w:pPr>
            <w:r>
              <w:rPr>
                <w:rFonts w:ascii="Times New Roman"/>
                <w:sz w:val="18"/>
              </w:rPr>
              <w:t>728.24</w:t>
            </w:r>
          </w:p>
        </w:tc>
        <w:tc>
          <w:tcPr>
            <w:tcW w:w="68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3" w:right="0"/>
              <w:jc w:val="center"/>
              <w:rPr>
                <w:rFonts w:ascii="Times New Roman" w:hAnsi="Times New Roman" w:cs="Times New Roman" w:eastAsia="Times New Roman" w:hint="default"/>
                <w:sz w:val="18"/>
                <w:szCs w:val="18"/>
              </w:rPr>
            </w:pPr>
            <w:r>
              <w:rPr>
                <w:rFonts w:ascii="Times New Roman"/>
                <w:sz w:val="18"/>
              </w:rPr>
              <w:t>-5,883,8</w:t>
            </w:r>
          </w:p>
          <w:p>
            <w:pPr>
              <w:pStyle w:val="TableParagraph"/>
              <w:spacing w:line="240" w:lineRule="auto" w:before="102"/>
              <w:ind w:left="228" w:right="0"/>
              <w:jc w:val="center"/>
              <w:rPr>
                <w:rFonts w:ascii="Times New Roman" w:hAnsi="Times New Roman" w:cs="Times New Roman" w:eastAsia="Times New Roman" w:hint="default"/>
                <w:sz w:val="18"/>
                <w:szCs w:val="18"/>
              </w:rPr>
            </w:pPr>
            <w:r>
              <w:rPr>
                <w:rFonts w:ascii="Times New Roman"/>
                <w:sz w:val="18"/>
              </w:rPr>
              <w:t>23.50</w:t>
            </w:r>
          </w:p>
        </w:tc>
        <w:tc>
          <w:tcPr>
            <w:tcW w:w="684" w:type="dxa"/>
            <w:vMerge w:val="restart"/>
            <w:tcBorders>
              <w:top w:val="single" w:sz="4" w:space="0" w:color="000000"/>
              <w:left w:val="single" w:sz="4" w:space="0" w:color="000000"/>
              <w:right w:val="single" w:sz="4" w:space="0" w:color="000000"/>
            </w:tcBorders>
          </w:tcPr>
          <w:p>
            <w:pPr/>
          </w:p>
        </w:tc>
        <w:tc>
          <w:tcPr>
            <w:tcW w:w="782"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-99,205,176</w:t>
            </w:r>
            <w:r>
              <w:rPr>
                <w:rFonts w:ascii="Times New Roman"/>
                <w:sz w:val="18"/>
              </w:rPr>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.74</w:t>
            </w:r>
          </w:p>
        </w:tc>
      </w:tr>
      <w:tr>
        <w:trPr>
          <w:trHeight w:val="703" w:hRule="exact"/>
        </w:trPr>
        <w:tc>
          <w:tcPr>
            <w:tcW w:w="122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97" w:lineRule="auto" w:before="49"/>
              <w:ind w:left="12"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 的普通股</w:t>
            </w:r>
          </w:p>
        </w:tc>
        <w:tc>
          <w:tcPr>
            <w:tcW w:w="593" w:type="dxa"/>
            <w:vMerge/>
            <w:tcBorders>
              <w:left w:val="single" w:sz="9" w:space="0" w:color="D2D2D2"/>
              <w:right w:val="single" w:sz="4" w:space="0" w:color="000000"/>
            </w:tcBorders>
          </w:tcPr>
          <w:p>
            <w:pPr/>
          </w:p>
        </w:tc>
        <w:tc>
          <w:tcPr>
            <w:tcW w:w="574" w:type="dxa"/>
            <w:vMerge/>
            <w:tcBorders>
              <w:left w:val="single" w:sz="4" w:space="0" w:color="000000"/>
              <w:right w:val="single" w:sz="4" w:space="0" w:color="000000"/>
            </w:tcBorders>
          </w:tcPr>
          <w:p>
            <w:pPr/>
          </w:p>
        </w:tc>
        <w:tc>
          <w:tcPr>
            <w:tcW w:w="572" w:type="dxa"/>
            <w:vMerge/>
            <w:tcBorders>
              <w:left w:val="single" w:sz="4" w:space="0" w:color="000000"/>
              <w:right w:val="single" w:sz="4" w:space="0" w:color="000000"/>
            </w:tcBorders>
          </w:tcPr>
          <w:p>
            <w:pPr/>
          </w:p>
        </w:tc>
        <w:tc>
          <w:tcPr>
            <w:tcW w:w="571"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6" w:type="dxa"/>
            <w:vMerge/>
            <w:tcBorders>
              <w:left w:val="single" w:sz="4" w:space="0" w:color="000000"/>
              <w:right w:val="single" w:sz="4" w:space="0" w:color="000000"/>
            </w:tcBorders>
          </w:tcPr>
          <w:p>
            <w:pPr/>
          </w:p>
        </w:tc>
        <w:tc>
          <w:tcPr>
            <w:tcW w:w="684" w:type="dxa"/>
            <w:vMerge/>
            <w:tcBorders>
              <w:left w:val="single" w:sz="4" w:space="0" w:color="000000"/>
              <w:right w:val="single" w:sz="4" w:space="0" w:color="000000"/>
            </w:tcBorders>
          </w:tcPr>
          <w:p>
            <w:pPr/>
          </w:p>
        </w:tc>
        <w:tc>
          <w:tcPr>
            <w:tcW w:w="782"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1" w:hRule="exact"/>
        </w:trPr>
        <w:tc>
          <w:tcPr>
            <w:tcW w:w="1220" w:type="dxa"/>
            <w:tcBorders>
              <w:top w:val="nil" w:sz="6" w:space="0" w:color="auto"/>
              <w:left w:val="single" w:sz="4" w:space="0" w:color="000000"/>
              <w:bottom w:val="single" w:sz="4" w:space="0" w:color="000000"/>
              <w:right w:val="single" w:sz="4" w:space="0" w:color="000000"/>
            </w:tcBorders>
            <w:shd w:val="clear" w:color="auto" w:fill="D2D2D2"/>
          </w:tcPr>
          <w:p>
            <w:pPr/>
          </w:p>
        </w:tc>
        <w:tc>
          <w:tcPr>
            <w:tcW w:w="593" w:type="dxa"/>
            <w:vMerge/>
            <w:tcBorders>
              <w:left w:val="single" w:sz="9" w:space="0" w:color="D2D2D2"/>
              <w:bottom w:val="single" w:sz="4" w:space="0" w:color="000000"/>
              <w:right w:val="single" w:sz="4" w:space="0" w:color="000000"/>
            </w:tcBorders>
          </w:tcPr>
          <w:p>
            <w:pPr/>
          </w:p>
        </w:tc>
        <w:tc>
          <w:tcPr>
            <w:tcW w:w="574" w:type="dxa"/>
            <w:vMerge/>
            <w:tcBorders>
              <w:left w:val="single" w:sz="4" w:space="0" w:color="000000"/>
              <w:bottom w:val="single" w:sz="4" w:space="0" w:color="000000"/>
              <w:right w:val="single" w:sz="4" w:space="0" w:color="000000"/>
            </w:tcBorders>
          </w:tcPr>
          <w:p>
            <w:pPr/>
          </w:p>
        </w:tc>
        <w:tc>
          <w:tcPr>
            <w:tcW w:w="572" w:type="dxa"/>
            <w:vMerge/>
            <w:tcBorders>
              <w:left w:val="single" w:sz="4" w:space="0" w:color="000000"/>
              <w:bottom w:val="single" w:sz="4" w:space="0" w:color="000000"/>
              <w:right w:val="single" w:sz="4" w:space="0" w:color="000000"/>
            </w:tcBorders>
          </w:tcPr>
          <w:p>
            <w:pPr/>
          </w:p>
        </w:tc>
        <w:tc>
          <w:tcPr>
            <w:tcW w:w="571"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6" w:type="dxa"/>
            <w:vMerge/>
            <w:tcBorders>
              <w:left w:val="single" w:sz="4" w:space="0" w:color="000000"/>
              <w:bottom w:val="single" w:sz="4" w:space="0" w:color="000000"/>
              <w:right w:val="single" w:sz="4" w:space="0" w:color="000000"/>
            </w:tcBorders>
          </w:tcPr>
          <w:p>
            <w:pPr/>
          </w:p>
        </w:tc>
        <w:tc>
          <w:tcPr>
            <w:tcW w:w="684" w:type="dxa"/>
            <w:vMerge/>
            <w:tcBorders>
              <w:left w:val="single" w:sz="4" w:space="0" w:color="000000"/>
              <w:bottom w:val="single" w:sz="4" w:space="0" w:color="000000"/>
              <w:right w:val="single" w:sz="4" w:space="0" w:color="000000"/>
            </w:tcBorders>
          </w:tcPr>
          <w:p>
            <w:pPr/>
          </w:p>
        </w:tc>
        <w:tc>
          <w:tcPr>
            <w:tcW w:w="782"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r>
        <w:trPr>
          <w:trHeight w:val="1027" w:hRule="exact"/>
        </w:trPr>
        <w:tc>
          <w:tcPr>
            <w:tcW w:w="1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 具持有者投入 资本</w:t>
            </w:r>
          </w:p>
        </w:tc>
        <w:tc>
          <w:tcPr>
            <w:tcW w:w="593"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68"/>
              <w:ind w:left="12"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 入所有者权益</w:t>
            </w:r>
          </w:p>
        </w:tc>
        <w:tc>
          <w:tcPr>
            <w:tcW w:w="593" w:type="dxa"/>
            <w:tcBorders>
              <w:top w:val="single" w:sz="4" w:space="0" w:color="000000"/>
              <w:left w:val="single" w:sz="12" w:space="0" w:color="D2D2D2"/>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5" w:right="0"/>
              <w:jc w:val="left"/>
              <w:rPr>
                <w:rFonts w:ascii="Times New Roman" w:hAnsi="Times New Roman" w:cs="Times New Roman" w:eastAsia="Times New Roman" w:hint="default"/>
                <w:sz w:val="18"/>
                <w:szCs w:val="18"/>
              </w:rPr>
            </w:pPr>
            <w:r>
              <w:rPr>
                <w:rFonts w:ascii="Times New Roman"/>
                <w:sz w:val="18"/>
              </w:rPr>
              <w:t>16,157,</w:t>
            </w:r>
          </w:p>
          <w:p>
            <w:pPr>
              <w:pStyle w:val="TableParagraph"/>
              <w:spacing w:line="240" w:lineRule="auto" w:before="102"/>
              <w:ind w:left="160" w:right="0"/>
              <w:jc w:val="left"/>
              <w:rPr>
                <w:rFonts w:ascii="Times New Roman" w:hAnsi="Times New Roman" w:cs="Times New Roman" w:eastAsia="Times New Roman" w:hint="default"/>
                <w:sz w:val="18"/>
                <w:szCs w:val="18"/>
              </w:rPr>
            </w:pPr>
            <w:r>
              <w:rPr>
                <w:rFonts w:ascii="Times New Roman"/>
                <w:sz w:val="18"/>
              </w:rPr>
              <w:t>591.08</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4" w:right="0"/>
              <w:jc w:val="center"/>
              <w:rPr>
                <w:rFonts w:ascii="Times New Roman" w:hAnsi="Times New Roman" w:cs="Times New Roman" w:eastAsia="Times New Roman" w:hint="default"/>
                <w:sz w:val="18"/>
                <w:szCs w:val="18"/>
              </w:rPr>
            </w:pPr>
            <w:r>
              <w:rPr>
                <w:rFonts w:ascii="Times New Roman"/>
                <w:sz w:val="18"/>
              </w:rPr>
              <w:t>-32,641,</w:t>
            </w:r>
          </w:p>
          <w:p>
            <w:pPr>
              <w:pStyle w:val="TableParagraph"/>
              <w:spacing w:line="240" w:lineRule="auto" w:before="102"/>
              <w:ind w:left="139" w:right="0"/>
              <w:jc w:val="center"/>
              <w:rPr>
                <w:rFonts w:ascii="Times New Roman" w:hAnsi="Times New Roman" w:cs="Times New Roman" w:eastAsia="Times New Roman" w:hint="default"/>
                <w:sz w:val="18"/>
                <w:szCs w:val="18"/>
              </w:rPr>
            </w:pPr>
            <w:r>
              <w:rPr>
                <w:rFonts w:ascii="Times New Roman"/>
                <w:sz w:val="18"/>
              </w:rPr>
              <w:t>353.50</w:t>
            </w: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48,798,944.</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58</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230"/>
        <w:gridCol w:w="593"/>
        <w:gridCol w:w="574"/>
        <w:gridCol w:w="572"/>
        <w:gridCol w:w="571"/>
        <w:gridCol w:w="686"/>
        <w:gridCol w:w="686"/>
        <w:gridCol w:w="684"/>
        <w:gridCol w:w="782"/>
        <w:gridCol w:w="665"/>
        <w:gridCol w:w="797"/>
        <w:gridCol w:w="797"/>
        <w:gridCol w:w="931"/>
      </w:tblGrid>
      <w:tr>
        <w:trPr>
          <w:trHeight w:val="363"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的金额</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w:t>
            </w:r>
            <w:r>
              <w:rPr>
                <w:rFonts w:ascii="宋体" w:hAnsi="宋体" w:cs="宋体" w:eastAsia="宋体" w:hint="default"/>
                <w:spacing w:val="-85"/>
                <w:sz w:val="18"/>
                <w:szCs w:val="18"/>
              </w:rPr>
              <w:t>）</w:t>
            </w:r>
            <w:r>
              <w:rPr>
                <w:rFonts w:ascii="宋体" w:hAnsi="宋体" w:cs="宋体" w:eastAsia="宋体" w:hint="default"/>
                <w:sz w:val="18"/>
                <w:szCs w:val="18"/>
              </w:rPr>
              <w:t>利润分配</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3" w:right="0"/>
              <w:jc w:val="left"/>
              <w:rPr>
                <w:rFonts w:ascii="Times New Roman" w:hAnsi="Times New Roman" w:cs="Times New Roman" w:eastAsia="Times New Roman" w:hint="default"/>
                <w:sz w:val="18"/>
                <w:szCs w:val="18"/>
              </w:rPr>
            </w:pPr>
            <w:r>
              <w:rPr>
                <w:rFonts w:ascii="Times New Roman"/>
                <w:sz w:val="18"/>
              </w:rPr>
              <w:t>20,823,</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886.91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-77,708,1</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87.52</w:t>
            </w: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-56,884,300</w:t>
            </w:r>
            <w:r>
              <w:rPr>
                <w:rFonts w:ascii="Times New Roman"/>
                <w:sz w:val="18"/>
              </w:rPr>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.61</w:t>
            </w:r>
          </w:p>
        </w:tc>
      </w:tr>
      <w:tr>
        <w:trPr>
          <w:trHeight w:val="713"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 积</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3" w:right="0"/>
              <w:jc w:val="left"/>
              <w:rPr>
                <w:rFonts w:ascii="Times New Roman" w:hAnsi="Times New Roman" w:cs="Times New Roman" w:eastAsia="Times New Roman" w:hint="default"/>
                <w:sz w:val="18"/>
                <w:szCs w:val="18"/>
              </w:rPr>
            </w:pPr>
            <w:r>
              <w:rPr>
                <w:rFonts w:ascii="Times New Roman"/>
                <w:sz w:val="18"/>
              </w:rPr>
              <w:t>20,823,</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886.91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-20,823,8</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86.91</w:t>
            </w: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17"/>
              <w:jc w:val="left"/>
              <w:rPr>
                <w:rFonts w:ascii="宋体" w:hAnsi="宋体" w:cs="宋体" w:eastAsia="宋体" w:hint="default"/>
                <w:sz w:val="18"/>
                <w:szCs w:val="18"/>
              </w:rPr>
            </w:pPr>
            <w:r>
              <w:rPr>
                <w:rFonts w:ascii="Times New Roman" w:hAnsi="Times New Roman" w:cs="Times New Roman" w:eastAsia="Times New Roman" w:hint="default"/>
                <w:spacing w:val="-22"/>
                <w:sz w:val="18"/>
                <w:szCs w:val="18"/>
              </w:rPr>
              <w:t>2</w:t>
            </w:r>
            <w:r>
              <w:rPr>
                <w:rFonts w:ascii="宋体" w:hAnsi="宋体" w:cs="宋体" w:eastAsia="宋体" w:hint="default"/>
                <w:spacing w:val="-22"/>
                <w:sz w:val="18"/>
                <w:szCs w:val="18"/>
              </w:rPr>
              <w:t>．对所有者（或</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股东）的分配</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-56,884,3</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00.61</w:t>
            </w: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-56,884,300</w:t>
            </w:r>
            <w:r>
              <w:rPr>
                <w:rFonts w:ascii="Times New Roman"/>
                <w:sz w:val="18"/>
              </w:rPr>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.61</w:t>
            </w:r>
          </w:p>
        </w:tc>
      </w:tr>
      <w:tr>
        <w:trPr>
          <w:trHeight w:val="401"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20"/>
              <w:jc w:val="left"/>
              <w:rPr>
                <w:rFonts w:ascii="宋体" w:hAnsi="宋体" w:cs="宋体" w:eastAsia="宋体" w:hint="default"/>
                <w:sz w:val="18"/>
                <w:szCs w:val="18"/>
              </w:rPr>
            </w:pPr>
            <w:r>
              <w:rPr>
                <w:rFonts w:ascii="宋体" w:hAnsi="宋体" w:cs="宋体" w:eastAsia="宋体" w:hint="default"/>
                <w:spacing w:val="-13"/>
                <w:sz w:val="18"/>
                <w:szCs w:val="18"/>
              </w:rPr>
              <w:t>（四）所有者权</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益内部结转</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 增资本（或股 本）</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 增资本（或股 本）</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 补亏损</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 划变动额结转 留存收益</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24"/>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．其他综合收 益结转留存收 益</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w:t>
            </w:r>
            <w:r>
              <w:rPr>
                <w:rFonts w:ascii="宋体" w:hAnsi="宋体" w:cs="宋体" w:eastAsia="宋体" w:hint="default"/>
                <w:spacing w:val="-85"/>
                <w:sz w:val="18"/>
                <w:szCs w:val="18"/>
              </w:rPr>
              <w:t>）</w:t>
            </w:r>
            <w:r>
              <w:rPr>
                <w:rFonts w:ascii="宋体" w:hAnsi="宋体" w:cs="宋体" w:eastAsia="宋体" w:hint="default"/>
                <w:sz w:val="18"/>
                <w:szCs w:val="18"/>
              </w:rPr>
              <w:t>专项储备</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93"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2" w:right="20"/>
              <w:jc w:val="left"/>
              <w:rPr>
                <w:rFonts w:ascii="宋体" w:hAnsi="宋体" w:cs="宋体" w:eastAsia="宋体" w:hint="default"/>
                <w:sz w:val="18"/>
                <w:szCs w:val="18"/>
              </w:rPr>
            </w:pPr>
            <w:r>
              <w:rPr>
                <w:rFonts w:ascii="宋体" w:hAnsi="宋体" w:cs="宋体" w:eastAsia="宋体" w:hint="default"/>
                <w:spacing w:val="-13"/>
                <w:sz w:val="18"/>
                <w:szCs w:val="18"/>
              </w:rPr>
              <w:t>四、本期期末余</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9" w:right="0"/>
              <w:jc w:val="center"/>
              <w:rPr>
                <w:rFonts w:ascii="Times New Roman" w:hAnsi="Times New Roman" w:cs="Times New Roman" w:eastAsia="Times New Roman" w:hint="default"/>
                <w:sz w:val="18"/>
                <w:szCs w:val="18"/>
              </w:rPr>
            </w:pPr>
            <w:r>
              <w:rPr>
                <w:rFonts w:ascii="Times New Roman"/>
                <w:sz w:val="18"/>
              </w:rPr>
              <w:t>1,902,</w:t>
            </w:r>
          </w:p>
          <w:p>
            <w:pPr>
              <w:pStyle w:val="TableParagraph"/>
              <w:spacing w:line="240" w:lineRule="auto" w:before="105"/>
              <w:ind w:left="46" w:right="0"/>
              <w:jc w:val="center"/>
              <w:rPr>
                <w:rFonts w:ascii="Times New Roman" w:hAnsi="Times New Roman" w:cs="Times New Roman" w:eastAsia="Times New Roman" w:hint="default"/>
                <w:sz w:val="18"/>
                <w:szCs w:val="18"/>
              </w:rPr>
            </w:pPr>
            <w:r>
              <w:rPr>
                <w:rFonts w:ascii="Times New Roman"/>
                <w:sz w:val="18"/>
              </w:rPr>
              <w:t>159,22</w:t>
            </w:r>
          </w:p>
          <w:p>
            <w:pPr>
              <w:pStyle w:val="TableParagraph"/>
              <w:spacing w:line="240" w:lineRule="auto" w:before="105"/>
              <w:ind w:left="226" w:right="0"/>
              <w:jc w:val="center"/>
              <w:rPr>
                <w:rFonts w:ascii="Times New Roman" w:hAnsi="Times New Roman" w:cs="Times New Roman" w:eastAsia="Times New Roman" w:hint="default"/>
                <w:sz w:val="18"/>
                <w:szCs w:val="18"/>
              </w:rPr>
            </w:pPr>
            <w:r>
              <w:rPr>
                <w:rFonts w:ascii="Times New Roman"/>
                <w:sz w:val="18"/>
              </w:rPr>
              <w:t>9.00</w:t>
            </w:r>
          </w:p>
        </w:tc>
        <w:tc>
          <w:tcPr>
            <w:tcW w:w="57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154,732</w:t>
            </w:r>
          </w:p>
          <w:p>
            <w:pPr>
              <w:pStyle w:val="TableParagraph"/>
              <w:spacing w:line="240" w:lineRule="auto" w:before="105"/>
              <w:ind w:left="115" w:right="0"/>
              <w:jc w:val="left"/>
              <w:rPr>
                <w:rFonts w:ascii="Times New Roman" w:hAnsi="Times New Roman" w:cs="Times New Roman" w:eastAsia="Times New Roman" w:hint="default"/>
                <w:sz w:val="18"/>
                <w:szCs w:val="18"/>
              </w:rPr>
            </w:pPr>
            <w:r>
              <w:rPr>
                <w:rFonts w:ascii="Times New Roman"/>
                <w:sz w:val="18"/>
              </w:rPr>
              <w:t>,501.26</w:t>
            </w:r>
          </w:p>
        </w:tc>
        <w:tc>
          <w:tcPr>
            <w:tcW w:w="686"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78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96,257,</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087.78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595,414,0</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10.87</w:t>
            </w:r>
          </w:p>
        </w:tc>
        <w:tc>
          <w:tcPr>
            <w:tcW w:w="79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2,748,562,8</w:t>
            </w:r>
          </w:p>
          <w:p>
            <w:pPr>
              <w:pStyle w:val="TableParagraph"/>
              <w:spacing w:line="240" w:lineRule="auto" w:before="105"/>
              <w:ind w:left="491" w:right="0"/>
              <w:jc w:val="left"/>
              <w:rPr>
                <w:rFonts w:ascii="Times New Roman" w:hAnsi="Times New Roman" w:cs="Times New Roman" w:eastAsia="Times New Roman" w:hint="default"/>
                <w:sz w:val="18"/>
                <w:szCs w:val="18"/>
              </w:rPr>
            </w:pPr>
            <w:r>
              <w:rPr>
                <w:rFonts w:ascii="Times New Roman"/>
                <w:sz w:val="18"/>
              </w:rPr>
              <w:t>28.91</w:t>
            </w:r>
          </w:p>
        </w:tc>
      </w:tr>
    </w:tbl>
    <w:p>
      <w:pPr>
        <w:spacing w:line="240" w:lineRule="auto" w:before="1"/>
        <w:rPr>
          <w:rFonts w:ascii="宋体" w:hAnsi="宋体" w:cs="宋体" w:eastAsia="宋体" w:hint="default"/>
          <w:sz w:val="18"/>
          <w:szCs w:val="18"/>
        </w:rPr>
      </w:pPr>
    </w:p>
    <w:p>
      <w:pPr>
        <w:pStyle w:val="Heading2"/>
        <w:spacing w:line="240" w:lineRule="auto" w:before="26"/>
        <w:ind w:right="1133"/>
        <w:jc w:val="left"/>
        <w:rPr>
          <w:b w:val="0"/>
          <w:bCs w:val="0"/>
        </w:rPr>
      </w:pPr>
      <w:bookmarkStart w:name="三、公司基本情况" w:id="169"/>
      <w:bookmarkEnd w:id="169"/>
      <w:r>
        <w:rPr>
          <w:b w:val="0"/>
          <w:bCs w:val="0"/>
        </w:rPr>
      </w:r>
      <w:r>
        <w:rPr/>
        <w:t>三、公司基本情况</w:t>
      </w:r>
      <w:r>
        <w:rPr>
          <w:b w:val="0"/>
          <w:bCs w:val="0"/>
        </w:rPr>
      </w:r>
    </w:p>
    <w:p>
      <w:pPr>
        <w:spacing w:line="240" w:lineRule="auto" w:before="12"/>
        <w:rPr>
          <w:rFonts w:ascii="宋体" w:hAnsi="宋体" w:cs="宋体" w:eastAsia="宋体" w:hint="default"/>
          <w:b/>
          <w:bCs/>
          <w:sz w:val="24"/>
          <w:szCs w:val="24"/>
        </w:rPr>
      </w:pPr>
    </w:p>
    <w:p>
      <w:pPr>
        <w:pStyle w:val="Heading5"/>
        <w:spacing w:line="256" w:lineRule="auto" w:before="0"/>
        <w:ind w:left="578" w:right="1133"/>
        <w:jc w:val="left"/>
      </w:pPr>
      <w:r>
        <w:rPr>
          <w:rFonts w:ascii="Times New Roman" w:hAnsi="Times New Roman" w:cs="Times New Roman" w:eastAsia="Times New Roman" w:hint="default"/>
        </w:rPr>
        <w:t>1</w:t>
      </w:r>
      <w:r>
        <w:rPr/>
        <w:t>．企业注册地和总部地址。</w:t>
      </w:r>
      <w:r>
        <w:rPr>
          <w:w w:val="100"/>
        </w:rPr>
        <w:t> </w:t>
      </w:r>
      <w:r>
        <w:rPr>
          <w:spacing w:val="-1"/>
        </w:rPr>
        <w:t>深圳达实智能股份有限公司（以下简称</w:t>
      </w:r>
      <w:r>
        <w:rPr>
          <w:rFonts w:ascii="Times New Roman" w:hAnsi="Times New Roman" w:cs="Times New Roman" w:eastAsia="Times New Roman" w:hint="default"/>
          <w:spacing w:val="-1"/>
        </w:rPr>
        <w:t>“</w:t>
      </w:r>
      <w:r>
        <w:rPr>
          <w:spacing w:val="-1"/>
        </w:rPr>
        <w:t>公司</w:t>
      </w:r>
      <w:r>
        <w:rPr>
          <w:rFonts w:ascii="Times New Roman" w:hAnsi="Times New Roman" w:cs="Times New Roman" w:eastAsia="Times New Roman" w:hint="default"/>
          <w:spacing w:val="-1"/>
        </w:rPr>
        <w:t>”</w:t>
      </w:r>
      <w:r>
        <w:rPr>
          <w:spacing w:val="-1"/>
        </w:rPr>
        <w:t>、</w:t>
      </w:r>
      <w:r>
        <w:rPr>
          <w:rFonts w:ascii="Times New Roman" w:hAnsi="Times New Roman" w:cs="Times New Roman" w:eastAsia="Times New Roman" w:hint="default"/>
          <w:spacing w:val="-1"/>
        </w:rPr>
        <w:t>“</w:t>
      </w:r>
      <w:r>
        <w:rPr>
          <w:spacing w:val="-1"/>
        </w:rPr>
        <w:t>本公司</w:t>
      </w:r>
      <w:r>
        <w:rPr>
          <w:rFonts w:ascii="Times New Roman" w:hAnsi="Times New Roman" w:cs="Times New Roman" w:eastAsia="Times New Roman" w:hint="default"/>
          <w:spacing w:val="-1"/>
        </w:rPr>
        <w:t>”</w:t>
      </w:r>
      <w:r>
        <w:rPr>
          <w:spacing w:val="-1"/>
        </w:rPr>
        <w:t>或</w:t>
      </w:r>
      <w:r>
        <w:rPr>
          <w:rFonts w:ascii="Times New Roman" w:hAnsi="Times New Roman" w:cs="Times New Roman" w:eastAsia="Times New Roman" w:hint="default"/>
          <w:spacing w:val="-1"/>
        </w:rPr>
        <w:t>“</w:t>
      </w:r>
      <w:r>
        <w:rPr>
          <w:spacing w:val="-1"/>
        </w:rPr>
        <w:t>达实智能</w:t>
      </w:r>
      <w:r>
        <w:rPr>
          <w:rFonts w:ascii="Times New Roman" w:hAnsi="Times New Roman" w:cs="Times New Roman" w:eastAsia="Times New Roman" w:hint="default"/>
          <w:spacing w:val="-1"/>
        </w:rPr>
        <w:t>”</w:t>
      </w:r>
      <w:r>
        <w:rPr>
          <w:spacing w:val="-1"/>
        </w:rPr>
        <w:t>），持深圳市市场监督管理局</w:t>
      </w:r>
    </w:p>
    <w:p>
      <w:pPr>
        <w:pStyle w:val="Heading5"/>
        <w:spacing w:line="240" w:lineRule="auto" w:before="5"/>
        <w:ind w:right="1133"/>
        <w:jc w:val="left"/>
      </w:pPr>
      <w:r>
        <w:rPr/>
        <w:t>核发的统一社会信用代码为</w:t>
      </w:r>
      <w:r>
        <w:rPr>
          <w:rFonts w:ascii="Times New Roman" w:hAnsi="Times New Roman" w:cs="Times New Roman" w:eastAsia="Times New Roman" w:hint="default"/>
        </w:rPr>
        <w:t>914403006188861815</w:t>
      </w:r>
      <w:r>
        <w:rPr/>
        <w:t>的企业法人营业执照。</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5"/>
        <w:spacing w:line="266" w:lineRule="auto" w:before="36"/>
        <w:ind w:left="578" w:right="4846"/>
        <w:jc w:val="both"/>
      </w:pPr>
      <w:r>
        <w:rPr>
          <w:spacing w:val="-2"/>
        </w:rPr>
        <w:t>公司注册地址：深圳市南山区高新技术工业村</w:t>
      </w:r>
      <w:r>
        <w:rPr>
          <w:rFonts w:ascii="Times New Roman" w:hAnsi="Times New Roman" w:cs="Times New Roman" w:eastAsia="Times New Roman" w:hint="default"/>
          <w:spacing w:val="-2"/>
        </w:rPr>
        <w:t>W1</w:t>
      </w:r>
      <w:r>
        <w:rPr>
          <w:spacing w:val="-2"/>
        </w:rPr>
        <w:t>栋</w:t>
      </w:r>
      <w:r>
        <w:rPr>
          <w:rFonts w:ascii="Times New Roman" w:hAnsi="Times New Roman" w:cs="Times New Roman" w:eastAsia="Times New Roman" w:hint="default"/>
          <w:spacing w:val="-2"/>
        </w:rPr>
        <w:t>A</w:t>
      </w:r>
      <w:r>
        <w:rPr>
          <w:spacing w:val="-2"/>
        </w:rPr>
        <w:t>座五楼</w:t>
      </w:r>
      <w:r>
        <w:rPr>
          <w:spacing w:val="-56"/>
        </w:rPr>
        <w:t> </w:t>
      </w:r>
      <w:r>
        <w:rPr>
          <w:spacing w:val="-56"/>
        </w:rPr>
      </w:r>
      <w:r>
        <w:rPr>
          <w:spacing w:val="-2"/>
        </w:rPr>
        <w:t>公司总部地址：深圳市南山区高新技术产业园达实智能大厦</w:t>
      </w:r>
      <w:r>
        <w:rPr>
          <w:spacing w:val="-55"/>
        </w:rPr>
        <w:t> </w:t>
      </w:r>
      <w:r>
        <w:rPr>
          <w:spacing w:val="-55"/>
        </w:rPr>
      </w:r>
      <w:r>
        <w:rPr/>
        <w:t>法定代表人：刘磅</w:t>
      </w:r>
    </w:p>
    <w:p>
      <w:pPr>
        <w:pStyle w:val="Heading5"/>
        <w:spacing w:line="261" w:lineRule="auto" w:before="14"/>
        <w:ind w:left="578" w:right="7323"/>
        <w:jc w:val="left"/>
      </w:pPr>
      <w:r>
        <w:rPr>
          <w:spacing w:val="-1"/>
        </w:rPr>
        <w:t>注册资本：</w:t>
      </w:r>
      <w:r>
        <w:rPr>
          <w:rFonts w:ascii="Times New Roman" w:hAnsi="Times New Roman" w:cs="Times New Roman" w:eastAsia="Times New Roman" w:hint="default"/>
          <w:spacing w:val="-1"/>
        </w:rPr>
        <w:t>193503.9229</w:t>
      </w:r>
      <w:r>
        <w:rPr>
          <w:spacing w:val="-1"/>
        </w:rPr>
        <w:t>万人民币</w:t>
      </w:r>
      <w:r>
        <w:rPr>
          <w:spacing w:val="-86"/>
        </w:rPr>
        <w:t> </w:t>
      </w:r>
      <w:r>
        <w:rPr>
          <w:spacing w:val="-86"/>
        </w:rPr>
      </w:r>
      <w:r>
        <w:rPr>
          <w:rFonts w:ascii="Times New Roman" w:hAnsi="Times New Roman" w:cs="Times New Roman" w:eastAsia="Times New Roman" w:hint="default"/>
        </w:rPr>
        <w:t>2</w:t>
      </w:r>
      <w:r>
        <w:rPr/>
        <w:t>．企业的业务性质</w:t>
      </w:r>
      <w:r>
        <w:rPr>
          <w:w w:val="100"/>
        </w:rPr>
        <w:t> </w:t>
      </w:r>
      <w:r>
        <w:rPr/>
        <w:t>信息技术服务业</w:t>
      </w:r>
      <w:r>
        <w:rPr>
          <w:spacing w:val="-103"/>
        </w:rPr>
        <w:t> </w:t>
      </w:r>
      <w:r>
        <w:rPr>
          <w:spacing w:val="-103"/>
        </w:rPr>
      </w:r>
      <w:r>
        <w:rPr>
          <w:rFonts w:ascii="Times New Roman" w:hAnsi="Times New Roman" w:cs="Times New Roman" w:eastAsia="Times New Roman" w:hint="default"/>
        </w:rPr>
        <w:t>3</w:t>
      </w:r>
      <w:r>
        <w:rPr/>
        <w:t>．主要经营活动</w:t>
      </w:r>
    </w:p>
    <w:p>
      <w:pPr>
        <w:pStyle w:val="Heading5"/>
        <w:spacing w:line="273" w:lineRule="auto" w:before="0"/>
        <w:ind w:right="1126" w:firstLine="425"/>
        <w:jc w:val="both"/>
      </w:pPr>
      <w:r>
        <w:rPr>
          <w:spacing w:val="-2"/>
        </w:rPr>
        <w:t>公司经营范围：互联网、云计算软件与平台服务；物联网系统研发与应用服务；智慧医疗信息系统研</w:t>
      </w:r>
      <w:r>
        <w:rPr>
          <w:w w:val="100"/>
        </w:rPr>
        <w:t> </w:t>
      </w:r>
      <w:r>
        <w:rPr>
          <w:spacing w:val="-2"/>
        </w:rPr>
        <w:t>发与集成服务；医疗大数据开发与应用服务；医疗专业系统咨询、设计、集成服务；医疗投资管理；智能</w:t>
      </w:r>
      <w:r>
        <w:rPr>
          <w:spacing w:val="-42"/>
        </w:rPr>
        <w:t> </w:t>
      </w:r>
      <w:r>
        <w:rPr>
          <w:spacing w:val="-42"/>
        </w:rPr>
      </w:r>
      <w:r>
        <w:rPr>
          <w:spacing w:val="-2"/>
        </w:rPr>
        <w:t>交通含轨道交通信号监控系统开发、技术咨询设计、销售与集成服务；智能建筑系统开发与集成、技术咨</w:t>
      </w:r>
      <w:r>
        <w:rPr>
          <w:spacing w:val="-47"/>
        </w:rPr>
        <w:t> </w:t>
      </w:r>
      <w:r>
        <w:rPr>
          <w:spacing w:val="-47"/>
        </w:rPr>
      </w:r>
      <w:r>
        <w:rPr>
          <w:spacing w:val="-2"/>
        </w:rPr>
        <w:t>询设计；机电总包服务；智能卡、智能管控、安防监控等终端设备与软件的研发、销售及应用服务；能源</w:t>
      </w:r>
      <w:r>
        <w:rPr>
          <w:spacing w:val="-42"/>
        </w:rPr>
        <w:t> </w:t>
      </w:r>
      <w:r>
        <w:rPr>
          <w:spacing w:val="-42"/>
        </w:rPr>
      </w:r>
      <w:r>
        <w:rPr>
          <w:spacing w:val="-2"/>
        </w:rPr>
        <w:t>监测与节能服务；合同能源管理服务；新能源技术开发和咨询设计服务；电力销售业务；电力网络增量配</w:t>
      </w:r>
      <w:r>
        <w:rPr>
          <w:spacing w:val="-50"/>
        </w:rPr>
        <w:t> </w:t>
      </w:r>
      <w:r>
        <w:rPr>
          <w:spacing w:val="-50"/>
        </w:rPr>
      </w:r>
      <w:r>
        <w:rPr>
          <w:spacing w:val="-2"/>
        </w:rPr>
        <w:t>电网投资建设服务；相关领域境内及境外工程设计、安装及技术咨询。（法律、行政法规、国务院决定禁</w:t>
      </w:r>
      <w:r>
        <w:rPr>
          <w:spacing w:val="-42"/>
        </w:rPr>
        <w:t> </w:t>
      </w:r>
      <w:r>
        <w:rPr>
          <w:spacing w:val="-42"/>
        </w:rPr>
      </w:r>
      <w:r>
        <w:rPr/>
        <w:t>止的项目除外，限制的项目须取得许可后方可经营）互联网医疗服务。</w:t>
      </w:r>
    </w:p>
    <w:p>
      <w:pPr>
        <w:pStyle w:val="Heading5"/>
        <w:spacing w:line="290" w:lineRule="auto"/>
        <w:ind w:left="573" w:right="3014" w:firstLine="4"/>
        <w:jc w:val="left"/>
      </w:pPr>
      <w:r>
        <w:rPr>
          <w:rFonts w:ascii="Times New Roman" w:hAnsi="Times New Roman" w:cs="Times New Roman" w:eastAsia="Times New Roman" w:hint="default"/>
        </w:rPr>
        <w:t>4</w:t>
      </w:r>
      <w:r>
        <w:rPr/>
        <w:t>．财务报告的批准报出日</w:t>
      </w:r>
      <w:r>
        <w:rPr>
          <w:w w:val="100"/>
        </w:rPr>
        <w:t> </w:t>
      </w:r>
      <w:r>
        <w:rPr>
          <w:spacing w:val="-2"/>
        </w:rPr>
        <w:t>本财务报表经公司董事会于</w:t>
      </w:r>
      <w:r>
        <w:rPr>
          <w:rFonts w:ascii="Times New Roman" w:hAnsi="Times New Roman" w:cs="Times New Roman" w:eastAsia="Times New Roman" w:hint="default"/>
          <w:spacing w:val="-2"/>
        </w:rPr>
        <w:t>2020</w:t>
      </w:r>
      <w:r>
        <w:rPr>
          <w:spacing w:val="-2"/>
        </w:rPr>
        <w:t>年</w:t>
      </w:r>
      <w:r>
        <w:rPr>
          <w:rFonts w:ascii="Times New Roman" w:hAnsi="Times New Roman" w:cs="Times New Roman" w:eastAsia="Times New Roman" w:hint="default"/>
          <w:spacing w:val="-2"/>
        </w:rPr>
        <w:t>04</w:t>
      </w:r>
      <w:r>
        <w:rPr>
          <w:spacing w:val="-2"/>
        </w:rPr>
        <w:t>月</w:t>
      </w:r>
      <w:r>
        <w:rPr>
          <w:rFonts w:ascii="Times New Roman" w:hAnsi="Times New Roman" w:cs="Times New Roman" w:eastAsia="Times New Roman" w:hint="default"/>
          <w:spacing w:val="-2"/>
        </w:rPr>
        <w:t>24</w:t>
      </w:r>
      <w:r>
        <w:rPr>
          <w:spacing w:val="-2"/>
        </w:rPr>
        <w:t>日批准报出。</w:t>
      </w:r>
    </w:p>
    <w:p>
      <w:pPr>
        <w:pStyle w:val="Heading5"/>
        <w:spacing w:line="256" w:lineRule="auto" w:before="11"/>
        <w:ind w:right="1126" w:firstLine="420"/>
        <w:jc w:val="both"/>
      </w:pPr>
      <w:r>
        <w:rPr>
          <w:spacing w:val="-2"/>
        </w:rPr>
        <w:t>截至报告期末，纳入合并财务报表范围的子公司及所属公司共计</w:t>
      </w:r>
      <w:r>
        <w:rPr>
          <w:rFonts w:ascii="Times New Roman" w:hAnsi="Times New Roman" w:cs="Times New Roman" w:eastAsia="Times New Roman" w:hint="default"/>
          <w:spacing w:val="-2"/>
        </w:rPr>
        <w:t>26</w:t>
      </w:r>
      <w:r>
        <w:rPr>
          <w:spacing w:val="-2"/>
        </w:rPr>
        <w:t>家，详见本附注九、在其他主体中</w:t>
      </w:r>
      <w:r>
        <w:rPr>
          <w:w w:val="100"/>
        </w:rPr>
        <w:t> </w:t>
      </w:r>
      <w:r>
        <w:rPr/>
        <w:t>的权益。</w:t>
      </w:r>
    </w:p>
    <w:p>
      <w:pPr>
        <w:pStyle w:val="Heading5"/>
        <w:spacing w:line="240" w:lineRule="auto" w:before="22"/>
        <w:ind w:left="573" w:right="1133"/>
        <w:jc w:val="left"/>
      </w:pPr>
      <w:r>
        <w:rPr/>
        <w:t>本报告期合并财务报表范围变化情况详见本附注</w:t>
      </w:r>
      <w:r>
        <w:rPr>
          <w:rFonts w:ascii="Times New Roman" w:hAnsi="Times New Roman" w:cs="Times New Roman" w:eastAsia="Times New Roman" w:hint="default"/>
        </w:rPr>
        <w:t>“</w:t>
      </w:r>
      <w:r>
        <w:rPr/>
        <w:t>八、合并范围的变更</w:t>
      </w:r>
      <w:r>
        <w:rPr>
          <w:rFonts w:ascii="Times New Roman" w:hAnsi="Times New Roman" w:cs="Times New Roman" w:eastAsia="Times New Roman" w:hint="default"/>
        </w:rPr>
        <w:t>”</w:t>
      </w:r>
      <w:r>
        <w:rPr/>
        <w:t>。</w:t>
      </w:r>
    </w:p>
    <w:p>
      <w:pPr>
        <w:spacing w:line="240" w:lineRule="auto" w:before="8"/>
        <w:rPr>
          <w:rFonts w:ascii="宋体" w:hAnsi="宋体" w:cs="宋体" w:eastAsia="宋体" w:hint="default"/>
          <w:sz w:val="22"/>
          <w:szCs w:val="22"/>
        </w:rPr>
      </w:pPr>
    </w:p>
    <w:p>
      <w:pPr>
        <w:pStyle w:val="Heading2"/>
        <w:spacing w:line="240" w:lineRule="auto"/>
        <w:ind w:right="1133"/>
        <w:jc w:val="left"/>
        <w:rPr>
          <w:b w:val="0"/>
          <w:bCs w:val="0"/>
        </w:rPr>
      </w:pPr>
      <w:bookmarkStart w:name="四、财务报表的编制基础" w:id="170"/>
      <w:bookmarkEnd w:id="170"/>
      <w:r>
        <w:rPr>
          <w:b w:val="0"/>
          <w:bCs w:val="0"/>
        </w:rPr>
      </w:r>
      <w:r>
        <w:rPr/>
        <w:t>四、财务报表的编制基础</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1133"/>
        <w:jc w:val="left"/>
        <w:rPr>
          <w:b w:val="0"/>
          <w:bCs w:val="0"/>
        </w:rPr>
      </w:pPr>
      <w:bookmarkStart w:name="1、编制基础" w:id="171"/>
      <w:bookmarkEnd w:id="171"/>
      <w:r>
        <w:rPr>
          <w:b w:val="0"/>
          <w:bCs w:val="0"/>
        </w:rPr>
      </w:r>
      <w:r>
        <w:rPr>
          <w:rFonts w:ascii="Times New Roman" w:hAnsi="Times New Roman" w:cs="Times New Roman" w:eastAsia="Times New Roman" w:hint="default"/>
        </w:rPr>
        <w:t>1</w:t>
      </w:r>
      <w:r>
        <w:rPr/>
        <w:t>、编制基础</w:t>
      </w:r>
      <w:r>
        <w:rPr>
          <w:b w:val="0"/>
          <w:bCs w:val="0"/>
        </w:rPr>
      </w:r>
    </w:p>
    <w:p>
      <w:pPr>
        <w:spacing w:line="240" w:lineRule="auto" w:before="8"/>
        <w:rPr>
          <w:rFonts w:ascii="宋体" w:hAnsi="宋体" w:cs="宋体" w:eastAsia="宋体" w:hint="default"/>
          <w:b/>
          <w:bCs/>
          <w:sz w:val="24"/>
          <w:szCs w:val="24"/>
        </w:rPr>
      </w:pPr>
    </w:p>
    <w:p>
      <w:pPr>
        <w:pStyle w:val="Heading5"/>
        <w:spacing w:line="268" w:lineRule="auto" w:before="0"/>
        <w:ind w:right="1133" w:firstLine="420"/>
        <w:jc w:val="left"/>
      </w:pPr>
      <w:r>
        <w:rPr>
          <w:spacing w:val="-2"/>
        </w:rPr>
        <w:t>本公司财务报表以持续经营假设为基础，根据实际发生的交易和事项，按照财政部发布的《企业会计</w:t>
      </w:r>
      <w:r>
        <w:rPr>
          <w:w w:val="100"/>
        </w:rPr>
        <w:t> </w:t>
      </w:r>
      <w:r>
        <w:rPr/>
        <w:t>准则</w:t>
      </w:r>
      <w:r>
        <w:rPr>
          <w:rFonts w:ascii="Times New Roman" w:hAnsi="Times New Roman" w:cs="Times New Roman" w:eastAsia="Times New Roman" w:hint="default"/>
        </w:rPr>
        <w:t>——</w:t>
      </w:r>
      <w:r>
        <w:rPr/>
        <w:t>基本准则》（财政部令第</w:t>
      </w:r>
      <w:r>
        <w:rPr>
          <w:rFonts w:ascii="Times New Roman" w:hAnsi="Times New Roman" w:cs="Times New Roman" w:eastAsia="Times New Roman" w:hint="default"/>
        </w:rPr>
        <w:t>33</w:t>
      </w:r>
      <w:r>
        <w:rPr/>
        <w:t>号发布、财政部令第</w:t>
      </w:r>
      <w:r>
        <w:rPr>
          <w:rFonts w:ascii="Times New Roman" w:hAnsi="Times New Roman" w:cs="Times New Roman" w:eastAsia="Times New Roman" w:hint="default"/>
        </w:rPr>
        <w:t>76</w:t>
      </w:r>
      <w:r>
        <w:rPr/>
        <w:t>号修订）、于</w:t>
      </w:r>
      <w:r>
        <w:rPr>
          <w:rFonts w:ascii="Times New Roman" w:hAnsi="Times New Roman" w:cs="Times New Roman" w:eastAsia="Times New Roman" w:hint="default"/>
        </w:rPr>
        <w:t>2006</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15</w:t>
      </w:r>
      <w:r>
        <w:rPr/>
        <w:t>日及其后颁布和修</w:t>
      </w:r>
      <w:r>
        <w:rPr>
          <w:spacing w:val="-29"/>
        </w:rPr>
        <w:t> </w:t>
      </w:r>
      <w:r>
        <w:rPr>
          <w:spacing w:val="-29"/>
        </w:rPr>
      </w:r>
      <w:r>
        <w:rPr/>
        <w:t>订的</w:t>
      </w:r>
      <w:r>
        <w:rPr>
          <w:rFonts w:ascii="Times New Roman" w:hAnsi="Times New Roman" w:cs="Times New Roman" w:eastAsia="Times New Roman" w:hint="default"/>
        </w:rPr>
        <w:t>42</w:t>
      </w:r>
      <w:r>
        <w:rPr/>
        <w:t>项具体会计准则、企业会计准则应用指南、企业会计准则解释及其他相关规定（以下合称</w:t>
      </w:r>
      <w:r>
        <w:rPr>
          <w:rFonts w:ascii="Times New Roman" w:hAnsi="Times New Roman" w:cs="Times New Roman" w:eastAsia="Times New Roman" w:hint="default"/>
        </w:rPr>
        <w:t>“</w:t>
      </w:r>
      <w:r>
        <w:rPr/>
        <w:t>企业会</w:t>
      </w:r>
      <w:r>
        <w:rPr>
          <w:spacing w:val="-14"/>
        </w:rPr>
        <w:t> </w:t>
      </w:r>
      <w:r>
        <w:rPr/>
        <w:t>计准则</w:t>
      </w:r>
      <w:r>
        <w:rPr>
          <w:rFonts w:ascii="Times New Roman" w:hAnsi="Times New Roman" w:cs="Times New Roman" w:eastAsia="Times New Roman" w:hint="default"/>
        </w:rPr>
        <w:t>”</w:t>
      </w:r>
      <w:r>
        <w:rPr/>
        <w:t>），以及中国证券监督管理委员会《公开发行证券的公司信息披露编报规则第</w:t>
      </w:r>
      <w:r>
        <w:rPr>
          <w:rFonts w:ascii="Times New Roman" w:hAnsi="Times New Roman" w:cs="Times New Roman" w:eastAsia="Times New Roman" w:hint="default"/>
        </w:rPr>
        <w:t>15</w:t>
      </w:r>
      <w:r>
        <w:rPr/>
        <w:t>号</w:t>
      </w:r>
      <w:r>
        <w:rPr>
          <w:rFonts w:ascii="Times New Roman" w:hAnsi="Times New Roman" w:cs="Times New Roman" w:eastAsia="Times New Roman" w:hint="default"/>
        </w:rPr>
        <w:t>——</w:t>
      </w:r>
      <w:r>
        <w:rPr/>
        <w:t>财务报告</w:t>
      </w:r>
      <w:r>
        <w:rPr>
          <w:spacing w:val="-13"/>
        </w:rPr>
        <w:t> </w:t>
      </w:r>
      <w:r>
        <w:rPr>
          <w:spacing w:val="-13"/>
        </w:rPr>
      </w:r>
      <w:r>
        <w:rPr/>
        <w:t>的一般规定》（</w:t>
      </w:r>
      <w:r>
        <w:rPr>
          <w:rFonts w:ascii="Times New Roman" w:hAnsi="Times New Roman" w:cs="Times New Roman" w:eastAsia="Times New Roman" w:hint="default"/>
        </w:rPr>
        <w:t>2014</w:t>
      </w:r>
      <w:r>
        <w:rPr/>
        <w:t>年修订）的披露规定编制。</w:t>
      </w:r>
      <w:r>
        <w:rPr>
          <w:w w:val="100"/>
        </w:rPr>
        <w:t> </w:t>
      </w:r>
      <w:r>
        <w:rPr>
          <w:spacing w:val="-2"/>
        </w:rPr>
        <w:t>根据企业会计准则的相关规定，本公司会计核算以权责发生制为基础。除某些金融工具外，本财务报表均</w:t>
      </w:r>
      <w:r>
        <w:rPr>
          <w:spacing w:val="-44"/>
        </w:rPr>
        <w:t> </w:t>
      </w:r>
      <w:r>
        <w:rPr>
          <w:spacing w:val="-44"/>
        </w:rPr>
      </w:r>
      <w:r>
        <w:rPr/>
        <w:t>以历史成本为计量基础。资产如果发生减值，则按照相关规定计提相应的减值准备。</w:t>
      </w:r>
    </w:p>
    <w:p>
      <w:pPr>
        <w:spacing w:line="240" w:lineRule="auto" w:before="11"/>
        <w:rPr>
          <w:rFonts w:ascii="宋体" w:hAnsi="宋体" w:cs="宋体" w:eastAsia="宋体" w:hint="default"/>
          <w:sz w:val="23"/>
          <w:szCs w:val="23"/>
        </w:rPr>
      </w:pPr>
    </w:p>
    <w:p>
      <w:pPr>
        <w:pStyle w:val="Heading4"/>
        <w:spacing w:line="240" w:lineRule="auto"/>
        <w:ind w:right="1133"/>
        <w:jc w:val="left"/>
        <w:rPr>
          <w:b w:val="0"/>
          <w:bCs w:val="0"/>
        </w:rPr>
      </w:pPr>
      <w:bookmarkStart w:name="2、持续经营" w:id="172"/>
      <w:bookmarkEnd w:id="172"/>
      <w:r>
        <w:rPr>
          <w:b w:val="0"/>
          <w:bCs w:val="0"/>
        </w:rPr>
      </w:r>
      <w:r>
        <w:rPr>
          <w:rFonts w:ascii="Times New Roman" w:hAnsi="Times New Roman" w:cs="Times New Roman" w:eastAsia="Times New Roman" w:hint="default"/>
        </w:rPr>
        <w:t>2</w:t>
      </w:r>
      <w:r>
        <w:rPr/>
        <w:t>、持续经营</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before="0"/>
        <w:ind w:left="573" w:right="1133"/>
        <w:jc w:val="left"/>
      </w:pPr>
      <w:r>
        <w:rPr/>
        <w:t>本公司自本报告期末起</w:t>
      </w:r>
      <w:r>
        <w:rPr>
          <w:rFonts w:ascii="Times New Roman" w:hAnsi="Times New Roman" w:cs="Times New Roman" w:eastAsia="Times New Roman" w:hint="default"/>
        </w:rPr>
        <w:t>12</w:t>
      </w:r>
      <w:r>
        <w:rPr/>
        <w:t>个月内不存在对本公司持续经营能力产生重大疑虑的事项或情况。</w:t>
      </w:r>
    </w:p>
    <w:p>
      <w:pPr>
        <w:spacing w:line="240" w:lineRule="auto" w:before="9"/>
        <w:rPr>
          <w:rFonts w:ascii="宋体" w:hAnsi="宋体" w:cs="宋体" w:eastAsia="宋体" w:hint="default"/>
          <w:sz w:val="22"/>
          <w:szCs w:val="22"/>
        </w:rPr>
      </w:pPr>
    </w:p>
    <w:p>
      <w:pPr>
        <w:pStyle w:val="Heading2"/>
        <w:spacing w:line="240" w:lineRule="auto"/>
        <w:ind w:right="1133"/>
        <w:jc w:val="left"/>
        <w:rPr>
          <w:b w:val="0"/>
          <w:bCs w:val="0"/>
        </w:rPr>
      </w:pPr>
      <w:bookmarkStart w:name="五、重要会计政策及会计估计" w:id="173"/>
      <w:bookmarkEnd w:id="173"/>
      <w:r>
        <w:rPr>
          <w:b w:val="0"/>
          <w:bCs w:val="0"/>
        </w:rPr>
      </w:r>
      <w:r>
        <w:rPr/>
        <w:t>五、重要会计政策及会计估计</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t>具体会计政策和会计估计提示：</w:t>
      </w:r>
    </w:p>
    <w:p>
      <w:pPr>
        <w:pStyle w:val="Heading5"/>
        <w:spacing w:line="273" w:lineRule="auto" w:before="96"/>
        <w:ind w:right="1126" w:firstLine="420"/>
        <w:jc w:val="both"/>
      </w:pPr>
      <w:r>
        <w:rPr>
          <w:spacing w:val="-2"/>
        </w:rPr>
        <w:t>本公司及各子公司根据实际生产经营特点，依据相关企业会计准则的规定，对收入确认、建造合同完</w:t>
      </w:r>
      <w:r>
        <w:rPr>
          <w:w w:val="100"/>
        </w:rPr>
        <w:t> </w:t>
      </w:r>
      <w:r>
        <w:rPr>
          <w:spacing w:val="-2"/>
        </w:rPr>
        <w:t>工百分比确定等交易和事项制定了若干项具体会计政策和会计估计，详见本附注各项描述。关于管理层所</w:t>
      </w:r>
      <w:r>
        <w:rPr>
          <w:spacing w:val="-43"/>
        </w:rPr>
        <w:t> </w:t>
      </w:r>
      <w:r>
        <w:rPr>
          <w:spacing w:val="-43"/>
        </w:rPr>
      </w:r>
      <w:r>
        <w:rPr/>
        <w:t>作出的重大会计判断和估计的说明，请参阅本附注</w:t>
      </w:r>
      <w:r>
        <w:rPr>
          <w:rFonts w:ascii="Times New Roman" w:hAnsi="Times New Roman" w:cs="Times New Roman" w:eastAsia="Times New Roman" w:hint="default"/>
        </w:rPr>
        <w:t>“</w:t>
      </w:r>
      <w:r>
        <w:rPr/>
        <w:t>五、</w:t>
      </w:r>
      <w:r>
        <w:rPr>
          <w:rFonts w:ascii="Times New Roman" w:hAnsi="Times New Roman" w:cs="Times New Roman" w:eastAsia="Times New Roman" w:hint="default"/>
        </w:rPr>
        <w:t>34</w:t>
      </w:r>
      <w:r>
        <w:rPr/>
        <w:t>、重要的会计政策和会计估计</w:t>
      </w:r>
      <w:r>
        <w:rPr>
          <w:rFonts w:ascii="Times New Roman" w:hAnsi="Times New Roman" w:cs="Times New Roman" w:eastAsia="Times New Roman" w:hint="default"/>
        </w:rPr>
        <w:t>”</w:t>
      </w:r>
      <w:r>
        <w:rPr/>
        <w:t>。</w:t>
      </w:r>
    </w:p>
    <w:p>
      <w:pPr>
        <w:spacing w:after="0" w:line="273" w:lineRule="auto"/>
        <w:jc w:val="both"/>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1133"/>
        <w:jc w:val="left"/>
        <w:rPr>
          <w:b w:val="0"/>
          <w:bCs w:val="0"/>
        </w:rPr>
      </w:pPr>
      <w:bookmarkStart w:name="1、遵循企业会计准则的声明" w:id="174"/>
      <w:bookmarkEnd w:id="174"/>
      <w:r>
        <w:rPr>
          <w:b w:val="0"/>
          <w:bCs w:val="0"/>
        </w:rPr>
      </w:r>
      <w:r>
        <w:rPr>
          <w:rFonts w:ascii="Times New Roman" w:hAnsi="Times New Roman" w:cs="Times New Roman" w:eastAsia="Times New Roman" w:hint="default"/>
        </w:rPr>
        <w:t>1</w:t>
      </w:r>
      <w:r>
        <w:rPr/>
        <w:t>、遵循企业会计准则的声明</w:t>
      </w:r>
      <w:r>
        <w:rPr>
          <w:b w:val="0"/>
          <w:bCs w:val="0"/>
        </w:rPr>
      </w:r>
    </w:p>
    <w:p>
      <w:pPr>
        <w:spacing w:line="240" w:lineRule="auto" w:before="10"/>
        <w:rPr>
          <w:rFonts w:ascii="宋体" w:hAnsi="宋体" w:cs="宋体" w:eastAsia="宋体" w:hint="default"/>
          <w:b/>
          <w:bCs/>
          <w:sz w:val="24"/>
          <w:szCs w:val="24"/>
        </w:rPr>
      </w:pPr>
    </w:p>
    <w:p>
      <w:pPr>
        <w:pStyle w:val="Heading5"/>
        <w:spacing w:line="256" w:lineRule="auto" w:before="0"/>
        <w:ind w:right="1107" w:firstLine="420"/>
        <w:jc w:val="both"/>
      </w:pPr>
      <w:r>
        <w:rPr>
          <w:spacing w:val="-2"/>
        </w:rPr>
        <w:t>本公司编制的财务报表符合企业会计准则的要求，真实、完整地反映了本公司</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日的财务</w:t>
      </w:r>
      <w:r>
        <w:rPr>
          <w:w w:val="100"/>
        </w:rPr>
        <w:t> </w:t>
      </w:r>
      <w:r>
        <w:rPr>
          <w:spacing w:val="-2"/>
        </w:rPr>
        <w:t>状况及</w:t>
      </w:r>
      <w:r>
        <w:rPr>
          <w:rFonts w:ascii="Times New Roman" w:hAnsi="Times New Roman" w:cs="Times New Roman" w:eastAsia="Times New Roman" w:hint="default"/>
          <w:spacing w:val="-2"/>
        </w:rPr>
        <w:t>2019</w:t>
      </w:r>
      <w:r>
        <w:rPr>
          <w:spacing w:val="-2"/>
        </w:rPr>
        <w:t>年度的经营成果和现金流量等有关信息。此外，本公司的财务报表在所有重大方面符合中国证</w:t>
      </w:r>
      <w:r>
        <w:rPr>
          <w:spacing w:val="-38"/>
        </w:rPr>
        <w:t> </w:t>
      </w:r>
      <w:r>
        <w:rPr>
          <w:spacing w:val="-38"/>
        </w:rPr>
      </w:r>
      <w:r>
        <w:rPr>
          <w:spacing w:val="-2"/>
        </w:rPr>
        <w:t>券监督管理委员会</w:t>
      </w:r>
      <w:r>
        <w:rPr>
          <w:rFonts w:ascii="Times New Roman" w:hAnsi="Times New Roman" w:cs="Times New Roman" w:eastAsia="Times New Roman" w:hint="default"/>
          <w:spacing w:val="-2"/>
        </w:rPr>
        <w:t>2014</w:t>
      </w:r>
      <w:r>
        <w:rPr>
          <w:spacing w:val="-2"/>
        </w:rPr>
        <w:t>年修订的《公开发行证券的公司信息披露编报规则第</w:t>
      </w:r>
      <w:r>
        <w:rPr>
          <w:rFonts w:ascii="Times New Roman" w:hAnsi="Times New Roman" w:cs="Times New Roman" w:eastAsia="Times New Roman" w:hint="default"/>
          <w:spacing w:val="-2"/>
        </w:rPr>
        <w:t>15</w:t>
      </w:r>
      <w:r>
        <w:rPr>
          <w:spacing w:val="-2"/>
        </w:rPr>
        <w:t>号－财务报告的一般规定》</w:t>
      </w:r>
      <w:r>
        <w:rPr>
          <w:spacing w:val="-19"/>
        </w:rPr>
        <w:t> </w:t>
      </w:r>
      <w:r>
        <w:rPr>
          <w:spacing w:val="-19"/>
        </w:rPr>
      </w:r>
      <w:r>
        <w:rPr/>
        <w:t>有关财务报表及其附注的披露要求。</w:t>
      </w:r>
    </w:p>
    <w:p>
      <w:pPr>
        <w:spacing w:line="240" w:lineRule="auto" w:before="8"/>
        <w:rPr>
          <w:rFonts w:ascii="宋体" w:hAnsi="宋体" w:cs="宋体" w:eastAsia="宋体" w:hint="default"/>
          <w:sz w:val="24"/>
          <w:szCs w:val="24"/>
        </w:rPr>
      </w:pPr>
    </w:p>
    <w:p>
      <w:pPr>
        <w:pStyle w:val="Heading4"/>
        <w:spacing w:line="240" w:lineRule="auto"/>
        <w:ind w:right="1133"/>
        <w:jc w:val="left"/>
        <w:rPr>
          <w:b w:val="0"/>
          <w:bCs w:val="0"/>
        </w:rPr>
      </w:pPr>
      <w:bookmarkStart w:name="2、会计期间" w:id="175"/>
      <w:bookmarkEnd w:id="175"/>
      <w:r>
        <w:rPr>
          <w:b w:val="0"/>
          <w:bCs w:val="0"/>
        </w:rPr>
      </w:r>
      <w:r>
        <w:rPr>
          <w:rFonts w:ascii="Times New Roman" w:hAnsi="Times New Roman" w:cs="Times New Roman" w:eastAsia="Times New Roman" w:hint="default"/>
        </w:rPr>
        <w:t>2</w:t>
      </w:r>
      <w:r>
        <w:rPr/>
        <w:t>、会计期间</w:t>
      </w:r>
      <w:r>
        <w:rPr>
          <w:b w:val="0"/>
          <w:bCs w:val="0"/>
        </w:rPr>
      </w:r>
    </w:p>
    <w:p>
      <w:pPr>
        <w:spacing w:line="240" w:lineRule="auto" w:before="7"/>
        <w:rPr>
          <w:rFonts w:ascii="宋体" w:hAnsi="宋体" w:cs="宋体" w:eastAsia="宋体" w:hint="default"/>
          <w:b/>
          <w:bCs/>
          <w:sz w:val="24"/>
          <w:szCs w:val="24"/>
        </w:rPr>
      </w:pPr>
    </w:p>
    <w:p>
      <w:pPr>
        <w:pStyle w:val="Heading5"/>
        <w:spacing w:line="273" w:lineRule="auto" w:before="0"/>
        <w:ind w:right="1126" w:firstLine="420"/>
        <w:jc w:val="both"/>
      </w:pPr>
      <w:r>
        <w:rPr>
          <w:spacing w:val="-2"/>
        </w:rPr>
        <w:t>本公司的会计期间分为年度和中期，会计中期指短于一个完整的会计年度的报告期间。本公司会计年</w:t>
      </w:r>
      <w:r>
        <w:rPr>
          <w:w w:val="100"/>
        </w:rPr>
        <w:t> </w:t>
      </w:r>
      <w:r>
        <w:rPr/>
        <w:t>度采用公历年度，即每年自</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日起至</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w:t>
      </w:r>
    </w:p>
    <w:p>
      <w:pPr>
        <w:spacing w:line="240" w:lineRule="auto" w:before="1"/>
        <w:rPr>
          <w:rFonts w:ascii="宋体" w:hAnsi="宋体" w:cs="宋体" w:eastAsia="宋体" w:hint="default"/>
          <w:sz w:val="22"/>
          <w:szCs w:val="22"/>
        </w:rPr>
      </w:pPr>
    </w:p>
    <w:p>
      <w:pPr>
        <w:pStyle w:val="Heading4"/>
        <w:spacing w:line="240" w:lineRule="auto"/>
        <w:ind w:right="1133"/>
        <w:jc w:val="left"/>
        <w:rPr>
          <w:b w:val="0"/>
          <w:bCs w:val="0"/>
        </w:rPr>
      </w:pPr>
      <w:bookmarkStart w:name="3、营业周期" w:id="176"/>
      <w:bookmarkEnd w:id="176"/>
      <w:r>
        <w:rPr>
          <w:b w:val="0"/>
          <w:bCs w:val="0"/>
        </w:rPr>
      </w:r>
      <w:r>
        <w:rPr>
          <w:rFonts w:ascii="Times New Roman" w:hAnsi="Times New Roman" w:cs="Times New Roman" w:eastAsia="Times New Roman" w:hint="default"/>
        </w:rPr>
        <w:t>3</w:t>
      </w:r>
      <w:r>
        <w:rPr/>
        <w:t>、营业周期</w:t>
      </w:r>
      <w:r>
        <w:rPr>
          <w:b w:val="0"/>
          <w:bCs w:val="0"/>
        </w:rPr>
      </w:r>
    </w:p>
    <w:p>
      <w:pPr>
        <w:spacing w:line="240" w:lineRule="auto" w:before="10"/>
        <w:rPr>
          <w:rFonts w:ascii="宋体" w:hAnsi="宋体" w:cs="宋体" w:eastAsia="宋体" w:hint="default"/>
          <w:b/>
          <w:bCs/>
          <w:sz w:val="24"/>
          <w:szCs w:val="24"/>
        </w:rPr>
      </w:pPr>
    </w:p>
    <w:p>
      <w:pPr>
        <w:pStyle w:val="Heading5"/>
        <w:spacing w:line="256" w:lineRule="auto" w:before="0"/>
        <w:ind w:right="1128" w:firstLine="420"/>
        <w:jc w:val="both"/>
      </w:pPr>
      <w:r>
        <w:rPr>
          <w:spacing w:val="-2"/>
        </w:rPr>
        <w:t>正常营业周期是指本公司从购买用于加工的资产起至实现现金或现金等价物的期间。本公司以</w:t>
      </w:r>
      <w:r>
        <w:rPr>
          <w:rFonts w:ascii="Times New Roman" w:hAnsi="Times New Roman" w:cs="Times New Roman" w:eastAsia="Times New Roman" w:hint="default"/>
          <w:spacing w:val="-2"/>
        </w:rPr>
        <w:t>12</w:t>
      </w:r>
      <w:r>
        <w:rPr>
          <w:spacing w:val="-2"/>
        </w:rPr>
        <w:t>个月</w:t>
      </w:r>
      <w:r>
        <w:rPr>
          <w:spacing w:val="-3"/>
          <w:w w:val="100"/>
        </w:rPr>
        <w:t> </w:t>
      </w:r>
      <w:r>
        <w:rPr/>
        <w:t>作为一个营业周期，并以其作为资产和负债的流动性划分标准。</w:t>
      </w:r>
    </w:p>
    <w:p>
      <w:pPr>
        <w:spacing w:line="240" w:lineRule="auto" w:before="8"/>
        <w:rPr>
          <w:rFonts w:ascii="宋体" w:hAnsi="宋体" w:cs="宋体" w:eastAsia="宋体" w:hint="default"/>
          <w:sz w:val="24"/>
          <w:szCs w:val="24"/>
        </w:rPr>
      </w:pPr>
    </w:p>
    <w:p>
      <w:pPr>
        <w:pStyle w:val="Heading4"/>
        <w:spacing w:line="240" w:lineRule="auto"/>
        <w:ind w:right="1133"/>
        <w:jc w:val="left"/>
        <w:rPr>
          <w:b w:val="0"/>
          <w:bCs w:val="0"/>
        </w:rPr>
      </w:pPr>
      <w:bookmarkStart w:name="4、记账本位币" w:id="177"/>
      <w:bookmarkEnd w:id="177"/>
      <w:r>
        <w:rPr>
          <w:b w:val="0"/>
          <w:bCs w:val="0"/>
        </w:rPr>
      </w:r>
      <w:r>
        <w:rPr>
          <w:rFonts w:ascii="Times New Roman" w:hAnsi="Times New Roman" w:cs="Times New Roman" w:eastAsia="Times New Roman" w:hint="default"/>
        </w:rPr>
        <w:t>4</w:t>
      </w:r>
      <w:r>
        <w:rPr/>
        <w:t>、记账本位币</w:t>
      </w:r>
      <w:r>
        <w:rPr>
          <w:b w:val="0"/>
          <w:bCs w:val="0"/>
        </w:rPr>
      </w:r>
    </w:p>
    <w:p>
      <w:pPr>
        <w:spacing w:line="240" w:lineRule="auto" w:before="7"/>
        <w:rPr>
          <w:rFonts w:ascii="宋体" w:hAnsi="宋体" w:cs="宋体" w:eastAsia="宋体" w:hint="default"/>
          <w:b/>
          <w:bCs/>
          <w:sz w:val="24"/>
          <w:szCs w:val="24"/>
        </w:rPr>
      </w:pPr>
    </w:p>
    <w:p>
      <w:pPr>
        <w:pStyle w:val="Heading5"/>
        <w:spacing w:line="240" w:lineRule="auto" w:before="0"/>
        <w:ind w:left="573" w:right="1133"/>
        <w:jc w:val="left"/>
      </w:pPr>
      <w:r>
        <w:rPr/>
        <w:t>本公司编制本财务报表时所采用的货币为人民币。</w:t>
      </w:r>
    </w:p>
    <w:p>
      <w:pPr>
        <w:spacing w:line="600" w:lineRule="atLeast" w:before="28"/>
        <w:ind w:left="575" w:right="1133" w:hanging="423"/>
        <w:jc w:val="left"/>
        <w:rPr>
          <w:rFonts w:ascii="宋体" w:hAnsi="宋体" w:cs="宋体" w:eastAsia="宋体" w:hint="default"/>
          <w:sz w:val="21"/>
          <w:szCs w:val="21"/>
        </w:rPr>
      </w:pPr>
      <w:bookmarkStart w:name="5、同一控制下和非同一控制下企业合并的会计处理方法" w:id="178"/>
      <w:bookmarkEnd w:id="178"/>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、同一控制下和非同一控制下企业合并的会计处理方法</w:t>
      </w:r>
      <w:r>
        <w:rPr>
          <w:rFonts w:ascii="宋体" w:hAnsi="宋体" w:cs="宋体" w:eastAsia="宋体" w:hint="default"/>
          <w:b/>
          <w:bCs/>
          <w:w w:val="100"/>
          <w:sz w:val="21"/>
          <w:szCs w:val="21"/>
        </w:rPr>
        <w:t> </w:t>
      </w:r>
      <w:r>
        <w:rPr>
          <w:rFonts w:ascii="宋体" w:hAnsi="宋体" w:cs="宋体" w:eastAsia="宋体" w:hint="default"/>
          <w:spacing w:val="-2"/>
          <w:sz w:val="21"/>
          <w:szCs w:val="21"/>
        </w:rPr>
        <w:t>企业合并，是指将两个或两个以上单独的企业合并形成一个报告主体的交易或事项。企业合并分为同</w:t>
      </w:r>
    </w:p>
    <w:p>
      <w:pPr>
        <w:pStyle w:val="Heading5"/>
        <w:spacing w:line="240" w:lineRule="auto" w:before="37"/>
        <w:ind w:left="155" w:right="1133"/>
        <w:jc w:val="left"/>
      </w:pPr>
      <w:r>
        <w:rPr/>
        <w:t>一控制下企业合并和非同一控制下企业合并。</w:t>
      </w:r>
    </w:p>
    <w:p>
      <w:pPr>
        <w:pStyle w:val="Heading5"/>
        <w:spacing w:line="256" w:lineRule="auto" w:before="37"/>
        <w:ind w:left="573" w:right="1133"/>
        <w:jc w:val="left"/>
      </w:pPr>
      <w:r>
        <w:rPr/>
        <w:t>（</w:t>
      </w:r>
      <w:r>
        <w:rPr>
          <w:rFonts w:ascii="Times New Roman" w:hAnsi="Times New Roman" w:cs="Times New Roman" w:eastAsia="Times New Roman" w:hint="default"/>
        </w:rPr>
        <w:t>1</w:t>
      </w:r>
      <w:r>
        <w:rPr/>
        <w:t>）同一控制下企业合并</w:t>
      </w:r>
      <w:r>
        <w:rPr>
          <w:w w:val="100"/>
        </w:rPr>
        <w:t> </w:t>
      </w:r>
      <w:r>
        <w:rPr>
          <w:spacing w:val="-2"/>
        </w:rPr>
        <w:t>参与合并的企业在合并前后均受同一方或相同的多方最终控制，且该控制并非暂时性的，为同一控制</w:t>
      </w:r>
    </w:p>
    <w:p>
      <w:pPr>
        <w:pStyle w:val="Heading5"/>
        <w:spacing w:line="273" w:lineRule="auto" w:before="22"/>
        <w:ind w:right="1133"/>
        <w:jc w:val="left"/>
      </w:pPr>
      <w:r>
        <w:rPr>
          <w:spacing w:val="-2"/>
        </w:rPr>
        <w:t>下的企业合并。同一控制下的企业合并，在合并日取得对其他参与合并企业控制权的一方为合并方，参与</w:t>
      </w:r>
      <w:r>
        <w:rPr>
          <w:spacing w:val="-44"/>
        </w:rPr>
        <w:t> </w:t>
      </w:r>
      <w:r>
        <w:rPr>
          <w:spacing w:val="-44"/>
        </w:rPr>
      </w:r>
      <w:r>
        <w:rPr/>
        <w:t>合并的其他企业为被合并方。合并日，是指合并方实际取得对被合并方控制权的日期。</w:t>
      </w:r>
    </w:p>
    <w:p>
      <w:pPr>
        <w:pStyle w:val="Heading5"/>
        <w:spacing w:line="273" w:lineRule="auto"/>
        <w:ind w:right="1126" w:firstLine="420"/>
        <w:jc w:val="both"/>
      </w:pPr>
      <w:r>
        <w:rPr>
          <w:spacing w:val="-2"/>
        </w:rPr>
        <w:t>合并方取得的资产和负债均按合并日在被合并方的账面价值计量。合并方取得的净资产账面价值与支</w:t>
      </w:r>
      <w:r>
        <w:rPr>
          <w:w w:val="100"/>
        </w:rPr>
        <w:t> </w:t>
      </w:r>
      <w:r>
        <w:rPr>
          <w:spacing w:val="-2"/>
        </w:rPr>
        <w:t>付的合并对价账面价值（或发行股份面值总额）的差额，调整资本公积（股本溢价）；资本公积（股本溢</w:t>
      </w:r>
      <w:r>
        <w:rPr>
          <w:spacing w:val="-45"/>
        </w:rPr>
        <w:t> </w:t>
      </w:r>
      <w:r>
        <w:rPr>
          <w:spacing w:val="-45"/>
        </w:rPr>
      </w:r>
      <w:r>
        <w:rPr/>
        <w:t>价）不足以冲减的，调整留存收益。</w:t>
      </w:r>
    </w:p>
    <w:p>
      <w:pPr>
        <w:pStyle w:val="Heading5"/>
        <w:spacing w:line="240" w:lineRule="auto"/>
        <w:ind w:left="573" w:right="1133"/>
        <w:jc w:val="left"/>
      </w:pPr>
      <w:r>
        <w:rPr/>
        <w:t>合并方为进行企业合并发生的各项直接费用，于发生时计入当期损益。</w:t>
      </w:r>
    </w:p>
    <w:p>
      <w:pPr>
        <w:pStyle w:val="Heading5"/>
        <w:spacing w:line="256" w:lineRule="auto" w:before="37"/>
        <w:ind w:left="573" w:right="1133"/>
        <w:jc w:val="left"/>
      </w:pPr>
      <w:r>
        <w:rPr/>
        <w:t>（</w:t>
      </w:r>
      <w:r>
        <w:rPr>
          <w:rFonts w:ascii="Times New Roman" w:hAnsi="Times New Roman" w:cs="Times New Roman" w:eastAsia="Times New Roman" w:hint="default"/>
        </w:rPr>
        <w:t>2</w:t>
      </w:r>
      <w:r>
        <w:rPr/>
        <w:t>）非同一控制下企业合并</w:t>
      </w:r>
      <w:r>
        <w:rPr>
          <w:w w:val="100"/>
        </w:rPr>
        <w:t> </w:t>
      </w:r>
      <w:r>
        <w:rPr>
          <w:spacing w:val="-2"/>
        </w:rPr>
        <w:t>参与合并的企业在合并前后不受同一方或相同的多方最终控制的，为非同一控制下的企业合并。非同</w:t>
      </w:r>
    </w:p>
    <w:p>
      <w:pPr>
        <w:pStyle w:val="Heading5"/>
        <w:spacing w:line="273" w:lineRule="auto" w:before="23"/>
        <w:ind w:right="1133"/>
        <w:jc w:val="left"/>
      </w:pPr>
      <w:r>
        <w:rPr>
          <w:spacing w:val="-2"/>
        </w:rPr>
        <w:t>一控制下的企业合并，在购买日取得对其他参与合并企业控制权的一方为购买方，参与合并的其他企业为</w:t>
      </w:r>
      <w:r>
        <w:rPr>
          <w:spacing w:val="-43"/>
        </w:rPr>
        <w:t> </w:t>
      </w:r>
      <w:r>
        <w:rPr>
          <w:spacing w:val="-43"/>
        </w:rPr>
      </w:r>
      <w:r>
        <w:rPr/>
        <w:t>被购买方。购买日，是指为购买方实际取得对被购买方控制权的日期。</w:t>
      </w:r>
    </w:p>
    <w:p>
      <w:pPr>
        <w:pStyle w:val="Heading5"/>
        <w:spacing w:line="271" w:lineRule="auto"/>
        <w:ind w:right="0" w:firstLine="420"/>
        <w:jc w:val="left"/>
      </w:pPr>
      <w:r>
        <w:rPr>
          <w:spacing w:val="2"/>
        </w:rPr>
        <w:t>对于非同一控制下的企业合并，合并成本包含购买日购买方为取得对被购买方的控制权而付出的资</w:t>
      </w:r>
      <w:r>
        <w:rPr>
          <w:w w:val="100"/>
        </w:rPr>
        <w:t> </w:t>
      </w:r>
      <w:r>
        <w:rPr>
          <w:spacing w:val="-2"/>
        </w:rPr>
        <w:t>产、发生或承担的负债以及发行的权益性证券的公允价值，为企业合并发生的审计、法律服务、评估咨询</w:t>
      </w:r>
      <w:r>
        <w:rPr>
          <w:spacing w:val="-47"/>
        </w:rPr>
        <w:t> </w:t>
      </w:r>
      <w:r>
        <w:rPr>
          <w:spacing w:val="-47"/>
        </w:rPr>
      </w:r>
      <w:r>
        <w:rPr>
          <w:spacing w:val="-2"/>
        </w:rPr>
        <w:t>等中介费用以及其他管理费用于发生时计入当期损益。购买方作为合并对价发行的权益性证券或债务性证</w:t>
      </w:r>
      <w:r>
        <w:rPr>
          <w:spacing w:val="-43"/>
        </w:rPr>
        <w:t> </w:t>
      </w:r>
      <w:r>
        <w:rPr>
          <w:spacing w:val="-43"/>
        </w:rPr>
      </w:r>
      <w:r>
        <w:rPr>
          <w:spacing w:val="-2"/>
        </w:rPr>
        <w:t>券的交易费用，计入权益性证券或债务性证券的初始确认金额。所涉及的或有对价按其在购买日的公允价</w:t>
      </w:r>
      <w:r>
        <w:rPr>
          <w:spacing w:val="-43"/>
        </w:rPr>
        <w:t> </w:t>
      </w:r>
      <w:r>
        <w:rPr>
          <w:spacing w:val="-43"/>
        </w:rPr>
      </w:r>
      <w:r>
        <w:rPr>
          <w:spacing w:val="2"/>
        </w:rPr>
        <w:t>值计入合并成本，购买日后</w:t>
      </w:r>
      <w:r>
        <w:rPr>
          <w:rFonts w:ascii="Times New Roman" w:hAnsi="Times New Roman" w:cs="Times New Roman" w:eastAsia="Times New Roman" w:hint="default"/>
          <w:spacing w:val="2"/>
        </w:rPr>
        <w:t>12</w:t>
      </w:r>
      <w:r>
        <w:rPr>
          <w:spacing w:val="2"/>
        </w:rPr>
        <w:t>个月内出现对购买日已存在情况的新的或进一步证据而需要调整或有对价</w:t>
      </w:r>
      <w:r>
        <w:rPr>
          <w:spacing w:val="-28"/>
        </w:rPr>
        <w:t> </w:t>
      </w:r>
      <w:r>
        <w:rPr>
          <w:spacing w:val="-28"/>
        </w:rPr>
      </w:r>
      <w:r>
        <w:rPr>
          <w:spacing w:val="-5"/>
        </w:rPr>
        <w:t>的，相应调整合并商誉。购买方发生的合并成本及在合并中取得的可辨认净资产按购买日的公允价值计量。</w:t>
      </w:r>
      <w:r>
        <w:rPr>
          <w:spacing w:val="-4"/>
        </w:rPr>
        <w:t> </w:t>
      </w:r>
      <w:r>
        <w:rPr>
          <w:spacing w:val="-4"/>
        </w:rPr>
      </w:r>
      <w:r>
        <w:rPr>
          <w:spacing w:val="-2"/>
        </w:rPr>
        <w:t>合并成本大于合并中取得的被购买方于购买日可辨认净资产公允价值份额的差额，确认为商誉。合并成本</w:t>
      </w:r>
      <w:r>
        <w:rPr>
          <w:spacing w:val="-43"/>
        </w:rPr>
        <w:t> </w:t>
      </w:r>
      <w:r>
        <w:rPr>
          <w:spacing w:val="-43"/>
        </w:rPr>
      </w:r>
      <w:r>
        <w:rPr>
          <w:spacing w:val="-2"/>
        </w:rPr>
        <w:t>小于合并中取得的被购买方可辨认净资产公允价值份额的，首先对取得的被购买方各项可辨认资产、负债</w:t>
      </w:r>
    </w:p>
    <w:p>
      <w:pPr>
        <w:spacing w:after="0" w:line="271"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5"/>
        <w:spacing w:line="273" w:lineRule="auto" w:before="36"/>
        <w:ind w:right="1126"/>
        <w:jc w:val="both"/>
      </w:pPr>
      <w:r>
        <w:rPr>
          <w:spacing w:val="-2"/>
        </w:rPr>
        <w:t>及或有负债的公允价值以及合并成本的计量进行复核，复核后合并成本仍小于合并中取得的被购买方可辨</w:t>
      </w:r>
      <w:r>
        <w:rPr>
          <w:spacing w:val="-43"/>
        </w:rPr>
        <w:t> </w:t>
      </w:r>
      <w:r>
        <w:rPr>
          <w:spacing w:val="-43"/>
        </w:rPr>
      </w:r>
      <w:r>
        <w:rPr/>
        <w:t>认净资产公允价值份额的，其差额计入当期损益。</w:t>
      </w:r>
    </w:p>
    <w:p>
      <w:pPr>
        <w:pStyle w:val="Heading5"/>
        <w:spacing w:line="268" w:lineRule="auto"/>
        <w:ind w:right="1105" w:firstLine="420"/>
        <w:jc w:val="both"/>
      </w:pPr>
      <w:r>
        <w:rPr>
          <w:spacing w:val="2"/>
        </w:rPr>
        <w:t>购买方取得被购买方的可抵扣暂时性差异，在购买日因不符合递延所得税资产确认条件而未予确认</w:t>
      </w:r>
      <w:r>
        <w:rPr>
          <w:w w:val="100"/>
        </w:rPr>
        <w:t> </w:t>
      </w:r>
      <w:r>
        <w:rPr>
          <w:spacing w:val="-2"/>
        </w:rPr>
        <w:t>的，在购买日后</w:t>
      </w:r>
      <w:r>
        <w:rPr>
          <w:rFonts w:ascii="Times New Roman" w:hAnsi="Times New Roman" w:cs="Times New Roman" w:eastAsia="Times New Roman" w:hint="default"/>
          <w:spacing w:val="-2"/>
        </w:rPr>
        <w:t>12</w:t>
      </w:r>
      <w:r>
        <w:rPr>
          <w:spacing w:val="-2"/>
        </w:rPr>
        <w:t>个月内，如取得新的或进一步的信息表明购买日的相关情况已经存在，预期被购买方在</w:t>
      </w:r>
      <w:r>
        <w:rPr>
          <w:spacing w:val="-41"/>
        </w:rPr>
        <w:t> </w:t>
      </w:r>
      <w:r>
        <w:rPr>
          <w:spacing w:val="-41"/>
        </w:rPr>
      </w:r>
      <w:r>
        <w:rPr>
          <w:spacing w:val="-2"/>
        </w:rPr>
        <w:t>购买日可抵扣暂时性差异带来的经济利益能够实现的，则确认相关的递延所得税资产，同时减少商誉，商</w:t>
      </w:r>
      <w:r>
        <w:rPr>
          <w:spacing w:val="-43"/>
        </w:rPr>
        <w:t> </w:t>
      </w:r>
      <w:r>
        <w:rPr>
          <w:spacing w:val="-43"/>
        </w:rPr>
      </w:r>
      <w:r>
        <w:rPr>
          <w:spacing w:val="-2"/>
        </w:rPr>
        <w:t>誉不足冲减的，差额部分确认为当期损益；除上述情况以外，确认与企业合并相关的递延所得税资产的，</w:t>
      </w:r>
      <w:r>
        <w:rPr>
          <w:spacing w:val="-21"/>
        </w:rPr>
        <w:t> </w:t>
      </w:r>
      <w:r>
        <w:rPr>
          <w:spacing w:val="-21"/>
        </w:rPr>
      </w:r>
      <w:r>
        <w:rPr/>
        <w:t>计入当期损益。</w:t>
      </w:r>
    </w:p>
    <w:p>
      <w:pPr>
        <w:pStyle w:val="Heading5"/>
        <w:spacing w:line="256" w:lineRule="auto" w:before="12"/>
        <w:ind w:right="0" w:firstLine="420"/>
        <w:jc w:val="left"/>
      </w:pPr>
      <w:r>
        <w:rPr/>
        <w:t>通过多次交易分步实现的非同一控制下企业合并，根据《财政部关于印发企业会计准则解释第</w:t>
      </w:r>
      <w:r>
        <w:rPr>
          <w:rFonts w:ascii="Times New Roman" w:hAnsi="Times New Roman" w:cs="Times New Roman" w:eastAsia="Times New Roman" w:hint="default"/>
        </w:rPr>
        <w:t>5</w:t>
      </w:r>
      <w:r>
        <w:rPr/>
        <w:t>号的</w:t>
      </w:r>
      <w:r>
        <w:rPr>
          <w:spacing w:val="2"/>
          <w:w w:val="100"/>
        </w:rPr>
        <w:t> </w:t>
      </w:r>
      <w:r>
        <w:rPr/>
        <w:t>通知》（财会〔</w:t>
      </w:r>
      <w:r>
        <w:rPr>
          <w:rFonts w:ascii="Times New Roman" w:hAnsi="Times New Roman" w:cs="Times New Roman" w:eastAsia="Times New Roman" w:hint="default"/>
        </w:rPr>
        <w:t>2012</w:t>
      </w:r>
      <w:r>
        <w:rPr/>
        <w:t>〕</w:t>
      </w:r>
      <w:r>
        <w:rPr>
          <w:rFonts w:ascii="Times New Roman" w:hAnsi="Times New Roman" w:cs="Times New Roman" w:eastAsia="Times New Roman" w:hint="default"/>
        </w:rPr>
        <w:t>19</w:t>
      </w:r>
      <w:r>
        <w:rPr/>
        <w:t>号）和《企业会计准则第</w:t>
      </w:r>
      <w:r>
        <w:rPr>
          <w:rFonts w:ascii="Times New Roman" w:hAnsi="Times New Roman" w:cs="Times New Roman" w:eastAsia="Times New Roman" w:hint="default"/>
        </w:rPr>
        <w:t>33</w:t>
      </w:r>
      <w:r>
        <w:rPr/>
        <w:t>号</w:t>
      </w:r>
      <w:r>
        <w:rPr>
          <w:rFonts w:ascii="Times New Roman" w:hAnsi="Times New Roman" w:cs="Times New Roman" w:eastAsia="Times New Roman" w:hint="default"/>
        </w:rPr>
        <w:t>——</w:t>
      </w:r>
      <w:r>
        <w:rPr/>
        <w:t>合并财务报表》第五十一条关于</w:t>
      </w:r>
      <w:r>
        <w:rPr>
          <w:rFonts w:ascii="Times New Roman" w:hAnsi="Times New Roman" w:cs="Times New Roman" w:eastAsia="Times New Roman" w:hint="default"/>
        </w:rPr>
        <w:t>“</w:t>
      </w:r>
      <w:r>
        <w:rPr/>
        <w:t>一揽子交易</w:t>
      </w:r>
      <w:r>
        <w:rPr>
          <w:rFonts w:ascii="Times New Roman" w:hAnsi="Times New Roman" w:cs="Times New Roman" w:eastAsia="Times New Roman" w:hint="default"/>
        </w:rPr>
        <w:t>”</w:t>
      </w:r>
      <w:r>
        <w:rPr>
          <w:rFonts w:ascii="Times New Roman" w:hAnsi="Times New Roman" w:cs="Times New Roman" w:eastAsia="Times New Roman" w:hint="default"/>
          <w:w w:val="100"/>
        </w:rPr>
        <w:t> </w:t>
      </w:r>
      <w:r>
        <w:rPr>
          <w:spacing w:val="-2"/>
        </w:rPr>
        <w:t>的判断标准（参见本附注</w:t>
      </w:r>
      <w:r>
        <w:rPr>
          <w:rFonts w:ascii="Times New Roman" w:hAnsi="Times New Roman" w:cs="Times New Roman" w:eastAsia="Times New Roman" w:hint="default"/>
          <w:spacing w:val="-2"/>
        </w:rPr>
        <w:t>“</w:t>
      </w:r>
      <w:r>
        <w:rPr>
          <w:spacing w:val="-2"/>
        </w:rPr>
        <w:t>五、</w:t>
      </w:r>
      <w:r>
        <w:rPr>
          <w:rFonts w:ascii="Times New Roman" w:hAnsi="Times New Roman" w:cs="Times New Roman" w:eastAsia="Times New Roman" w:hint="default"/>
          <w:spacing w:val="-2"/>
        </w:rPr>
        <w:t>6</w:t>
      </w:r>
      <w:r>
        <w:rPr>
          <w:spacing w:val="-2"/>
        </w:rPr>
        <w:t>、合并财务报表的编制方法</w:t>
      </w:r>
      <w:r>
        <w:rPr>
          <w:rFonts w:ascii="Times New Roman" w:hAnsi="Times New Roman" w:cs="Times New Roman" w:eastAsia="Times New Roman" w:hint="default"/>
          <w:spacing w:val="-2"/>
        </w:rPr>
        <w:t>”</w:t>
      </w:r>
      <w:r>
        <w:rPr>
          <w:spacing w:val="-2"/>
        </w:rPr>
        <w:t>），判断该多次交易是否属于</w:t>
      </w:r>
      <w:r>
        <w:rPr>
          <w:rFonts w:ascii="Times New Roman" w:hAnsi="Times New Roman" w:cs="Times New Roman" w:eastAsia="Times New Roman" w:hint="default"/>
          <w:spacing w:val="-2"/>
        </w:rPr>
        <w:t>“</w:t>
      </w:r>
      <w:r>
        <w:rPr>
          <w:spacing w:val="-2"/>
        </w:rPr>
        <w:t>一揽子交易</w:t>
      </w:r>
      <w:r>
        <w:rPr>
          <w:rFonts w:ascii="Times New Roman" w:hAnsi="Times New Roman" w:cs="Times New Roman" w:eastAsia="Times New Roman" w:hint="default"/>
          <w:spacing w:val="-2"/>
        </w:rPr>
        <w:t>”</w:t>
      </w:r>
      <w:r>
        <w:rPr>
          <w:spacing w:val="-2"/>
        </w:rPr>
        <w:t>。</w:t>
      </w:r>
      <w:r>
        <w:rPr>
          <w:spacing w:val="-24"/>
        </w:rPr>
        <w:t> </w:t>
      </w:r>
      <w:r>
        <w:rPr>
          <w:spacing w:val="-7"/>
        </w:rPr>
        <w:t>属于</w:t>
      </w:r>
      <w:r>
        <w:rPr>
          <w:rFonts w:ascii="Times New Roman" w:hAnsi="Times New Roman" w:cs="Times New Roman" w:eastAsia="Times New Roman" w:hint="default"/>
          <w:spacing w:val="-7"/>
        </w:rPr>
        <w:t>“</w:t>
      </w:r>
      <w:r>
        <w:rPr>
          <w:spacing w:val="-7"/>
        </w:rPr>
        <w:t>一揽子交易</w:t>
      </w:r>
      <w:r>
        <w:rPr>
          <w:rFonts w:ascii="Times New Roman" w:hAnsi="Times New Roman" w:cs="Times New Roman" w:eastAsia="Times New Roman" w:hint="default"/>
          <w:spacing w:val="-7"/>
        </w:rPr>
        <w:t>”</w:t>
      </w:r>
      <w:r>
        <w:rPr>
          <w:spacing w:val="-7"/>
        </w:rPr>
        <w:t>的，参考本部分前面各段描述及本附注</w:t>
      </w:r>
      <w:r>
        <w:rPr>
          <w:rFonts w:ascii="Times New Roman" w:hAnsi="Times New Roman" w:cs="Times New Roman" w:eastAsia="Times New Roman" w:hint="default"/>
          <w:spacing w:val="-7"/>
        </w:rPr>
        <w:t>“</w:t>
      </w:r>
      <w:r>
        <w:rPr>
          <w:spacing w:val="-7"/>
        </w:rPr>
        <w:t>五、</w:t>
      </w:r>
      <w:r>
        <w:rPr>
          <w:rFonts w:ascii="Times New Roman" w:hAnsi="Times New Roman" w:cs="Times New Roman" w:eastAsia="Times New Roman" w:hint="default"/>
          <w:spacing w:val="-7"/>
        </w:rPr>
        <w:t>22</w:t>
      </w:r>
      <w:r>
        <w:rPr>
          <w:spacing w:val="-7"/>
        </w:rPr>
        <w:t>、长期股权投资</w:t>
      </w:r>
      <w:r>
        <w:rPr>
          <w:rFonts w:ascii="Times New Roman" w:hAnsi="Times New Roman" w:cs="Times New Roman" w:eastAsia="Times New Roman" w:hint="default"/>
          <w:spacing w:val="-7"/>
        </w:rPr>
        <w:t>”</w:t>
      </w:r>
      <w:r>
        <w:rPr>
          <w:spacing w:val="-7"/>
        </w:rPr>
        <w:t>进行会计处理；不属于</w:t>
      </w:r>
      <w:r>
        <w:rPr>
          <w:rFonts w:ascii="Times New Roman" w:hAnsi="Times New Roman" w:cs="Times New Roman" w:eastAsia="Times New Roman" w:hint="default"/>
          <w:spacing w:val="-7"/>
        </w:rPr>
        <w:t>“</w:t>
      </w:r>
      <w:r>
        <w:rPr>
          <w:spacing w:val="-7"/>
        </w:rPr>
        <w:t>一</w:t>
      </w:r>
      <w:r>
        <w:rPr>
          <w:spacing w:val="-42"/>
        </w:rPr>
        <w:t> </w:t>
      </w:r>
      <w:r>
        <w:rPr/>
        <w:t>揽子交易</w:t>
      </w:r>
      <w:r>
        <w:rPr>
          <w:rFonts w:ascii="Times New Roman" w:hAnsi="Times New Roman" w:cs="Times New Roman" w:eastAsia="Times New Roman" w:hint="default"/>
        </w:rPr>
        <w:t>”</w:t>
      </w:r>
      <w:r>
        <w:rPr/>
        <w:t>的，区分个别财务报表和合并财务报表进行相关会计处理：</w:t>
      </w:r>
    </w:p>
    <w:p>
      <w:pPr>
        <w:pStyle w:val="Heading5"/>
        <w:spacing w:line="273" w:lineRule="auto" w:before="5"/>
        <w:ind w:right="1104" w:firstLine="420"/>
        <w:jc w:val="both"/>
      </w:pPr>
      <w:r>
        <w:rPr>
          <w:spacing w:val="-2"/>
        </w:rPr>
        <w:t>在个别财务报表中，以购买日之前所持被购买方的股权投资的账面价值与购买日新增投资成本之和，</w:t>
      </w:r>
      <w:r>
        <w:rPr>
          <w:w w:val="100"/>
        </w:rPr>
        <w:t> </w:t>
      </w:r>
      <w:r>
        <w:rPr>
          <w:spacing w:val="-2"/>
        </w:rPr>
        <w:t>作为该项投资的初始投资成本；购买日之前持有的被购买方的股权涉及其他综合收益的，在处置该项投资</w:t>
      </w:r>
      <w:r>
        <w:rPr>
          <w:spacing w:val="-43"/>
        </w:rPr>
        <w:t> </w:t>
      </w:r>
      <w:r>
        <w:rPr>
          <w:spacing w:val="-43"/>
        </w:rPr>
      </w:r>
      <w:r>
        <w:rPr>
          <w:spacing w:val="-2"/>
        </w:rPr>
        <w:t>时将与其相关的其他综合收益采用与被购买方直接处置相关资产或负债相同的基础进行会计处理（即，除</w:t>
      </w:r>
      <w:r>
        <w:rPr>
          <w:spacing w:val="-43"/>
        </w:rPr>
        <w:t> </w:t>
      </w:r>
      <w:r>
        <w:rPr>
          <w:spacing w:val="-43"/>
        </w:rPr>
      </w:r>
      <w:r>
        <w:rPr>
          <w:spacing w:val="-2"/>
        </w:rPr>
        <w:t>了按照权益法核算的在被购买方重新计量设定受益计划净负债或净资产导致的变动中的相应份额以外，其</w:t>
      </w:r>
      <w:r>
        <w:rPr>
          <w:spacing w:val="-43"/>
        </w:rPr>
        <w:t> </w:t>
      </w:r>
      <w:r>
        <w:rPr>
          <w:spacing w:val="-43"/>
        </w:rPr>
      </w:r>
      <w:r>
        <w:rPr/>
        <w:t>余转入当期投资收益）。</w:t>
      </w:r>
    </w:p>
    <w:p>
      <w:pPr>
        <w:pStyle w:val="Heading5"/>
        <w:spacing w:line="273" w:lineRule="auto"/>
        <w:ind w:right="1126" w:firstLine="420"/>
        <w:jc w:val="both"/>
      </w:pPr>
      <w:r>
        <w:rPr>
          <w:spacing w:val="-2"/>
        </w:rPr>
        <w:t>在合并财务报表中，对于购买日之前持有的被购买方的股权，按照该股权在购买日的公允价值进行重</w:t>
      </w:r>
      <w:r>
        <w:rPr>
          <w:w w:val="100"/>
        </w:rPr>
        <w:t> </w:t>
      </w:r>
      <w:r>
        <w:rPr>
          <w:spacing w:val="-2"/>
        </w:rPr>
        <w:t>新计量，公允价值与其账面价值的差额计入当期投资收益；购买日之前持有的被购买方的股权涉及其他综</w:t>
      </w:r>
      <w:r>
        <w:rPr>
          <w:spacing w:val="-44"/>
        </w:rPr>
        <w:t> </w:t>
      </w:r>
      <w:r>
        <w:rPr>
          <w:spacing w:val="-44"/>
        </w:rPr>
      </w:r>
      <w:r>
        <w:rPr>
          <w:spacing w:val="-2"/>
        </w:rPr>
        <w:t>合收益的，与其相关的其他综合收益应当采用与被购买方直接处置相关资产或负债相同的基础进行会计处</w:t>
      </w:r>
      <w:r>
        <w:rPr>
          <w:spacing w:val="-43"/>
        </w:rPr>
        <w:t> </w:t>
      </w:r>
      <w:r>
        <w:rPr>
          <w:spacing w:val="-43"/>
        </w:rPr>
      </w:r>
      <w:r>
        <w:rPr>
          <w:spacing w:val="-2"/>
        </w:rPr>
        <w:t>理（即，除了按照权益法核算的在被购买方重新计量设定受益计划净负债或净资产导致的变动中的相应份</w:t>
      </w:r>
      <w:r>
        <w:rPr>
          <w:spacing w:val="-43"/>
        </w:rPr>
        <w:t> </w:t>
      </w:r>
      <w:r>
        <w:rPr>
          <w:spacing w:val="-43"/>
        </w:rPr>
      </w:r>
      <w:r>
        <w:rPr/>
        <w:t>额以外，其余转为购买日所属当期投资收益）。</w:t>
      </w:r>
    </w:p>
    <w:p>
      <w:pPr>
        <w:spacing w:line="240" w:lineRule="auto" w:before="7"/>
        <w:rPr>
          <w:rFonts w:ascii="宋体" w:hAnsi="宋体" w:cs="宋体" w:eastAsia="宋体" w:hint="default"/>
          <w:sz w:val="23"/>
          <w:szCs w:val="23"/>
        </w:rPr>
      </w:pPr>
    </w:p>
    <w:p>
      <w:pPr>
        <w:pStyle w:val="Heading4"/>
        <w:spacing w:line="240" w:lineRule="auto"/>
        <w:ind w:right="0"/>
        <w:jc w:val="both"/>
        <w:rPr>
          <w:b w:val="0"/>
          <w:bCs w:val="0"/>
        </w:rPr>
      </w:pPr>
      <w:bookmarkStart w:name="6、合并财务报表的编制方法" w:id="179"/>
      <w:bookmarkEnd w:id="179"/>
      <w:r>
        <w:rPr>
          <w:b w:val="0"/>
          <w:bCs w:val="0"/>
        </w:rPr>
      </w:r>
      <w:r>
        <w:rPr>
          <w:rFonts w:ascii="Times New Roman" w:hAnsi="Times New Roman" w:cs="Times New Roman" w:eastAsia="Times New Roman" w:hint="default"/>
        </w:rPr>
        <w:t>6</w:t>
      </w:r>
      <w:r>
        <w:rPr/>
        <w:t>、合并财务报表的编制方法</w:t>
      </w:r>
      <w:r>
        <w:rPr>
          <w:b w:val="0"/>
          <w:bCs w:val="0"/>
        </w:rPr>
      </w:r>
    </w:p>
    <w:p>
      <w:pPr>
        <w:spacing w:line="240" w:lineRule="auto" w:before="10"/>
        <w:rPr>
          <w:rFonts w:ascii="宋体" w:hAnsi="宋体" w:cs="宋体" w:eastAsia="宋体" w:hint="default"/>
          <w:b/>
          <w:bCs/>
          <w:sz w:val="24"/>
          <w:szCs w:val="24"/>
        </w:rPr>
      </w:pPr>
    </w:p>
    <w:p>
      <w:pPr>
        <w:pStyle w:val="Heading5"/>
        <w:spacing w:line="256" w:lineRule="auto" w:before="0"/>
        <w:ind w:left="573" w:right="1133"/>
        <w:jc w:val="left"/>
      </w:pPr>
      <w:r>
        <w:rPr/>
        <w:t>（</w:t>
      </w:r>
      <w:r>
        <w:rPr>
          <w:rFonts w:ascii="Times New Roman" w:hAnsi="Times New Roman" w:cs="Times New Roman" w:eastAsia="Times New Roman" w:hint="default"/>
        </w:rPr>
        <w:t>1</w:t>
      </w:r>
      <w:r>
        <w:rPr/>
        <w:t>）合并财务报表范围的确定原则</w:t>
      </w:r>
      <w:r>
        <w:rPr>
          <w:w w:val="100"/>
        </w:rPr>
        <w:t> </w:t>
      </w:r>
      <w:r>
        <w:rPr>
          <w:spacing w:val="-2"/>
        </w:rPr>
        <w:t>合并财务报表的合并范围以控制为基础予以确定。控制是指本公司拥有对被投资方的权力，通过参与</w:t>
      </w:r>
    </w:p>
    <w:p>
      <w:pPr>
        <w:pStyle w:val="Heading5"/>
        <w:spacing w:line="273" w:lineRule="auto" w:before="22"/>
        <w:ind w:right="1126"/>
        <w:jc w:val="both"/>
      </w:pPr>
      <w:r>
        <w:rPr>
          <w:spacing w:val="-2"/>
        </w:rPr>
        <w:t>被投资方的相关活动而享有可变回报，并且有能力运用对被投资方的权力影响该回报金额。合并范围包括</w:t>
      </w:r>
      <w:r>
        <w:rPr>
          <w:spacing w:val="-43"/>
        </w:rPr>
        <w:t> </w:t>
      </w:r>
      <w:r>
        <w:rPr>
          <w:spacing w:val="-43"/>
        </w:rPr>
      </w:r>
      <w:r>
        <w:rPr/>
        <w:t>本公司及全部子公司。子公司，是指被本公司控制的主体。</w:t>
      </w:r>
    </w:p>
    <w:p>
      <w:pPr>
        <w:pStyle w:val="Heading5"/>
        <w:spacing w:line="240" w:lineRule="auto"/>
        <w:ind w:left="573" w:right="0"/>
        <w:jc w:val="left"/>
      </w:pPr>
      <w:r>
        <w:rPr/>
        <w:t>一旦相关事实和情况的变化导致上述控制定义涉及的相关要素发生了变化，本公司将进行重新评估。</w:t>
      </w:r>
    </w:p>
    <w:p>
      <w:pPr>
        <w:pStyle w:val="Heading5"/>
        <w:spacing w:line="256" w:lineRule="auto" w:before="37"/>
        <w:ind w:left="573" w:right="1133"/>
        <w:jc w:val="left"/>
      </w:pPr>
      <w:r>
        <w:rPr/>
        <w:t>（</w:t>
      </w:r>
      <w:r>
        <w:rPr>
          <w:rFonts w:ascii="Times New Roman" w:hAnsi="Times New Roman" w:cs="Times New Roman" w:eastAsia="Times New Roman" w:hint="default"/>
        </w:rPr>
        <w:t>2</w:t>
      </w:r>
      <w:r>
        <w:rPr/>
        <w:t>）合并财务报表编制的方法</w:t>
      </w:r>
      <w:r>
        <w:rPr>
          <w:w w:val="100"/>
        </w:rPr>
        <w:t> </w:t>
      </w:r>
      <w:r>
        <w:rPr>
          <w:spacing w:val="-2"/>
        </w:rPr>
        <w:t>从取得子公司的净资产和生产经营决策的实际控制权之日起，本公司开始将其纳入合并范围；从丧失</w:t>
      </w:r>
    </w:p>
    <w:p>
      <w:pPr>
        <w:pStyle w:val="Heading5"/>
        <w:spacing w:line="271" w:lineRule="auto" w:before="22"/>
        <w:ind w:right="1126"/>
        <w:jc w:val="both"/>
      </w:pPr>
      <w:r>
        <w:rPr>
          <w:spacing w:val="-2"/>
        </w:rPr>
        <w:t>实际控制权之日起停止纳入合并范围。对于处置的子公司，处置日前的经营成果和现金流量已经适当地包</w:t>
      </w:r>
      <w:r>
        <w:rPr>
          <w:spacing w:val="-44"/>
        </w:rPr>
        <w:t> </w:t>
      </w:r>
      <w:r>
        <w:rPr>
          <w:spacing w:val="-44"/>
        </w:rPr>
      </w:r>
      <w:r>
        <w:rPr>
          <w:spacing w:val="-2"/>
        </w:rPr>
        <w:t>括在合并利润表和合并现金流量表中；当期处置的子公司，不调整合并资产负债表的期初数。非同一控制</w:t>
      </w:r>
      <w:r>
        <w:rPr>
          <w:spacing w:val="-43"/>
        </w:rPr>
        <w:t> </w:t>
      </w:r>
      <w:r>
        <w:rPr>
          <w:spacing w:val="-43"/>
        </w:rPr>
      </w:r>
      <w:r>
        <w:rPr>
          <w:spacing w:val="-2"/>
        </w:rPr>
        <w:t>下企业合并增加的子公司，其购买日后的经营成果及现金流量已经适当地包括在合并利润表和合并现金流</w:t>
      </w:r>
      <w:r>
        <w:rPr>
          <w:spacing w:val="-43"/>
        </w:rPr>
        <w:t> </w:t>
      </w:r>
      <w:r>
        <w:rPr>
          <w:spacing w:val="-43"/>
        </w:rPr>
      </w:r>
      <w:r>
        <w:rPr>
          <w:spacing w:val="-2"/>
        </w:rPr>
        <w:t>量表中，且不调整合并财务报表的期初数和对比数。同一控制下企业合并增加的子公司，其自合并当期期</w:t>
      </w:r>
      <w:r>
        <w:rPr>
          <w:spacing w:val="-43"/>
        </w:rPr>
        <w:t> </w:t>
      </w:r>
      <w:r>
        <w:rPr>
          <w:spacing w:val="-43"/>
        </w:rPr>
      </w:r>
      <w:r>
        <w:rPr>
          <w:spacing w:val="-2"/>
        </w:rPr>
        <w:t>初至合并日的经营成果和现金流量已经适当地包括在合并利润表和合并现金流量表中，并且同时调整合并</w:t>
      </w:r>
      <w:r>
        <w:rPr>
          <w:spacing w:val="-43"/>
        </w:rPr>
        <w:t> </w:t>
      </w:r>
      <w:r>
        <w:rPr>
          <w:spacing w:val="-43"/>
        </w:rPr>
      </w:r>
      <w:r>
        <w:rPr/>
        <w:t>财务报表的对比数。</w:t>
      </w:r>
    </w:p>
    <w:p>
      <w:pPr>
        <w:pStyle w:val="Heading5"/>
        <w:spacing w:line="273" w:lineRule="auto" w:before="10"/>
        <w:ind w:right="1126" w:firstLine="420"/>
        <w:jc w:val="both"/>
      </w:pPr>
      <w:r>
        <w:rPr>
          <w:spacing w:val="-2"/>
        </w:rPr>
        <w:t>在编制合并财务报表时，子公司与本公司采用的会计政策或会计期间不一致的，按照本公司的会计政</w:t>
      </w:r>
      <w:r>
        <w:rPr>
          <w:w w:val="100"/>
        </w:rPr>
        <w:t> </w:t>
      </w:r>
      <w:r>
        <w:rPr>
          <w:spacing w:val="-2"/>
        </w:rPr>
        <w:t>策和会计期间对子公司财务报表进行必要的调整。对于非同一控制下企业合并取得的子公司，以购买日可</w:t>
      </w:r>
      <w:r>
        <w:rPr>
          <w:spacing w:val="-42"/>
        </w:rPr>
        <w:t> </w:t>
      </w:r>
      <w:r>
        <w:rPr>
          <w:spacing w:val="-42"/>
        </w:rPr>
      </w:r>
      <w:r>
        <w:rPr/>
        <w:t>辨认净资产公允价值为基础对其财务报表进行调整。</w:t>
      </w:r>
    </w:p>
    <w:p>
      <w:pPr>
        <w:pStyle w:val="Heading5"/>
        <w:spacing w:line="273" w:lineRule="auto"/>
        <w:ind w:left="573" w:right="1133"/>
        <w:jc w:val="left"/>
      </w:pPr>
      <w:r>
        <w:rPr/>
        <w:t>公司内所有重大往来余额、交易及未实现利润在合并财务报表编制时予以抵销。</w:t>
      </w:r>
      <w:r>
        <w:rPr>
          <w:w w:val="100"/>
        </w:rPr>
        <w:t> </w:t>
      </w:r>
      <w:r>
        <w:rPr>
          <w:spacing w:val="2"/>
        </w:rPr>
        <w:t>子公司的股东权益及当期净损益中不属于本公司所拥有的部分分别作为少数股东权益及少数股东损</w:t>
      </w:r>
    </w:p>
    <w:p>
      <w:pPr>
        <w:pStyle w:val="Heading5"/>
        <w:spacing w:line="240" w:lineRule="auto"/>
        <w:ind w:right="0"/>
        <w:jc w:val="both"/>
      </w:pPr>
      <w:r>
        <w:rPr/>
        <w:t>益在合并财务报表中股东权益及净利润项下单独列示。子公司当期净损益中属于少数股东权益的份额，在</w:t>
      </w:r>
    </w:p>
    <w:p>
      <w:pPr>
        <w:spacing w:after="0" w:line="240" w:lineRule="auto"/>
        <w:jc w:val="both"/>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5"/>
        <w:spacing w:line="256" w:lineRule="auto" w:before="36"/>
        <w:ind w:right="1133"/>
        <w:jc w:val="left"/>
      </w:pPr>
      <w:r>
        <w:rPr>
          <w:spacing w:val="-2"/>
        </w:rPr>
        <w:t>合并利润表中净利润项目下以</w:t>
      </w:r>
      <w:r>
        <w:rPr>
          <w:rFonts w:ascii="Times New Roman" w:hAnsi="Times New Roman" w:cs="Times New Roman" w:eastAsia="Times New Roman" w:hint="default"/>
          <w:spacing w:val="-2"/>
        </w:rPr>
        <w:t>“</w:t>
      </w:r>
      <w:r>
        <w:rPr>
          <w:spacing w:val="-2"/>
        </w:rPr>
        <w:t>少数股东损益</w:t>
      </w:r>
      <w:r>
        <w:rPr>
          <w:rFonts w:ascii="Times New Roman" w:hAnsi="Times New Roman" w:cs="Times New Roman" w:eastAsia="Times New Roman" w:hint="default"/>
          <w:spacing w:val="-2"/>
        </w:rPr>
        <w:t>”</w:t>
      </w:r>
      <w:r>
        <w:rPr>
          <w:spacing w:val="-2"/>
        </w:rPr>
        <w:t>项目列示。少数股东分担的子公司的亏损超过了少数股东在</w:t>
      </w:r>
      <w:r>
        <w:rPr>
          <w:spacing w:val="-17"/>
        </w:rPr>
        <w:t> </w:t>
      </w:r>
      <w:r>
        <w:rPr>
          <w:spacing w:val="-17"/>
        </w:rPr>
      </w:r>
      <w:r>
        <w:rPr/>
        <w:t>该子公司期初股东权益中所享有的份额，仍冲减少数股东权益。</w:t>
      </w:r>
    </w:p>
    <w:p>
      <w:pPr>
        <w:pStyle w:val="Heading5"/>
        <w:spacing w:line="268" w:lineRule="auto" w:before="22"/>
        <w:ind w:right="0" w:firstLine="420"/>
        <w:jc w:val="left"/>
      </w:pPr>
      <w:r>
        <w:rPr/>
        <w:t>当因处置部分股权投资或其他原因丧失了对原有子公司的控制权时，对于剩余股权，按照其在丧失控</w:t>
      </w:r>
      <w:r>
        <w:rPr>
          <w:w w:val="100"/>
        </w:rPr>
        <w:t> </w:t>
      </w:r>
      <w:r>
        <w:rPr>
          <w:spacing w:val="-2"/>
        </w:rPr>
        <w:t>制权日的公允价值进行重新计量。处置股权取得的对价与剩余股权公允价值之和，减去按原持股比例计算</w:t>
      </w:r>
      <w:r>
        <w:rPr>
          <w:spacing w:val="-43"/>
        </w:rPr>
        <w:t> </w:t>
      </w:r>
      <w:r>
        <w:rPr>
          <w:spacing w:val="-43"/>
        </w:rPr>
      </w:r>
      <w:r>
        <w:rPr/>
        <w:t>应享有原有子公司自购买日开始持续计算的净资产的份额之间的差额，计入丧失控制权当期的投资收益。</w:t>
      </w:r>
      <w:r>
        <w:rPr>
          <w:w w:val="100"/>
        </w:rPr>
        <w:t> </w:t>
      </w:r>
      <w:r>
        <w:rPr>
          <w:spacing w:val="-2"/>
        </w:rPr>
        <w:t>与原有子公司股权投资相关的其他综合收益，在丧失控制权时采用与被购买方直接处置相关资产或负债相</w:t>
      </w:r>
      <w:r>
        <w:rPr>
          <w:spacing w:val="-43"/>
        </w:rPr>
        <w:t> </w:t>
      </w:r>
      <w:r>
        <w:rPr>
          <w:spacing w:val="-43"/>
        </w:rPr>
      </w:r>
      <w:r>
        <w:rPr>
          <w:spacing w:val="-5"/>
        </w:rPr>
        <w:t>同的基础进行会计处理（即，除了在该原有子公司重新计量设定受益计划净负债或净资产导致的变动以外，</w:t>
      </w:r>
      <w:r>
        <w:rPr>
          <w:spacing w:val="-4"/>
        </w:rPr>
        <w:t> </w:t>
      </w:r>
      <w:r>
        <w:rPr>
          <w:spacing w:val="-4"/>
        </w:rPr>
      </w:r>
      <w:r>
        <w:rPr/>
        <w:t>其余一并转为当期投资收益）。其后，对该部分剩余股权按照《企业会计准则第</w:t>
      </w:r>
      <w:r>
        <w:rPr>
          <w:rFonts w:ascii="Times New Roman" w:hAnsi="Times New Roman" w:cs="Times New Roman" w:eastAsia="Times New Roman" w:hint="default"/>
        </w:rPr>
        <w:t>2</w:t>
      </w:r>
      <w:r>
        <w:rPr/>
        <w:t>号</w:t>
      </w:r>
      <w:r>
        <w:rPr>
          <w:rFonts w:ascii="Times New Roman" w:hAnsi="Times New Roman" w:cs="Times New Roman" w:eastAsia="Times New Roman" w:hint="default"/>
        </w:rPr>
        <w:t>——</w:t>
      </w:r>
      <w:r>
        <w:rPr/>
        <w:t>长期股权投资》</w:t>
      </w:r>
      <w:r>
        <w:rPr>
          <w:spacing w:val="-3"/>
          <w:w w:val="100"/>
        </w:rPr>
        <w:t> </w:t>
      </w:r>
      <w:r>
        <w:rPr/>
        <w:t>或《企业会计准则第</w:t>
      </w:r>
      <w:r>
        <w:rPr>
          <w:rFonts w:ascii="Times New Roman" w:hAnsi="Times New Roman" w:cs="Times New Roman" w:eastAsia="Times New Roman" w:hint="default"/>
        </w:rPr>
        <w:t>22</w:t>
      </w:r>
      <w:r>
        <w:rPr/>
        <w:t>号</w:t>
      </w:r>
      <w:r>
        <w:rPr>
          <w:rFonts w:ascii="Times New Roman" w:hAnsi="Times New Roman" w:cs="Times New Roman" w:eastAsia="Times New Roman" w:hint="default"/>
        </w:rPr>
        <w:t>——</w:t>
      </w:r>
      <w:r>
        <w:rPr/>
        <w:t>金融工具确认和计量》等相关规定进行后续计量，详见本附注</w:t>
      </w:r>
      <w:r>
        <w:rPr>
          <w:rFonts w:ascii="Times New Roman" w:hAnsi="Times New Roman" w:cs="Times New Roman" w:eastAsia="Times New Roman" w:hint="default"/>
        </w:rPr>
        <w:t>“</w:t>
      </w:r>
      <w:r>
        <w:rPr/>
        <w:t>五、</w:t>
      </w:r>
      <w:r>
        <w:rPr>
          <w:rFonts w:ascii="Times New Roman" w:hAnsi="Times New Roman" w:cs="Times New Roman" w:eastAsia="Times New Roman" w:hint="default"/>
        </w:rPr>
        <w:t>17</w:t>
      </w:r>
      <w:r>
        <w:rPr/>
        <w:t>、长</w:t>
      </w:r>
      <w:r>
        <w:rPr>
          <w:spacing w:val="-3"/>
          <w:w w:val="100"/>
        </w:rPr>
        <w:t> </w:t>
      </w:r>
      <w:r>
        <w:rPr/>
        <w:t>期股权投资</w:t>
      </w:r>
      <w:r>
        <w:rPr>
          <w:rFonts w:ascii="Times New Roman" w:hAnsi="Times New Roman" w:cs="Times New Roman" w:eastAsia="Times New Roman" w:hint="default"/>
        </w:rPr>
        <w:t>”</w:t>
      </w:r>
      <w:r>
        <w:rPr/>
        <w:t>或本附注</w:t>
      </w:r>
      <w:r>
        <w:rPr>
          <w:rFonts w:ascii="Times New Roman" w:hAnsi="Times New Roman" w:cs="Times New Roman" w:eastAsia="Times New Roman" w:hint="default"/>
        </w:rPr>
        <w:t>“</w:t>
      </w:r>
      <w:r>
        <w:rPr/>
        <w:t>五、</w:t>
      </w:r>
      <w:r>
        <w:rPr>
          <w:rFonts w:ascii="Times New Roman" w:hAnsi="Times New Roman" w:cs="Times New Roman" w:eastAsia="Times New Roman" w:hint="default"/>
        </w:rPr>
        <w:t>10</w:t>
      </w:r>
      <w:r>
        <w:rPr/>
        <w:t>、金融工具</w:t>
      </w:r>
      <w:r>
        <w:rPr>
          <w:rFonts w:ascii="Times New Roman" w:hAnsi="Times New Roman" w:cs="Times New Roman" w:eastAsia="Times New Roman" w:hint="default"/>
        </w:rPr>
        <w:t>”</w:t>
      </w:r>
      <w:r>
        <w:rPr/>
        <w:t>。</w:t>
      </w:r>
    </w:p>
    <w:p>
      <w:pPr>
        <w:pStyle w:val="Heading5"/>
        <w:spacing w:line="273" w:lineRule="auto" w:before="0"/>
        <w:ind w:right="1126" w:firstLine="420"/>
        <w:jc w:val="both"/>
      </w:pPr>
      <w:r>
        <w:rPr>
          <w:spacing w:val="-2"/>
        </w:rPr>
        <w:t>本公司通过多次交易分步处置对子公司股权投资直至丧失控制权的，需区分处置对子公司股权投资直</w:t>
      </w:r>
      <w:r>
        <w:rPr>
          <w:w w:val="100"/>
        </w:rPr>
        <w:t> </w:t>
      </w:r>
      <w:r>
        <w:rPr>
          <w:spacing w:val="-2"/>
        </w:rPr>
        <w:t>至丧失控制权的各项交易是否属于一揽子交易。处置对子公司股权投资的各项交易的条款、条件以及经济</w:t>
      </w:r>
      <w:r>
        <w:rPr>
          <w:spacing w:val="-43"/>
        </w:rPr>
        <w:t> </w:t>
      </w:r>
      <w:r>
        <w:rPr>
          <w:spacing w:val="-43"/>
        </w:rPr>
      </w:r>
      <w:r>
        <w:rPr/>
        <w:t>影响符合以下一种或多种情况，通常表明应将多次交易事项作为一揽子交易进行会计处理：</w:t>
      </w:r>
    </w:p>
    <w:p>
      <w:pPr>
        <w:pStyle w:val="Heading5"/>
        <w:spacing w:line="240" w:lineRule="auto"/>
        <w:ind w:left="573" w:right="1133"/>
        <w:jc w:val="left"/>
      </w:pPr>
      <w:r>
        <w:rPr/>
        <w:t>①这些交易是同时或者在考虑了彼此影响的情况下订立的；</w:t>
      </w:r>
    </w:p>
    <w:p>
      <w:pPr>
        <w:pStyle w:val="Heading5"/>
        <w:spacing w:line="240" w:lineRule="auto" w:before="37"/>
        <w:ind w:left="573" w:right="1133"/>
        <w:jc w:val="left"/>
      </w:pPr>
      <w:r>
        <w:rPr/>
        <w:t>②这些交易整体才能达成一项完整的商业结果；</w:t>
      </w:r>
    </w:p>
    <w:p>
      <w:pPr>
        <w:pStyle w:val="Heading5"/>
        <w:spacing w:line="240" w:lineRule="auto" w:before="37"/>
        <w:ind w:left="573" w:right="1133"/>
        <w:jc w:val="left"/>
      </w:pPr>
      <w:r>
        <w:rPr/>
        <w:t>③一项交易的发生取决于其他至少一项交易的发生；</w:t>
      </w:r>
    </w:p>
    <w:p>
      <w:pPr>
        <w:pStyle w:val="Heading5"/>
        <w:spacing w:line="273" w:lineRule="auto" w:before="37"/>
        <w:ind w:left="573" w:right="1133"/>
        <w:jc w:val="left"/>
      </w:pPr>
      <w:r>
        <w:rPr/>
        <w:t>④一项交易单独看是不经济的，但是和其他交易一并考虑时是经济的。</w:t>
      </w:r>
      <w:r>
        <w:rPr>
          <w:w w:val="100"/>
        </w:rPr>
        <w:t> </w:t>
      </w:r>
      <w:r>
        <w:rPr>
          <w:spacing w:val="-2"/>
        </w:rPr>
        <w:t>不属于一揽子交易的，对其中的每一项交易视情况分别按照</w:t>
      </w:r>
      <w:r>
        <w:rPr>
          <w:rFonts w:ascii="Times New Roman" w:hAnsi="Times New Roman" w:cs="Times New Roman" w:eastAsia="Times New Roman" w:hint="default"/>
          <w:spacing w:val="-2"/>
        </w:rPr>
        <w:t>“</w:t>
      </w:r>
      <w:r>
        <w:rPr>
          <w:spacing w:val="-2"/>
        </w:rPr>
        <w:t>不丧失控制权的情况下部分处置对子公</w:t>
      </w:r>
    </w:p>
    <w:p>
      <w:pPr>
        <w:pStyle w:val="Heading5"/>
        <w:spacing w:line="264" w:lineRule="auto" w:before="0"/>
        <w:ind w:right="1133"/>
        <w:jc w:val="left"/>
      </w:pPr>
      <w:r>
        <w:rPr>
          <w:spacing w:val="-4"/>
        </w:rPr>
        <w:t>司的长期股权投资</w:t>
      </w:r>
      <w:r>
        <w:rPr>
          <w:rFonts w:ascii="Times New Roman" w:hAnsi="Times New Roman" w:cs="Times New Roman" w:eastAsia="Times New Roman" w:hint="default"/>
          <w:spacing w:val="-4"/>
        </w:rPr>
        <w:t>”</w:t>
      </w:r>
      <w:r>
        <w:rPr>
          <w:spacing w:val="-4"/>
        </w:rPr>
        <w:t>（详见本附注</w:t>
      </w:r>
      <w:r>
        <w:rPr>
          <w:rFonts w:ascii="Times New Roman" w:hAnsi="Times New Roman" w:cs="Times New Roman" w:eastAsia="Times New Roman" w:hint="default"/>
          <w:spacing w:val="-4"/>
        </w:rPr>
        <w:t>“</w:t>
      </w:r>
      <w:r>
        <w:rPr>
          <w:spacing w:val="-4"/>
        </w:rPr>
        <w:t>五、</w:t>
      </w:r>
      <w:r>
        <w:rPr>
          <w:rFonts w:ascii="Times New Roman" w:hAnsi="Times New Roman" w:cs="Times New Roman" w:eastAsia="Times New Roman" w:hint="default"/>
          <w:spacing w:val="-4"/>
        </w:rPr>
        <w:t>17</w:t>
      </w:r>
      <w:r>
        <w:rPr>
          <w:spacing w:val="-4"/>
        </w:rPr>
        <w:t>、长期股权投资）和</w:t>
      </w:r>
      <w:r>
        <w:rPr>
          <w:rFonts w:ascii="Times New Roman" w:hAnsi="Times New Roman" w:cs="Times New Roman" w:eastAsia="Times New Roman" w:hint="default"/>
          <w:spacing w:val="-4"/>
        </w:rPr>
        <w:t>“</w:t>
      </w:r>
      <w:r>
        <w:rPr>
          <w:spacing w:val="-4"/>
        </w:rPr>
        <w:t>因处置部分股权投资或其他原因丧失了对原</w:t>
      </w:r>
      <w:r>
        <w:rPr>
          <w:spacing w:val="-13"/>
        </w:rPr>
        <w:t> </w:t>
      </w:r>
      <w:r>
        <w:rPr>
          <w:spacing w:val="-13"/>
        </w:rPr>
      </w:r>
      <w:r>
        <w:rPr/>
        <w:t>有子公司的控制权</w:t>
      </w:r>
      <w:r>
        <w:rPr>
          <w:rFonts w:ascii="Times New Roman" w:hAnsi="Times New Roman" w:cs="Times New Roman" w:eastAsia="Times New Roman" w:hint="default"/>
        </w:rPr>
        <w:t>”</w:t>
      </w:r>
      <w:r>
        <w:rPr/>
        <w:t>（详见前段）适用的原则进行会计处理。处置对子公司股权投资直至丧失控制权的各</w:t>
      </w:r>
      <w:r>
        <w:rPr>
          <w:w w:val="100"/>
        </w:rPr>
        <w:t> </w:t>
      </w:r>
      <w:r>
        <w:rPr>
          <w:spacing w:val="-2"/>
        </w:rPr>
        <w:t>项交易属于一揽子交易的，将各项交易作为一项处置子公司并丧失控制权的交易进行会计处理；但是，在</w:t>
      </w:r>
      <w:r>
        <w:rPr>
          <w:spacing w:val="-43"/>
        </w:rPr>
        <w:t> </w:t>
      </w:r>
      <w:r>
        <w:rPr>
          <w:spacing w:val="-43"/>
        </w:rPr>
      </w:r>
      <w:r>
        <w:rPr>
          <w:spacing w:val="-2"/>
        </w:rPr>
        <w:t>丧失控制权之前每一次处置价款与处置投资对应的享有该子公司净资产份额的差额，在合并财务报表中确</w:t>
      </w:r>
      <w:r>
        <w:rPr>
          <w:spacing w:val="-43"/>
        </w:rPr>
        <w:t> </w:t>
      </w:r>
      <w:r>
        <w:rPr>
          <w:spacing w:val="-43"/>
        </w:rPr>
      </w:r>
      <w:r>
        <w:rPr/>
        <w:t>认为其他综合收益，在丧失控制权时一并转入丧失控制权当期的损益。</w:t>
      </w:r>
    </w:p>
    <w:p>
      <w:pPr>
        <w:spacing w:line="600" w:lineRule="atLeast" w:before="7"/>
        <w:ind w:left="573" w:right="1133" w:hanging="421"/>
        <w:jc w:val="left"/>
        <w:rPr>
          <w:rFonts w:ascii="宋体" w:hAnsi="宋体" w:cs="宋体" w:eastAsia="宋体" w:hint="default"/>
          <w:sz w:val="21"/>
          <w:szCs w:val="21"/>
        </w:rPr>
      </w:pPr>
      <w:bookmarkStart w:name="7、合营安排分类及共同经营会计处理方法" w:id="180"/>
      <w:bookmarkEnd w:id="180"/>
      <w:r>
        <w:rPr/>
      </w: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、合营安排分类及共同经营会计处理方法</w:t>
      </w:r>
      <w:r>
        <w:rPr>
          <w:rFonts w:ascii="宋体" w:hAnsi="宋体" w:cs="宋体" w:eastAsia="宋体" w:hint="default"/>
          <w:b/>
          <w:bCs/>
          <w:w w:val="100"/>
          <w:sz w:val="21"/>
          <w:szCs w:val="21"/>
        </w:rPr>
        <w:t> </w:t>
      </w:r>
      <w:r>
        <w:rPr>
          <w:rFonts w:ascii="宋体" w:hAnsi="宋体" w:cs="宋体" w:eastAsia="宋体" w:hint="default"/>
          <w:spacing w:val="-2"/>
          <w:sz w:val="21"/>
          <w:szCs w:val="21"/>
        </w:rPr>
        <w:t>合营安排，是指一项由两个或两个以上的参与方共同控制的安排。本公司根据在合营安排中享有的权</w:t>
      </w:r>
    </w:p>
    <w:p>
      <w:pPr>
        <w:pStyle w:val="Heading5"/>
        <w:spacing w:line="273" w:lineRule="auto" w:before="37"/>
        <w:ind w:right="1133"/>
        <w:jc w:val="left"/>
      </w:pPr>
      <w:r>
        <w:rPr>
          <w:spacing w:val="-2"/>
        </w:rPr>
        <w:t>利和承担的义务，将合营安排分为共同经营和合营企业。共同经营，是指本公司享有该安排相关资产且承</w:t>
      </w:r>
      <w:r>
        <w:rPr>
          <w:spacing w:val="-44"/>
        </w:rPr>
        <w:t> </w:t>
      </w:r>
      <w:r>
        <w:rPr>
          <w:spacing w:val="-44"/>
        </w:rPr>
      </w:r>
      <w:r>
        <w:rPr/>
        <w:t>担该安排相关负债的合营安排。合营企业，是指本公司仅对该安排的净资产享有权利的合营安排。</w:t>
      </w:r>
    </w:p>
    <w:p>
      <w:pPr>
        <w:pStyle w:val="Heading5"/>
        <w:spacing w:line="256" w:lineRule="auto"/>
        <w:ind w:right="1128" w:firstLine="420"/>
        <w:jc w:val="both"/>
      </w:pPr>
      <w:r>
        <w:rPr>
          <w:spacing w:val="-2"/>
        </w:rPr>
        <w:t>本公司对合营企业的投资采用权益法核算，按照本附注</w:t>
      </w:r>
      <w:r>
        <w:rPr>
          <w:rFonts w:ascii="Times New Roman" w:hAnsi="Times New Roman" w:cs="Times New Roman" w:eastAsia="Times New Roman" w:hint="default"/>
          <w:spacing w:val="-2"/>
        </w:rPr>
        <w:t>“</w:t>
      </w:r>
      <w:r>
        <w:rPr>
          <w:spacing w:val="-2"/>
        </w:rPr>
        <w:t>五、</w:t>
      </w:r>
      <w:r>
        <w:rPr>
          <w:rFonts w:ascii="Times New Roman" w:hAnsi="Times New Roman" w:cs="Times New Roman" w:eastAsia="Times New Roman" w:hint="default"/>
          <w:spacing w:val="-2"/>
        </w:rPr>
        <w:t>22</w:t>
      </w:r>
      <w:r>
        <w:rPr>
          <w:spacing w:val="-2"/>
        </w:rPr>
        <w:t>、长期股权投资</w:t>
      </w:r>
      <w:r>
        <w:rPr>
          <w:rFonts w:ascii="Times New Roman" w:hAnsi="Times New Roman" w:cs="Times New Roman" w:eastAsia="Times New Roman" w:hint="default"/>
          <w:spacing w:val="-2"/>
        </w:rPr>
        <w:t>”</w:t>
      </w:r>
      <w:r>
        <w:rPr>
          <w:spacing w:val="-2"/>
        </w:rPr>
        <w:t>中所述的会计政策处</w:t>
      </w:r>
      <w:r>
        <w:rPr>
          <w:w w:val="100"/>
        </w:rPr>
        <w:t> </w:t>
      </w:r>
      <w:r>
        <w:rPr/>
        <w:t>理。</w:t>
      </w:r>
    </w:p>
    <w:p>
      <w:pPr>
        <w:pStyle w:val="Heading5"/>
        <w:spacing w:line="273" w:lineRule="auto" w:before="22"/>
        <w:ind w:right="1126" w:firstLine="420"/>
        <w:jc w:val="both"/>
      </w:pPr>
      <w:r>
        <w:rPr>
          <w:spacing w:val="-2"/>
        </w:rPr>
        <w:t>本公司作为合营方对共同经营，确认本公司单独持有的资产、单独所承担的负债，以及按本公司份额</w:t>
      </w:r>
      <w:r>
        <w:rPr>
          <w:w w:val="100"/>
        </w:rPr>
        <w:t> </w:t>
      </w:r>
      <w:r>
        <w:rPr>
          <w:spacing w:val="-2"/>
        </w:rPr>
        <w:t>确认共同持有的资产和共同承担的负债；确认出售本公司享有的共同经营产出份额所产生的收入；按本公</w:t>
      </w:r>
      <w:r>
        <w:rPr>
          <w:spacing w:val="-43"/>
        </w:rPr>
        <w:t> </w:t>
      </w:r>
      <w:r>
        <w:rPr>
          <w:spacing w:val="-43"/>
        </w:rPr>
      </w:r>
      <w:r>
        <w:rPr>
          <w:spacing w:val="-2"/>
        </w:rPr>
        <w:t>司份额确认共同经营因出售产出所产生的收入；确认本公司单独所发生的费用，以及按本公司份额确认共</w:t>
      </w:r>
      <w:r>
        <w:rPr>
          <w:spacing w:val="-44"/>
        </w:rPr>
        <w:t> </w:t>
      </w:r>
      <w:r>
        <w:rPr>
          <w:spacing w:val="-44"/>
        </w:rPr>
      </w:r>
      <w:r>
        <w:rPr/>
        <w:t>同经营发生的费用。</w:t>
      </w:r>
    </w:p>
    <w:p>
      <w:pPr>
        <w:spacing w:line="590" w:lineRule="atLeast" w:before="9"/>
        <w:ind w:left="573" w:right="1133" w:hanging="421"/>
        <w:jc w:val="left"/>
        <w:rPr>
          <w:rFonts w:ascii="宋体" w:hAnsi="宋体" w:cs="宋体" w:eastAsia="宋体" w:hint="default"/>
          <w:sz w:val="21"/>
          <w:szCs w:val="21"/>
        </w:rPr>
      </w:pPr>
      <w:bookmarkStart w:name="8、现金及现金等价物的确定标准" w:id="181"/>
      <w:bookmarkEnd w:id="181"/>
      <w:r>
        <w:rPr/>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、现金及现金等价物的确定标准</w:t>
      </w:r>
      <w:r>
        <w:rPr>
          <w:rFonts w:ascii="宋体" w:hAnsi="宋体" w:cs="宋体" w:eastAsia="宋体" w:hint="default"/>
          <w:b/>
          <w:bCs/>
          <w:w w:val="100"/>
          <w:sz w:val="21"/>
          <w:szCs w:val="21"/>
        </w:rPr>
        <w:t> </w:t>
      </w:r>
      <w:r>
        <w:rPr>
          <w:rFonts w:ascii="宋体" w:hAnsi="宋体" w:cs="宋体" w:eastAsia="宋体" w:hint="default"/>
          <w:spacing w:val="-2"/>
          <w:sz w:val="21"/>
          <w:szCs w:val="21"/>
        </w:rPr>
        <w:t>本公司现金及现金等价物包括库存现金、可以随时用于支付的存款以及本公司持有的期限短（一般为</w:t>
      </w:r>
    </w:p>
    <w:p>
      <w:pPr>
        <w:pStyle w:val="Heading5"/>
        <w:spacing w:line="240" w:lineRule="auto" w:before="37"/>
        <w:ind w:right="1133"/>
        <w:jc w:val="left"/>
      </w:pPr>
      <w:r>
        <w:rPr/>
        <w:t>从购买日起三个月内到期）、流动性强、易于转换为已知金额现金、价值变动风险很小的投资。</w:t>
      </w:r>
    </w:p>
    <w:p>
      <w:pPr>
        <w:spacing w:line="240" w:lineRule="auto" w:before="10"/>
        <w:rPr>
          <w:rFonts w:ascii="宋体" w:hAnsi="宋体" w:cs="宋体" w:eastAsia="宋体" w:hint="default"/>
          <w:sz w:val="25"/>
          <w:szCs w:val="25"/>
        </w:rPr>
      </w:pPr>
    </w:p>
    <w:p>
      <w:pPr>
        <w:pStyle w:val="Heading4"/>
        <w:spacing w:line="240" w:lineRule="auto"/>
        <w:ind w:right="1133"/>
        <w:jc w:val="left"/>
        <w:rPr>
          <w:b w:val="0"/>
          <w:bCs w:val="0"/>
        </w:rPr>
      </w:pPr>
      <w:bookmarkStart w:name="9、外币业务和外币报表折算" w:id="182"/>
      <w:bookmarkEnd w:id="182"/>
      <w:r>
        <w:rPr>
          <w:b w:val="0"/>
          <w:bCs w:val="0"/>
        </w:rPr>
      </w:r>
      <w:r>
        <w:rPr>
          <w:rFonts w:ascii="Times New Roman" w:hAnsi="Times New Roman" w:cs="Times New Roman" w:eastAsia="Times New Roman" w:hint="default"/>
        </w:rPr>
        <w:t>9</w:t>
      </w:r>
      <w:r>
        <w:rPr/>
        <w:t>、外币业务和外币报表折算</w:t>
      </w:r>
      <w:r>
        <w:rPr>
          <w:b w:val="0"/>
          <w:bCs w:val="0"/>
        </w:rPr>
      </w:r>
    </w:p>
    <w:p>
      <w:pPr>
        <w:spacing w:line="240" w:lineRule="auto" w:before="10"/>
        <w:rPr>
          <w:rFonts w:ascii="宋体" w:hAnsi="宋体" w:cs="宋体" w:eastAsia="宋体" w:hint="default"/>
          <w:b/>
          <w:bCs/>
          <w:sz w:val="24"/>
          <w:szCs w:val="24"/>
        </w:rPr>
      </w:pPr>
    </w:p>
    <w:p>
      <w:pPr>
        <w:pStyle w:val="Heading5"/>
        <w:spacing w:line="256" w:lineRule="auto" w:before="0"/>
        <w:ind w:left="573" w:right="1133"/>
        <w:jc w:val="left"/>
      </w:pPr>
      <w:r>
        <w:rPr/>
        <w:t>（</w:t>
      </w:r>
      <w:r>
        <w:rPr>
          <w:rFonts w:ascii="Times New Roman" w:hAnsi="Times New Roman" w:cs="Times New Roman" w:eastAsia="Times New Roman" w:hint="default"/>
        </w:rPr>
        <w:t>1</w:t>
      </w:r>
      <w:r>
        <w:rPr/>
        <w:t>）外币交易的折算方法</w:t>
      </w:r>
      <w:r>
        <w:rPr>
          <w:w w:val="100"/>
        </w:rPr>
        <w:t> </w:t>
      </w:r>
      <w:r>
        <w:rPr>
          <w:spacing w:val="-2"/>
        </w:rPr>
        <w:t>本公司发生的外币交易在初始确认时，按交易日的即期汇率折算为记账本位币金额，但公司发生的外</w:t>
      </w:r>
    </w:p>
    <w:p>
      <w:pPr>
        <w:spacing w:after="0" w:line="256"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5"/>
        <w:spacing w:line="240" w:lineRule="auto" w:before="36"/>
        <w:ind w:right="0"/>
        <w:jc w:val="both"/>
      </w:pPr>
      <w:r>
        <w:rPr/>
        <w:t>币兑换业务或涉及外币兑换的交易事项，按照实际采用的汇率折算为记账本位币金额。</w:t>
      </w:r>
    </w:p>
    <w:p>
      <w:pPr>
        <w:pStyle w:val="Heading5"/>
        <w:spacing w:line="256" w:lineRule="auto" w:before="37"/>
        <w:ind w:left="573" w:right="1133"/>
        <w:jc w:val="left"/>
      </w:pPr>
      <w:r>
        <w:rPr/>
        <w:t>（</w:t>
      </w:r>
      <w:r>
        <w:rPr>
          <w:rFonts w:ascii="Times New Roman" w:hAnsi="Times New Roman" w:cs="Times New Roman" w:eastAsia="Times New Roman" w:hint="default"/>
        </w:rPr>
        <w:t>2</w:t>
      </w:r>
      <w:r>
        <w:rPr/>
        <w:t>）对于外币货币性项目和外币非货币性项目的折算方法</w:t>
      </w:r>
      <w:r>
        <w:rPr>
          <w:w w:val="100"/>
        </w:rPr>
        <w:t> </w:t>
      </w:r>
      <w:r>
        <w:rPr>
          <w:spacing w:val="-2"/>
        </w:rPr>
        <w:t>资产负债表日，对于外币货币性项目采用资产负债表日即期汇率折算，由此产生的汇兑差额，除：①</w:t>
      </w:r>
    </w:p>
    <w:p>
      <w:pPr>
        <w:pStyle w:val="Heading5"/>
        <w:spacing w:line="240" w:lineRule="auto" w:before="22"/>
        <w:ind w:right="0"/>
        <w:jc w:val="both"/>
      </w:pPr>
      <w:r>
        <w:rPr/>
        <w:t>属于与购建符合资本化条件的资产相关的外币专门借款产生的汇兑差额按照借款费用资本化的原则处理；</w:t>
      </w:r>
    </w:p>
    <w:p>
      <w:pPr>
        <w:pStyle w:val="Heading5"/>
        <w:spacing w:line="273" w:lineRule="auto" w:before="37"/>
        <w:ind w:right="1135"/>
        <w:jc w:val="both"/>
      </w:pPr>
      <w:r>
        <w:rPr>
          <w:spacing w:val="2"/>
        </w:rPr>
        <w:t>②可供出售的外币货币性项目除摊余成本之外的其他账面余额变动产生的汇兑差额计入其他综合收益之</w:t>
      </w:r>
      <w:r>
        <w:rPr>
          <w:spacing w:val="-22"/>
        </w:rPr>
        <w:t> </w:t>
      </w:r>
      <w:r>
        <w:rPr>
          <w:spacing w:val="-22"/>
        </w:rPr>
      </w:r>
      <w:r>
        <w:rPr/>
        <w:t>外，均计入当期损益。</w:t>
      </w:r>
    </w:p>
    <w:p>
      <w:pPr>
        <w:pStyle w:val="Heading5"/>
        <w:spacing w:line="273" w:lineRule="auto"/>
        <w:ind w:right="1107" w:firstLine="420"/>
        <w:jc w:val="both"/>
      </w:pPr>
      <w:r>
        <w:rPr>
          <w:spacing w:val="-2"/>
        </w:rPr>
        <w:t>以历史成本计量的外币非货币性项目，仍采用交易发生日的即期汇率折算的记账本位币金额计量。以</w:t>
      </w:r>
      <w:r>
        <w:rPr>
          <w:w w:val="100"/>
        </w:rPr>
        <w:t> </w:t>
      </w:r>
      <w:r>
        <w:rPr>
          <w:spacing w:val="-2"/>
        </w:rPr>
        <w:t>公允价值计量的外币非货币性项目，采用公允价值确定日的即期汇率折算，折算后的记账本位币金额与原</w:t>
      </w:r>
      <w:r>
        <w:rPr>
          <w:spacing w:val="-42"/>
        </w:rPr>
        <w:t> </w:t>
      </w:r>
      <w:r>
        <w:rPr>
          <w:spacing w:val="-42"/>
        </w:rPr>
      </w:r>
      <w:r>
        <w:rPr>
          <w:spacing w:val="-2"/>
        </w:rPr>
        <w:t>记账本位币金额的差额，作为公允价值变动（含汇率变动）处理，计入当期损益或确认为其他综合收益。</w:t>
      </w:r>
    </w:p>
    <w:p>
      <w:pPr>
        <w:pStyle w:val="Heading5"/>
        <w:spacing w:line="256" w:lineRule="auto"/>
        <w:ind w:left="573" w:right="1133"/>
        <w:jc w:val="left"/>
      </w:pPr>
      <w:r>
        <w:rPr/>
        <w:t>（</w:t>
      </w:r>
      <w:r>
        <w:rPr>
          <w:rFonts w:ascii="Times New Roman" w:hAnsi="Times New Roman" w:cs="Times New Roman" w:eastAsia="Times New Roman" w:hint="default"/>
        </w:rPr>
        <w:t>3</w:t>
      </w:r>
      <w:r>
        <w:rPr/>
        <w:t>）外币财务报表的折算方法</w:t>
      </w:r>
      <w:r>
        <w:rPr>
          <w:w w:val="100"/>
        </w:rPr>
        <w:t> </w:t>
      </w:r>
      <w:r>
        <w:rPr>
          <w:spacing w:val="-2"/>
        </w:rPr>
        <w:t>编制合并财务报表涉及境外经营的，如有实质上构成对境外经营净投资的外币货币性项目，因汇率变</w:t>
      </w:r>
    </w:p>
    <w:p>
      <w:pPr>
        <w:pStyle w:val="Heading5"/>
        <w:spacing w:line="259" w:lineRule="auto" w:before="22"/>
        <w:ind w:right="1126"/>
        <w:jc w:val="both"/>
      </w:pPr>
      <w:r>
        <w:rPr>
          <w:spacing w:val="-2"/>
        </w:rPr>
        <w:t>动而产生的汇兑差额，作为</w:t>
      </w:r>
      <w:r>
        <w:rPr>
          <w:rFonts w:ascii="Times New Roman" w:hAnsi="Times New Roman" w:cs="Times New Roman" w:eastAsia="Times New Roman" w:hint="default"/>
          <w:spacing w:val="-2"/>
        </w:rPr>
        <w:t>“</w:t>
      </w:r>
      <w:r>
        <w:rPr>
          <w:spacing w:val="-2"/>
        </w:rPr>
        <w:t>外币报表折算差额</w:t>
      </w:r>
      <w:r>
        <w:rPr>
          <w:rFonts w:ascii="Times New Roman" w:hAnsi="Times New Roman" w:cs="Times New Roman" w:eastAsia="Times New Roman" w:hint="default"/>
          <w:spacing w:val="-2"/>
        </w:rPr>
        <w:t>”</w:t>
      </w:r>
      <w:r>
        <w:rPr>
          <w:spacing w:val="-2"/>
        </w:rPr>
        <w:t>确认为其他综合收益；处置境外经营时，计入处置当期损</w:t>
      </w:r>
      <w:r>
        <w:rPr>
          <w:spacing w:val="-18"/>
        </w:rPr>
        <w:t> </w:t>
      </w:r>
      <w:r>
        <w:rPr>
          <w:spacing w:val="-18"/>
        </w:rPr>
      </w:r>
      <w:r>
        <w:rPr/>
        <w:t>益。</w:t>
      </w:r>
    </w:p>
    <w:p>
      <w:pPr>
        <w:pStyle w:val="Heading5"/>
        <w:spacing w:line="271" w:lineRule="auto" w:before="20"/>
        <w:ind w:right="0" w:firstLine="420"/>
        <w:jc w:val="left"/>
      </w:pPr>
      <w:r>
        <w:rPr/>
        <w:t>境外经营的外币财务报表按以下方法折算为人民币报表：资产负债表中的资产和负债项目，采用资产</w:t>
      </w:r>
      <w:r>
        <w:rPr>
          <w:w w:val="100"/>
        </w:rPr>
        <w:t> </w:t>
      </w:r>
      <w:r>
        <w:rPr>
          <w:spacing w:val="-4"/>
        </w:rPr>
        <w:t>负债表日的即期汇率折算；股东权益类项目除</w:t>
      </w:r>
      <w:r>
        <w:rPr>
          <w:rFonts w:ascii="Times New Roman" w:hAnsi="Times New Roman" w:cs="Times New Roman" w:eastAsia="Times New Roman" w:hint="default"/>
          <w:spacing w:val="-4"/>
        </w:rPr>
        <w:t>“</w:t>
      </w:r>
      <w:r>
        <w:rPr>
          <w:spacing w:val="-4"/>
        </w:rPr>
        <w:t>未分配利润</w:t>
      </w:r>
      <w:r>
        <w:rPr>
          <w:rFonts w:ascii="Times New Roman" w:hAnsi="Times New Roman" w:cs="Times New Roman" w:eastAsia="Times New Roman" w:hint="default"/>
          <w:spacing w:val="-4"/>
        </w:rPr>
        <w:t>”</w:t>
      </w:r>
      <w:r>
        <w:rPr>
          <w:spacing w:val="-4"/>
        </w:rPr>
        <w:t>项目外，其他项目采用发生时的即期汇率折算。</w:t>
      </w:r>
      <w:r>
        <w:rPr>
          <w:spacing w:val="-24"/>
        </w:rPr>
        <w:t> </w:t>
      </w:r>
      <w:r>
        <w:rPr>
          <w:spacing w:val="-24"/>
        </w:rPr>
      </w:r>
      <w:r>
        <w:rPr/>
        <w:t>利润表中的收入和费用项目，采用交易发生日的即期汇率折算。年初未分配利润为上一年折算后的年末未</w:t>
      </w:r>
      <w:r>
        <w:rPr>
          <w:w w:val="100"/>
        </w:rPr>
        <w:t> </w:t>
      </w:r>
      <w:r>
        <w:rPr/>
        <w:t>分配利润；年末未分配利润按折算后的利润分配各项目计算列示；折算后资产类项目与负债类项目和股东</w:t>
      </w:r>
      <w:r>
        <w:rPr>
          <w:w w:val="100"/>
        </w:rPr>
        <w:t> </w:t>
      </w:r>
      <w:r>
        <w:rPr>
          <w:spacing w:val="-5"/>
        </w:rPr>
        <w:t>权益类项目合计数的差额，作为外币报表折算差额，确认为其他综合收益。处置境外经营并丧失控制权时， </w:t>
      </w:r>
      <w:r>
        <w:rPr>
          <w:spacing w:val="-5"/>
        </w:rPr>
      </w:r>
      <w:r>
        <w:rPr/>
        <w:t>将资产负债表中股东权益项目下列示的、与该境外经营相关的外币报表折算差额，全部或按处置该境外经</w:t>
      </w:r>
      <w:r>
        <w:rPr>
          <w:w w:val="100"/>
        </w:rPr>
        <w:t> </w:t>
      </w:r>
      <w:r>
        <w:rPr/>
        <w:t>营的比例转入处置当期损益。</w:t>
      </w:r>
    </w:p>
    <w:p>
      <w:pPr>
        <w:pStyle w:val="Heading5"/>
        <w:spacing w:line="273" w:lineRule="auto" w:before="10"/>
        <w:ind w:right="1126" w:firstLine="420"/>
        <w:jc w:val="both"/>
      </w:pPr>
      <w:r>
        <w:rPr>
          <w:spacing w:val="-2"/>
        </w:rPr>
        <w:t>外币现金流量，采用现金流量发生日的即期汇率折算。汇率变动对现金的影响额作为调节项目，在现</w:t>
      </w:r>
      <w:r>
        <w:rPr>
          <w:w w:val="100"/>
        </w:rPr>
        <w:t> </w:t>
      </w:r>
      <w:r>
        <w:rPr/>
        <w:t>金流量表中单独列报。</w:t>
      </w:r>
    </w:p>
    <w:p>
      <w:pPr>
        <w:pStyle w:val="Heading5"/>
        <w:spacing w:line="240" w:lineRule="auto"/>
        <w:ind w:right="0"/>
        <w:jc w:val="both"/>
      </w:pPr>
      <w:r>
        <w:rPr/>
        <w:t>年初数和上年实际数按照上年财务报表折算后的数额列示。</w:t>
      </w:r>
    </w:p>
    <w:p>
      <w:pPr>
        <w:spacing w:line="240" w:lineRule="auto" w:before="10"/>
        <w:rPr>
          <w:rFonts w:ascii="宋体" w:hAnsi="宋体" w:cs="宋体" w:eastAsia="宋体" w:hint="default"/>
          <w:sz w:val="25"/>
          <w:szCs w:val="25"/>
        </w:rPr>
      </w:pPr>
    </w:p>
    <w:p>
      <w:pPr>
        <w:pStyle w:val="Heading4"/>
        <w:spacing w:line="240" w:lineRule="auto"/>
        <w:ind w:right="0"/>
        <w:jc w:val="both"/>
        <w:rPr>
          <w:b w:val="0"/>
          <w:bCs w:val="0"/>
        </w:rPr>
      </w:pPr>
      <w:bookmarkStart w:name="10、金融工具" w:id="183"/>
      <w:bookmarkEnd w:id="183"/>
      <w:r>
        <w:rPr>
          <w:b w:val="0"/>
          <w:bCs w:val="0"/>
        </w:rPr>
      </w:r>
      <w:r>
        <w:rPr>
          <w:rFonts w:ascii="Times New Roman" w:hAnsi="Times New Roman" w:cs="Times New Roman" w:eastAsia="Times New Roman" w:hint="default"/>
        </w:rPr>
        <w:t>10</w:t>
      </w:r>
      <w:r>
        <w:rPr/>
        <w:t>、金融工具</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before="0"/>
        <w:ind w:left="573" w:right="1133"/>
        <w:jc w:val="left"/>
      </w:pPr>
      <w:r>
        <w:rPr/>
        <w:t>在本公司成为金融工具合同的一方时确认一项金融资产或金融负债。</w:t>
      </w:r>
    </w:p>
    <w:p>
      <w:pPr>
        <w:pStyle w:val="Heading5"/>
        <w:spacing w:line="256" w:lineRule="auto" w:before="37"/>
        <w:ind w:left="573" w:right="1133"/>
        <w:jc w:val="left"/>
      </w:pPr>
      <w:r>
        <w:rPr/>
        <w:t>（</w:t>
      </w:r>
      <w:r>
        <w:rPr>
          <w:rFonts w:ascii="Times New Roman" w:hAnsi="Times New Roman" w:cs="Times New Roman" w:eastAsia="Times New Roman" w:hint="default"/>
        </w:rPr>
        <w:t>1</w:t>
      </w:r>
      <w:r>
        <w:rPr/>
        <w:t>）金融资产的分类、确认和计量</w:t>
      </w:r>
      <w:r>
        <w:rPr>
          <w:w w:val="100"/>
        </w:rPr>
        <w:t> </w:t>
      </w:r>
      <w:r>
        <w:rPr>
          <w:spacing w:val="-2"/>
        </w:rPr>
        <w:t>本公司根据管理金融资产的业务模式和金融资产的合同现金流量特征，将金融资产划分为：以摊余成</w:t>
      </w:r>
    </w:p>
    <w:p>
      <w:pPr>
        <w:pStyle w:val="Heading5"/>
        <w:spacing w:line="273" w:lineRule="auto" w:before="22"/>
        <w:ind w:right="1126"/>
        <w:jc w:val="both"/>
      </w:pPr>
      <w:r>
        <w:rPr>
          <w:spacing w:val="-2"/>
        </w:rPr>
        <w:t>本计量的金融资产；以公允价值计量且其变动计入其他综合收益的金融资产；以公允价值计量且其变动计</w:t>
      </w:r>
      <w:r>
        <w:rPr>
          <w:spacing w:val="-43"/>
        </w:rPr>
        <w:t> </w:t>
      </w:r>
      <w:r>
        <w:rPr>
          <w:spacing w:val="-43"/>
        </w:rPr>
      </w:r>
      <w:r>
        <w:rPr/>
        <w:t>入当期损益的金融资产。</w:t>
      </w:r>
    </w:p>
    <w:p>
      <w:pPr>
        <w:pStyle w:val="Heading5"/>
        <w:spacing w:line="273" w:lineRule="auto"/>
        <w:ind w:right="1126" w:firstLine="420"/>
        <w:jc w:val="both"/>
      </w:pPr>
      <w:r>
        <w:rPr>
          <w:spacing w:val="-2"/>
        </w:rPr>
        <w:t>金融资产在初始确认时以公允价值计量。对于以公允价值计量且其变动计入当期损益的金融资产，相</w:t>
      </w:r>
      <w:r>
        <w:rPr>
          <w:w w:val="100"/>
        </w:rPr>
        <w:t> </w:t>
      </w:r>
      <w:r>
        <w:rPr>
          <w:spacing w:val="-2"/>
        </w:rPr>
        <w:t>关交易费用直接计入当期损益；对于其他类别的金融资产，相关交易费用计入初始确认金额。因销售产品</w:t>
      </w:r>
      <w:r>
        <w:rPr>
          <w:spacing w:val="-44"/>
        </w:rPr>
        <w:t> </w:t>
      </w:r>
      <w:r>
        <w:rPr>
          <w:spacing w:val="-44"/>
        </w:rPr>
      </w:r>
      <w:r>
        <w:rPr>
          <w:spacing w:val="-2"/>
        </w:rPr>
        <w:t>或提供劳务而产生的、未包含或不考虑重大融资成分的应收账款或应收票据，本公司按照预期有权收取的</w:t>
      </w:r>
      <w:r>
        <w:rPr>
          <w:spacing w:val="-44"/>
        </w:rPr>
        <w:t> </w:t>
      </w:r>
      <w:r>
        <w:rPr>
          <w:spacing w:val="-44"/>
        </w:rPr>
      </w:r>
      <w:r>
        <w:rPr/>
        <w:t>对价金额作为初始确认金额。</w:t>
      </w:r>
    </w:p>
    <w:p>
      <w:pPr>
        <w:pStyle w:val="Heading5"/>
        <w:spacing w:line="271" w:lineRule="auto" w:before="8"/>
        <w:ind w:left="573" w:right="1133"/>
        <w:jc w:val="left"/>
      </w:pPr>
      <w:r>
        <w:rPr/>
        <w:t>①以摊余成本计量的金融资产</w:t>
      </w:r>
      <w:r>
        <w:rPr>
          <w:w w:val="100"/>
        </w:rPr>
        <w:t> </w:t>
      </w:r>
      <w:r>
        <w:rPr>
          <w:spacing w:val="-2"/>
        </w:rPr>
        <w:t>本公司管理以摊余成本计量的金融资产的业务模式为以收取合同现金流量为目标，且此类金融资产的</w:t>
      </w:r>
    </w:p>
    <w:p>
      <w:pPr>
        <w:pStyle w:val="Heading5"/>
        <w:spacing w:line="273" w:lineRule="auto" w:before="10"/>
        <w:ind w:right="1126"/>
        <w:jc w:val="both"/>
      </w:pPr>
      <w:r>
        <w:rPr>
          <w:spacing w:val="-2"/>
        </w:rPr>
        <w:t>合同现金流量特征与基本借贷安排相一致，即在特定日期产生的现金流量，仅为对本金和以未偿付本金金</w:t>
      </w:r>
      <w:r>
        <w:rPr>
          <w:spacing w:val="-43"/>
        </w:rPr>
        <w:t> </w:t>
      </w:r>
      <w:r>
        <w:rPr>
          <w:spacing w:val="-43"/>
        </w:rPr>
      </w:r>
      <w:r>
        <w:rPr>
          <w:spacing w:val="-2"/>
        </w:rPr>
        <w:t>额为基础的利息的支付。本公司对于此类金融资产，采用实际利率法，按照摊余成本进行后续计量，其摊</w:t>
      </w:r>
      <w:r>
        <w:rPr>
          <w:spacing w:val="-47"/>
        </w:rPr>
        <w:t> </w:t>
      </w:r>
      <w:r>
        <w:rPr>
          <w:spacing w:val="-47"/>
        </w:rPr>
      </w:r>
      <w:r>
        <w:rPr/>
        <w:t>销或减值产生的利得或损失，计入当期损益。</w:t>
      </w:r>
    </w:p>
    <w:p>
      <w:pPr>
        <w:pStyle w:val="Heading5"/>
        <w:spacing w:line="273" w:lineRule="auto"/>
        <w:ind w:left="573" w:right="1133"/>
        <w:jc w:val="left"/>
      </w:pPr>
      <w:r>
        <w:rPr/>
        <w:t>②以公允价值计量且其变动计入其他综合收益的金融资产</w:t>
      </w:r>
      <w:r>
        <w:rPr>
          <w:w w:val="100"/>
        </w:rPr>
        <w:t> </w:t>
      </w:r>
      <w:r>
        <w:rPr>
          <w:spacing w:val="-2"/>
        </w:rPr>
        <w:t>本公司管理此类金融资产的业务模式为既以收取合同现金流量为目标又以出售为目标，且此类金融资</w:t>
      </w:r>
    </w:p>
    <w:p>
      <w:pPr>
        <w:pStyle w:val="Heading5"/>
        <w:spacing w:line="273" w:lineRule="auto"/>
        <w:ind w:right="1126"/>
        <w:jc w:val="both"/>
      </w:pPr>
      <w:r>
        <w:rPr>
          <w:spacing w:val="-2"/>
        </w:rPr>
        <w:t>产的合同现金流量特征与基本借贷安排相一致。本公司对此类金融资产按照公允价值计量且其变动计入其</w:t>
      </w:r>
      <w:r>
        <w:rPr>
          <w:spacing w:val="-43"/>
        </w:rPr>
        <w:t> </w:t>
      </w:r>
      <w:r>
        <w:rPr>
          <w:spacing w:val="-43"/>
        </w:rPr>
      </w:r>
      <w:r>
        <w:rPr/>
        <w:t>他综合收益，但减值损失或利得、汇兑损益和按照实际利率法计算的利息收入计入当期损益。</w:t>
      </w:r>
    </w:p>
    <w:p>
      <w:pPr>
        <w:spacing w:after="0" w:line="273" w:lineRule="auto"/>
        <w:jc w:val="both"/>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5"/>
        <w:spacing w:line="273" w:lineRule="auto" w:before="36"/>
        <w:ind w:right="1126" w:firstLine="420"/>
        <w:jc w:val="both"/>
      </w:pPr>
      <w:r>
        <w:rPr>
          <w:spacing w:val="-2"/>
        </w:rPr>
        <w:t>此外，本公司将部分非交易性权益工具投资指定为以公允价值计量且其变动计入其他综合收益的金融</w:t>
      </w:r>
      <w:r>
        <w:rPr>
          <w:w w:val="100"/>
        </w:rPr>
        <w:t> </w:t>
      </w:r>
      <w:r>
        <w:rPr>
          <w:spacing w:val="-2"/>
        </w:rPr>
        <w:t>资产。本公司将该类金融资产的相关股利收入计入当期损益，公允价值变动计入其他综合收益。当该金融</w:t>
      </w:r>
      <w:r>
        <w:rPr>
          <w:spacing w:val="-44"/>
        </w:rPr>
        <w:t> </w:t>
      </w:r>
      <w:r>
        <w:rPr>
          <w:spacing w:val="-44"/>
        </w:rPr>
      </w:r>
      <w:r>
        <w:rPr>
          <w:spacing w:val="-2"/>
        </w:rPr>
        <w:t>资产终止确认时，之前计入其他综合收益的累计利得或损失将从其他综合收益转入留存收益，不计入当期</w:t>
      </w:r>
      <w:r>
        <w:rPr>
          <w:spacing w:val="-44"/>
        </w:rPr>
        <w:t> </w:t>
      </w:r>
      <w:r>
        <w:rPr>
          <w:spacing w:val="-44"/>
        </w:rPr>
      </w:r>
      <w:r>
        <w:rPr/>
        <w:t>损益。</w:t>
      </w:r>
    </w:p>
    <w:p>
      <w:pPr>
        <w:pStyle w:val="Heading5"/>
        <w:spacing w:line="273" w:lineRule="auto"/>
        <w:ind w:left="573" w:right="1133"/>
        <w:jc w:val="left"/>
      </w:pPr>
      <w:r>
        <w:rPr/>
        <w:t>③以公允价值计量且其变动计入当期损益的金融资产</w:t>
      </w:r>
      <w:r>
        <w:rPr>
          <w:w w:val="100"/>
        </w:rPr>
        <w:t> </w:t>
      </w:r>
      <w:r>
        <w:rPr>
          <w:spacing w:val="2"/>
        </w:rPr>
        <w:t>本公司将上述以摊余成本计量的金融资产和以公允价值计量且其变动计入其他综合收益的金融资产</w:t>
      </w:r>
    </w:p>
    <w:p>
      <w:pPr>
        <w:pStyle w:val="Heading5"/>
        <w:spacing w:line="273" w:lineRule="auto"/>
        <w:ind w:right="1126"/>
        <w:jc w:val="both"/>
      </w:pPr>
      <w:r>
        <w:rPr>
          <w:spacing w:val="-2"/>
        </w:rPr>
        <w:t>之外的金融资产，分类为以公允价值计量且其变动计入当期损益的金融资产。此外，在初始确认时，本公</w:t>
      </w:r>
      <w:r>
        <w:rPr>
          <w:spacing w:val="-44"/>
        </w:rPr>
        <w:t> </w:t>
      </w:r>
      <w:r>
        <w:rPr>
          <w:spacing w:val="-44"/>
        </w:rPr>
      </w:r>
      <w:r>
        <w:rPr>
          <w:spacing w:val="-2"/>
        </w:rPr>
        <w:t>司为了消除或显著减少会计错配，将部分金融资产指定为以公允价值计量且其变动计入当期损益的金融资</w:t>
      </w:r>
      <w:r>
        <w:rPr>
          <w:spacing w:val="-43"/>
        </w:rPr>
        <w:t> </w:t>
      </w:r>
      <w:r>
        <w:rPr>
          <w:spacing w:val="-43"/>
        </w:rPr>
      </w:r>
      <w:r>
        <w:rPr/>
        <w:t>产。对于此类金融资产，本公司采用公允价值进行后续计量，公允价值变动计入当期损益。</w:t>
      </w:r>
    </w:p>
    <w:p>
      <w:pPr>
        <w:pStyle w:val="Heading5"/>
        <w:spacing w:line="256" w:lineRule="auto"/>
        <w:ind w:left="573" w:right="1133"/>
        <w:jc w:val="left"/>
      </w:pPr>
      <w:r>
        <w:rPr/>
        <w:t>（</w:t>
      </w:r>
      <w:r>
        <w:rPr>
          <w:rFonts w:ascii="Times New Roman" w:hAnsi="Times New Roman" w:cs="Times New Roman" w:eastAsia="Times New Roman" w:hint="default"/>
        </w:rPr>
        <w:t>2</w:t>
      </w:r>
      <w:r>
        <w:rPr/>
        <w:t>）金融负债的分类、确认和计量</w:t>
      </w:r>
      <w:r>
        <w:rPr>
          <w:w w:val="100"/>
        </w:rPr>
        <w:t> </w:t>
      </w:r>
      <w:r>
        <w:rPr>
          <w:spacing w:val="-2"/>
        </w:rPr>
        <w:t>金融负债于初始确认时分类为以公允价值计量且其变动计入当期损益的金融负债和其他金融负债。对</w:t>
      </w:r>
    </w:p>
    <w:p>
      <w:pPr>
        <w:pStyle w:val="Heading5"/>
        <w:spacing w:line="273" w:lineRule="auto" w:before="22"/>
        <w:ind w:right="1126"/>
        <w:jc w:val="both"/>
      </w:pPr>
      <w:r>
        <w:rPr>
          <w:spacing w:val="-2"/>
        </w:rPr>
        <w:t>于以公允价值计量且其变动计入当期损益的金融负债，相关交易费用直接计入当期损益，其他金融负债的</w:t>
      </w:r>
      <w:r>
        <w:rPr>
          <w:spacing w:val="-44"/>
        </w:rPr>
        <w:t> </w:t>
      </w:r>
      <w:r>
        <w:rPr>
          <w:spacing w:val="-44"/>
        </w:rPr>
      </w:r>
      <w:r>
        <w:rPr/>
        <w:t>相关交易费用计入其初始确认金额。</w:t>
      </w:r>
    </w:p>
    <w:p>
      <w:pPr>
        <w:pStyle w:val="Heading5"/>
        <w:spacing w:line="273" w:lineRule="auto"/>
        <w:ind w:left="573" w:right="1133"/>
        <w:jc w:val="left"/>
      </w:pPr>
      <w:r>
        <w:rPr/>
        <w:t>①以公允价值计量且其变动计入当期损益的金融负债</w:t>
      </w:r>
      <w:r>
        <w:rPr>
          <w:w w:val="100"/>
        </w:rPr>
        <w:t> </w:t>
      </w:r>
      <w:r>
        <w:rPr>
          <w:spacing w:val="-2"/>
        </w:rPr>
        <w:t>以公允价值计量且其变动计入当期损益的金融负债，包括交易性金融负债（含属于金融负债的衍生工</w:t>
      </w:r>
    </w:p>
    <w:p>
      <w:pPr>
        <w:pStyle w:val="Heading5"/>
        <w:spacing w:line="273" w:lineRule="auto"/>
        <w:ind w:left="573" w:right="0" w:hanging="421"/>
        <w:jc w:val="left"/>
      </w:pPr>
      <w:r>
        <w:rPr/>
        <w:t>具）和初始确认时指定为以公允价值计量且其变动计入当期损益的金融负债。</w:t>
      </w:r>
      <w:r>
        <w:rPr>
          <w:w w:val="100"/>
        </w:rPr>
        <w:t> </w:t>
      </w:r>
      <w:r>
        <w:rPr>
          <w:spacing w:val="-5"/>
        </w:rPr>
        <w:t>交易性金融负债（含属于金融负债的衍生工具），按照公允价值进行后续计量，除与套期会计有关外，</w:t>
      </w:r>
    </w:p>
    <w:p>
      <w:pPr>
        <w:pStyle w:val="Heading5"/>
        <w:spacing w:line="273" w:lineRule="auto"/>
        <w:ind w:left="573" w:right="1133" w:hanging="421"/>
        <w:jc w:val="left"/>
      </w:pPr>
      <w:r>
        <w:rPr/>
        <w:t>公允价值变动计入当期损益。</w:t>
      </w:r>
      <w:r>
        <w:rPr>
          <w:w w:val="100"/>
        </w:rPr>
        <w:t> </w:t>
      </w:r>
      <w:r>
        <w:rPr>
          <w:spacing w:val="-2"/>
        </w:rPr>
        <w:t>被指定为以公允价值计量且其变动计入当期损益的金融负债，该负债由本公司自身信用风险变动引起</w:t>
      </w:r>
    </w:p>
    <w:p>
      <w:pPr>
        <w:pStyle w:val="Heading5"/>
        <w:spacing w:line="273" w:lineRule="auto"/>
        <w:ind w:right="1126"/>
        <w:jc w:val="both"/>
      </w:pPr>
      <w:r>
        <w:rPr>
          <w:spacing w:val="-2"/>
        </w:rPr>
        <w:t>的公允价值变动计入其他综合收益，且终止确认该负债时，计入其他综合收益的自身信用风险变动引起的</w:t>
      </w:r>
      <w:r>
        <w:rPr>
          <w:spacing w:val="-43"/>
        </w:rPr>
        <w:t> </w:t>
      </w:r>
      <w:r>
        <w:rPr>
          <w:spacing w:val="-43"/>
        </w:rPr>
      </w:r>
      <w:r>
        <w:rPr>
          <w:spacing w:val="-2"/>
        </w:rPr>
        <w:t>其公允价值累计变动额转入留存收益。其余公允价值变动计入当期损益。若按上述方式对该等金融负债的</w:t>
      </w:r>
      <w:r>
        <w:rPr>
          <w:spacing w:val="-44"/>
        </w:rPr>
        <w:t> </w:t>
      </w:r>
      <w:r>
        <w:rPr>
          <w:spacing w:val="-44"/>
        </w:rPr>
      </w:r>
      <w:r>
        <w:rPr>
          <w:spacing w:val="-2"/>
        </w:rPr>
        <w:t>自身信用风险变动的影响进行处理会造成或扩大损益中的会计错配的，本公司将该金融负债的全部利得或</w:t>
      </w:r>
      <w:r>
        <w:rPr>
          <w:spacing w:val="-43"/>
        </w:rPr>
        <w:t> </w:t>
      </w:r>
      <w:r>
        <w:rPr>
          <w:spacing w:val="-43"/>
        </w:rPr>
      </w:r>
      <w:r>
        <w:rPr/>
        <w:t>损失（包括企业自身信用风险变动的影响金额）计入当期损益。</w:t>
      </w:r>
    </w:p>
    <w:p>
      <w:pPr>
        <w:pStyle w:val="Heading5"/>
        <w:spacing w:line="273" w:lineRule="auto"/>
        <w:ind w:left="573" w:right="1133"/>
        <w:jc w:val="left"/>
      </w:pPr>
      <w:r>
        <w:rPr/>
        <w:t>②其他金融负债</w:t>
      </w:r>
      <w:r>
        <w:rPr>
          <w:spacing w:val="-103"/>
        </w:rPr>
        <w:t> </w:t>
      </w:r>
      <w:r>
        <w:rPr>
          <w:spacing w:val="-103"/>
        </w:rPr>
      </w:r>
      <w:r>
        <w:rPr>
          <w:spacing w:val="-2"/>
        </w:rPr>
        <w:t>除金融资产转移不符合终止确认条件或继续涉入被转移金融资产所形成的金融负债、财务担保合同外</w:t>
      </w:r>
    </w:p>
    <w:p>
      <w:pPr>
        <w:pStyle w:val="Heading5"/>
        <w:spacing w:line="273" w:lineRule="auto"/>
        <w:ind w:right="1126"/>
        <w:jc w:val="both"/>
      </w:pPr>
      <w:r>
        <w:rPr>
          <w:spacing w:val="-2"/>
        </w:rPr>
        <w:t>的其他金融负债分类为以摊余成本计量的金融负债，按摊余成本进行后续计量，终止确认或摊销产生的利</w:t>
      </w:r>
      <w:r>
        <w:rPr>
          <w:spacing w:val="-44"/>
        </w:rPr>
        <w:t> </w:t>
      </w:r>
      <w:r>
        <w:rPr>
          <w:spacing w:val="-44"/>
        </w:rPr>
      </w:r>
      <w:r>
        <w:rPr/>
        <w:t>得或损失计入当期损益。</w:t>
      </w:r>
    </w:p>
    <w:p>
      <w:pPr>
        <w:pStyle w:val="Heading5"/>
        <w:spacing w:line="256" w:lineRule="auto"/>
        <w:ind w:left="573" w:right="1133"/>
        <w:jc w:val="left"/>
      </w:pPr>
      <w:r>
        <w:rPr/>
        <w:t>（</w:t>
      </w:r>
      <w:r>
        <w:rPr>
          <w:rFonts w:ascii="Times New Roman" w:hAnsi="Times New Roman" w:cs="Times New Roman" w:eastAsia="Times New Roman" w:hint="default"/>
        </w:rPr>
        <w:t>3</w:t>
      </w:r>
      <w:r>
        <w:rPr/>
        <w:t>）金融资产转移的确认依据和计量方法</w:t>
      </w:r>
      <w:r>
        <w:rPr>
          <w:w w:val="100"/>
        </w:rPr>
        <w:t> </w:t>
      </w:r>
      <w:r>
        <w:rPr>
          <w:spacing w:val="-2"/>
        </w:rPr>
        <w:t>满足下列条件之一的金融资产，予以终止确认：①收取该金融资产现金流量的合同权利终止；②该金</w:t>
      </w:r>
    </w:p>
    <w:p>
      <w:pPr>
        <w:pStyle w:val="Heading5"/>
        <w:spacing w:line="273" w:lineRule="auto" w:before="22"/>
        <w:ind w:left="0" w:right="1107"/>
        <w:jc w:val="right"/>
      </w:pPr>
      <w:r>
        <w:rPr>
          <w:spacing w:val="-2"/>
        </w:rPr>
        <w:t>融资产已转移，且将金融资产所有权上几乎所有的风险和报酬转移给转入方；③该金融资产已转移，虽然</w:t>
      </w:r>
      <w:r>
        <w:rPr>
          <w:spacing w:val="-86"/>
        </w:rPr>
        <w:t> </w:t>
      </w:r>
      <w:r>
        <w:rPr>
          <w:spacing w:val="-86"/>
        </w:rPr>
      </w:r>
      <w:r>
        <w:rPr>
          <w:spacing w:val="-2"/>
        </w:rPr>
        <w:t>企业既没有转移也没有保留金融资产所有权上几乎所有的风险和报酬，但是放弃了对该金融资产的控制。</w:t>
      </w:r>
      <w:r>
        <w:rPr>
          <w:spacing w:val="-46"/>
        </w:rPr>
        <w:t> </w:t>
      </w:r>
      <w:r>
        <w:rPr>
          <w:spacing w:val="-46"/>
        </w:rPr>
      </w:r>
      <w:r>
        <w:rPr>
          <w:spacing w:val="-2"/>
        </w:rPr>
        <w:t>若企业既没有转移也没有保留金融资产所有权上几乎所有的风险和报酬，且未放弃对该金融资产的控</w:t>
      </w:r>
      <w:r>
        <w:rPr>
          <w:w w:val="100"/>
        </w:rPr>
        <w:t> </w:t>
      </w:r>
      <w:r>
        <w:rPr>
          <w:spacing w:val="-2"/>
        </w:rPr>
        <w:t>制的，则按照继续涉入所转移金融资产的程度确认有关金融资产，并相应确认有关负债。继续涉入所转移</w:t>
      </w:r>
    </w:p>
    <w:p>
      <w:pPr>
        <w:pStyle w:val="Heading5"/>
        <w:spacing w:line="273" w:lineRule="auto"/>
        <w:ind w:left="573" w:right="1133" w:hanging="421"/>
        <w:jc w:val="left"/>
      </w:pPr>
      <w:r>
        <w:rPr/>
        <w:t>金融资产的程度，是指该金融资产价值变动使企业面临的风险水平。</w:t>
      </w:r>
      <w:r>
        <w:rPr>
          <w:w w:val="100"/>
        </w:rPr>
        <w:t> </w:t>
      </w:r>
      <w:r>
        <w:rPr>
          <w:spacing w:val="-2"/>
        </w:rPr>
        <w:t>金融资产整体转移满足终止确认条件的，将所转移金融资产的账面价值及因转移而收到的对价与原计</w:t>
      </w:r>
    </w:p>
    <w:p>
      <w:pPr>
        <w:pStyle w:val="Heading5"/>
        <w:spacing w:line="273" w:lineRule="auto" w:before="8"/>
        <w:ind w:left="573" w:right="1133" w:hanging="421"/>
        <w:jc w:val="left"/>
      </w:pPr>
      <w:r>
        <w:rPr/>
        <w:t>入其他综合收益的公允价值变动累计额之和的差额计入当期损益。</w:t>
      </w:r>
      <w:r>
        <w:rPr>
          <w:w w:val="100"/>
        </w:rPr>
        <w:t> </w:t>
      </w:r>
      <w:r>
        <w:rPr>
          <w:spacing w:val="-2"/>
        </w:rPr>
        <w:t>金融资产部分转移满足终止确认条件的，将所转移金融资产的账面价值在终止确认及未终止确认部分</w:t>
      </w:r>
    </w:p>
    <w:p>
      <w:pPr>
        <w:pStyle w:val="Heading5"/>
        <w:spacing w:line="273" w:lineRule="auto"/>
        <w:ind w:right="1126"/>
        <w:jc w:val="both"/>
      </w:pPr>
      <w:r>
        <w:rPr>
          <w:spacing w:val="-2"/>
        </w:rPr>
        <w:t>之间按其相对的公允价值进行分摊，并将因转移而收到的对价与应分摊至终止确认部分的原计入其他综合</w:t>
      </w:r>
      <w:r>
        <w:rPr>
          <w:spacing w:val="-43"/>
        </w:rPr>
        <w:t> </w:t>
      </w:r>
      <w:r>
        <w:rPr>
          <w:spacing w:val="-43"/>
        </w:rPr>
      </w:r>
      <w:r>
        <w:rPr/>
        <w:t>收益的公允价值变动累计额之和与分摊的前述账面金额之差额计入当期损益。</w:t>
      </w:r>
    </w:p>
    <w:p>
      <w:pPr>
        <w:pStyle w:val="Heading5"/>
        <w:spacing w:line="273" w:lineRule="auto"/>
        <w:ind w:right="1104" w:firstLine="420"/>
        <w:jc w:val="both"/>
      </w:pPr>
      <w:r>
        <w:rPr>
          <w:spacing w:val="-2"/>
        </w:rPr>
        <w:t>本公司对采用附追索权方式出售的金融资产，或将持有的金融资产背书转让，需确定该金融资产所有</w:t>
      </w:r>
      <w:r>
        <w:rPr>
          <w:w w:val="100"/>
        </w:rPr>
        <w:t> </w:t>
      </w:r>
      <w:r>
        <w:rPr>
          <w:spacing w:val="-2"/>
        </w:rPr>
        <w:t>权上几乎所有的风险和报酬是否已经转移。已将该金融资产所有权上几乎所有的风险和报酬转移给转入方</w:t>
      </w:r>
      <w:r>
        <w:rPr>
          <w:spacing w:val="-43"/>
        </w:rPr>
        <w:t> </w:t>
      </w:r>
      <w:r>
        <w:rPr>
          <w:spacing w:val="-43"/>
        </w:rPr>
      </w:r>
      <w:r>
        <w:rPr>
          <w:spacing w:val="-2"/>
        </w:rPr>
        <w:t>的，终止确认该金融资产；保留了金融资产所有权上几乎所有的风险和报酬的，不终止确认该金融资产；</w:t>
      </w:r>
      <w:r>
        <w:rPr>
          <w:spacing w:val="-20"/>
        </w:rPr>
        <w:t> </w:t>
      </w:r>
      <w:r>
        <w:rPr>
          <w:spacing w:val="-20"/>
        </w:rPr>
      </w:r>
      <w:r>
        <w:rPr>
          <w:spacing w:val="-2"/>
        </w:rPr>
        <w:t>既没有转移也没有保留金融资产所有权上几乎所有的风险和报酬的，则继续判断企业是否对该资产保留了</w:t>
      </w:r>
      <w:r>
        <w:rPr>
          <w:spacing w:val="-43"/>
        </w:rPr>
        <w:t> </w:t>
      </w:r>
      <w:r>
        <w:rPr>
          <w:spacing w:val="-43"/>
        </w:rPr>
      </w:r>
      <w:r>
        <w:rPr/>
        <w:t>控制，并根据前面各段所述的原则进行会计处理。</w:t>
      </w:r>
    </w:p>
    <w:p>
      <w:pPr>
        <w:spacing w:after="0" w:line="273" w:lineRule="auto"/>
        <w:jc w:val="both"/>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5"/>
        <w:spacing w:line="256" w:lineRule="auto" w:before="36"/>
        <w:ind w:left="573" w:right="0"/>
        <w:jc w:val="left"/>
      </w:pPr>
      <w:r>
        <w:rPr/>
        <w:t>（</w:t>
      </w:r>
      <w:r>
        <w:rPr>
          <w:rFonts w:ascii="Times New Roman" w:hAnsi="Times New Roman" w:cs="Times New Roman" w:eastAsia="Times New Roman" w:hint="default"/>
        </w:rPr>
        <w:t>4</w:t>
      </w:r>
      <w:r>
        <w:rPr/>
        <w:t>）金融负债的终止确认</w:t>
      </w:r>
      <w:r>
        <w:rPr>
          <w:w w:val="100"/>
        </w:rPr>
        <w:t> </w:t>
      </w:r>
      <w:r>
        <w:rPr>
          <w:spacing w:val="-5"/>
        </w:rPr>
        <w:t>金融负债（或其一部分）的现时义务已经解除的，本公司终止确认该金融负债（或该部分金融负债）。</w:t>
      </w:r>
    </w:p>
    <w:p>
      <w:pPr>
        <w:pStyle w:val="Heading5"/>
        <w:spacing w:line="273" w:lineRule="auto" w:before="22"/>
        <w:ind w:right="1126"/>
        <w:jc w:val="both"/>
      </w:pPr>
      <w:r>
        <w:rPr>
          <w:spacing w:val="-2"/>
        </w:rPr>
        <w:t>本公司（借入方）与借出方签订协议，以承担新金融负债的方式替换原金融负债，且新金融负债与原金融</w:t>
      </w:r>
      <w:r>
        <w:rPr>
          <w:spacing w:val="-47"/>
        </w:rPr>
        <w:t> </w:t>
      </w:r>
      <w:r>
        <w:rPr>
          <w:spacing w:val="-47"/>
        </w:rPr>
      </w:r>
      <w:r>
        <w:rPr>
          <w:spacing w:val="-7"/>
        </w:rPr>
        <w:t>负债的合同条款实质上不同的，终止确认原金融负债，同时确认一项新金融负债。本公司对原金融负债（或</w:t>
      </w:r>
      <w:r>
        <w:rPr>
          <w:spacing w:val="-23"/>
        </w:rPr>
        <w:t> </w:t>
      </w:r>
      <w:r>
        <w:rPr>
          <w:spacing w:val="-23"/>
        </w:rPr>
      </w:r>
      <w:r>
        <w:rPr>
          <w:spacing w:val="-2"/>
        </w:rPr>
        <w:t>其一部分）的合同条款作出实质性修改的，终止确认原金融负债，同时按照修改后的条款确认一项新金融</w:t>
      </w:r>
      <w:r>
        <w:rPr>
          <w:spacing w:val="-45"/>
        </w:rPr>
        <w:t> </w:t>
      </w:r>
      <w:r>
        <w:rPr>
          <w:spacing w:val="-45"/>
        </w:rPr>
      </w:r>
      <w:r>
        <w:rPr/>
        <w:t>负债。</w:t>
      </w:r>
    </w:p>
    <w:p>
      <w:pPr>
        <w:pStyle w:val="Heading5"/>
        <w:spacing w:line="273" w:lineRule="auto"/>
        <w:ind w:right="1133" w:firstLine="420"/>
        <w:jc w:val="left"/>
      </w:pPr>
      <w:r>
        <w:rPr>
          <w:spacing w:val="-2"/>
        </w:rPr>
        <w:t>金融负债（或其一部分）终止确认的，本公司将其账面价值与支付的对价（包括转出的非现金资产或</w:t>
      </w:r>
      <w:r>
        <w:rPr>
          <w:w w:val="100"/>
        </w:rPr>
        <w:t> </w:t>
      </w:r>
      <w:r>
        <w:rPr/>
        <w:t>承担的负债）之间的差额，计入当期损益。</w:t>
      </w:r>
    </w:p>
    <w:p>
      <w:pPr>
        <w:pStyle w:val="Heading5"/>
        <w:spacing w:line="256" w:lineRule="auto"/>
        <w:ind w:left="573" w:right="1133"/>
        <w:jc w:val="left"/>
      </w:pPr>
      <w:r>
        <w:rPr/>
        <w:t>（</w:t>
      </w:r>
      <w:r>
        <w:rPr>
          <w:rFonts w:ascii="Times New Roman" w:hAnsi="Times New Roman" w:cs="Times New Roman" w:eastAsia="Times New Roman" w:hint="default"/>
        </w:rPr>
        <w:t>5</w:t>
      </w:r>
      <w:r>
        <w:rPr/>
        <w:t>）金融资产和金融负债的抵销</w:t>
      </w:r>
      <w:r>
        <w:rPr>
          <w:w w:val="100"/>
        </w:rPr>
        <w:t> </w:t>
      </w:r>
      <w:r>
        <w:rPr>
          <w:spacing w:val="-2"/>
        </w:rPr>
        <w:t>当本公司具有抵销已确认金额的金融资产和金融负债的法定权利，且该种法定权利是当前可执行的，</w:t>
      </w:r>
    </w:p>
    <w:p>
      <w:pPr>
        <w:pStyle w:val="Heading5"/>
        <w:spacing w:line="273" w:lineRule="auto" w:before="22"/>
        <w:ind w:right="0"/>
        <w:jc w:val="left"/>
      </w:pPr>
      <w:r>
        <w:rPr>
          <w:spacing w:val="-2"/>
        </w:rPr>
        <w:t>同时本公司计划以净额结算或同时变现该金融资产和清偿该金融负债时，金融资产和金融负债以相互抵销</w:t>
      </w:r>
      <w:r>
        <w:rPr>
          <w:spacing w:val="-43"/>
        </w:rPr>
        <w:t> </w:t>
      </w:r>
      <w:r>
        <w:rPr>
          <w:spacing w:val="-43"/>
        </w:rPr>
      </w:r>
      <w:r>
        <w:rPr>
          <w:spacing w:val="-5"/>
        </w:rPr>
        <w:t>后的净额在资产负债表内列示。除此以外，金融资产和金融负债在资产负债表内分别列示，不予相互抵销。</w:t>
      </w:r>
      <w:r>
        <w:rPr/>
      </w:r>
    </w:p>
    <w:p>
      <w:pPr>
        <w:pStyle w:val="Heading5"/>
        <w:spacing w:line="256" w:lineRule="auto" w:before="8"/>
        <w:ind w:left="573" w:right="1133"/>
        <w:jc w:val="left"/>
      </w:pPr>
      <w:r>
        <w:rPr/>
        <w:t>（</w:t>
      </w:r>
      <w:r>
        <w:rPr>
          <w:rFonts w:ascii="Times New Roman" w:hAnsi="Times New Roman" w:cs="Times New Roman" w:eastAsia="Times New Roman" w:hint="default"/>
        </w:rPr>
        <w:t>6</w:t>
      </w:r>
      <w:r>
        <w:rPr/>
        <w:t>）金融资产和金融负债的公允价值确定方法</w:t>
      </w:r>
      <w:r>
        <w:rPr>
          <w:w w:val="100"/>
        </w:rPr>
        <w:t> </w:t>
      </w:r>
      <w:r>
        <w:rPr>
          <w:spacing w:val="-2"/>
        </w:rPr>
        <w:t>公允价值，是指市场参与者在计量日发生的有序交易中，出售一项资产所能收到或者转移一项负债所</w:t>
      </w:r>
    </w:p>
    <w:p>
      <w:pPr>
        <w:pStyle w:val="Heading5"/>
        <w:spacing w:line="273" w:lineRule="auto" w:before="22"/>
        <w:ind w:right="1126"/>
        <w:jc w:val="both"/>
      </w:pPr>
      <w:r>
        <w:rPr>
          <w:spacing w:val="-2"/>
        </w:rPr>
        <w:t>需支付的价格。金融工具存在活跃市场的，本公司采用活跃市场中的报价确定其公允价值。活跃市场中的</w:t>
      </w:r>
      <w:r>
        <w:rPr>
          <w:spacing w:val="-45"/>
        </w:rPr>
        <w:t> </w:t>
      </w:r>
      <w:r>
        <w:rPr>
          <w:spacing w:val="-45"/>
        </w:rPr>
      </w:r>
      <w:r>
        <w:rPr>
          <w:spacing w:val="-2"/>
        </w:rPr>
        <w:t>报价是指易于定期从交易所、经纪商、行业协会、定价服务机构等获得的价格，且代表了在公平交易中实</w:t>
      </w:r>
      <w:r>
        <w:rPr>
          <w:spacing w:val="-44"/>
        </w:rPr>
        <w:t> </w:t>
      </w:r>
      <w:r>
        <w:rPr>
          <w:spacing w:val="-44"/>
        </w:rPr>
      </w:r>
      <w:r>
        <w:rPr>
          <w:spacing w:val="-2"/>
        </w:rPr>
        <w:t>际发生的市场交易的价格。金融工具不存在活跃市场的，本公司采用估值技术确定其公允价值。估值技术</w:t>
      </w:r>
      <w:r>
        <w:rPr>
          <w:spacing w:val="-44"/>
        </w:rPr>
        <w:t> </w:t>
      </w:r>
      <w:r>
        <w:rPr>
          <w:spacing w:val="-44"/>
        </w:rPr>
      </w:r>
      <w:r>
        <w:rPr>
          <w:spacing w:val="-2"/>
        </w:rPr>
        <w:t>包括参考熟悉情况并自愿交易的各方最近进行的市场交易中使用的价格、参照实质上相同的其他金融工具</w:t>
      </w:r>
      <w:r>
        <w:rPr>
          <w:spacing w:val="-43"/>
        </w:rPr>
        <w:t> </w:t>
      </w:r>
      <w:r>
        <w:rPr>
          <w:spacing w:val="-43"/>
        </w:rPr>
      </w:r>
      <w:r>
        <w:rPr>
          <w:spacing w:val="-2"/>
        </w:rPr>
        <w:t>当前的公允价值、现金流量折现法和期权定价模型等。在估值时，公司采用在当前情况下适用并且有足够</w:t>
      </w:r>
      <w:r>
        <w:rPr>
          <w:spacing w:val="-44"/>
        </w:rPr>
        <w:t> </w:t>
      </w:r>
      <w:r>
        <w:rPr>
          <w:spacing w:val="-44"/>
        </w:rPr>
      </w:r>
      <w:r>
        <w:rPr>
          <w:spacing w:val="-2"/>
        </w:rPr>
        <w:t>可利用数据和其他信息支持的估值技术，选择与市场参与者在相关资产或负债的交易中所考虑的资产或负</w:t>
      </w:r>
      <w:r>
        <w:rPr>
          <w:spacing w:val="-43"/>
        </w:rPr>
        <w:t> </w:t>
      </w:r>
      <w:r>
        <w:rPr>
          <w:spacing w:val="-43"/>
        </w:rPr>
      </w:r>
      <w:r>
        <w:rPr>
          <w:spacing w:val="-2"/>
        </w:rPr>
        <w:t>债特征相一致的输入值，并尽可能优先使用相关可观察输入值。在相关可观察输入值无法取得或取得不切</w:t>
      </w:r>
      <w:r>
        <w:rPr>
          <w:spacing w:val="-43"/>
        </w:rPr>
        <w:t> </w:t>
      </w:r>
      <w:r>
        <w:rPr>
          <w:spacing w:val="-43"/>
        </w:rPr>
      </w:r>
      <w:r>
        <w:rPr/>
        <w:t>实可行的情况下，使用不可输入值。</w:t>
      </w:r>
    </w:p>
    <w:p>
      <w:pPr>
        <w:pStyle w:val="Heading5"/>
        <w:spacing w:line="256" w:lineRule="auto"/>
        <w:ind w:left="573" w:right="1133"/>
        <w:jc w:val="left"/>
      </w:pPr>
      <w:r>
        <w:rPr/>
        <w:t>（</w:t>
      </w:r>
      <w:r>
        <w:rPr>
          <w:rFonts w:ascii="Times New Roman" w:hAnsi="Times New Roman" w:cs="Times New Roman" w:eastAsia="Times New Roman" w:hint="default"/>
        </w:rPr>
        <w:t>7</w:t>
      </w:r>
      <w:r>
        <w:rPr/>
        <w:t>）权益工具</w:t>
      </w:r>
      <w:r>
        <w:rPr>
          <w:w w:val="100"/>
        </w:rPr>
        <w:t> </w:t>
      </w:r>
      <w:r>
        <w:rPr>
          <w:spacing w:val="-2"/>
        </w:rPr>
        <w:t>权益工具是指能证明拥有本公司在扣除所有负债后的资产中的剩余权益的合同。本公司发行（含再融</w:t>
      </w:r>
    </w:p>
    <w:p>
      <w:pPr>
        <w:pStyle w:val="Heading5"/>
        <w:spacing w:line="273" w:lineRule="auto" w:before="23"/>
        <w:ind w:right="0"/>
        <w:jc w:val="left"/>
      </w:pPr>
      <w:r>
        <w:rPr>
          <w:spacing w:val="-2"/>
        </w:rPr>
        <w:t>资）、回购、出售或注销权益工具作为权益的变动处理，与权益性交易相关的交易费用从权益中扣减。本</w:t>
      </w:r>
      <w:r>
        <w:rPr>
          <w:spacing w:val="-43"/>
        </w:rPr>
        <w:t> </w:t>
      </w:r>
      <w:r>
        <w:rPr>
          <w:spacing w:val="-43"/>
        </w:rPr>
      </w:r>
      <w:r>
        <w:rPr/>
        <w:t>公司不确认权益工具的公允价值变动。</w:t>
      </w:r>
      <w:r>
        <w:rPr>
          <w:w w:val="100"/>
        </w:rPr>
        <w:t> </w:t>
      </w:r>
      <w:r>
        <w:rPr>
          <w:spacing w:val="-4"/>
        </w:rPr>
        <w:t>本公司权益工具在存续期间分派股利（含分类为权益工具的工具所产生的</w:t>
      </w:r>
      <w:r>
        <w:rPr>
          <w:rFonts w:ascii="Times New Roman" w:hAnsi="Times New Roman" w:cs="Times New Roman" w:eastAsia="Times New Roman" w:hint="default"/>
          <w:spacing w:val="-4"/>
        </w:rPr>
        <w:t>“</w:t>
      </w:r>
      <w:r>
        <w:rPr>
          <w:spacing w:val="-4"/>
        </w:rPr>
        <w:t>利息</w:t>
      </w:r>
      <w:r>
        <w:rPr>
          <w:rFonts w:ascii="Times New Roman" w:hAnsi="Times New Roman" w:cs="Times New Roman" w:eastAsia="Times New Roman" w:hint="default"/>
          <w:spacing w:val="-4"/>
        </w:rPr>
        <w:t>”</w:t>
      </w:r>
      <w:r>
        <w:rPr>
          <w:spacing w:val="-4"/>
        </w:rPr>
        <w:t>）的，作为利润分配处理。</w:t>
      </w:r>
    </w:p>
    <w:p>
      <w:pPr>
        <w:spacing w:line="240" w:lineRule="auto" w:before="1"/>
        <w:rPr>
          <w:rFonts w:ascii="宋体" w:hAnsi="宋体" w:cs="宋体" w:eastAsia="宋体" w:hint="default"/>
          <w:sz w:val="22"/>
          <w:szCs w:val="22"/>
        </w:rPr>
      </w:pPr>
    </w:p>
    <w:p>
      <w:pPr>
        <w:pStyle w:val="Heading4"/>
        <w:spacing w:line="240" w:lineRule="auto"/>
        <w:ind w:right="0"/>
        <w:jc w:val="both"/>
        <w:rPr>
          <w:b w:val="0"/>
          <w:bCs w:val="0"/>
        </w:rPr>
      </w:pPr>
      <w:bookmarkStart w:name="11、应收票据" w:id="184"/>
      <w:bookmarkEnd w:id="184"/>
      <w:r>
        <w:rPr>
          <w:b w:val="0"/>
          <w:bCs w:val="0"/>
        </w:rPr>
      </w:r>
      <w:r>
        <w:rPr>
          <w:rFonts w:ascii="Times New Roman" w:hAnsi="Times New Roman" w:cs="Times New Roman" w:eastAsia="Times New Roman" w:hint="default"/>
        </w:rPr>
        <w:t>11</w:t>
      </w:r>
      <w:r>
        <w:rPr/>
        <w:t>、应收票据</w:t>
      </w:r>
      <w:r>
        <w:rPr>
          <w:b w:val="0"/>
          <w:bCs w:val="0"/>
        </w:rPr>
      </w:r>
    </w:p>
    <w:p>
      <w:pPr>
        <w:spacing w:line="240" w:lineRule="auto" w:before="10"/>
        <w:rPr>
          <w:rFonts w:ascii="宋体" w:hAnsi="宋体" w:cs="宋体" w:eastAsia="宋体" w:hint="default"/>
          <w:b/>
          <w:bCs/>
          <w:sz w:val="24"/>
          <w:szCs w:val="24"/>
        </w:rPr>
      </w:pPr>
    </w:p>
    <w:p>
      <w:pPr>
        <w:pStyle w:val="Heading5"/>
        <w:spacing w:line="273" w:lineRule="auto" w:before="0"/>
        <w:ind w:right="1133" w:firstLine="420"/>
        <w:jc w:val="left"/>
      </w:pPr>
      <w:r>
        <w:rPr>
          <w:spacing w:val="-2"/>
        </w:rPr>
        <w:t>本公司对于应收票据按照相当于整个存续期内的预期信用损失金额计量损失准备。基于应收票据的信</w:t>
      </w:r>
      <w:r>
        <w:rPr>
          <w:w w:val="100"/>
        </w:rPr>
        <w:t> </w:t>
      </w:r>
      <w:r>
        <w:rPr/>
        <w:t>用风险特征，将其划分为不同组合：</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1"/>
          <w:szCs w:val="11"/>
        </w:rPr>
      </w:pPr>
    </w:p>
    <w:tbl>
      <w:tblPr>
        <w:tblW w:w="0" w:type="auto"/>
        <w:jc w:val="left"/>
        <w:tblInd w:w="138" w:type="dxa"/>
        <w:tblLayout w:type="fixed"/>
        <w:tblCellMar>
          <w:top w:w="0" w:type="dxa"/>
          <w:left w:w="0" w:type="dxa"/>
          <w:bottom w:w="0" w:type="dxa"/>
          <w:right w:w="0" w:type="dxa"/>
        </w:tblCellMar>
        <w:tblLook w:val="01E0"/>
      </w:tblPr>
      <w:tblGrid>
        <w:gridCol w:w="3255"/>
        <w:gridCol w:w="6404"/>
      </w:tblGrid>
      <w:tr>
        <w:trPr>
          <w:trHeight w:val="415" w:hRule="exact"/>
        </w:trPr>
        <w:tc>
          <w:tcPr>
            <w:tcW w:w="32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64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确定组合的依据</w:t>
            </w:r>
          </w:p>
        </w:tc>
      </w:tr>
      <w:tr>
        <w:trPr>
          <w:trHeight w:val="423" w:hRule="exact"/>
        </w:trPr>
        <w:tc>
          <w:tcPr>
            <w:tcW w:w="3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6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宋体" w:hAnsi="宋体" w:cs="宋体" w:eastAsia="宋体" w:hint="default"/>
                <w:sz w:val="18"/>
                <w:szCs w:val="18"/>
              </w:rPr>
            </w:pPr>
            <w:r>
              <w:rPr>
                <w:rFonts w:ascii="宋体" w:hAnsi="宋体" w:cs="宋体" w:eastAsia="宋体" w:hint="default"/>
                <w:sz w:val="18"/>
                <w:szCs w:val="18"/>
              </w:rPr>
              <w:t>承兑人为信用风险较小的银行</w:t>
            </w:r>
          </w:p>
        </w:tc>
      </w:tr>
      <w:tr>
        <w:trPr>
          <w:trHeight w:val="420" w:hRule="exact"/>
        </w:trPr>
        <w:tc>
          <w:tcPr>
            <w:tcW w:w="3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6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以商业承兑汇票的账龄作为信用风险特征</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12、应收账款" w:id="185"/>
      <w:bookmarkEnd w:id="185"/>
      <w:r>
        <w:rPr>
          <w:b w:val="0"/>
          <w:bCs w:val="0"/>
        </w:rPr>
      </w:r>
      <w:r>
        <w:rPr>
          <w:rFonts w:ascii="Times New Roman" w:hAnsi="Times New Roman" w:cs="Times New Roman" w:eastAsia="Times New Roman" w:hint="default"/>
        </w:rPr>
        <w:t>12</w:t>
      </w:r>
      <w:r>
        <w:rPr/>
        <w:t>、应收账款</w:t>
      </w:r>
      <w:r>
        <w:rPr>
          <w:b w:val="0"/>
          <w:bCs w:val="0"/>
        </w:rPr>
      </w:r>
    </w:p>
    <w:p>
      <w:pPr>
        <w:spacing w:line="240" w:lineRule="auto" w:before="10"/>
        <w:rPr>
          <w:rFonts w:ascii="宋体" w:hAnsi="宋体" w:cs="宋体" w:eastAsia="宋体" w:hint="default"/>
          <w:b/>
          <w:bCs/>
          <w:sz w:val="24"/>
          <w:szCs w:val="24"/>
        </w:rPr>
      </w:pPr>
    </w:p>
    <w:p>
      <w:pPr>
        <w:pStyle w:val="Heading5"/>
        <w:spacing w:line="273" w:lineRule="auto" w:before="0"/>
        <w:ind w:right="1133" w:firstLine="420"/>
        <w:jc w:val="left"/>
      </w:pPr>
      <w:r>
        <w:rPr>
          <w:spacing w:val="-2"/>
        </w:rPr>
        <w:t>对于不含重大融资成分的应收款项，本公司按照相当于整个存续期内的预期信用损失金额计量损失准</w:t>
      </w:r>
      <w:r>
        <w:rPr>
          <w:w w:val="100"/>
        </w:rPr>
        <w:t> </w:t>
      </w:r>
      <w:r>
        <w:rPr/>
        <w:t>备。</w:t>
      </w:r>
    </w:p>
    <w:p>
      <w:pPr>
        <w:pStyle w:val="Heading5"/>
        <w:spacing w:line="273" w:lineRule="auto"/>
        <w:ind w:right="1133" w:firstLine="420"/>
        <w:jc w:val="left"/>
      </w:pPr>
      <w:r>
        <w:rPr>
          <w:spacing w:val="-2"/>
        </w:rPr>
        <w:t>对于包含重大融资成分的应收款项和租赁应收款，本公司选择始终按照相当于存续期内预期信用损失</w:t>
      </w:r>
      <w:r>
        <w:rPr>
          <w:w w:val="100"/>
        </w:rPr>
        <w:t> </w:t>
      </w:r>
      <w:r>
        <w:rPr/>
        <w:t>的金额计量损失准备。</w:t>
      </w:r>
    </w:p>
    <w:p>
      <w:pPr>
        <w:spacing w:after="0" w:line="273" w:lineRule="auto"/>
        <w:jc w:val="left"/>
        <w:sectPr>
          <w:footerReference w:type="default" r:id="rId19"/>
          <w:pgSz w:w="11910" w:h="16840"/>
          <w:pgMar w:footer="980" w:header="745" w:top="1060" w:bottom="1160" w:left="980" w:right="0"/>
          <w:pgNumType w:start="110"/>
        </w:sectPr>
      </w:pPr>
    </w:p>
    <w:p>
      <w:pPr>
        <w:spacing w:line="240" w:lineRule="auto" w:before="10"/>
        <w:rPr>
          <w:rFonts w:ascii="宋体" w:hAnsi="宋体" w:cs="宋体" w:eastAsia="宋体" w:hint="default"/>
          <w:sz w:val="24"/>
          <w:szCs w:val="24"/>
        </w:rPr>
      </w:pPr>
    </w:p>
    <w:p>
      <w:pPr>
        <w:pStyle w:val="Heading5"/>
        <w:spacing w:line="266" w:lineRule="auto" w:before="36"/>
        <w:ind w:right="1126" w:firstLine="420"/>
        <w:jc w:val="both"/>
      </w:pPr>
      <w:r>
        <w:rPr>
          <w:spacing w:val="-4"/>
          <w:w w:val="100"/>
        </w:rPr>
        <w:t>本公司于资产负债表日，将合并范围内公司间往来以外的应收款项中单项金额在</w:t>
      </w:r>
      <w:r>
        <w:rPr>
          <w:w w:val="100"/>
        </w:rPr>
        <w:t> </w:t>
      </w:r>
      <w:r>
        <w:rPr>
          <w:rFonts w:ascii="Times New Roman" w:hAnsi="Times New Roman" w:cs="Times New Roman" w:eastAsia="Times New Roman" w:hint="default"/>
          <w:w w:val="100"/>
        </w:rPr>
        <w:t>100</w:t>
      </w:r>
      <w:r>
        <w:rPr>
          <w:rFonts w:ascii="Times New Roman" w:hAnsi="Times New Roman" w:cs="Times New Roman" w:eastAsia="Times New Roman" w:hint="default"/>
          <w:spacing w:val="18"/>
          <w:w w:val="100"/>
        </w:rPr>
        <w:t> </w:t>
      </w:r>
      <w:r>
        <w:rPr>
          <w:spacing w:val="-2"/>
          <w:w w:val="100"/>
        </w:rPr>
        <w:t>万元及以上的应</w:t>
      </w:r>
      <w:r>
        <w:rPr>
          <w:w w:val="100"/>
        </w:rPr>
        <w:t> </w:t>
      </w:r>
      <w:r>
        <w:rPr>
          <w:spacing w:val="-2"/>
        </w:rPr>
        <w:t>收款项划分为单项金额重大的应收款项。经单独测试后未单独计提坏账准备的应收款项，归类为按账龄组</w:t>
      </w:r>
      <w:r>
        <w:rPr>
          <w:spacing w:val="-43"/>
        </w:rPr>
        <w:t> </w:t>
      </w:r>
      <w:r>
        <w:rPr>
          <w:spacing w:val="-43"/>
        </w:rPr>
      </w:r>
      <w:r>
        <w:rPr/>
        <w:t>合计提坏账准备。</w:t>
      </w:r>
    </w:p>
    <w:p>
      <w:pPr>
        <w:pStyle w:val="Heading5"/>
        <w:spacing w:line="240" w:lineRule="auto" w:before="14"/>
        <w:ind w:left="573" w:right="1133"/>
        <w:jc w:val="left"/>
      </w:pPr>
      <w:r>
        <w:rPr/>
        <w:t>除了单项评估信用风险的应收账款外，</w:t>
      </w:r>
      <w:r>
        <w:rPr>
          <w:spacing w:val="-25"/>
        </w:rPr>
        <w:t> </w:t>
      </w:r>
      <w:r>
        <w:rPr/>
        <w:t>基于其信用风险特征，将其划分为不同组合：</w:t>
      </w:r>
    </w:p>
    <w:p>
      <w:pPr>
        <w:spacing w:line="240" w:lineRule="auto" w:before="0"/>
        <w:rPr>
          <w:rFonts w:ascii="宋体" w:hAnsi="宋体" w:cs="宋体" w:eastAsia="宋体" w:hint="default"/>
          <w:sz w:val="28"/>
          <w:szCs w:val="28"/>
        </w:rPr>
      </w:pPr>
    </w:p>
    <w:tbl>
      <w:tblPr>
        <w:tblW w:w="0" w:type="auto"/>
        <w:jc w:val="left"/>
        <w:tblInd w:w="138" w:type="dxa"/>
        <w:tblLayout w:type="fixed"/>
        <w:tblCellMar>
          <w:top w:w="0" w:type="dxa"/>
          <w:left w:w="0" w:type="dxa"/>
          <w:bottom w:w="0" w:type="dxa"/>
          <w:right w:w="0" w:type="dxa"/>
        </w:tblCellMar>
        <w:tblLook w:val="01E0"/>
      </w:tblPr>
      <w:tblGrid>
        <w:gridCol w:w="3306"/>
        <w:gridCol w:w="6354"/>
      </w:tblGrid>
      <w:tr>
        <w:trPr>
          <w:trHeight w:val="415" w:hRule="exact"/>
        </w:trPr>
        <w:tc>
          <w:tcPr>
            <w:tcW w:w="3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63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 w:right="0"/>
              <w:jc w:val="center"/>
              <w:rPr>
                <w:rFonts w:ascii="宋体" w:hAnsi="宋体" w:cs="宋体" w:eastAsia="宋体" w:hint="default"/>
                <w:sz w:val="18"/>
                <w:szCs w:val="18"/>
              </w:rPr>
            </w:pPr>
            <w:r>
              <w:rPr>
                <w:rFonts w:ascii="宋体" w:hAnsi="宋体" w:cs="宋体" w:eastAsia="宋体" w:hint="default"/>
                <w:sz w:val="18"/>
                <w:szCs w:val="18"/>
              </w:rPr>
              <w:t>确定组合的依据</w:t>
            </w:r>
          </w:p>
        </w:tc>
      </w:tr>
      <w:tr>
        <w:trPr>
          <w:trHeight w:val="422" w:hRule="exact"/>
        </w:trPr>
        <w:tc>
          <w:tcPr>
            <w:tcW w:w="3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6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宋体" w:hAnsi="宋体" w:cs="宋体" w:eastAsia="宋体" w:hint="default"/>
                <w:sz w:val="18"/>
                <w:szCs w:val="18"/>
              </w:rPr>
            </w:pPr>
            <w:r>
              <w:rPr>
                <w:rFonts w:ascii="宋体" w:hAnsi="宋体" w:cs="宋体" w:eastAsia="宋体" w:hint="default"/>
                <w:sz w:val="18"/>
                <w:szCs w:val="18"/>
              </w:rPr>
              <w:t>本组合以应收账款的账龄作为信用风险特征。</w:t>
            </w:r>
          </w:p>
        </w:tc>
      </w:tr>
      <w:tr>
        <w:trPr>
          <w:trHeight w:val="420" w:hRule="exact"/>
        </w:trPr>
        <w:tc>
          <w:tcPr>
            <w:tcW w:w="3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合并范围内关联方组合</w:t>
            </w:r>
          </w:p>
        </w:tc>
        <w:tc>
          <w:tcPr>
            <w:tcW w:w="6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本组合为合并范围内关联方款项。</w:t>
            </w:r>
          </w:p>
        </w:tc>
      </w:tr>
    </w:tbl>
    <w:p>
      <w:pPr>
        <w:spacing w:line="240" w:lineRule="auto" w:before="10"/>
        <w:rPr>
          <w:rFonts w:ascii="宋体" w:hAnsi="宋体" w:cs="宋体" w:eastAsia="宋体" w:hint="default"/>
          <w:sz w:val="7"/>
          <w:szCs w:val="7"/>
        </w:rPr>
      </w:pPr>
    </w:p>
    <w:p>
      <w:pPr>
        <w:pStyle w:val="Heading3"/>
        <w:spacing w:line="240" w:lineRule="auto"/>
        <w:ind w:right="1133"/>
        <w:jc w:val="left"/>
      </w:pPr>
      <w:r>
        <w:rPr/>
        <w:t>组合中，账龄组合预期信用损失率如下：</w:t>
      </w:r>
    </w:p>
    <w:p>
      <w:pPr>
        <w:spacing w:line="240" w:lineRule="auto" w:before="12"/>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3407"/>
        <w:gridCol w:w="6253"/>
      </w:tblGrid>
      <w:tr>
        <w:trPr>
          <w:trHeight w:val="416" w:hRule="exact"/>
        </w:trPr>
        <w:tc>
          <w:tcPr>
            <w:tcW w:w="34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6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4"/>
              <w:jc w:val="center"/>
              <w:rPr>
                <w:rFonts w:ascii="宋体" w:hAnsi="宋体" w:cs="宋体" w:eastAsia="宋体" w:hint="default"/>
                <w:sz w:val="18"/>
                <w:szCs w:val="18"/>
              </w:rPr>
            </w:pPr>
            <w:r>
              <w:rPr>
                <w:rFonts w:ascii="宋体" w:hAnsi="宋体" w:cs="宋体" w:eastAsia="宋体" w:hint="default"/>
                <w:sz w:val="18"/>
                <w:szCs w:val="18"/>
              </w:rPr>
              <w:t>预期信用损失率（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421" w:hRule="exact"/>
        </w:trPr>
        <w:tc>
          <w:tcPr>
            <w:tcW w:w="3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年以内（含</w:t>
            </w:r>
            <w:r>
              <w:rPr>
                <w:rFonts w:ascii="Times New Roman" w:hAnsi="Times New Roman" w:cs="Times New Roman" w:eastAsia="Times New Roman" w:hint="default"/>
                <w:sz w:val="18"/>
                <w:szCs w:val="18"/>
              </w:rPr>
              <w:t>1</w:t>
            </w:r>
            <w:r>
              <w:rPr>
                <w:rFonts w:ascii="宋体" w:hAnsi="宋体" w:cs="宋体" w:eastAsia="宋体" w:hint="default"/>
                <w:sz w:val="18"/>
                <w:szCs w:val="18"/>
              </w:rPr>
              <w:t>年，下同）</w:t>
            </w:r>
          </w:p>
        </w:tc>
        <w:tc>
          <w:tcPr>
            <w:tcW w:w="6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3.00</w:t>
            </w:r>
          </w:p>
        </w:tc>
      </w:tr>
      <w:tr>
        <w:trPr>
          <w:trHeight w:val="422" w:hRule="exact"/>
        </w:trPr>
        <w:tc>
          <w:tcPr>
            <w:tcW w:w="3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宋体" w:hAnsi="宋体" w:cs="宋体" w:eastAsia="宋体" w:hint="default"/>
                <w:sz w:val="18"/>
                <w:szCs w:val="18"/>
              </w:rPr>
              <w:t>年</w:t>
            </w:r>
          </w:p>
        </w:tc>
        <w:tc>
          <w:tcPr>
            <w:tcW w:w="6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Times New Roman" w:hAnsi="Times New Roman" w:cs="Times New Roman" w:eastAsia="Times New Roman" w:hint="default"/>
                <w:sz w:val="18"/>
                <w:szCs w:val="18"/>
              </w:rPr>
            </w:pPr>
            <w:r>
              <w:rPr>
                <w:rFonts w:ascii="Times New Roman"/>
                <w:sz w:val="18"/>
              </w:rPr>
              <w:t>5.00</w:t>
            </w:r>
          </w:p>
        </w:tc>
      </w:tr>
      <w:tr>
        <w:trPr>
          <w:trHeight w:val="420" w:hRule="exact"/>
        </w:trPr>
        <w:tc>
          <w:tcPr>
            <w:tcW w:w="3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宋体" w:hAnsi="宋体" w:cs="宋体" w:eastAsia="宋体" w:hint="default"/>
                <w:sz w:val="18"/>
                <w:szCs w:val="18"/>
              </w:rPr>
              <w:t>年</w:t>
            </w:r>
          </w:p>
        </w:tc>
        <w:tc>
          <w:tcPr>
            <w:tcW w:w="6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10.00</w:t>
            </w:r>
          </w:p>
        </w:tc>
      </w:tr>
      <w:tr>
        <w:trPr>
          <w:trHeight w:val="422" w:hRule="exact"/>
        </w:trPr>
        <w:tc>
          <w:tcPr>
            <w:tcW w:w="3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年以上</w:t>
            </w:r>
          </w:p>
        </w:tc>
        <w:tc>
          <w:tcPr>
            <w:tcW w:w="6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50.00</w:t>
            </w:r>
          </w:p>
        </w:tc>
      </w:tr>
    </w:tbl>
    <w:p>
      <w:pPr>
        <w:spacing w:line="240" w:lineRule="auto" w:before="3"/>
        <w:rPr>
          <w:rFonts w:ascii="宋体" w:hAnsi="宋体" w:cs="宋体" w:eastAsia="宋体" w:hint="default"/>
          <w:sz w:val="8"/>
          <w:szCs w:val="8"/>
        </w:rPr>
      </w:pPr>
    </w:p>
    <w:p>
      <w:pPr>
        <w:pStyle w:val="Heading5"/>
        <w:spacing w:line="240" w:lineRule="auto" w:before="36"/>
        <w:ind w:left="573" w:right="1133"/>
        <w:jc w:val="left"/>
      </w:pPr>
      <w:r>
        <w:rPr/>
        <w:t>到期而未收到应收融资租赁款</w:t>
      </w:r>
    </w:p>
    <w:p>
      <w:pPr>
        <w:spacing w:line="240" w:lineRule="auto" w:before="1"/>
        <w:rPr>
          <w:rFonts w:ascii="宋体" w:hAnsi="宋体" w:cs="宋体" w:eastAsia="宋体" w:hint="default"/>
          <w:sz w:val="16"/>
          <w:szCs w:val="16"/>
        </w:rPr>
      </w:pPr>
    </w:p>
    <w:tbl>
      <w:tblPr>
        <w:tblW w:w="0" w:type="auto"/>
        <w:jc w:val="left"/>
        <w:tblInd w:w="138" w:type="dxa"/>
        <w:tblLayout w:type="fixed"/>
        <w:tblCellMar>
          <w:top w:w="0" w:type="dxa"/>
          <w:left w:w="0" w:type="dxa"/>
          <w:bottom w:w="0" w:type="dxa"/>
          <w:right w:w="0" w:type="dxa"/>
        </w:tblCellMar>
        <w:tblLook w:val="01E0"/>
      </w:tblPr>
      <w:tblGrid>
        <w:gridCol w:w="3347"/>
        <w:gridCol w:w="6313"/>
      </w:tblGrid>
      <w:tr>
        <w:trPr>
          <w:trHeight w:val="415" w:hRule="exact"/>
        </w:trPr>
        <w:tc>
          <w:tcPr>
            <w:tcW w:w="33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63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预期信用损失率（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420" w:hRule="exact"/>
        </w:trPr>
        <w:tc>
          <w:tcPr>
            <w:tcW w:w="3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年以内（含</w:t>
            </w:r>
            <w:r>
              <w:rPr>
                <w:rFonts w:ascii="Times New Roman" w:hAnsi="Times New Roman" w:cs="Times New Roman" w:eastAsia="Times New Roman" w:hint="default"/>
                <w:sz w:val="18"/>
                <w:szCs w:val="18"/>
              </w:rPr>
              <w:t>1</w:t>
            </w:r>
            <w:r>
              <w:rPr>
                <w:rFonts w:ascii="宋体" w:hAnsi="宋体" w:cs="宋体" w:eastAsia="宋体" w:hint="default"/>
                <w:sz w:val="18"/>
                <w:szCs w:val="18"/>
              </w:rPr>
              <w:t>年）</w:t>
            </w:r>
          </w:p>
        </w:tc>
        <w:tc>
          <w:tcPr>
            <w:tcW w:w="6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3.00</w:t>
            </w:r>
          </w:p>
        </w:tc>
      </w:tr>
      <w:tr>
        <w:trPr>
          <w:trHeight w:val="423" w:hRule="exact"/>
        </w:trPr>
        <w:tc>
          <w:tcPr>
            <w:tcW w:w="3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年</w:t>
            </w:r>
          </w:p>
        </w:tc>
        <w:tc>
          <w:tcPr>
            <w:tcW w:w="6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2" w:right="0"/>
              <w:jc w:val="center"/>
              <w:rPr>
                <w:rFonts w:ascii="Times New Roman" w:hAnsi="Times New Roman" w:cs="Times New Roman" w:eastAsia="Times New Roman" w:hint="default"/>
                <w:sz w:val="18"/>
                <w:szCs w:val="18"/>
              </w:rPr>
            </w:pPr>
            <w:r>
              <w:rPr>
                <w:rFonts w:ascii="Times New Roman"/>
                <w:sz w:val="18"/>
              </w:rPr>
              <w:t>5.00</w:t>
            </w:r>
          </w:p>
        </w:tc>
      </w:tr>
      <w:tr>
        <w:trPr>
          <w:trHeight w:val="420" w:hRule="exact"/>
        </w:trPr>
        <w:tc>
          <w:tcPr>
            <w:tcW w:w="3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年</w:t>
            </w:r>
          </w:p>
        </w:tc>
        <w:tc>
          <w:tcPr>
            <w:tcW w:w="6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3" w:right="0"/>
              <w:jc w:val="center"/>
              <w:rPr>
                <w:rFonts w:ascii="Times New Roman" w:hAnsi="Times New Roman" w:cs="Times New Roman" w:eastAsia="Times New Roman" w:hint="default"/>
                <w:sz w:val="18"/>
                <w:szCs w:val="18"/>
              </w:rPr>
            </w:pPr>
            <w:r>
              <w:rPr>
                <w:rFonts w:ascii="Times New Roman"/>
                <w:sz w:val="18"/>
              </w:rPr>
              <w:t>10.00</w:t>
            </w:r>
          </w:p>
        </w:tc>
      </w:tr>
      <w:tr>
        <w:trPr>
          <w:trHeight w:val="422" w:hRule="exact"/>
        </w:trPr>
        <w:tc>
          <w:tcPr>
            <w:tcW w:w="3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年以上</w:t>
            </w:r>
          </w:p>
        </w:tc>
        <w:tc>
          <w:tcPr>
            <w:tcW w:w="6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3" w:right="0"/>
              <w:jc w:val="center"/>
              <w:rPr>
                <w:rFonts w:ascii="Times New Roman" w:hAnsi="Times New Roman" w:cs="Times New Roman" w:eastAsia="Times New Roman" w:hint="default"/>
                <w:sz w:val="18"/>
                <w:szCs w:val="18"/>
              </w:rPr>
            </w:pPr>
            <w:r>
              <w:rPr>
                <w:rFonts w:ascii="Times New Roman"/>
                <w:sz w:val="18"/>
              </w:rPr>
              <w:t>50.00</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13、应收款项融资" w:id="186"/>
      <w:bookmarkEnd w:id="186"/>
      <w:r>
        <w:rPr>
          <w:b w:val="0"/>
          <w:bCs w:val="0"/>
        </w:rPr>
      </w:r>
      <w:r>
        <w:rPr>
          <w:rFonts w:ascii="Times New Roman" w:hAnsi="Times New Roman" w:cs="Times New Roman" w:eastAsia="Times New Roman" w:hint="default"/>
        </w:rPr>
        <w:t>13</w:t>
      </w:r>
      <w:r>
        <w:rPr/>
        <w:t>、应收款项融资</w:t>
      </w:r>
      <w:r>
        <w:rPr>
          <w:b w:val="0"/>
          <w:bCs w:val="0"/>
        </w:rPr>
      </w:r>
    </w:p>
    <w:p>
      <w:pPr>
        <w:spacing w:line="240" w:lineRule="auto" w:before="7"/>
        <w:rPr>
          <w:rFonts w:ascii="宋体" w:hAnsi="宋体" w:cs="宋体" w:eastAsia="宋体" w:hint="default"/>
          <w:b/>
          <w:bCs/>
          <w:sz w:val="24"/>
          <w:szCs w:val="24"/>
        </w:rPr>
      </w:pPr>
    </w:p>
    <w:p>
      <w:pPr>
        <w:pStyle w:val="Heading5"/>
        <w:spacing w:line="240" w:lineRule="auto" w:before="0"/>
        <w:ind w:left="573" w:right="1133"/>
        <w:jc w:val="left"/>
      </w:pPr>
      <w:r>
        <w:rPr>
          <w:spacing w:val="2"/>
        </w:rPr>
        <w:t>分类为以公允价值计量且其变动计入其他综合收益的应收票据和应收账款，自取得起期限在一年内</w:t>
      </w:r>
    </w:p>
    <w:p>
      <w:pPr>
        <w:pStyle w:val="Heading5"/>
        <w:spacing w:line="273" w:lineRule="auto" w:before="37"/>
        <w:ind w:right="1133"/>
        <w:jc w:val="left"/>
      </w:pPr>
      <w:r>
        <w:rPr>
          <w:spacing w:val="-2"/>
        </w:rPr>
        <w:t>（含一年）的部分，列示为应收款项融资；自取得起期限在一年以上的，列示为其他债权投资。其相关会</w:t>
      </w:r>
      <w:r>
        <w:rPr>
          <w:spacing w:val="-43"/>
        </w:rPr>
        <w:t> </w:t>
      </w:r>
      <w:r>
        <w:rPr>
          <w:spacing w:val="-43"/>
        </w:rPr>
      </w:r>
      <w:r>
        <w:rPr/>
        <w:t>计政策参见本附注五、 </w:t>
      </w:r>
      <w:r>
        <w:rPr>
          <w:rFonts w:ascii="Times New Roman" w:hAnsi="Times New Roman" w:cs="Times New Roman" w:eastAsia="Times New Roman" w:hint="default"/>
        </w:rPr>
        <w:t>10“</w:t>
      </w:r>
      <w:r>
        <w:rPr/>
        <w:t>金融工具</w:t>
      </w:r>
      <w:r>
        <w:rPr>
          <w:rFonts w:ascii="Times New Roman" w:hAnsi="Times New Roman" w:cs="Times New Roman" w:eastAsia="Times New Roman" w:hint="default"/>
        </w:rPr>
        <w:t>”</w:t>
      </w:r>
      <w:r>
        <w:rPr>
          <w:rFonts w:ascii="Times New Roman" w:hAnsi="Times New Roman" w:cs="Times New Roman" w:eastAsia="Times New Roman" w:hint="default"/>
          <w:spacing w:val="8"/>
        </w:rPr>
        <w:t> </w:t>
      </w:r>
      <w:r>
        <w:rPr/>
        <w:t>。</w:t>
      </w:r>
    </w:p>
    <w:p>
      <w:pPr>
        <w:spacing w:line="240" w:lineRule="auto" w:before="1"/>
        <w:rPr>
          <w:rFonts w:ascii="宋体" w:hAnsi="宋体" w:cs="宋体" w:eastAsia="宋体" w:hint="default"/>
          <w:sz w:val="22"/>
          <w:szCs w:val="22"/>
        </w:rPr>
      </w:pPr>
    </w:p>
    <w:p>
      <w:pPr>
        <w:pStyle w:val="Heading4"/>
        <w:spacing w:line="240" w:lineRule="auto"/>
        <w:ind w:right="1133"/>
        <w:jc w:val="left"/>
        <w:rPr>
          <w:b w:val="0"/>
          <w:bCs w:val="0"/>
        </w:rPr>
      </w:pPr>
      <w:bookmarkStart w:name="14、其他应收款" w:id="187"/>
      <w:bookmarkEnd w:id="187"/>
      <w:r>
        <w:rPr>
          <w:b w:val="0"/>
          <w:bCs w:val="0"/>
        </w:rPr>
      </w:r>
      <w:r>
        <w:rPr>
          <w:rFonts w:ascii="Times New Roman" w:hAnsi="Times New Roman" w:cs="Times New Roman" w:eastAsia="Times New Roman" w:hint="default"/>
        </w:rPr>
        <w:t>14</w:t>
      </w:r>
      <w:r>
        <w:rPr/>
        <w:t>、其他应收款</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1133"/>
        <w:jc w:val="left"/>
      </w:pPr>
      <w:r>
        <w:rPr/>
        <w:t>其他应收款的预期信用损失的确定方法及会计处理方法</w:t>
      </w:r>
    </w:p>
    <w:p>
      <w:pPr>
        <w:pStyle w:val="Heading5"/>
        <w:spacing w:line="256" w:lineRule="auto" w:before="96"/>
        <w:ind w:right="1126" w:firstLine="420"/>
        <w:jc w:val="both"/>
      </w:pPr>
      <w:r>
        <w:rPr/>
        <w:t>本公司依据其他应收款信用风险自初始确认后是否已经显著增加，采用相当于未来 </w:t>
      </w:r>
      <w:r>
        <w:rPr>
          <w:rFonts w:ascii="Times New Roman" w:hAnsi="Times New Roman" w:cs="Times New Roman" w:eastAsia="Times New Roman" w:hint="default"/>
        </w:rPr>
        <w:t>12</w:t>
      </w:r>
      <w:r>
        <w:rPr>
          <w:rFonts w:ascii="Times New Roman" w:hAnsi="Times New Roman" w:cs="Times New Roman" w:eastAsia="Times New Roman" w:hint="default"/>
          <w:spacing w:val="27"/>
        </w:rPr>
        <w:t> </w:t>
      </w:r>
      <w:r>
        <w:rPr/>
        <w:t>个月内、或整</w:t>
      </w:r>
      <w:r>
        <w:rPr>
          <w:w w:val="100"/>
        </w:rPr>
        <w:t> </w:t>
      </w:r>
      <w:r>
        <w:rPr/>
        <w:t>个存续期的预期信用损失的金额计量减值损失。</w:t>
      </w:r>
    </w:p>
    <w:p>
      <w:pPr>
        <w:pStyle w:val="Heading5"/>
        <w:spacing w:line="264" w:lineRule="auto" w:before="22"/>
        <w:ind w:right="1126" w:firstLine="420"/>
        <w:jc w:val="both"/>
      </w:pPr>
      <w:r>
        <w:rPr/>
        <w:t>本公司于资产负债表日，将合并范围内公司间往来以外的其他应收款中单项金额在 </w:t>
      </w:r>
      <w:r>
        <w:rPr>
          <w:rFonts w:ascii="Times New Roman" w:hAnsi="Times New Roman" w:cs="Times New Roman" w:eastAsia="Times New Roman" w:hint="default"/>
        </w:rPr>
        <w:t>50</w:t>
      </w:r>
      <w:r>
        <w:rPr>
          <w:rFonts w:ascii="Times New Roman" w:hAnsi="Times New Roman" w:cs="Times New Roman" w:eastAsia="Times New Roman" w:hint="default"/>
          <w:spacing w:val="27"/>
        </w:rPr>
        <w:t> </w:t>
      </w:r>
      <w:r>
        <w:rPr/>
        <w:t>万元及以上的</w:t>
      </w:r>
      <w:r>
        <w:rPr>
          <w:w w:val="100"/>
        </w:rPr>
        <w:t> </w:t>
      </w:r>
      <w:r>
        <w:rPr>
          <w:spacing w:val="-2"/>
        </w:rPr>
        <w:t>其他应收款划分为单项金额重大的其他应收款。经单独测试后未单独计提坏账准备的其他应收款，归类为</w:t>
      </w:r>
      <w:r>
        <w:rPr>
          <w:spacing w:val="-44"/>
        </w:rPr>
        <w:t> </w:t>
      </w:r>
      <w:r>
        <w:rPr>
          <w:spacing w:val="-44"/>
        </w:rPr>
      </w:r>
      <w:r>
        <w:rPr/>
        <w:t>按账龄组合计提坏账准备。</w:t>
      </w:r>
    </w:p>
    <w:p>
      <w:pPr>
        <w:pStyle w:val="Heading5"/>
        <w:spacing w:line="240" w:lineRule="auto" w:before="16"/>
        <w:ind w:left="573" w:right="1133"/>
        <w:jc w:val="left"/>
      </w:pPr>
      <w:r>
        <w:rPr/>
        <w:t>除了单项评估信用风险的其他应收款外，</w:t>
      </w:r>
      <w:r>
        <w:rPr>
          <w:spacing w:val="-24"/>
        </w:rPr>
        <w:t> </w:t>
      </w:r>
      <w:r>
        <w:rPr/>
        <w:t>基于其信用风险特征，将其划分为不同组合：</w:t>
      </w:r>
    </w:p>
    <w:p>
      <w:pPr>
        <w:spacing w:after="0" w:line="240" w:lineRule="auto"/>
        <w:jc w:val="left"/>
        <w:sectPr>
          <w:pgSz w:w="11910" w:h="16840"/>
          <w:pgMar w:header="745" w:footer="980" w:top="1060" w:bottom="1160" w:left="980" w:right="0"/>
        </w:sectPr>
      </w:pPr>
    </w:p>
    <w:p>
      <w:pPr>
        <w:spacing w:line="240" w:lineRule="auto" w:before="11"/>
        <w:rPr>
          <w:rFonts w:ascii="宋体" w:hAnsi="宋体" w:cs="宋体" w:eastAsia="宋体" w:hint="default"/>
          <w:sz w:val="28"/>
          <w:szCs w:val="28"/>
        </w:rPr>
      </w:pPr>
    </w:p>
    <w:tbl>
      <w:tblPr>
        <w:tblW w:w="0" w:type="auto"/>
        <w:jc w:val="left"/>
        <w:tblInd w:w="138" w:type="dxa"/>
        <w:tblLayout w:type="fixed"/>
        <w:tblCellMar>
          <w:top w:w="0" w:type="dxa"/>
          <w:left w:w="0" w:type="dxa"/>
          <w:bottom w:w="0" w:type="dxa"/>
          <w:right w:w="0" w:type="dxa"/>
        </w:tblCellMar>
        <w:tblLook w:val="01E0"/>
      </w:tblPr>
      <w:tblGrid>
        <w:gridCol w:w="3306"/>
        <w:gridCol w:w="6354"/>
      </w:tblGrid>
      <w:tr>
        <w:trPr>
          <w:trHeight w:val="416" w:hRule="exact"/>
        </w:trPr>
        <w:tc>
          <w:tcPr>
            <w:tcW w:w="3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63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 w:right="0"/>
              <w:jc w:val="center"/>
              <w:rPr>
                <w:rFonts w:ascii="宋体" w:hAnsi="宋体" w:cs="宋体" w:eastAsia="宋体" w:hint="default"/>
                <w:sz w:val="18"/>
                <w:szCs w:val="18"/>
              </w:rPr>
            </w:pPr>
            <w:r>
              <w:rPr>
                <w:rFonts w:ascii="宋体" w:hAnsi="宋体" w:cs="宋体" w:eastAsia="宋体" w:hint="default"/>
                <w:sz w:val="18"/>
                <w:szCs w:val="18"/>
              </w:rPr>
              <w:t>确定组合的依据</w:t>
            </w:r>
          </w:p>
        </w:tc>
      </w:tr>
      <w:tr>
        <w:trPr>
          <w:trHeight w:val="422" w:hRule="exact"/>
        </w:trPr>
        <w:tc>
          <w:tcPr>
            <w:tcW w:w="3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6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宋体" w:hAnsi="宋体" w:cs="宋体" w:eastAsia="宋体" w:hint="default"/>
                <w:sz w:val="18"/>
                <w:szCs w:val="18"/>
              </w:rPr>
            </w:pPr>
            <w:r>
              <w:rPr>
                <w:rFonts w:ascii="宋体" w:hAnsi="宋体" w:cs="宋体" w:eastAsia="宋体" w:hint="default"/>
                <w:sz w:val="18"/>
                <w:szCs w:val="18"/>
              </w:rPr>
              <w:t>本组合以其他应收款的账龄作为信用风险特征。</w:t>
            </w:r>
          </w:p>
        </w:tc>
      </w:tr>
      <w:tr>
        <w:trPr>
          <w:trHeight w:val="420" w:hRule="exact"/>
        </w:trPr>
        <w:tc>
          <w:tcPr>
            <w:tcW w:w="3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合并范围内关联方组合</w:t>
            </w:r>
          </w:p>
        </w:tc>
        <w:tc>
          <w:tcPr>
            <w:tcW w:w="6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本组合为合并范围内关联方款项。</w:t>
            </w:r>
          </w:p>
        </w:tc>
      </w:tr>
    </w:tbl>
    <w:p>
      <w:pPr>
        <w:spacing w:line="240" w:lineRule="auto" w:before="10"/>
        <w:rPr>
          <w:rFonts w:ascii="宋体" w:hAnsi="宋体" w:cs="宋体" w:eastAsia="宋体" w:hint="default"/>
          <w:sz w:val="7"/>
          <w:szCs w:val="7"/>
        </w:rPr>
      </w:pPr>
    </w:p>
    <w:p>
      <w:pPr>
        <w:pStyle w:val="Heading3"/>
        <w:spacing w:line="240" w:lineRule="auto"/>
        <w:ind w:right="1133"/>
        <w:jc w:val="left"/>
      </w:pPr>
      <w:r>
        <w:rPr/>
        <w:t>组合中，账龄组合预期信用损失率如下：</w:t>
      </w:r>
    </w:p>
    <w:p>
      <w:pPr>
        <w:spacing w:line="240" w:lineRule="auto" w:before="12"/>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3351"/>
        <w:gridCol w:w="6308"/>
      </w:tblGrid>
      <w:tr>
        <w:trPr>
          <w:trHeight w:val="416" w:hRule="exact"/>
        </w:trPr>
        <w:tc>
          <w:tcPr>
            <w:tcW w:w="33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63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left="2" w:right="0"/>
              <w:jc w:val="center"/>
              <w:rPr>
                <w:rFonts w:ascii="宋体" w:hAnsi="宋体" w:cs="宋体" w:eastAsia="宋体" w:hint="default"/>
                <w:sz w:val="18"/>
                <w:szCs w:val="18"/>
              </w:rPr>
            </w:pPr>
            <w:r>
              <w:rPr>
                <w:rFonts w:ascii="宋体" w:hAnsi="宋体" w:cs="宋体" w:eastAsia="宋体" w:hint="default"/>
                <w:sz w:val="18"/>
                <w:szCs w:val="18"/>
              </w:rPr>
              <w:t>预期信用损失率（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420" w:hRule="exact"/>
        </w:trPr>
        <w:tc>
          <w:tcPr>
            <w:tcW w:w="3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年以内（含</w:t>
            </w:r>
            <w:r>
              <w:rPr>
                <w:rFonts w:ascii="Times New Roman" w:hAnsi="Times New Roman" w:cs="Times New Roman" w:eastAsia="Times New Roman" w:hint="default"/>
                <w:sz w:val="18"/>
                <w:szCs w:val="18"/>
              </w:rPr>
              <w:t>1</w:t>
            </w:r>
            <w:r>
              <w:rPr>
                <w:rFonts w:ascii="宋体" w:hAnsi="宋体" w:cs="宋体" w:eastAsia="宋体" w:hint="default"/>
                <w:sz w:val="18"/>
                <w:szCs w:val="18"/>
              </w:rPr>
              <w:t>年，下同）</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3.00</w:t>
            </w:r>
          </w:p>
        </w:tc>
      </w:tr>
      <w:tr>
        <w:trPr>
          <w:trHeight w:val="422" w:hRule="exact"/>
        </w:trPr>
        <w:tc>
          <w:tcPr>
            <w:tcW w:w="3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宋体" w:hAnsi="宋体" w:cs="宋体" w:eastAsia="宋体" w:hint="default"/>
                <w:sz w:val="18"/>
                <w:szCs w:val="18"/>
              </w:rPr>
              <w:t>年</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2" w:right="0"/>
              <w:jc w:val="center"/>
              <w:rPr>
                <w:rFonts w:ascii="Times New Roman" w:hAnsi="Times New Roman" w:cs="Times New Roman" w:eastAsia="Times New Roman" w:hint="default"/>
                <w:sz w:val="18"/>
                <w:szCs w:val="18"/>
              </w:rPr>
            </w:pPr>
            <w:r>
              <w:rPr>
                <w:rFonts w:ascii="Times New Roman"/>
                <w:sz w:val="18"/>
              </w:rPr>
              <w:t>5.00</w:t>
            </w:r>
          </w:p>
        </w:tc>
      </w:tr>
      <w:tr>
        <w:trPr>
          <w:trHeight w:val="420" w:hRule="exact"/>
        </w:trPr>
        <w:tc>
          <w:tcPr>
            <w:tcW w:w="3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宋体" w:hAnsi="宋体" w:cs="宋体" w:eastAsia="宋体" w:hint="default"/>
                <w:sz w:val="18"/>
                <w:szCs w:val="18"/>
              </w:rPr>
              <w:t>年</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3" w:right="0"/>
              <w:jc w:val="center"/>
              <w:rPr>
                <w:rFonts w:ascii="Times New Roman" w:hAnsi="Times New Roman" w:cs="Times New Roman" w:eastAsia="Times New Roman" w:hint="default"/>
                <w:sz w:val="18"/>
                <w:szCs w:val="18"/>
              </w:rPr>
            </w:pPr>
            <w:r>
              <w:rPr>
                <w:rFonts w:ascii="Times New Roman"/>
                <w:sz w:val="18"/>
              </w:rPr>
              <w:t>10.00</w:t>
            </w:r>
          </w:p>
        </w:tc>
      </w:tr>
      <w:tr>
        <w:trPr>
          <w:trHeight w:val="423" w:hRule="exact"/>
        </w:trPr>
        <w:tc>
          <w:tcPr>
            <w:tcW w:w="3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年以上</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3" w:right="0"/>
              <w:jc w:val="center"/>
              <w:rPr>
                <w:rFonts w:ascii="Times New Roman" w:hAnsi="Times New Roman" w:cs="Times New Roman" w:eastAsia="Times New Roman" w:hint="default"/>
                <w:sz w:val="18"/>
                <w:szCs w:val="18"/>
              </w:rPr>
            </w:pPr>
            <w:r>
              <w:rPr>
                <w:rFonts w:ascii="Times New Roman"/>
                <w:sz w:val="18"/>
              </w:rPr>
              <w:t>50.00</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15、存货" w:id="188"/>
      <w:bookmarkEnd w:id="188"/>
      <w:r>
        <w:rPr>
          <w:b w:val="0"/>
          <w:bCs w:val="0"/>
        </w:rPr>
      </w:r>
      <w:r>
        <w:rPr>
          <w:rFonts w:ascii="Times New Roman" w:hAnsi="Times New Roman" w:cs="Times New Roman" w:eastAsia="Times New Roman" w:hint="default"/>
        </w:rPr>
        <w:t>15</w:t>
      </w:r>
      <w:r>
        <w:rPr/>
        <w:t>、存货</w:t>
      </w:r>
      <w:r>
        <w:rPr>
          <w:b w:val="0"/>
          <w:bCs w:val="0"/>
        </w:rPr>
      </w:r>
    </w:p>
    <w:p>
      <w:pPr>
        <w:spacing w:line="240" w:lineRule="auto" w:before="7"/>
        <w:rPr>
          <w:rFonts w:ascii="宋体" w:hAnsi="宋体" w:cs="宋体" w:eastAsia="宋体" w:hint="default"/>
          <w:b/>
          <w:bCs/>
          <w:sz w:val="24"/>
          <w:szCs w:val="24"/>
        </w:rPr>
      </w:pPr>
    </w:p>
    <w:p>
      <w:pPr>
        <w:pStyle w:val="Heading5"/>
        <w:spacing w:line="256" w:lineRule="auto" w:before="0"/>
        <w:ind w:left="573" w:right="1133"/>
        <w:jc w:val="left"/>
      </w:pPr>
      <w:r>
        <w:rPr/>
        <w:t>（</w:t>
      </w:r>
      <w:r>
        <w:rPr>
          <w:rFonts w:ascii="Times New Roman" w:hAnsi="Times New Roman" w:cs="Times New Roman" w:eastAsia="Times New Roman" w:hint="default"/>
        </w:rPr>
        <w:t>1</w:t>
      </w:r>
      <w:r>
        <w:rPr/>
        <w:t>）存货的分类</w:t>
      </w:r>
      <w:r>
        <w:rPr>
          <w:w w:val="100"/>
        </w:rPr>
        <w:t> </w:t>
      </w:r>
      <w:r>
        <w:rPr>
          <w:spacing w:val="-2"/>
        </w:rPr>
        <w:t>存货主要包括原材料、生产成本、工程施工、库存商品、发出商品、低值易耗品、委托加工材料等。</w:t>
      </w:r>
    </w:p>
    <w:p>
      <w:pPr>
        <w:pStyle w:val="Heading5"/>
        <w:spacing w:line="256" w:lineRule="auto" w:before="22"/>
        <w:ind w:left="573" w:right="1133"/>
        <w:jc w:val="left"/>
      </w:pPr>
      <w:r>
        <w:rPr/>
        <w:t>（</w:t>
      </w:r>
      <w:r>
        <w:rPr>
          <w:rFonts w:ascii="Times New Roman" w:hAnsi="Times New Roman" w:cs="Times New Roman" w:eastAsia="Times New Roman" w:hint="default"/>
        </w:rPr>
        <w:t>2</w:t>
      </w:r>
      <w:r>
        <w:rPr/>
        <w:t>）存货取得和发出的计价方法</w:t>
      </w:r>
      <w:r>
        <w:rPr>
          <w:w w:val="100"/>
        </w:rPr>
        <w:t> </w:t>
      </w:r>
      <w:r>
        <w:rPr>
          <w:spacing w:val="-2"/>
        </w:rPr>
        <w:t>存货在取得时按实际成本计价，存货成本包括采购成本、加工成本和其他成本。领用和发出时按移动</w:t>
      </w:r>
    </w:p>
    <w:p>
      <w:pPr>
        <w:pStyle w:val="Heading5"/>
        <w:spacing w:line="273" w:lineRule="auto" w:before="22"/>
        <w:ind w:left="573" w:right="1133" w:hanging="421"/>
        <w:jc w:val="left"/>
      </w:pPr>
      <w:r>
        <w:rPr/>
        <w:t>加权平均计价。</w:t>
      </w:r>
      <w:r>
        <w:rPr>
          <w:spacing w:val="-103"/>
        </w:rPr>
        <w:t> </w:t>
      </w:r>
      <w:r>
        <w:rPr>
          <w:spacing w:val="-103"/>
        </w:rPr>
      </w:r>
      <w:r>
        <w:rPr>
          <w:spacing w:val="-2"/>
        </w:rPr>
        <w:t>工程施工成本核算方法为：按照单个项目为核算对象，分别核算工程施工成本；项目未完工前，按单</w:t>
      </w:r>
    </w:p>
    <w:p>
      <w:pPr>
        <w:pStyle w:val="Heading5"/>
        <w:spacing w:line="273" w:lineRule="auto"/>
        <w:ind w:right="1126"/>
        <w:jc w:val="both"/>
      </w:pPr>
      <w:r>
        <w:rPr>
          <w:spacing w:val="-2"/>
        </w:rPr>
        <w:t>个项目归集所发生的实际成本。期末按完工百分比法确认合同收入，按配比原则结转营业成本。项目完工</w:t>
      </w:r>
      <w:r>
        <w:rPr>
          <w:spacing w:val="-44"/>
        </w:rPr>
        <w:t> </w:t>
      </w:r>
      <w:r>
        <w:rPr>
          <w:spacing w:val="-44"/>
        </w:rPr>
      </w:r>
      <w:r>
        <w:rPr>
          <w:spacing w:val="-2"/>
        </w:rPr>
        <w:t>时，按照累计实际发生的合同成本扣除以前会计期间累计已确认成本后的金额，确认为当期合同成本，并</w:t>
      </w:r>
      <w:r>
        <w:rPr>
          <w:spacing w:val="-42"/>
        </w:rPr>
        <w:t> </w:t>
      </w:r>
      <w:r>
        <w:rPr>
          <w:spacing w:val="-42"/>
        </w:rPr>
      </w:r>
      <w:r>
        <w:rPr/>
        <w:t>结转工程施工成本。</w:t>
      </w:r>
    </w:p>
    <w:p>
      <w:pPr>
        <w:pStyle w:val="Heading5"/>
        <w:spacing w:line="273" w:lineRule="auto"/>
        <w:ind w:right="1126" w:firstLine="420"/>
        <w:jc w:val="both"/>
      </w:pPr>
      <w:r>
        <w:rPr>
          <w:spacing w:val="2"/>
        </w:rPr>
        <w:t>本公司累计已发生的工程施工成本和累计已确认的工程施工毛利之和大于累计已办理结算的合同价</w:t>
      </w:r>
      <w:r>
        <w:rPr>
          <w:w w:val="100"/>
        </w:rPr>
        <w:t> </w:t>
      </w:r>
      <w:r>
        <w:rPr>
          <w:spacing w:val="-2"/>
        </w:rPr>
        <w:t>款的差额为已完工未结算款，在存货中列示；累计已发生的施工成本和累计已确认的毛利之和小于累计已</w:t>
      </w:r>
      <w:r>
        <w:rPr>
          <w:spacing w:val="-43"/>
        </w:rPr>
        <w:t> </w:t>
      </w:r>
      <w:r>
        <w:rPr>
          <w:spacing w:val="-43"/>
        </w:rPr>
      </w:r>
      <w:r>
        <w:rPr/>
        <w:t>办理结算的合同价款的差额为已结算未完工款，在预收款项中反映。</w:t>
      </w:r>
    </w:p>
    <w:p>
      <w:pPr>
        <w:pStyle w:val="Heading5"/>
        <w:spacing w:line="256" w:lineRule="auto"/>
        <w:ind w:left="573" w:right="1133"/>
        <w:jc w:val="left"/>
      </w:pPr>
      <w:r>
        <w:rPr/>
        <w:t>（</w:t>
      </w:r>
      <w:r>
        <w:rPr>
          <w:rFonts w:ascii="Times New Roman" w:hAnsi="Times New Roman" w:cs="Times New Roman" w:eastAsia="Times New Roman" w:hint="default"/>
        </w:rPr>
        <w:t>3</w:t>
      </w:r>
      <w:r>
        <w:rPr/>
        <w:t>）存货可变现净值的确认和跌价准备的计提方法</w:t>
      </w:r>
      <w:r>
        <w:rPr>
          <w:w w:val="100"/>
        </w:rPr>
        <w:t> </w:t>
      </w:r>
      <w:r>
        <w:rPr>
          <w:spacing w:val="-2"/>
        </w:rPr>
        <w:t>可变现净值是指在日常活动中，存货的估计售价减去至完工时估计将要发生的成本、估计的销售费用</w:t>
      </w:r>
    </w:p>
    <w:p>
      <w:pPr>
        <w:pStyle w:val="Heading5"/>
        <w:spacing w:line="273" w:lineRule="auto" w:before="22"/>
        <w:ind w:right="1126"/>
        <w:jc w:val="both"/>
      </w:pPr>
      <w:r>
        <w:rPr>
          <w:spacing w:val="-2"/>
        </w:rPr>
        <w:t>以及相关税费后的金额。在确定存货的可变现净值时，以取得的确凿证据为基础，同时考虑持有存货的目</w:t>
      </w:r>
      <w:r>
        <w:rPr>
          <w:spacing w:val="-43"/>
        </w:rPr>
        <w:t> </w:t>
      </w:r>
      <w:r>
        <w:rPr>
          <w:spacing w:val="-43"/>
        </w:rPr>
      </w:r>
      <w:r>
        <w:rPr/>
        <w:t>的以及资产负债表日后事项的影响。</w:t>
      </w:r>
    </w:p>
    <w:p>
      <w:pPr>
        <w:pStyle w:val="Heading5"/>
        <w:spacing w:line="273" w:lineRule="auto"/>
        <w:ind w:right="1126" w:firstLine="420"/>
        <w:jc w:val="both"/>
      </w:pPr>
      <w:r>
        <w:rPr>
          <w:spacing w:val="-2"/>
        </w:rPr>
        <w:t>在资产负债表日，存货按照成本与可变现净值孰低计量。当其可变现净值低于成本时，提取存货跌价</w:t>
      </w:r>
      <w:r>
        <w:rPr>
          <w:w w:val="100"/>
        </w:rPr>
        <w:t> </w:t>
      </w:r>
      <w:r>
        <w:rPr/>
        <w:t>准备。存货跌价准备按单个存货项目的成本高于其可变现净值的差额提取。</w:t>
      </w:r>
    </w:p>
    <w:p>
      <w:pPr>
        <w:pStyle w:val="Heading5"/>
        <w:spacing w:line="273" w:lineRule="auto"/>
        <w:ind w:right="1126" w:firstLine="420"/>
        <w:jc w:val="both"/>
      </w:pPr>
      <w:r>
        <w:rPr>
          <w:spacing w:val="-2"/>
        </w:rPr>
        <w:t>对于工程施工成本，对预计工程总成本超过预计总收入的工程项目，按照预计工程总成本超过预计总</w:t>
      </w:r>
      <w:r>
        <w:rPr>
          <w:w w:val="100"/>
        </w:rPr>
        <w:t> </w:t>
      </w:r>
      <w:r>
        <w:rPr/>
        <w:t>收入的部分，计提存货跌价准备。</w:t>
      </w:r>
    </w:p>
    <w:p>
      <w:pPr>
        <w:pStyle w:val="Heading5"/>
        <w:spacing w:line="273" w:lineRule="auto"/>
        <w:ind w:right="1126" w:firstLine="420"/>
        <w:jc w:val="both"/>
      </w:pPr>
      <w:r>
        <w:rPr>
          <w:spacing w:val="-2"/>
        </w:rPr>
        <w:t>计提存货跌价准备后，如果以前减记存货价值的影响因素已经消失，导致存货的可变现净值高于其账</w:t>
      </w:r>
      <w:r>
        <w:rPr>
          <w:w w:val="100"/>
        </w:rPr>
        <w:t> </w:t>
      </w:r>
      <w:r>
        <w:rPr/>
        <w:t>面价值的，在原已计提的存货跌价准备金额内予以转回，转回的金额计入当期损益。</w:t>
      </w:r>
    </w:p>
    <w:p>
      <w:pPr>
        <w:pStyle w:val="Heading5"/>
        <w:spacing w:line="240" w:lineRule="auto"/>
        <w:ind w:left="573" w:right="1133"/>
        <w:jc w:val="left"/>
      </w:pPr>
      <w:r>
        <w:rPr/>
        <w:t>（</w:t>
      </w:r>
      <w:r>
        <w:rPr>
          <w:rFonts w:ascii="Times New Roman" w:hAnsi="Times New Roman" w:cs="Times New Roman" w:eastAsia="Times New Roman" w:hint="default"/>
        </w:rPr>
        <w:t>4</w:t>
      </w:r>
      <w:r>
        <w:rPr/>
        <w:t>）存货的盘存制度为永续盘存制。</w:t>
      </w:r>
    </w:p>
    <w:p>
      <w:pPr>
        <w:pStyle w:val="Heading5"/>
        <w:spacing w:line="256" w:lineRule="auto" w:before="21"/>
        <w:ind w:left="573" w:right="1133"/>
        <w:jc w:val="left"/>
      </w:pPr>
      <w:r>
        <w:rPr/>
        <w:t>（</w:t>
      </w:r>
      <w:r>
        <w:rPr>
          <w:rFonts w:ascii="Times New Roman" w:hAnsi="Times New Roman" w:cs="Times New Roman" w:eastAsia="Times New Roman" w:hint="default"/>
        </w:rPr>
        <w:t>5</w:t>
      </w:r>
      <w:r>
        <w:rPr/>
        <w:t>）低值易耗品和包装物的摊销方法</w:t>
      </w:r>
      <w:r>
        <w:rPr>
          <w:w w:val="100"/>
        </w:rPr>
        <w:t> </w:t>
      </w:r>
      <w:r>
        <w:rPr>
          <w:spacing w:val="-2"/>
        </w:rPr>
        <w:t>低值易耗品于领用时按一次摊销法摊销；包装物于领用时按一次摊销法摊销。</w:t>
      </w:r>
    </w:p>
    <w:p>
      <w:pPr>
        <w:spacing w:line="240" w:lineRule="auto" w:before="8"/>
        <w:rPr>
          <w:rFonts w:ascii="宋体" w:hAnsi="宋体" w:cs="宋体" w:eastAsia="宋体" w:hint="default"/>
          <w:sz w:val="24"/>
          <w:szCs w:val="24"/>
        </w:rPr>
      </w:pPr>
    </w:p>
    <w:p>
      <w:pPr>
        <w:pStyle w:val="Heading5"/>
        <w:spacing w:line="506" w:lineRule="auto" w:before="0"/>
        <w:ind w:left="573" w:right="1133" w:hanging="421"/>
        <w:jc w:val="left"/>
      </w:pPr>
      <w:bookmarkStart w:name="16、持有待售资产" w:id="189"/>
      <w:bookmarkEnd w:id="189"/>
      <w:r>
        <w:rPr/>
      </w:r>
      <w:r>
        <w:rPr>
          <w:rFonts w:ascii="Times New Roman" w:hAnsi="Times New Roman" w:cs="Times New Roman" w:eastAsia="Times New Roman" w:hint="default"/>
          <w:b/>
          <w:bCs/>
        </w:rPr>
        <w:t>16</w:t>
      </w:r>
      <w:r>
        <w:rPr>
          <w:rFonts w:ascii="宋体" w:hAnsi="宋体" w:cs="宋体" w:eastAsia="宋体" w:hint="default"/>
          <w:b/>
          <w:bCs/>
        </w:rPr>
        <w:t>、持有待售资产</w:t>
      </w:r>
      <w:r>
        <w:rPr>
          <w:rFonts w:ascii="宋体" w:hAnsi="宋体" w:cs="宋体" w:eastAsia="宋体" w:hint="default"/>
          <w:b/>
          <w:bCs/>
          <w:w w:val="100"/>
        </w:rPr>
        <w:t> </w:t>
      </w:r>
      <w:r>
        <w:rPr>
          <w:spacing w:val="-2"/>
        </w:rPr>
        <w:t>本公司若主要通过出售（包括具有商业实质的非货币性资产交换，下同）而非持续使用一项非流动资</w:t>
      </w:r>
    </w:p>
    <w:p>
      <w:pPr>
        <w:spacing w:after="0" w:line="506" w:lineRule="auto"/>
        <w:jc w:val="left"/>
        <w:sectPr>
          <w:footerReference w:type="default" r:id="rId20"/>
          <w:pgSz w:w="11910" w:h="16840"/>
          <w:pgMar w:footer="980" w:header="745" w:top="1060" w:bottom="1160" w:left="980" w:right="0"/>
          <w:pgNumType w:start="112"/>
        </w:sectPr>
      </w:pPr>
    </w:p>
    <w:p>
      <w:pPr>
        <w:spacing w:line="240" w:lineRule="auto" w:before="10"/>
        <w:rPr>
          <w:rFonts w:ascii="宋体" w:hAnsi="宋体" w:cs="宋体" w:eastAsia="宋体" w:hint="default"/>
          <w:sz w:val="24"/>
          <w:szCs w:val="24"/>
        </w:rPr>
      </w:pPr>
    </w:p>
    <w:p>
      <w:pPr>
        <w:pStyle w:val="Heading5"/>
        <w:spacing w:line="268" w:lineRule="auto" w:before="36"/>
        <w:ind w:right="1126"/>
        <w:jc w:val="both"/>
      </w:pPr>
      <w:r>
        <w:rPr>
          <w:spacing w:val="-2"/>
        </w:rPr>
        <w:t>产或处置组收回其账面价值的，则将其划分为持有待售类别。具体标准为同时满足以下条件：某项非流动</w:t>
      </w:r>
      <w:r>
        <w:rPr>
          <w:spacing w:val="-45"/>
        </w:rPr>
        <w:t> </w:t>
      </w:r>
      <w:r>
        <w:rPr>
          <w:spacing w:val="-45"/>
        </w:rPr>
      </w:r>
      <w:r>
        <w:rPr>
          <w:spacing w:val="-2"/>
        </w:rPr>
        <w:t>资产或处置组根据类似交易中出售此类资产或处置组的惯例，在当前状况下即可立即出售；本公司已经就</w:t>
      </w:r>
      <w:r>
        <w:rPr>
          <w:spacing w:val="-42"/>
        </w:rPr>
        <w:t> </w:t>
      </w:r>
      <w:r>
        <w:rPr>
          <w:spacing w:val="-42"/>
        </w:rPr>
      </w:r>
      <w:r>
        <w:rPr>
          <w:spacing w:val="-2"/>
        </w:rPr>
        <w:t>出售计划作出决议且获得确定的购买承诺；预计出售将在一年内完成。其中，处置组是指在一项交易中作</w:t>
      </w:r>
      <w:r>
        <w:rPr>
          <w:spacing w:val="-44"/>
        </w:rPr>
        <w:t> </w:t>
      </w:r>
      <w:r>
        <w:rPr>
          <w:spacing w:val="-44"/>
        </w:rPr>
      </w:r>
      <w:r>
        <w:rPr>
          <w:spacing w:val="-2"/>
        </w:rPr>
        <w:t>为整体通过出售或其他方式一并处置的一组资产，以及在该交易中转让的与这些资产直接相关的负债。处</w:t>
      </w:r>
      <w:r>
        <w:rPr>
          <w:spacing w:val="-43"/>
        </w:rPr>
        <w:t> </w:t>
      </w:r>
      <w:r>
        <w:rPr>
          <w:spacing w:val="-43"/>
        </w:rPr>
      </w:r>
      <w:r>
        <w:rPr>
          <w:spacing w:val="-4"/>
        </w:rPr>
        <w:t>置组所属的资产组或资产组组合按照《企业会计准则第</w:t>
      </w:r>
      <w:r>
        <w:rPr>
          <w:spacing w:val="20"/>
        </w:rPr>
        <w:t> </w:t>
      </w:r>
      <w:r>
        <w:rPr>
          <w:rFonts w:ascii="Times New Roman" w:hAnsi="Times New Roman" w:cs="Times New Roman" w:eastAsia="Times New Roman" w:hint="default"/>
        </w:rPr>
        <w:t>8</w:t>
      </w:r>
      <w:r>
        <w:rPr>
          <w:rFonts w:ascii="Times New Roman" w:hAnsi="Times New Roman" w:cs="Times New Roman" w:eastAsia="Times New Roman" w:hint="default"/>
          <w:spacing w:val="17"/>
        </w:rPr>
        <w:t> </w:t>
      </w:r>
      <w:r>
        <w:rPr>
          <w:spacing w:val="-4"/>
        </w:rPr>
        <w:t>号</w:t>
      </w:r>
      <w:r>
        <w:rPr>
          <w:rFonts w:ascii="Times New Roman" w:hAnsi="Times New Roman" w:cs="Times New Roman" w:eastAsia="Times New Roman" w:hint="default"/>
          <w:spacing w:val="-4"/>
        </w:rPr>
        <w:t>——</w:t>
      </w:r>
      <w:r>
        <w:rPr>
          <w:spacing w:val="-4"/>
        </w:rPr>
        <w:t>资产减值》分摊了企业合并中取得的商誉</w:t>
      </w:r>
      <w:r>
        <w:rPr>
          <w:spacing w:val="-96"/>
        </w:rPr>
        <w:t> </w:t>
      </w:r>
      <w:r>
        <w:rPr>
          <w:spacing w:val="-96"/>
        </w:rPr>
      </w:r>
      <w:r>
        <w:rPr/>
        <w:t>的，该处置组应当包含分摊至处置组的商誉。</w:t>
      </w:r>
    </w:p>
    <w:p>
      <w:pPr>
        <w:pStyle w:val="Heading5"/>
        <w:spacing w:line="268" w:lineRule="auto" w:before="12"/>
        <w:ind w:right="0" w:firstLine="420"/>
        <w:jc w:val="left"/>
      </w:pPr>
      <w:r>
        <w:rPr/>
        <w:t>本公司初始计量或在资产负债表日重新计量划分为持有待售的非流动资产和处置组时，其账面价值高</w:t>
      </w:r>
      <w:r>
        <w:rPr>
          <w:w w:val="100"/>
        </w:rPr>
        <w:t> </w:t>
      </w:r>
      <w:r>
        <w:rPr/>
        <w:t>于公允价值减去出售费用后的净额的，将账面价值减记至公允价值减去出售费用后的净额，减记的金额确</w:t>
      </w:r>
      <w:r>
        <w:rPr>
          <w:w w:val="100"/>
        </w:rPr>
        <w:t> </w:t>
      </w:r>
      <w:r>
        <w:rPr>
          <w:spacing w:val="-2"/>
        </w:rPr>
        <w:t>认为资产减值损失，计入当期损益，同时计提持有待售资产减值准备。对于处置组，所确认的资产减值损</w:t>
      </w:r>
      <w:r>
        <w:rPr>
          <w:spacing w:val="-50"/>
        </w:rPr>
        <w:t> </w:t>
      </w:r>
      <w:r>
        <w:rPr>
          <w:spacing w:val="-50"/>
        </w:rPr>
      </w:r>
      <w:r>
        <w:rPr/>
        <w:t>失先抵减处置组中商誉的账面价值，再按比例抵减该处置组内适用《企业会计准则第</w:t>
      </w:r>
      <w:r>
        <w:rPr>
          <w:rFonts w:ascii="Times New Roman" w:hAnsi="Times New Roman" w:cs="Times New Roman" w:eastAsia="Times New Roman" w:hint="default"/>
        </w:rPr>
        <w:t>42</w:t>
      </w:r>
      <w:r>
        <w:rPr/>
        <w:t>号</w:t>
      </w:r>
      <w:r>
        <w:rPr>
          <w:rFonts w:ascii="Times New Roman" w:hAnsi="Times New Roman" w:cs="Times New Roman" w:eastAsia="Times New Roman" w:hint="default"/>
        </w:rPr>
        <w:t>——</w:t>
      </w:r>
      <w:r>
        <w:rPr/>
        <w:t>持有待售的</w:t>
      </w:r>
      <w:r>
        <w:rPr>
          <w:w w:val="100"/>
        </w:rPr>
        <w:t> </w:t>
      </w:r>
      <w:r>
        <w:rPr>
          <w:spacing w:val="-4"/>
        </w:rPr>
        <w:t>非流动资产、处置组和终止经营》（以下简称</w:t>
      </w:r>
      <w:r>
        <w:rPr>
          <w:rFonts w:ascii="Times New Roman" w:hAnsi="Times New Roman" w:cs="Times New Roman" w:eastAsia="Times New Roman" w:hint="default"/>
          <w:spacing w:val="-4"/>
        </w:rPr>
        <w:t>“</w:t>
      </w:r>
      <w:r>
        <w:rPr>
          <w:spacing w:val="-4"/>
        </w:rPr>
        <w:t>持有待售准则</w:t>
      </w:r>
      <w:r>
        <w:rPr>
          <w:rFonts w:ascii="Times New Roman" w:hAnsi="Times New Roman" w:cs="Times New Roman" w:eastAsia="Times New Roman" w:hint="default"/>
          <w:spacing w:val="-4"/>
        </w:rPr>
        <w:t>”</w:t>
      </w:r>
      <w:r>
        <w:rPr>
          <w:spacing w:val="-4"/>
        </w:rPr>
        <w:t>）的计量规定的各项非流动资产的账面价值。</w:t>
      </w:r>
      <w:r>
        <w:rPr>
          <w:spacing w:val="-24"/>
        </w:rPr>
        <w:t> </w:t>
      </w:r>
      <w:r>
        <w:rPr>
          <w:spacing w:val="-24"/>
        </w:rPr>
      </w:r>
      <w:r>
        <w:rPr/>
        <w:t>后续资产负债表日持有待售的处置组公允价值减去出售费用后的净额增加的，以前减记的金额应当予以恢</w:t>
      </w:r>
      <w:r>
        <w:rPr>
          <w:w w:val="100"/>
        </w:rPr>
        <w:t> </w:t>
      </w:r>
      <w:r>
        <w:rPr/>
        <w:t>复，并在划分为持有待售类别后适用持有待售准则计量规定的非流动资产确认的资产减值损失金额内转</w:t>
      </w:r>
      <w:r>
        <w:rPr>
          <w:w w:val="100"/>
        </w:rPr>
        <w:t> </w:t>
      </w:r>
      <w:r>
        <w:rPr>
          <w:spacing w:val="-2"/>
        </w:rPr>
        <w:t>回，转回金额计入当期损益，并根据处置组中除商誉外适用持有待售准则计量规定的各项非流动资产账面</w:t>
      </w:r>
      <w:r>
        <w:rPr>
          <w:spacing w:val="-44"/>
        </w:rPr>
        <w:t> </w:t>
      </w:r>
      <w:r>
        <w:rPr>
          <w:spacing w:val="-44"/>
        </w:rPr>
      </w:r>
      <w:r>
        <w:rPr>
          <w:spacing w:val="-2"/>
        </w:rPr>
        <w:t>价值所占比重按比例增加其账面价值；已抵减的商誉账面价值，以及适用持有待售准则计量规定的非流动</w:t>
      </w:r>
      <w:r>
        <w:rPr>
          <w:spacing w:val="-44"/>
        </w:rPr>
        <w:t> </w:t>
      </w:r>
      <w:r>
        <w:rPr>
          <w:spacing w:val="-44"/>
        </w:rPr>
      </w:r>
      <w:r>
        <w:rPr/>
        <w:t>资产在划分为持有待售类别前确认的资产减值损失不得转回。</w:t>
      </w:r>
    </w:p>
    <w:p>
      <w:pPr>
        <w:pStyle w:val="Heading5"/>
        <w:spacing w:line="273" w:lineRule="auto" w:before="12"/>
        <w:ind w:right="1133" w:firstLine="420"/>
        <w:jc w:val="left"/>
      </w:pPr>
      <w:r>
        <w:rPr>
          <w:spacing w:val="-2"/>
        </w:rPr>
        <w:t>持有待售的非流动资产或处置组中的非流动资产不计提折旧或摊销，持有待售的处置组中负债的利息</w:t>
      </w:r>
      <w:r>
        <w:rPr>
          <w:w w:val="100"/>
        </w:rPr>
        <w:t> </w:t>
      </w:r>
      <w:r>
        <w:rPr/>
        <w:t>和其他费用继续予以确认。</w:t>
      </w:r>
    </w:p>
    <w:p>
      <w:pPr>
        <w:pStyle w:val="Heading5"/>
        <w:spacing w:line="261" w:lineRule="auto"/>
        <w:ind w:right="0" w:firstLine="420"/>
        <w:jc w:val="left"/>
      </w:pPr>
      <w:r>
        <w:rPr/>
        <w:t>非流动资产或处置组不再满足持有待售类别的划分条件时，本公司不再将其继续划分为持有待售类别</w:t>
      </w:r>
      <w:r>
        <w:rPr>
          <w:w w:val="100"/>
        </w:rPr>
        <w:t> </w:t>
      </w:r>
      <w:r>
        <w:rPr/>
        <w:t>或将非流动资产从持有待售的处置组中移除，并按照以下两者孰低计量：（</w:t>
      </w:r>
      <w:r>
        <w:rPr>
          <w:rFonts w:ascii="Times New Roman" w:hAnsi="Times New Roman" w:cs="Times New Roman" w:eastAsia="Times New Roman" w:hint="default"/>
        </w:rPr>
        <w:t>1</w:t>
      </w:r>
      <w:r>
        <w:rPr/>
        <w:t>）划分为持有待售类别前的</w:t>
      </w:r>
      <w:r>
        <w:rPr>
          <w:spacing w:val="-21"/>
        </w:rPr>
        <w:t> </w:t>
      </w:r>
      <w:r>
        <w:rPr>
          <w:spacing w:val="-21"/>
        </w:rPr>
      </w:r>
      <w:r>
        <w:rPr>
          <w:spacing w:val="-7"/>
          <w:w w:val="100"/>
        </w:rPr>
        <w:t>账面价值，按照假定不划分为持有待售类别情况下本应确认的折旧、摊销或减值等进行调整后的金额；（</w:t>
      </w:r>
      <w:r>
        <w:rPr>
          <w:rFonts w:ascii="Times New Roman" w:hAnsi="Times New Roman" w:cs="Times New Roman" w:eastAsia="Times New Roman" w:hint="default"/>
          <w:spacing w:val="-7"/>
          <w:w w:val="100"/>
        </w:rPr>
        <w:t>2</w:t>
      </w:r>
      <w:r>
        <w:rPr>
          <w:spacing w:val="-7"/>
          <w:w w:val="100"/>
        </w:rPr>
        <w:t>）</w:t>
      </w:r>
      <w:r>
        <w:rPr>
          <w:spacing w:val="-70"/>
          <w:w w:val="100"/>
        </w:rPr>
        <w:t> </w:t>
      </w:r>
      <w:r>
        <w:rPr/>
        <w:t>可收回金额。</w:t>
      </w:r>
    </w:p>
    <w:p>
      <w:pPr>
        <w:pStyle w:val="Heading5"/>
        <w:spacing w:line="600" w:lineRule="atLeast" w:before="9"/>
        <w:ind w:left="573" w:right="1133" w:hanging="421"/>
        <w:jc w:val="left"/>
      </w:pPr>
      <w:bookmarkStart w:name="17、长期股权投资" w:id="190"/>
      <w:bookmarkEnd w:id="190"/>
      <w:r>
        <w:rPr/>
      </w:r>
      <w:r>
        <w:rPr>
          <w:rFonts w:ascii="Times New Roman" w:hAnsi="Times New Roman" w:cs="Times New Roman" w:eastAsia="Times New Roman" w:hint="default"/>
          <w:b/>
          <w:bCs/>
        </w:rPr>
        <w:t>17</w:t>
      </w:r>
      <w:r>
        <w:rPr>
          <w:rFonts w:ascii="宋体" w:hAnsi="宋体" w:cs="宋体" w:eastAsia="宋体" w:hint="default"/>
          <w:b/>
          <w:bCs/>
        </w:rPr>
        <w:t>、长期股权投资</w:t>
      </w:r>
      <w:r>
        <w:rPr>
          <w:rFonts w:ascii="宋体" w:hAnsi="宋体" w:cs="宋体" w:eastAsia="宋体" w:hint="default"/>
          <w:b/>
          <w:bCs/>
          <w:w w:val="100"/>
        </w:rPr>
        <w:t> </w:t>
      </w:r>
      <w:r>
        <w:rPr>
          <w:spacing w:val="-2"/>
        </w:rPr>
        <w:t>本部分所指的长期股权投资是指本公司对被投资单位具有控制、共同控制或重大影响的长期股权投</w:t>
      </w:r>
    </w:p>
    <w:p>
      <w:pPr>
        <w:pStyle w:val="Heading5"/>
        <w:spacing w:line="273" w:lineRule="auto" w:before="37"/>
        <w:ind w:right="1126"/>
        <w:jc w:val="both"/>
      </w:pPr>
      <w:r>
        <w:rPr>
          <w:spacing w:val="-2"/>
        </w:rPr>
        <w:t>资。本公司对被投资单位不具有控制、共同控制或重大影响的长期股权投资，作为可供出售金融资产或以</w:t>
      </w:r>
      <w:r>
        <w:rPr>
          <w:spacing w:val="-43"/>
        </w:rPr>
        <w:t> </w:t>
      </w:r>
      <w:r>
        <w:rPr>
          <w:spacing w:val="-43"/>
        </w:rPr>
      </w:r>
      <w:r>
        <w:rPr/>
        <w:t>公允价值计量且其变动计入当期损益的金融资产核算，其会计政策详见附注</w:t>
      </w:r>
      <w:r>
        <w:rPr>
          <w:rFonts w:ascii="Times New Roman" w:hAnsi="Times New Roman" w:cs="Times New Roman" w:eastAsia="Times New Roman" w:hint="default"/>
        </w:rPr>
        <w:t>“</w:t>
      </w:r>
      <w:r>
        <w:rPr/>
        <w:t>四、</w:t>
      </w:r>
      <w:r>
        <w:rPr>
          <w:rFonts w:ascii="Times New Roman" w:hAnsi="Times New Roman" w:cs="Times New Roman" w:eastAsia="Times New Roman" w:hint="default"/>
        </w:rPr>
        <w:t>9</w:t>
      </w:r>
      <w:r>
        <w:rPr/>
        <w:t>、金融工具</w:t>
      </w:r>
      <w:r>
        <w:rPr>
          <w:rFonts w:ascii="Times New Roman" w:hAnsi="Times New Roman" w:cs="Times New Roman" w:eastAsia="Times New Roman" w:hint="default"/>
        </w:rPr>
        <w:t>”</w:t>
      </w:r>
      <w:r>
        <w:rPr/>
        <w:t>。</w:t>
      </w:r>
    </w:p>
    <w:p>
      <w:pPr>
        <w:pStyle w:val="Heading5"/>
        <w:spacing w:line="273" w:lineRule="auto" w:before="0"/>
        <w:ind w:right="1126" w:firstLine="420"/>
        <w:jc w:val="both"/>
      </w:pPr>
      <w:r>
        <w:rPr>
          <w:spacing w:val="-2"/>
        </w:rPr>
        <w:t>共同控制，是指本公司按照相关约定对某项安排所共有的控制，并且该安排的相关活动必须经过分享</w:t>
      </w:r>
      <w:r>
        <w:rPr>
          <w:w w:val="100"/>
        </w:rPr>
        <w:t> </w:t>
      </w:r>
      <w:r>
        <w:rPr>
          <w:spacing w:val="-2"/>
        </w:rPr>
        <w:t>控制权的参与方一致同意后才能决策。重大影响，是指本公司对被投资单位的财务和经营政策有参与决策</w:t>
      </w:r>
      <w:r>
        <w:rPr>
          <w:spacing w:val="-43"/>
        </w:rPr>
        <w:t> </w:t>
      </w:r>
      <w:r>
        <w:rPr>
          <w:spacing w:val="-43"/>
        </w:rPr>
      </w:r>
      <w:r>
        <w:rPr/>
        <w:t>的权力，但并不能够控制或者与其他方一起共同控制这些政策的制定。</w:t>
      </w:r>
    </w:p>
    <w:p>
      <w:pPr>
        <w:pStyle w:val="Heading5"/>
        <w:spacing w:line="256" w:lineRule="auto"/>
        <w:ind w:left="573" w:right="1133"/>
        <w:jc w:val="left"/>
      </w:pPr>
      <w:r>
        <w:rPr/>
        <w:t>（</w:t>
      </w:r>
      <w:r>
        <w:rPr>
          <w:rFonts w:ascii="Times New Roman" w:hAnsi="Times New Roman" w:cs="Times New Roman" w:eastAsia="Times New Roman" w:hint="default"/>
        </w:rPr>
        <w:t>1</w:t>
      </w:r>
      <w:r>
        <w:rPr/>
        <w:t>）投资成本的确定</w:t>
      </w:r>
      <w:r>
        <w:rPr>
          <w:w w:val="100"/>
        </w:rPr>
        <w:t> </w:t>
      </w:r>
      <w:r>
        <w:rPr>
          <w:spacing w:val="-2"/>
        </w:rPr>
        <w:t>对于同一控制下的企业合并取得的长期股权投资，在合并日按照被合并方所有者权益在最终控制方合</w:t>
      </w:r>
    </w:p>
    <w:p>
      <w:pPr>
        <w:pStyle w:val="Heading5"/>
        <w:spacing w:line="268" w:lineRule="auto" w:before="22"/>
        <w:ind w:right="1126"/>
        <w:jc w:val="both"/>
      </w:pPr>
      <w:r>
        <w:rPr>
          <w:spacing w:val="-2"/>
        </w:rPr>
        <w:t>并财务报表中的账面价值的份额作为长期股权投资的初始投资成本。长期股权投资初始投资成本与支付的</w:t>
      </w:r>
      <w:r>
        <w:rPr>
          <w:spacing w:val="-43"/>
        </w:rPr>
        <w:t> </w:t>
      </w:r>
      <w:r>
        <w:rPr>
          <w:spacing w:val="-43"/>
        </w:rPr>
      </w:r>
      <w:r>
        <w:rPr>
          <w:spacing w:val="-2"/>
        </w:rPr>
        <w:t>现金、转让的非现金资产以及所承担债务账面价值之间的差额，调整资本公积；资本公积不足冲减的，调</w:t>
      </w:r>
      <w:r>
        <w:rPr>
          <w:spacing w:val="-47"/>
        </w:rPr>
        <w:t> </w:t>
      </w:r>
      <w:r>
        <w:rPr>
          <w:spacing w:val="-47"/>
        </w:rPr>
      </w:r>
      <w:r>
        <w:rPr>
          <w:spacing w:val="-2"/>
        </w:rPr>
        <w:t>整留存收益。以发行权益性证券作为合并对价的，在合并日按照被合并方所有者权益在最终控制方合并财</w:t>
      </w:r>
      <w:r>
        <w:rPr>
          <w:spacing w:val="-43"/>
        </w:rPr>
        <w:t> </w:t>
      </w:r>
      <w:r>
        <w:rPr>
          <w:spacing w:val="-43"/>
        </w:rPr>
      </w:r>
      <w:r>
        <w:rPr>
          <w:spacing w:val="-2"/>
        </w:rPr>
        <w:t>务报表中的账面价值的份额作为长期股权投资的初始投资成本，按照发行股份的面值总额作为股本，长期</w:t>
      </w:r>
      <w:r>
        <w:rPr>
          <w:spacing w:val="-43"/>
        </w:rPr>
        <w:t> </w:t>
      </w:r>
      <w:r>
        <w:rPr>
          <w:spacing w:val="-43"/>
        </w:rPr>
      </w:r>
      <w:r>
        <w:rPr>
          <w:spacing w:val="-2"/>
        </w:rPr>
        <w:t>股权投资初始投资成本与所发行股份面值总额之间的差额，调整资本公积；资本公积不足冲减的，调整留</w:t>
      </w:r>
      <w:r>
        <w:rPr>
          <w:spacing w:val="-43"/>
        </w:rPr>
        <w:t> </w:t>
      </w:r>
      <w:r>
        <w:rPr>
          <w:spacing w:val="-43"/>
        </w:rPr>
      </w:r>
      <w:r>
        <w:rPr>
          <w:spacing w:val="-2"/>
        </w:rPr>
        <w:t>存收益。通过多次交易分步取得同一控制下被合并方的股权，最终形成同一控制下企业合并的，应分别是</w:t>
      </w:r>
      <w:r>
        <w:rPr>
          <w:spacing w:val="-43"/>
        </w:rPr>
        <w:t> </w:t>
      </w:r>
      <w:r>
        <w:rPr>
          <w:spacing w:val="-43"/>
        </w:rPr>
      </w:r>
      <w:r>
        <w:rPr>
          <w:spacing w:val="-2"/>
        </w:rPr>
        <w:t>否属于</w:t>
      </w:r>
      <w:r>
        <w:rPr>
          <w:rFonts w:ascii="Times New Roman" w:hAnsi="Times New Roman" w:cs="Times New Roman" w:eastAsia="Times New Roman" w:hint="default"/>
          <w:spacing w:val="-2"/>
        </w:rPr>
        <w:t>“</w:t>
      </w:r>
      <w:r>
        <w:rPr>
          <w:spacing w:val="-2"/>
        </w:rPr>
        <w:t>一揽子交易</w:t>
      </w:r>
      <w:r>
        <w:rPr>
          <w:rFonts w:ascii="Times New Roman" w:hAnsi="Times New Roman" w:cs="Times New Roman" w:eastAsia="Times New Roman" w:hint="default"/>
          <w:spacing w:val="-2"/>
        </w:rPr>
        <w:t>”</w:t>
      </w:r>
      <w:r>
        <w:rPr>
          <w:spacing w:val="-2"/>
        </w:rPr>
        <w:t>进行处理：属于</w:t>
      </w:r>
      <w:r>
        <w:rPr>
          <w:rFonts w:ascii="Times New Roman" w:hAnsi="Times New Roman" w:cs="Times New Roman" w:eastAsia="Times New Roman" w:hint="default"/>
          <w:spacing w:val="-2"/>
        </w:rPr>
        <w:t>“</w:t>
      </w:r>
      <w:r>
        <w:rPr>
          <w:spacing w:val="-2"/>
        </w:rPr>
        <w:t>一揽子交易</w:t>
      </w:r>
      <w:r>
        <w:rPr>
          <w:rFonts w:ascii="Times New Roman" w:hAnsi="Times New Roman" w:cs="Times New Roman" w:eastAsia="Times New Roman" w:hint="default"/>
          <w:spacing w:val="-2"/>
        </w:rPr>
        <w:t>”</w:t>
      </w:r>
      <w:r>
        <w:rPr>
          <w:spacing w:val="-2"/>
        </w:rPr>
        <w:t>的，将各项交易作为一项取得控制权的交易进行会计处</w:t>
      </w:r>
      <w:r>
        <w:rPr>
          <w:spacing w:val="-16"/>
        </w:rPr>
        <w:t> </w:t>
      </w:r>
      <w:r>
        <w:rPr>
          <w:spacing w:val="-16"/>
        </w:rPr>
      </w:r>
      <w:r>
        <w:rPr>
          <w:spacing w:val="-2"/>
        </w:rPr>
        <w:t>理。不属于</w:t>
      </w:r>
      <w:r>
        <w:rPr>
          <w:rFonts w:ascii="Times New Roman" w:hAnsi="Times New Roman" w:cs="Times New Roman" w:eastAsia="Times New Roman" w:hint="default"/>
          <w:spacing w:val="-2"/>
        </w:rPr>
        <w:t>“</w:t>
      </w:r>
      <w:r>
        <w:rPr>
          <w:spacing w:val="-2"/>
        </w:rPr>
        <w:t>一揽子交易</w:t>
      </w:r>
      <w:r>
        <w:rPr>
          <w:rFonts w:ascii="Times New Roman" w:hAnsi="Times New Roman" w:cs="Times New Roman" w:eastAsia="Times New Roman" w:hint="default"/>
          <w:spacing w:val="-2"/>
        </w:rPr>
        <w:t>”</w:t>
      </w:r>
      <w:r>
        <w:rPr>
          <w:spacing w:val="-2"/>
        </w:rPr>
        <w:t>的，在合并日按照应享有被合并方所有者权益在最终控制方合并财务报表中的账</w:t>
      </w:r>
      <w:r>
        <w:rPr>
          <w:spacing w:val="-18"/>
        </w:rPr>
        <w:t> </w:t>
      </w:r>
      <w:r>
        <w:rPr>
          <w:spacing w:val="-18"/>
        </w:rPr>
      </w:r>
      <w:r>
        <w:rPr>
          <w:spacing w:val="-2"/>
        </w:rPr>
        <w:t>面价值的份额作为长期股权投资的初始投资成本，长期股权投资初始投资成本与达到合并前的长期股权投</w:t>
      </w:r>
      <w:r>
        <w:rPr>
          <w:spacing w:val="-43"/>
        </w:rPr>
        <w:t> </w:t>
      </w:r>
      <w:r>
        <w:rPr>
          <w:spacing w:val="-43"/>
        </w:rPr>
      </w:r>
      <w:r>
        <w:rPr>
          <w:spacing w:val="-2"/>
        </w:rPr>
        <w:t>资账面价值加上合并日进一步取得股份新支付对价的账面价值之和的差额，调整资本公积；资本公积不足</w:t>
      </w:r>
      <w:r>
        <w:rPr>
          <w:spacing w:val="-42"/>
        </w:rPr>
        <w:t> </w:t>
      </w:r>
      <w:r>
        <w:rPr>
          <w:spacing w:val="-42"/>
        </w:rPr>
      </w:r>
      <w:r>
        <w:rPr>
          <w:spacing w:val="-2"/>
        </w:rPr>
        <w:t>冲减的，调整留存收益。合并日之前持有的股权投资因采用权益法核算或为可供出售金融资产而确认的其</w:t>
      </w:r>
    </w:p>
    <w:p>
      <w:pPr>
        <w:spacing w:after="0" w:line="268" w:lineRule="auto"/>
        <w:jc w:val="both"/>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5"/>
        <w:spacing w:line="273" w:lineRule="auto" w:before="36"/>
        <w:ind w:left="573" w:right="1133" w:hanging="421"/>
        <w:jc w:val="left"/>
      </w:pPr>
      <w:r>
        <w:rPr/>
        <w:t>他综合收益，暂不进行会计处理。</w:t>
      </w:r>
      <w:r>
        <w:rPr>
          <w:w w:val="100"/>
        </w:rPr>
        <w:t> </w:t>
      </w:r>
      <w:r>
        <w:rPr>
          <w:spacing w:val="-2"/>
        </w:rPr>
        <w:t>对于非同一控制下的企业合并取得的长期股权投资，在购买日按照合并成本作为长期股权投资的初始</w:t>
      </w:r>
    </w:p>
    <w:p>
      <w:pPr>
        <w:pStyle w:val="Heading5"/>
        <w:spacing w:line="264" w:lineRule="auto"/>
        <w:ind w:right="1133"/>
        <w:jc w:val="left"/>
      </w:pPr>
      <w:r>
        <w:rPr>
          <w:spacing w:val="-2"/>
        </w:rPr>
        <w:t>投资成本，合并成本包括购买方付出的资产、发生或承担的负债、发行的权益性证券的公允价值之和。通</w:t>
      </w:r>
      <w:r>
        <w:rPr>
          <w:spacing w:val="-47"/>
        </w:rPr>
        <w:t> </w:t>
      </w:r>
      <w:r>
        <w:rPr>
          <w:spacing w:val="-47"/>
        </w:rPr>
      </w:r>
      <w:r>
        <w:rPr/>
        <w:t>过多次交易分步取得被购买方的股权，最终形成非同一控制下的企业合并的，应分别是否属于</w:t>
      </w:r>
      <w:r>
        <w:rPr>
          <w:rFonts w:ascii="Times New Roman" w:hAnsi="Times New Roman" w:cs="Times New Roman" w:eastAsia="Times New Roman" w:hint="default"/>
        </w:rPr>
        <w:t>“</w:t>
      </w:r>
      <w:r>
        <w:rPr/>
        <w:t>一揽子交</w:t>
      </w:r>
      <w:r>
        <w:rPr>
          <w:w w:val="100"/>
        </w:rPr>
        <w:t> </w:t>
      </w:r>
      <w:r>
        <w:rPr>
          <w:spacing w:val="-2"/>
        </w:rPr>
        <w:t>易</w:t>
      </w:r>
      <w:r>
        <w:rPr>
          <w:rFonts w:ascii="Times New Roman" w:hAnsi="Times New Roman" w:cs="Times New Roman" w:eastAsia="Times New Roman" w:hint="default"/>
          <w:spacing w:val="-2"/>
        </w:rPr>
        <w:t>”</w:t>
      </w:r>
      <w:r>
        <w:rPr>
          <w:spacing w:val="-2"/>
        </w:rPr>
        <w:t>进行处理：属于</w:t>
      </w:r>
      <w:r>
        <w:rPr>
          <w:rFonts w:ascii="Times New Roman" w:hAnsi="Times New Roman" w:cs="Times New Roman" w:eastAsia="Times New Roman" w:hint="default"/>
          <w:spacing w:val="-2"/>
        </w:rPr>
        <w:t>“</w:t>
      </w:r>
      <w:r>
        <w:rPr>
          <w:spacing w:val="-2"/>
        </w:rPr>
        <w:t>一揽子交易</w:t>
      </w:r>
      <w:r>
        <w:rPr>
          <w:rFonts w:ascii="Times New Roman" w:hAnsi="Times New Roman" w:cs="Times New Roman" w:eastAsia="Times New Roman" w:hint="default"/>
          <w:spacing w:val="-2"/>
        </w:rPr>
        <w:t>”</w:t>
      </w:r>
      <w:r>
        <w:rPr>
          <w:spacing w:val="-2"/>
        </w:rPr>
        <w:t>的，将各项交易作为一项取得控制权的交易进行会计处理。不属于</w:t>
      </w:r>
      <w:r>
        <w:rPr>
          <w:rFonts w:ascii="Times New Roman" w:hAnsi="Times New Roman" w:cs="Times New Roman" w:eastAsia="Times New Roman" w:hint="default"/>
          <w:spacing w:val="-2"/>
        </w:rPr>
        <w:t>“</w:t>
      </w:r>
      <w:r>
        <w:rPr>
          <w:spacing w:val="-2"/>
        </w:rPr>
        <w:t>一揽</w:t>
      </w:r>
      <w:r>
        <w:rPr>
          <w:spacing w:val="-26"/>
        </w:rPr>
        <w:t> </w:t>
      </w:r>
      <w:r>
        <w:rPr/>
        <w:t>子交易</w:t>
      </w:r>
      <w:r>
        <w:rPr>
          <w:rFonts w:ascii="Times New Roman" w:hAnsi="Times New Roman" w:cs="Times New Roman" w:eastAsia="Times New Roman" w:hint="default"/>
        </w:rPr>
        <w:t>”</w:t>
      </w:r>
      <w:r>
        <w:rPr/>
        <w:t>的，按照原持有被购买方的股权投资账面价值加上新增投资成本之和，作为改按成本法核算的长</w:t>
      </w:r>
      <w:r>
        <w:rPr>
          <w:w w:val="100"/>
        </w:rPr>
        <w:t> </w:t>
      </w:r>
      <w:r>
        <w:rPr>
          <w:spacing w:val="-2"/>
        </w:rPr>
        <w:t>期股权投资的初始投资成本。原持有的股权采用权益法核算的，相关其他综合收益暂不进行会计处理。原</w:t>
      </w:r>
      <w:r>
        <w:rPr>
          <w:spacing w:val="-42"/>
        </w:rPr>
        <w:t> </w:t>
      </w:r>
      <w:r>
        <w:rPr>
          <w:spacing w:val="-42"/>
        </w:rPr>
      </w:r>
      <w:r>
        <w:rPr>
          <w:spacing w:val="-2"/>
        </w:rPr>
        <w:t>持有股权投资为可供出售金融资产的，其公允价值与账面价值之间的差额，以及原计入其他综合收益的累</w:t>
      </w:r>
      <w:r>
        <w:rPr>
          <w:spacing w:val="-43"/>
        </w:rPr>
        <w:t> </w:t>
      </w:r>
      <w:r>
        <w:rPr>
          <w:spacing w:val="-43"/>
        </w:rPr>
      </w:r>
      <w:r>
        <w:rPr/>
        <w:t>计公允价值变动转入当期损益。</w:t>
      </w:r>
    </w:p>
    <w:p>
      <w:pPr>
        <w:pStyle w:val="Heading5"/>
        <w:spacing w:line="273" w:lineRule="auto" w:before="16"/>
        <w:ind w:right="1126" w:firstLine="420"/>
        <w:jc w:val="both"/>
      </w:pPr>
      <w:r>
        <w:rPr>
          <w:spacing w:val="-2"/>
        </w:rPr>
        <w:t>合并方或购买方为企业合并发生的审计、法律服务、评估咨询等中介费用以及其他相关管理费用，于</w:t>
      </w:r>
      <w:r>
        <w:rPr>
          <w:w w:val="100"/>
        </w:rPr>
        <w:t> </w:t>
      </w:r>
      <w:r>
        <w:rPr/>
        <w:t>发生时计入当期损益。</w:t>
      </w:r>
    </w:p>
    <w:p>
      <w:pPr>
        <w:pStyle w:val="Heading5"/>
        <w:spacing w:line="271" w:lineRule="auto"/>
        <w:ind w:right="1104" w:firstLine="420"/>
        <w:jc w:val="both"/>
      </w:pPr>
      <w:r>
        <w:rPr>
          <w:spacing w:val="-2"/>
        </w:rPr>
        <w:t>除企业合并形成的长期股权投资外的其他股权投资，按成本进行初始计量，该成本视长期股权投资取</w:t>
      </w:r>
      <w:r>
        <w:rPr>
          <w:w w:val="100"/>
        </w:rPr>
        <w:t> </w:t>
      </w:r>
      <w:r>
        <w:rPr>
          <w:spacing w:val="-2"/>
        </w:rPr>
        <w:t>得方式的不同，分别按照本公司实际支付的现金购买价款、本公司发行的权益性证券的公允价值、投资合</w:t>
      </w:r>
      <w:r>
        <w:rPr>
          <w:spacing w:val="-44"/>
        </w:rPr>
        <w:t> </w:t>
      </w:r>
      <w:r>
        <w:rPr>
          <w:spacing w:val="-44"/>
        </w:rPr>
      </w:r>
      <w:r>
        <w:rPr>
          <w:spacing w:val="-2"/>
        </w:rPr>
        <w:t>同或协议约定的价值、非货币性资产交换交易中换出资产的公允价值或原账面价值、该项长期股权投资自</w:t>
      </w:r>
      <w:r>
        <w:rPr>
          <w:spacing w:val="-44"/>
        </w:rPr>
        <w:t> </w:t>
      </w:r>
      <w:r>
        <w:rPr>
          <w:spacing w:val="-44"/>
        </w:rPr>
      </w:r>
      <w:r>
        <w:rPr>
          <w:spacing w:val="-2"/>
        </w:rPr>
        <w:t>身的公允价值等方式确定。与取得长期股权投资直接相关的费用、税金及其他必要支出也计入投资成本。</w:t>
      </w:r>
      <w:r>
        <w:rPr>
          <w:spacing w:val="-21"/>
        </w:rPr>
        <w:t> </w:t>
      </w:r>
      <w:r>
        <w:rPr>
          <w:spacing w:val="-21"/>
        </w:rPr>
      </w:r>
      <w:r>
        <w:rPr>
          <w:spacing w:val="-2"/>
        </w:rPr>
        <w:t>对于因追加投资能够对被投资单位实施重大影响或实施共同控制但不构成控制的，长期股权投资成本为按</w:t>
      </w:r>
      <w:r>
        <w:rPr>
          <w:spacing w:val="-43"/>
        </w:rPr>
        <w:t> </w:t>
      </w:r>
      <w:r>
        <w:rPr>
          <w:spacing w:val="-43"/>
        </w:rPr>
      </w:r>
      <w:r>
        <w:rPr>
          <w:spacing w:val="-2"/>
        </w:rPr>
        <w:t>照《企业会计准则第</w:t>
      </w:r>
      <w:r>
        <w:rPr>
          <w:rFonts w:ascii="Times New Roman" w:hAnsi="Times New Roman" w:cs="Times New Roman" w:eastAsia="Times New Roman" w:hint="default"/>
          <w:spacing w:val="-2"/>
        </w:rPr>
        <w:t>22</w:t>
      </w:r>
      <w:r>
        <w:rPr>
          <w:spacing w:val="-2"/>
        </w:rPr>
        <w:t>号</w:t>
      </w:r>
      <w:r>
        <w:rPr>
          <w:rFonts w:ascii="Times New Roman" w:hAnsi="Times New Roman" w:cs="Times New Roman" w:eastAsia="Times New Roman" w:hint="default"/>
          <w:spacing w:val="-2"/>
        </w:rPr>
        <w:t>——</w:t>
      </w:r>
      <w:r>
        <w:rPr>
          <w:spacing w:val="-2"/>
        </w:rPr>
        <w:t>金融工具确认和计量》确定的原持有股权投资的公允价值加上新增投资成本</w:t>
      </w:r>
      <w:r>
        <w:rPr>
          <w:spacing w:val="-42"/>
        </w:rPr>
        <w:t> </w:t>
      </w:r>
      <w:r>
        <w:rPr>
          <w:spacing w:val="-42"/>
        </w:rPr>
      </w:r>
      <w:r>
        <w:rPr/>
        <w:t>之和。</w:t>
      </w:r>
    </w:p>
    <w:p>
      <w:pPr>
        <w:pStyle w:val="Heading5"/>
        <w:spacing w:line="256" w:lineRule="auto" w:before="10"/>
        <w:ind w:left="573" w:right="1133"/>
        <w:jc w:val="left"/>
      </w:pPr>
      <w:r>
        <w:rPr/>
        <w:t>（</w:t>
      </w:r>
      <w:r>
        <w:rPr>
          <w:rFonts w:ascii="Times New Roman" w:hAnsi="Times New Roman" w:cs="Times New Roman" w:eastAsia="Times New Roman" w:hint="default"/>
        </w:rPr>
        <w:t>2</w:t>
      </w:r>
      <w:r>
        <w:rPr/>
        <w:t>）后续计量及损益确认方法</w:t>
      </w:r>
      <w:r>
        <w:rPr>
          <w:w w:val="100"/>
        </w:rPr>
        <w:t> </w:t>
      </w:r>
      <w:r>
        <w:rPr>
          <w:spacing w:val="-2"/>
        </w:rPr>
        <w:t>对被投资单位具有共同控制（构成共同经营者除外）或重大影响的长期股权投资，采用权益法核算。</w:t>
      </w:r>
    </w:p>
    <w:p>
      <w:pPr>
        <w:pStyle w:val="Heading5"/>
        <w:spacing w:line="240" w:lineRule="auto" w:before="22"/>
        <w:ind w:right="1133"/>
        <w:jc w:val="left"/>
      </w:pPr>
      <w:r>
        <w:rPr/>
        <w:t>此外，公司财务报表采用成本法核算能够对被投资单位实施控制的长期股权投资。</w:t>
      </w:r>
    </w:p>
    <w:p>
      <w:pPr>
        <w:pStyle w:val="Heading5"/>
        <w:spacing w:line="273" w:lineRule="auto" w:before="37"/>
        <w:ind w:left="573" w:right="1133"/>
        <w:jc w:val="left"/>
      </w:pPr>
      <w:r>
        <w:rPr/>
        <w:t>①成本法核算的长期股权投资</w:t>
      </w:r>
      <w:r>
        <w:rPr>
          <w:w w:val="100"/>
        </w:rPr>
        <w:t> </w:t>
      </w:r>
      <w:r>
        <w:rPr>
          <w:spacing w:val="-2"/>
        </w:rPr>
        <w:t>采用成本法核算时，长期股权投资按初始投资成本计价，追加或收回投资调整长期股权投资的成本。</w:t>
      </w:r>
    </w:p>
    <w:p>
      <w:pPr>
        <w:pStyle w:val="Heading5"/>
        <w:spacing w:line="273" w:lineRule="auto"/>
        <w:ind w:right="1133"/>
        <w:jc w:val="left"/>
      </w:pPr>
      <w:r>
        <w:rPr>
          <w:spacing w:val="-2"/>
        </w:rPr>
        <w:t>除取得投资时实际支付的价款或者对价中包含的已宣告但尚未发放的现金股利或者利润外，当期投资收益</w:t>
      </w:r>
      <w:r>
        <w:rPr>
          <w:spacing w:val="-43"/>
        </w:rPr>
        <w:t> </w:t>
      </w:r>
      <w:r>
        <w:rPr>
          <w:spacing w:val="-43"/>
        </w:rPr>
      </w:r>
      <w:r>
        <w:rPr/>
        <w:t>按照享有被投资单位宣告发放的现金股利或利润确认。</w:t>
      </w:r>
    </w:p>
    <w:p>
      <w:pPr>
        <w:pStyle w:val="Heading5"/>
        <w:spacing w:line="273" w:lineRule="auto"/>
        <w:ind w:left="573" w:right="1133"/>
        <w:jc w:val="left"/>
      </w:pPr>
      <w:r>
        <w:rPr/>
        <w:t>②权益法核算的长期股权投资</w:t>
      </w:r>
      <w:r>
        <w:rPr>
          <w:w w:val="100"/>
        </w:rPr>
        <w:t> </w:t>
      </w:r>
      <w:r>
        <w:rPr>
          <w:spacing w:val="-2"/>
        </w:rPr>
        <w:t>采用权益法核算时，长期股权投资的初始投资成本大于投资时应享有被投资单位可辨认净资产公允价</w:t>
      </w:r>
    </w:p>
    <w:p>
      <w:pPr>
        <w:pStyle w:val="Heading5"/>
        <w:spacing w:line="273" w:lineRule="auto"/>
        <w:ind w:right="1133"/>
        <w:jc w:val="left"/>
      </w:pPr>
      <w:r>
        <w:rPr>
          <w:spacing w:val="-2"/>
        </w:rPr>
        <w:t>值份额的，不调整长期股权投资的初始投资成本；初始投资成本小于投资时应享有被投资单位可辨认净资</w:t>
      </w:r>
      <w:r>
        <w:rPr>
          <w:spacing w:val="-42"/>
        </w:rPr>
        <w:t> </w:t>
      </w:r>
      <w:r>
        <w:rPr>
          <w:spacing w:val="-42"/>
        </w:rPr>
      </w:r>
      <w:r>
        <w:rPr/>
        <w:t>产公允价值份额的，其差额计入当期损益，同时调整长期股权投资的成本。</w:t>
      </w:r>
    </w:p>
    <w:p>
      <w:pPr>
        <w:pStyle w:val="Heading5"/>
        <w:spacing w:line="271" w:lineRule="auto"/>
        <w:ind w:right="1126" w:firstLine="420"/>
        <w:jc w:val="both"/>
      </w:pPr>
      <w:r>
        <w:rPr>
          <w:spacing w:val="-2"/>
        </w:rPr>
        <w:t>采用权益法核算时，按照应享有或应分担的被投资单位实现的净损益和其他综合收益的份额，分别确</w:t>
      </w:r>
      <w:r>
        <w:rPr>
          <w:w w:val="100"/>
        </w:rPr>
        <w:t> </w:t>
      </w:r>
      <w:r>
        <w:rPr>
          <w:spacing w:val="-2"/>
        </w:rPr>
        <w:t>认投资收益和其他综合收益，同时调整长期股权投资的账面价值；按照被投资单位宣告分派的利润或现金</w:t>
      </w:r>
      <w:r>
        <w:rPr>
          <w:spacing w:val="-43"/>
        </w:rPr>
        <w:t> </w:t>
      </w:r>
      <w:r>
        <w:rPr>
          <w:spacing w:val="-43"/>
        </w:rPr>
      </w:r>
      <w:r>
        <w:rPr>
          <w:spacing w:val="-2"/>
        </w:rPr>
        <w:t>股利计算应享有的部分，相应减少长期股权投资的账面价值；对于被投资单位除净损益、其他综合收益和</w:t>
      </w:r>
      <w:r>
        <w:rPr>
          <w:spacing w:val="-43"/>
        </w:rPr>
        <w:t> </w:t>
      </w:r>
      <w:r>
        <w:rPr>
          <w:spacing w:val="-43"/>
        </w:rPr>
      </w:r>
      <w:r>
        <w:rPr>
          <w:spacing w:val="-2"/>
        </w:rPr>
        <w:t>利润分配以外所有者权益的其他变动，调整长期股权投资的账面价值并计入资本公积。在确认应享有被投</w:t>
      </w:r>
      <w:r>
        <w:rPr>
          <w:spacing w:val="-43"/>
        </w:rPr>
        <w:t> </w:t>
      </w:r>
      <w:r>
        <w:rPr>
          <w:spacing w:val="-43"/>
        </w:rPr>
      </w:r>
      <w:r>
        <w:rPr>
          <w:spacing w:val="-2"/>
        </w:rPr>
        <w:t>资单位净损益的份额时，以取得投资时被投资单位各项可辨认资产等的公允价值为基础，对被投资单位的</w:t>
      </w:r>
      <w:r>
        <w:rPr>
          <w:spacing w:val="-43"/>
        </w:rPr>
        <w:t> </w:t>
      </w:r>
      <w:r>
        <w:rPr>
          <w:spacing w:val="-43"/>
        </w:rPr>
      </w:r>
      <w:r>
        <w:rPr>
          <w:spacing w:val="-2"/>
        </w:rPr>
        <w:t>净利润进行调整后确认。被投资单位采用的会计政策及会计期间与本公司不一致的，按照本公司的会计政</w:t>
      </w:r>
      <w:r>
        <w:rPr>
          <w:spacing w:val="-42"/>
        </w:rPr>
        <w:t> </w:t>
      </w:r>
      <w:r>
        <w:rPr>
          <w:spacing w:val="-42"/>
        </w:rPr>
      </w:r>
      <w:r>
        <w:rPr>
          <w:spacing w:val="-2"/>
        </w:rPr>
        <w:t>策及会计期间对被投资单位的财务报表进行调整，并据以确认投资收益和其他综合收益。对于本公司与联</w:t>
      </w:r>
      <w:r>
        <w:rPr>
          <w:spacing w:val="-43"/>
        </w:rPr>
        <w:t> </w:t>
      </w:r>
      <w:r>
        <w:rPr>
          <w:spacing w:val="-43"/>
        </w:rPr>
      </w:r>
      <w:r>
        <w:rPr>
          <w:spacing w:val="-2"/>
        </w:rPr>
        <w:t>营企业及合营企业之间发生的交易，投出或出售的资产不构成业务的，未实现内部交易损益按照享有的比</w:t>
      </w:r>
      <w:r>
        <w:rPr>
          <w:spacing w:val="-42"/>
        </w:rPr>
        <w:t> </w:t>
      </w:r>
      <w:r>
        <w:rPr>
          <w:spacing w:val="-42"/>
        </w:rPr>
      </w:r>
      <w:r>
        <w:rPr>
          <w:spacing w:val="-2"/>
        </w:rPr>
        <w:t>例计算归属于本公司的部分予以抵销，在此基础上确认投资损益。但本公司与被投资单位发生的未实现内</w:t>
      </w:r>
      <w:r>
        <w:rPr>
          <w:spacing w:val="-43"/>
        </w:rPr>
        <w:t> </w:t>
      </w:r>
      <w:r>
        <w:rPr>
          <w:spacing w:val="-43"/>
        </w:rPr>
      </w:r>
      <w:r>
        <w:rPr>
          <w:spacing w:val="-2"/>
        </w:rPr>
        <w:t>部交易损失，属于所转让资产减值损失的，不予以抵销。本公司向合营企业或联营企业投出的资产构成业</w:t>
      </w:r>
      <w:r>
        <w:rPr>
          <w:spacing w:val="-44"/>
        </w:rPr>
        <w:t> </w:t>
      </w:r>
      <w:r>
        <w:rPr>
          <w:spacing w:val="-44"/>
        </w:rPr>
      </w:r>
      <w:r>
        <w:rPr>
          <w:spacing w:val="-2"/>
        </w:rPr>
        <w:t>务的，投资方因此取得长期股权投资但未取得控制权的，以投出业务的公允价值作为新增长期股权投资的</w:t>
      </w:r>
      <w:r>
        <w:rPr>
          <w:spacing w:val="-42"/>
        </w:rPr>
        <w:t> </w:t>
      </w:r>
      <w:r>
        <w:rPr>
          <w:spacing w:val="-42"/>
        </w:rPr>
      </w:r>
      <w:r>
        <w:rPr>
          <w:spacing w:val="-2"/>
        </w:rPr>
        <w:t>初始投资成本，初始投资成本与投出业务的账面价值之差，全额计入当期损益。本公司向合营企业或联营</w:t>
      </w:r>
      <w:r>
        <w:rPr>
          <w:spacing w:val="-43"/>
        </w:rPr>
        <w:t> </w:t>
      </w:r>
      <w:r>
        <w:rPr>
          <w:spacing w:val="-43"/>
        </w:rPr>
      </w:r>
      <w:r>
        <w:rPr>
          <w:spacing w:val="-2"/>
        </w:rPr>
        <w:t>企业出售的资产构成业务的，取得的对价与业务的账面价值之差，全额计入当期损益。本公司自联营企业</w:t>
      </w:r>
      <w:r>
        <w:rPr>
          <w:spacing w:val="-44"/>
        </w:rPr>
        <w:t> </w:t>
      </w:r>
      <w:r>
        <w:rPr>
          <w:spacing w:val="-44"/>
        </w:rPr>
      </w:r>
      <w:r>
        <w:rPr>
          <w:spacing w:val="-2"/>
        </w:rPr>
        <w:t>及合营企业购入的资产构成业务的，按《企业会计准则第</w:t>
      </w:r>
      <w:r>
        <w:rPr>
          <w:rFonts w:ascii="Times New Roman" w:hAnsi="Times New Roman" w:cs="Times New Roman" w:eastAsia="Times New Roman" w:hint="default"/>
          <w:spacing w:val="-2"/>
        </w:rPr>
        <w:t>20</w:t>
      </w:r>
      <w:r>
        <w:rPr>
          <w:spacing w:val="-2"/>
        </w:rPr>
        <w:t>号</w:t>
      </w:r>
      <w:r>
        <w:rPr>
          <w:rFonts w:ascii="Times New Roman" w:hAnsi="Times New Roman" w:cs="Times New Roman" w:eastAsia="Times New Roman" w:hint="default"/>
          <w:spacing w:val="-2"/>
        </w:rPr>
        <w:t>——</w:t>
      </w:r>
      <w:r>
        <w:rPr>
          <w:spacing w:val="-2"/>
        </w:rPr>
        <w:t>企业合并》的规定进行会计处理，全额</w:t>
      </w:r>
      <w:r>
        <w:rPr>
          <w:spacing w:val="-41"/>
        </w:rPr>
        <w:t> </w:t>
      </w:r>
      <w:r>
        <w:rPr>
          <w:spacing w:val="-41"/>
        </w:rPr>
      </w:r>
      <w:r>
        <w:rPr/>
        <w:t>确认与交易相关的利得或损失。</w:t>
      </w:r>
    </w:p>
    <w:p>
      <w:pPr>
        <w:spacing w:after="0" w:line="271" w:lineRule="auto"/>
        <w:jc w:val="both"/>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5"/>
        <w:spacing w:line="273" w:lineRule="auto" w:before="36"/>
        <w:ind w:right="1126" w:firstLine="420"/>
        <w:jc w:val="both"/>
      </w:pPr>
      <w:r>
        <w:rPr>
          <w:spacing w:val="-2"/>
        </w:rPr>
        <w:t>在确认应分担被投资单位发生的净亏损时，以长期股权投资的账面价值和其他实质上构成对被投资单</w:t>
      </w:r>
      <w:r>
        <w:rPr>
          <w:w w:val="100"/>
        </w:rPr>
        <w:t> </w:t>
      </w:r>
      <w:r>
        <w:rPr>
          <w:spacing w:val="-2"/>
        </w:rPr>
        <w:t>位净投资的长期权益减记至零为限。此外，如本公司对被投资单位负有承担额外损失的义务，则按预计承</w:t>
      </w:r>
      <w:r>
        <w:rPr>
          <w:spacing w:val="-44"/>
        </w:rPr>
        <w:t> </w:t>
      </w:r>
      <w:r>
        <w:rPr>
          <w:spacing w:val="-44"/>
        </w:rPr>
      </w:r>
      <w:r>
        <w:rPr>
          <w:spacing w:val="-2"/>
        </w:rPr>
        <w:t>担的义务确认预计负债，计入当期投资损失。被投资单位以后期间实现净利润的，本公司在收益分享额弥</w:t>
      </w:r>
      <w:r>
        <w:rPr>
          <w:spacing w:val="-43"/>
        </w:rPr>
        <w:t> </w:t>
      </w:r>
      <w:r>
        <w:rPr>
          <w:spacing w:val="-43"/>
        </w:rPr>
      </w:r>
      <w:r>
        <w:rPr/>
        <w:t>补未确认的亏损分担额后，恢复确认收益分享额。</w:t>
      </w:r>
    </w:p>
    <w:p>
      <w:pPr>
        <w:pStyle w:val="Heading5"/>
        <w:spacing w:line="273" w:lineRule="auto"/>
        <w:ind w:left="573" w:right="1133"/>
        <w:jc w:val="left"/>
      </w:pPr>
      <w:r>
        <w:rPr/>
        <w:t>③收购少数股权</w:t>
      </w:r>
      <w:r>
        <w:rPr>
          <w:spacing w:val="-103"/>
        </w:rPr>
        <w:t> </w:t>
      </w:r>
      <w:r>
        <w:rPr>
          <w:spacing w:val="-103"/>
        </w:rPr>
      </w:r>
      <w:r>
        <w:rPr>
          <w:spacing w:val="-2"/>
        </w:rPr>
        <w:t>在编制合并财务报表时，因购买少数股权新增的长期股权投资与按照新增持股比例计算应享有子公司</w:t>
      </w:r>
    </w:p>
    <w:p>
      <w:pPr>
        <w:pStyle w:val="Heading5"/>
        <w:spacing w:line="273" w:lineRule="auto"/>
        <w:ind w:right="1133"/>
        <w:jc w:val="left"/>
      </w:pPr>
      <w:r>
        <w:rPr>
          <w:spacing w:val="-2"/>
        </w:rPr>
        <w:t>自购买日（或合并日）开始持续计算的净资产份额之间的差额，调整资本公积，资本公积不足冲减的，调</w:t>
      </w:r>
      <w:r>
        <w:rPr>
          <w:spacing w:val="-43"/>
        </w:rPr>
        <w:t> </w:t>
      </w:r>
      <w:r>
        <w:rPr>
          <w:spacing w:val="-43"/>
        </w:rPr>
      </w:r>
      <w:r>
        <w:rPr/>
        <w:t>整留存收益。</w:t>
      </w:r>
    </w:p>
    <w:p>
      <w:pPr>
        <w:pStyle w:val="Heading5"/>
        <w:spacing w:line="273" w:lineRule="auto"/>
        <w:ind w:left="573" w:right="1133"/>
        <w:jc w:val="left"/>
      </w:pPr>
      <w:r>
        <w:rPr/>
        <w:t>④处置长期股权投资</w:t>
      </w:r>
      <w:r>
        <w:rPr>
          <w:w w:val="100"/>
        </w:rPr>
        <w:t> </w:t>
      </w:r>
      <w:r>
        <w:rPr>
          <w:spacing w:val="-2"/>
        </w:rPr>
        <w:t>在合并财务报表中，母公司在不丧失控制权的情况下部分处置对子公司的长期股权投资，处置价款与</w:t>
      </w:r>
    </w:p>
    <w:p>
      <w:pPr>
        <w:pStyle w:val="Heading5"/>
        <w:spacing w:line="273" w:lineRule="auto"/>
        <w:ind w:right="0"/>
        <w:jc w:val="left"/>
      </w:pPr>
      <w:r>
        <w:rPr>
          <w:spacing w:val="-2"/>
        </w:rPr>
        <w:t>处置长期股权投资相对应享有子公司净资产的差额计入股东权益；母公司部分处置对子公司的长期股权投</w:t>
      </w:r>
      <w:r>
        <w:rPr>
          <w:spacing w:val="-43"/>
        </w:rPr>
        <w:t> </w:t>
      </w:r>
      <w:r>
        <w:rPr>
          <w:spacing w:val="-43"/>
        </w:rPr>
      </w:r>
      <w:r>
        <w:rPr>
          <w:spacing w:val="-2"/>
        </w:rPr>
        <w:t>资导致丧失对子公司控制权的，按本附注</w:t>
      </w:r>
      <w:r>
        <w:rPr>
          <w:rFonts w:ascii="Times New Roman" w:hAnsi="Times New Roman" w:cs="Times New Roman" w:eastAsia="Times New Roman" w:hint="default"/>
          <w:spacing w:val="-2"/>
        </w:rPr>
        <w:t>“</w:t>
      </w:r>
      <w:r>
        <w:rPr>
          <w:spacing w:val="-2"/>
        </w:rPr>
        <w:t>四、</w:t>
      </w:r>
      <w:r>
        <w:rPr>
          <w:rFonts w:ascii="Times New Roman" w:hAnsi="Times New Roman" w:cs="Times New Roman" w:eastAsia="Times New Roman" w:hint="default"/>
          <w:spacing w:val="-2"/>
        </w:rPr>
        <w:t>5</w:t>
      </w:r>
      <w:r>
        <w:rPr>
          <w:spacing w:val="-2"/>
        </w:rPr>
        <w:t>、合并财务报表编制的方法</w:t>
      </w:r>
      <w:r>
        <w:rPr>
          <w:rFonts w:ascii="Times New Roman" w:hAnsi="Times New Roman" w:cs="Times New Roman" w:eastAsia="Times New Roman" w:hint="default"/>
          <w:spacing w:val="-2"/>
        </w:rPr>
        <w:t>”</w:t>
      </w:r>
      <w:r>
        <w:rPr>
          <w:spacing w:val="-2"/>
        </w:rPr>
        <w:t>中所述的相关会计政策处理。</w:t>
      </w:r>
    </w:p>
    <w:p>
      <w:pPr>
        <w:pStyle w:val="Heading5"/>
        <w:spacing w:line="273" w:lineRule="auto" w:before="0"/>
        <w:ind w:right="1126" w:firstLine="420"/>
        <w:jc w:val="both"/>
      </w:pPr>
      <w:r>
        <w:rPr>
          <w:spacing w:val="-2"/>
        </w:rPr>
        <w:t>其他情形下的长期股权投资处置，对于处置的股权，其账面价值与实际取得价款的差额，计入当期损</w:t>
      </w:r>
      <w:r>
        <w:rPr>
          <w:w w:val="100"/>
        </w:rPr>
        <w:t> </w:t>
      </w:r>
      <w:r>
        <w:rPr/>
        <w:t>益。</w:t>
      </w:r>
    </w:p>
    <w:p>
      <w:pPr>
        <w:pStyle w:val="Heading5"/>
        <w:spacing w:line="273" w:lineRule="auto"/>
        <w:ind w:right="1133" w:firstLine="420"/>
        <w:jc w:val="left"/>
      </w:pPr>
      <w:r>
        <w:rPr>
          <w:spacing w:val="-2"/>
        </w:rPr>
        <w:t>采用权益法核算的长期股权投资，处置后的剩余股权仍采用权益法核算的，在处置时将原计入股东权</w:t>
      </w:r>
      <w:r>
        <w:rPr>
          <w:w w:val="100"/>
        </w:rPr>
        <w:t> </w:t>
      </w:r>
      <w:r>
        <w:rPr/>
        <w:t>益的其他综合收益部分按相应的比例采用与被投资单位直接处置相关资产或负债相同的基础进行会计处</w:t>
      </w:r>
      <w:r>
        <w:rPr>
          <w:w w:val="100"/>
        </w:rPr>
        <w:t> </w:t>
      </w:r>
      <w:r>
        <w:rPr>
          <w:spacing w:val="-2"/>
        </w:rPr>
        <w:t>理。因被投资方除净损益、其他综合收益和利润分配以外的其他所有者权益变动而确认的所有者权益，按</w:t>
      </w:r>
      <w:r>
        <w:rPr>
          <w:spacing w:val="-43"/>
        </w:rPr>
        <w:t> </w:t>
      </w:r>
      <w:r>
        <w:rPr>
          <w:spacing w:val="-43"/>
        </w:rPr>
      </w:r>
      <w:r>
        <w:rPr/>
        <w:t>比例结转入当期损益。</w:t>
      </w:r>
    </w:p>
    <w:p>
      <w:pPr>
        <w:pStyle w:val="Heading5"/>
        <w:spacing w:line="273" w:lineRule="auto"/>
        <w:ind w:right="1126" w:firstLine="420"/>
        <w:jc w:val="both"/>
      </w:pPr>
      <w:r>
        <w:rPr>
          <w:spacing w:val="-2"/>
        </w:rPr>
        <w:t>采用成本法核算的长期股权投资，处置后剩余股权仍采用成本法核算的，其在取得对被投资单位的控</w:t>
      </w:r>
      <w:r>
        <w:rPr>
          <w:w w:val="100"/>
        </w:rPr>
        <w:t> </w:t>
      </w:r>
      <w:r>
        <w:rPr>
          <w:spacing w:val="-2"/>
        </w:rPr>
        <w:t>制之前因采用权益法核算或金融工具确认和计量准则核算而确认的其他综合收益，采用与被投资单位直接</w:t>
      </w:r>
      <w:r>
        <w:rPr>
          <w:spacing w:val="-43"/>
        </w:rPr>
        <w:t> </w:t>
      </w:r>
      <w:r>
        <w:rPr>
          <w:spacing w:val="-43"/>
        </w:rPr>
      </w:r>
      <w:r>
        <w:rPr>
          <w:spacing w:val="-2"/>
        </w:rPr>
        <w:t>处置相关资产或负债相同的基础进行会计处理，并按比例结转当期损益；因采用权益法核算而确认的被投</w:t>
      </w:r>
      <w:r>
        <w:rPr>
          <w:spacing w:val="-44"/>
        </w:rPr>
        <w:t> </w:t>
      </w:r>
      <w:r>
        <w:rPr>
          <w:spacing w:val="-44"/>
        </w:rPr>
      </w:r>
      <w:r>
        <w:rPr/>
        <w:t>资单位净资产中除净损益、其他综合收益和利润分配以外的其他所有者权益变动按比例结转当期损益。</w:t>
      </w:r>
    </w:p>
    <w:p>
      <w:pPr>
        <w:pStyle w:val="Heading5"/>
        <w:spacing w:line="273" w:lineRule="auto"/>
        <w:ind w:right="1126" w:firstLine="420"/>
        <w:jc w:val="both"/>
      </w:pPr>
      <w:r>
        <w:rPr>
          <w:spacing w:val="-2"/>
        </w:rPr>
        <w:t>本公司因处置部分股权投资丧失了对被投资单位的控制的，在编制个别财务报表时，处置后的剩余股</w:t>
      </w:r>
      <w:r>
        <w:rPr>
          <w:w w:val="100"/>
        </w:rPr>
        <w:t> </w:t>
      </w:r>
      <w:r>
        <w:rPr>
          <w:spacing w:val="-2"/>
        </w:rPr>
        <w:t>权能够对被投资单位实施共同控制或施加重大影响的，改按权益法核算，并对该剩余股权视同自取得时即</w:t>
      </w:r>
      <w:r>
        <w:rPr>
          <w:spacing w:val="-43"/>
        </w:rPr>
        <w:t> </w:t>
      </w:r>
      <w:r>
        <w:rPr>
          <w:spacing w:val="-43"/>
        </w:rPr>
      </w:r>
      <w:r>
        <w:rPr>
          <w:spacing w:val="-2"/>
        </w:rPr>
        <w:t>采用权益法核算进行调整；处置后的剩余股权不能对被投资单位实施共同控制或施加重大影响的，改按金</w:t>
      </w:r>
      <w:r>
        <w:rPr>
          <w:spacing w:val="-43"/>
        </w:rPr>
        <w:t> </w:t>
      </w:r>
      <w:r>
        <w:rPr>
          <w:spacing w:val="-43"/>
        </w:rPr>
      </w:r>
      <w:r>
        <w:rPr>
          <w:spacing w:val="-2"/>
        </w:rPr>
        <w:t>融工具确认和计量准则的有关规定进行会计处理，其在丧失控制之日的公允价值与账面价值之间的差额计</w:t>
      </w:r>
      <w:r>
        <w:rPr>
          <w:spacing w:val="-43"/>
        </w:rPr>
        <w:t> </w:t>
      </w:r>
      <w:r>
        <w:rPr>
          <w:spacing w:val="-43"/>
        </w:rPr>
      </w:r>
      <w:r>
        <w:rPr>
          <w:spacing w:val="-2"/>
        </w:rPr>
        <w:t>入当期损益。对于本公司取得对被投资单位的控制之前，因采用权益法核算或金融工具确认和计量准则核</w:t>
      </w:r>
      <w:r>
        <w:rPr>
          <w:spacing w:val="-43"/>
        </w:rPr>
        <w:t> </w:t>
      </w:r>
      <w:r>
        <w:rPr>
          <w:spacing w:val="-43"/>
        </w:rPr>
      </w:r>
      <w:r>
        <w:rPr>
          <w:spacing w:val="-2"/>
        </w:rPr>
        <w:t>算而确认的其他综合收益，在丧失对被投资单位控制时采用与被投资单位直接处置相关资产或负债相同的</w:t>
      </w:r>
      <w:r>
        <w:rPr>
          <w:spacing w:val="-43"/>
        </w:rPr>
        <w:t> </w:t>
      </w:r>
      <w:r>
        <w:rPr>
          <w:spacing w:val="-43"/>
        </w:rPr>
      </w:r>
      <w:r>
        <w:rPr>
          <w:spacing w:val="-2"/>
        </w:rPr>
        <w:t>基础进行会计处理，因采用权益法核算而确认的被投资单位净资产中除净损益、其他综合收益和利润分配</w:t>
      </w:r>
      <w:r>
        <w:rPr>
          <w:spacing w:val="-43"/>
        </w:rPr>
        <w:t> </w:t>
      </w:r>
      <w:r>
        <w:rPr>
          <w:spacing w:val="-43"/>
        </w:rPr>
      </w:r>
      <w:r>
        <w:rPr>
          <w:spacing w:val="-2"/>
        </w:rPr>
        <w:t>以外的其他所有者权益变动在丧失对被投资单位控制时结转入当期损益。其中，处置后的剩余股权采用权</w:t>
      </w:r>
      <w:r>
        <w:rPr>
          <w:spacing w:val="-43"/>
        </w:rPr>
        <w:t> </w:t>
      </w:r>
      <w:r>
        <w:rPr>
          <w:spacing w:val="-43"/>
        </w:rPr>
      </w:r>
      <w:r>
        <w:rPr>
          <w:spacing w:val="-2"/>
        </w:rPr>
        <w:t>益法核算的，其他综合收益和其他所有者权益按比例结转；处置后的剩余股权改按金融工具确认和计量准</w:t>
      </w:r>
      <w:r>
        <w:rPr>
          <w:spacing w:val="-44"/>
        </w:rPr>
        <w:t> </w:t>
      </w:r>
      <w:r>
        <w:rPr>
          <w:spacing w:val="-44"/>
        </w:rPr>
      </w:r>
      <w:r>
        <w:rPr/>
        <w:t>则进行会计处理的，其他综合收益和其他所有者权益全部结转。</w:t>
      </w:r>
    </w:p>
    <w:p>
      <w:pPr>
        <w:pStyle w:val="Heading5"/>
        <w:spacing w:line="273" w:lineRule="auto"/>
        <w:ind w:right="1133" w:firstLine="420"/>
        <w:jc w:val="left"/>
      </w:pPr>
      <w:r>
        <w:rPr>
          <w:spacing w:val="-2"/>
        </w:rPr>
        <w:t>本公司因处置部分股权投资丧失了对被投资单位的共同控制或重大影响的，处置后的剩余股权改按金</w:t>
      </w:r>
      <w:r>
        <w:rPr>
          <w:w w:val="100"/>
        </w:rPr>
        <w:t> </w:t>
      </w:r>
      <w:r>
        <w:rPr>
          <w:spacing w:val="-2"/>
        </w:rPr>
        <w:t>融工具确认和计量准则核算，其在丧失共同控制或重大影响之日的公允价值与账面价值之间的差额计入当</w:t>
      </w:r>
      <w:r>
        <w:rPr>
          <w:spacing w:val="-43"/>
        </w:rPr>
        <w:t> </w:t>
      </w:r>
      <w:r>
        <w:rPr>
          <w:spacing w:val="-43"/>
        </w:rPr>
      </w:r>
      <w:r>
        <w:rPr>
          <w:spacing w:val="-2"/>
        </w:rPr>
        <w:t>期损益。原股权投资因采用权益法核算而确认的其他综合收益，在终止采用权益法核算时采用与被投资单</w:t>
      </w:r>
      <w:r>
        <w:rPr>
          <w:spacing w:val="-44"/>
        </w:rPr>
        <w:t> </w:t>
      </w:r>
      <w:r>
        <w:rPr>
          <w:spacing w:val="-44"/>
        </w:rPr>
      </w:r>
      <w:r>
        <w:rPr>
          <w:spacing w:val="-2"/>
        </w:rPr>
        <w:t>位直接处置相关资产或负债相同的基础进行会计处理，因被投资方除净损益、其他综合收益和利润分配以</w:t>
      </w:r>
      <w:r>
        <w:rPr>
          <w:spacing w:val="-44"/>
        </w:rPr>
        <w:t> </w:t>
      </w:r>
      <w:r>
        <w:rPr>
          <w:spacing w:val="-44"/>
        </w:rPr>
      </w:r>
      <w:r>
        <w:rPr/>
        <w:t>外的其他所有者权益变动而确认的所有者权益，在终止采用权益法时全部转入当期投资收益。</w:t>
      </w:r>
      <w:r>
        <w:rPr>
          <w:w w:val="100"/>
        </w:rPr>
        <w:t> </w:t>
      </w:r>
      <w:r>
        <w:rPr>
          <w:spacing w:val="-2"/>
        </w:rPr>
        <w:t>本公司通过多次交易分步处置对子公司股权投资直至丧失控制权，如果上述交易属于一揽子交易的，将各</w:t>
      </w:r>
      <w:r>
        <w:rPr>
          <w:spacing w:val="-42"/>
        </w:rPr>
        <w:t> </w:t>
      </w:r>
      <w:r>
        <w:rPr>
          <w:spacing w:val="-42"/>
        </w:rPr>
      </w:r>
      <w:r>
        <w:rPr>
          <w:spacing w:val="-2"/>
        </w:rPr>
        <w:t>项交易作为一项处置子公司股权投资并丧失控制权的交易进行会计处理，在丧失控制权之前每一次处置价</w:t>
      </w:r>
      <w:r>
        <w:rPr>
          <w:spacing w:val="-43"/>
        </w:rPr>
        <w:t> </w:t>
      </w:r>
      <w:r>
        <w:rPr>
          <w:spacing w:val="-43"/>
        </w:rPr>
      </w:r>
      <w:r>
        <w:rPr>
          <w:spacing w:val="-2"/>
        </w:rPr>
        <w:t>款与所处置的股权对应的长期股权投资账面价值之间的差额，先确认为其他综合收益，到丧失控制权时再</w:t>
      </w:r>
      <w:r>
        <w:rPr>
          <w:spacing w:val="-42"/>
        </w:rPr>
        <w:t> </w:t>
      </w:r>
      <w:r>
        <w:rPr>
          <w:spacing w:val="-42"/>
        </w:rPr>
      </w:r>
      <w:r>
        <w:rPr/>
        <w:t>一并转入丧失控制权的当期损益。</w:t>
      </w:r>
    </w:p>
    <w:p>
      <w:pPr>
        <w:spacing w:after="0" w:line="273"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1133"/>
        <w:jc w:val="left"/>
        <w:rPr>
          <w:b w:val="0"/>
          <w:bCs w:val="0"/>
        </w:rPr>
      </w:pPr>
      <w:bookmarkStart w:name="18、投资性房地产" w:id="191"/>
      <w:bookmarkEnd w:id="191"/>
      <w:r>
        <w:rPr>
          <w:b w:val="0"/>
          <w:bCs w:val="0"/>
        </w:rPr>
      </w:r>
      <w:r>
        <w:rPr>
          <w:rFonts w:ascii="Times New Roman" w:hAnsi="Times New Roman" w:cs="Times New Roman" w:eastAsia="Times New Roman" w:hint="default"/>
        </w:rPr>
        <w:t>18</w:t>
      </w:r>
      <w:r>
        <w:rPr/>
        <w:t>、投资性房地产</w:t>
      </w:r>
      <w:r>
        <w:rPr>
          <w:b w:val="0"/>
          <w:bCs w:val="0"/>
        </w:rPr>
      </w:r>
    </w:p>
    <w:p>
      <w:pPr>
        <w:spacing w:line="240" w:lineRule="auto" w:before="5"/>
        <w:rPr>
          <w:rFonts w:ascii="宋体" w:hAnsi="宋体" w:cs="宋体" w:eastAsia="宋体" w:hint="default"/>
          <w:b/>
          <w:bCs/>
          <w:sz w:val="26"/>
          <w:szCs w:val="26"/>
        </w:rPr>
      </w:pPr>
    </w:p>
    <w:p>
      <w:pPr>
        <w:pStyle w:val="BodyText"/>
        <w:spacing w:line="357" w:lineRule="auto"/>
        <w:ind w:right="8954"/>
        <w:jc w:val="left"/>
      </w:pPr>
      <w:r>
        <w:rPr/>
        <w:t>投资性房地产计量模式 成本法计量 折旧或摊销方法</w:t>
      </w:r>
    </w:p>
    <w:p>
      <w:pPr>
        <w:pStyle w:val="Heading5"/>
        <w:spacing w:line="273" w:lineRule="auto" w:before="8"/>
        <w:ind w:right="1104" w:firstLine="420"/>
        <w:jc w:val="both"/>
      </w:pPr>
      <w:r>
        <w:rPr>
          <w:spacing w:val="-2"/>
        </w:rPr>
        <w:t>投资性房地产是指为赚取租金或资本增值，或两者兼有而持有的房地产。包括已出租的土地使用权、</w:t>
      </w:r>
      <w:r>
        <w:rPr>
          <w:w w:val="100"/>
        </w:rPr>
        <w:t> </w:t>
      </w:r>
      <w:r>
        <w:rPr/>
        <w:t>持有并准备增值后转让的土地使用权、已出租的建筑物等。</w:t>
      </w:r>
    </w:p>
    <w:p>
      <w:pPr>
        <w:pStyle w:val="Heading5"/>
        <w:spacing w:line="273" w:lineRule="auto"/>
        <w:ind w:right="1107" w:firstLine="420"/>
        <w:jc w:val="right"/>
      </w:pPr>
      <w:r>
        <w:rPr>
          <w:spacing w:val="-2"/>
        </w:rPr>
        <w:t>投资性房地产按成本进行初始计量。与投资性房地产有关的后续支出，如果与该资产有关的经济利益</w:t>
      </w:r>
      <w:r>
        <w:rPr>
          <w:w w:val="100"/>
        </w:rPr>
        <w:t> </w:t>
      </w:r>
      <w:r>
        <w:rPr>
          <w:spacing w:val="-2"/>
        </w:rPr>
        <w:t>很可能流入且其成本能可靠地计量，则计入投资性房地产成本。其他后续支出，在发生时计入当期损益。</w:t>
      </w:r>
      <w:r>
        <w:rPr>
          <w:spacing w:val="-46"/>
        </w:rPr>
        <w:t> </w:t>
      </w:r>
      <w:r>
        <w:rPr>
          <w:spacing w:val="-46"/>
        </w:rPr>
      </w:r>
      <w:r>
        <w:rPr>
          <w:spacing w:val="-2"/>
        </w:rPr>
        <w:t>本公司采用成本模式对投资性房地产进行后续计量，并按照与房屋建筑物或土地使用权一致的政策进</w:t>
      </w:r>
    </w:p>
    <w:p>
      <w:pPr>
        <w:pStyle w:val="Heading5"/>
        <w:spacing w:line="273" w:lineRule="auto"/>
        <w:ind w:left="573" w:right="1694" w:hanging="421"/>
        <w:jc w:val="left"/>
      </w:pPr>
      <w:r>
        <w:rPr/>
        <w:t>行折旧或摊销。</w:t>
      </w:r>
      <w:r>
        <w:rPr>
          <w:spacing w:val="-103"/>
        </w:rPr>
        <w:t> </w:t>
      </w:r>
      <w:r>
        <w:rPr>
          <w:spacing w:val="-103"/>
        </w:rPr>
      </w:r>
      <w:r>
        <w:rPr>
          <w:spacing w:val="-2"/>
        </w:rPr>
        <w:t>投资性房地产的减值测试方法和减值准备计提方法详见附注</w:t>
      </w:r>
      <w:r>
        <w:rPr>
          <w:rFonts w:ascii="Times New Roman" w:hAnsi="Times New Roman" w:cs="Times New Roman" w:eastAsia="Times New Roman" w:hint="default"/>
          <w:spacing w:val="-2"/>
        </w:rPr>
        <w:t>“</w:t>
      </w:r>
      <w:r>
        <w:rPr>
          <w:spacing w:val="-2"/>
        </w:rPr>
        <w:t>四、</w:t>
      </w:r>
      <w:r>
        <w:rPr>
          <w:rFonts w:ascii="Times New Roman" w:hAnsi="Times New Roman" w:cs="Times New Roman" w:eastAsia="Times New Roman" w:hint="default"/>
          <w:spacing w:val="-2"/>
        </w:rPr>
        <w:t>23</w:t>
      </w:r>
      <w:r>
        <w:rPr>
          <w:spacing w:val="-2"/>
        </w:rPr>
        <w:t>、长期资产减值</w:t>
      </w:r>
      <w:r>
        <w:rPr>
          <w:rFonts w:ascii="Times New Roman" w:hAnsi="Times New Roman" w:cs="Times New Roman" w:eastAsia="Times New Roman" w:hint="default"/>
          <w:spacing w:val="-2"/>
        </w:rPr>
        <w:t>”</w:t>
      </w:r>
      <w:r>
        <w:rPr>
          <w:spacing w:val="-2"/>
        </w:rPr>
        <w:t>。</w:t>
      </w:r>
    </w:p>
    <w:p>
      <w:pPr>
        <w:pStyle w:val="Heading5"/>
        <w:spacing w:line="273" w:lineRule="auto" w:before="0"/>
        <w:ind w:right="1126" w:firstLine="420"/>
        <w:jc w:val="both"/>
      </w:pPr>
      <w:r>
        <w:rPr>
          <w:spacing w:val="-2"/>
        </w:rPr>
        <w:t>自用房地产或存货转换为投资性房地产或投资性房地产转换为自用房地产时，按转换前的账面价值作</w:t>
      </w:r>
      <w:r>
        <w:rPr>
          <w:w w:val="100"/>
        </w:rPr>
        <w:t> </w:t>
      </w:r>
      <w:r>
        <w:rPr/>
        <w:t>为转换后的入账价值。</w:t>
      </w:r>
    </w:p>
    <w:p>
      <w:pPr>
        <w:pStyle w:val="Heading5"/>
        <w:spacing w:line="273" w:lineRule="auto"/>
        <w:ind w:right="1104" w:firstLine="420"/>
        <w:jc w:val="both"/>
      </w:pPr>
      <w:r>
        <w:rPr>
          <w:spacing w:val="-2"/>
        </w:rPr>
        <w:t>投资性房地产的用途改变为自用时，自改变之日起，将该投资性房地产转换为固定资产或无形资产。</w:t>
      </w:r>
      <w:r>
        <w:rPr>
          <w:w w:val="100"/>
        </w:rPr>
        <w:t> </w:t>
      </w:r>
      <w:r>
        <w:rPr>
          <w:spacing w:val="-2"/>
        </w:rPr>
        <w:t>自用房地产的用途改变为赚取租金或资本增值时，自改变之日起，将固定资产或无形资产转换为投资性房</w:t>
      </w:r>
      <w:r>
        <w:rPr>
          <w:spacing w:val="-42"/>
        </w:rPr>
        <w:t> </w:t>
      </w:r>
      <w:r>
        <w:rPr>
          <w:spacing w:val="-42"/>
        </w:rPr>
      </w:r>
      <w:r>
        <w:rPr/>
        <w:t>地产。</w:t>
      </w:r>
    </w:p>
    <w:p>
      <w:pPr>
        <w:pStyle w:val="Heading5"/>
        <w:spacing w:line="273" w:lineRule="auto"/>
        <w:ind w:right="1126" w:firstLine="420"/>
        <w:jc w:val="both"/>
      </w:pPr>
      <w:r>
        <w:rPr>
          <w:spacing w:val="-2"/>
        </w:rPr>
        <w:t>当投资性房地产被处置、或者永久退出使用且预计不能从其处置中取得经济利益时，终止确认该项投</w:t>
      </w:r>
      <w:r>
        <w:rPr>
          <w:w w:val="100"/>
        </w:rPr>
        <w:t> </w:t>
      </w:r>
      <w:r>
        <w:rPr>
          <w:spacing w:val="-2"/>
        </w:rPr>
        <w:t>资性房地产。投资性房地产出售、转让、报废或毁损的处置收入扣除其账面价值和相关税费后计入当期损</w:t>
      </w:r>
      <w:r>
        <w:rPr>
          <w:spacing w:val="-43"/>
        </w:rPr>
        <w:t> </w:t>
      </w:r>
      <w:r>
        <w:rPr>
          <w:spacing w:val="-43"/>
        </w:rPr>
      </w:r>
      <w:r>
        <w:rPr/>
        <w:t>益。</w:t>
      </w:r>
    </w:p>
    <w:p>
      <w:pPr>
        <w:spacing w:line="240" w:lineRule="auto" w:before="7"/>
        <w:rPr>
          <w:rFonts w:ascii="宋体" w:hAnsi="宋体" w:cs="宋体" w:eastAsia="宋体" w:hint="default"/>
          <w:sz w:val="23"/>
          <w:szCs w:val="23"/>
        </w:rPr>
      </w:pPr>
    </w:p>
    <w:p>
      <w:pPr>
        <w:pStyle w:val="Heading4"/>
        <w:spacing w:line="240" w:lineRule="auto"/>
        <w:ind w:right="1133"/>
        <w:jc w:val="left"/>
        <w:rPr>
          <w:b w:val="0"/>
          <w:bCs w:val="0"/>
        </w:rPr>
      </w:pPr>
      <w:bookmarkStart w:name="19、固定资产" w:id="192"/>
      <w:bookmarkEnd w:id="192"/>
      <w:r>
        <w:rPr>
          <w:b w:val="0"/>
          <w:bCs w:val="0"/>
        </w:rPr>
      </w:r>
      <w:r>
        <w:rPr>
          <w:rFonts w:ascii="Times New Roman" w:hAnsi="Times New Roman" w:cs="Times New Roman" w:eastAsia="Times New Roman" w:hint="default"/>
        </w:rPr>
        <w:t>19</w:t>
      </w:r>
      <w:r>
        <w:rPr/>
        <w:t>、固定资产</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33"/>
        <w:jc w:val="left"/>
        <w:rPr>
          <w:b w:val="0"/>
          <w:bCs w:val="0"/>
        </w:rPr>
      </w:pPr>
      <w:bookmarkStart w:name="（1）确认条件" w:id="193"/>
      <w:bookmarkEnd w:id="193"/>
      <w:r>
        <w:rPr>
          <w:b w:val="0"/>
          <w:bCs w:val="0"/>
        </w:rPr>
      </w:r>
      <w:r>
        <w:rPr/>
        <w:t>（</w:t>
      </w:r>
      <w:r>
        <w:rPr>
          <w:rFonts w:ascii="Times New Roman" w:hAnsi="Times New Roman" w:cs="Times New Roman" w:eastAsia="Times New Roman" w:hint="default"/>
        </w:rPr>
        <w:t>1</w:t>
      </w:r>
      <w:r>
        <w:rPr/>
        <w:t>）确认条件</w:t>
      </w:r>
      <w:r>
        <w:rPr>
          <w:b w:val="0"/>
          <w:bCs w:val="0"/>
        </w:rPr>
      </w:r>
    </w:p>
    <w:p>
      <w:pPr>
        <w:spacing w:line="240" w:lineRule="auto" w:before="10"/>
        <w:rPr>
          <w:rFonts w:ascii="宋体" w:hAnsi="宋体" w:cs="宋体" w:eastAsia="宋体" w:hint="default"/>
          <w:b/>
          <w:bCs/>
          <w:sz w:val="24"/>
          <w:szCs w:val="24"/>
        </w:rPr>
      </w:pPr>
    </w:p>
    <w:p>
      <w:pPr>
        <w:pStyle w:val="Heading5"/>
        <w:spacing w:line="273" w:lineRule="auto" w:before="0"/>
        <w:ind w:right="1126" w:firstLine="420"/>
        <w:jc w:val="both"/>
      </w:pPr>
      <w:r>
        <w:rPr>
          <w:spacing w:val="-2"/>
        </w:rPr>
        <w:t>固定资产是指为生产商品、提供劳务、出租或经营管理而持有的，使用寿命超过一个会计年度的有形</w:t>
      </w:r>
      <w:r>
        <w:rPr>
          <w:w w:val="100"/>
        </w:rPr>
        <w:t> </w:t>
      </w:r>
      <w:r>
        <w:rPr>
          <w:spacing w:val="-2"/>
        </w:rPr>
        <w:t>资产。固定资产仅在与其有关的经济利益很可能流入本公司，且其成本能够可靠地计量时才予以确认。固</w:t>
      </w:r>
      <w:r>
        <w:rPr>
          <w:spacing w:val="-44"/>
        </w:rPr>
        <w:t> </w:t>
      </w:r>
      <w:r>
        <w:rPr>
          <w:spacing w:val="-44"/>
        </w:rPr>
      </w:r>
      <w:r>
        <w:rPr/>
        <w:t>定资产按成本并考虑预计弃置费用因素的影响进行初始计量。</w:t>
      </w:r>
    </w:p>
    <w:p>
      <w:pPr>
        <w:spacing w:line="240" w:lineRule="auto" w:before="7"/>
        <w:rPr>
          <w:rFonts w:ascii="宋体" w:hAnsi="宋体" w:cs="宋体" w:eastAsia="宋体" w:hint="default"/>
          <w:sz w:val="23"/>
          <w:szCs w:val="23"/>
        </w:rPr>
      </w:pPr>
    </w:p>
    <w:p>
      <w:pPr>
        <w:pStyle w:val="Heading4"/>
        <w:spacing w:line="240" w:lineRule="auto"/>
        <w:ind w:right="1133"/>
        <w:jc w:val="left"/>
        <w:rPr>
          <w:b w:val="0"/>
          <w:bCs w:val="0"/>
        </w:rPr>
      </w:pPr>
      <w:bookmarkStart w:name="（2）折旧方法" w:id="194"/>
      <w:bookmarkEnd w:id="194"/>
      <w:r>
        <w:rPr>
          <w:b w:val="0"/>
          <w:bCs w:val="0"/>
        </w:rPr>
      </w:r>
      <w:r>
        <w:rPr/>
        <w:t>（</w:t>
      </w:r>
      <w:r>
        <w:rPr>
          <w:rFonts w:ascii="Times New Roman" w:hAnsi="Times New Roman" w:cs="Times New Roman" w:eastAsia="Times New Roman" w:hint="default"/>
        </w:rPr>
        <w:t>2</w:t>
      </w:r>
      <w:r>
        <w:rPr/>
        <w:t>）折旧方法</w:t>
      </w:r>
      <w:r>
        <w:rPr>
          <w:b w:val="0"/>
          <w:bCs w:val="0"/>
        </w:rPr>
      </w: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916"/>
        <w:gridCol w:w="1913"/>
        <w:gridCol w:w="1916"/>
        <w:gridCol w:w="1913"/>
        <w:gridCol w:w="1916"/>
      </w:tblGrid>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残值率</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年折旧率</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20-27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3.52%-4.75%</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电子及其他设备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19%</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19%</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节能专用设备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主要受益期</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w:t>
            </w:r>
          </w:p>
        </w:tc>
      </w:tr>
    </w:tbl>
    <w:p>
      <w:pPr>
        <w:pStyle w:val="Heading5"/>
        <w:spacing w:line="273" w:lineRule="auto" w:before="0"/>
        <w:ind w:right="1133" w:firstLine="420"/>
        <w:jc w:val="left"/>
      </w:pPr>
      <w:r>
        <w:rPr>
          <w:spacing w:val="-2"/>
        </w:rPr>
        <w:t>预计净残值是指假定固定资产预计使用寿命已满并处于使用寿命终了时的预期状态，本公司目前从该</w:t>
      </w:r>
      <w:r>
        <w:rPr>
          <w:w w:val="100"/>
        </w:rPr>
        <w:t> </w:t>
      </w:r>
      <w:r>
        <w:rPr/>
        <w:t>项资产处置中获得的扣除预计处置费用后的金额。</w:t>
      </w:r>
    </w:p>
    <w:p>
      <w:pPr>
        <w:spacing w:line="590" w:lineRule="atLeast" w:before="8"/>
        <w:ind w:left="573" w:right="1133" w:hanging="421"/>
        <w:jc w:val="left"/>
        <w:rPr>
          <w:rFonts w:ascii="宋体" w:hAnsi="宋体" w:cs="宋体" w:eastAsia="宋体" w:hint="default"/>
          <w:sz w:val="21"/>
          <w:szCs w:val="21"/>
        </w:rPr>
      </w:pPr>
      <w:bookmarkStart w:name="（3）融资租入固定资产的认定依据、计价和折旧方法" w:id="195"/>
      <w:bookmarkEnd w:id="19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）融资租入固定资产的认定依据、计价和折旧方法</w:t>
      </w:r>
      <w:r>
        <w:rPr>
          <w:rFonts w:ascii="宋体" w:hAnsi="宋体" w:cs="宋体" w:eastAsia="宋体" w:hint="default"/>
          <w:b/>
          <w:bCs/>
          <w:w w:val="100"/>
          <w:sz w:val="21"/>
          <w:szCs w:val="21"/>
        </w:rPr>
        <w:t> </w:t>
      </w:r>
      <w:r>
        <w:rPr>
          <w:rFonts w:ascii="宋体" w:hAnsi="宋体" w:cs="宋体" w:eastAsia="宋体" w:hint="default"/>
          <w:spacing w:val="-2"/>
          <w:sz w:val="21"/>
          <w:szCs w:val="21"/>
        </w:rPr>
        <w:t>融资租赁为实质上转移了与资产所有权有关的全部风险和报酬的租赁，其所有权最终可能转移，也可</w:t>
      </w:r>
    </w:p>
    <w:p>
      <w:pPr>
        <w:pStyle w:val="Heading5"/>
        <w:spacing w:line="240" w:lineRule="auto" w:before="37"/>
        <w:ind w:right="0"/>
        <w:jc w:val="left"/>
      </w:pPr>
      <w:r>
        <w:rPr/>
        <w:t>能不转移。以融资租赁方式租入的固定资产采用与自有固定资产一致的政策计提租赁资产折旧。能够合理</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5"/>
        <w:spacing w:line="273" w:lineRule="auto" w:before="36"/>
        <w:ind w:right="1133"/>
        <w:jc w:val="left"/>
      </w:pPr>
      <w:r>
        <w:rPr>
          <w:spacing w:val="-2"/>
        </w:rPr>
        <w:t>确定租赁期届满时取得租赁资产所有权的，在租赁资产使用寿命内计提折旧；无法合理确定租赁期届满能</w:t>
      </w:r>
      <w:r>
        <w:rPr>
          <w:spacing w:val="-44"/>
        </w:rPr>
        <w:t> </w:t>
      </w:r>
      <w:r>
        <w:rPr>
          <w:spacing w:val="-44"/>
        </w:rPr>
      </w:r>
      <w:r>
        <w:rPr/>
        <w:t>够取得租赁资产所有权的，在租赁期与租赁资产使用寿命两者中较短的期间内计提折旧。</w:t>
      </w:r>
    </w:p>
    <w:p>
      <w:pPr>
        <w:spacing w:line="240" w:lineRule="auto" w:before="7"/>
        <w:rPr>
          <w:rFonts w:ascii="宋体" w:hAnsi="宋体" w:cs="宋体" w:eastAsia="宋体" w:hint="default"/>
          <w:sz w:val="23"/>
          <w:szCs w:val="23"/>
        </w:rPr>
      </w:pPr>
    </w:p>
    <w:p>
      <w:pPr>
        <w:pStyle w:val="Heading4"/>
        <w:spacing w:line="240" w:lineRule="auto"/>
        <w:ind w:right="1133"/>
        <w:jc w:val="left"/>
        <w:rPr>
          <w:b w:val="0"/>
          <w:bCs w:val="0"/>
        </w:rPr>
      </w:pPr>
      <w:bookmarkStart w:name="（4）其他说明" w:id="196"/>
      <w:bookmarkEnd w:id="196"/>
      <w:r>
        <w:rPr>
          <w:b w:val="0"/>
          <w:bCs w:val="0"/>
        </w:rPr>
      </w:r>
      <w:r>
        <w:rPr/>
        <w:t>（</w:t>
      </w:r>
      <w:r>
        <w:rPr>
          <w:rFonts w:ascii="Times New Roman" w:hAnsi="Times New Roman" w:cs="Times New Roman" w:eastAsia="Times New Roman" w:hint="default"/>
        </w:rPr>
        <w:t>4</w:t>
      </w:r>
      <w:r>
        <w:rPr/>
        <w:t>）其他说明</w:t>
      </w:r>
      <w:r>
        <w:rPr>
          <w:b w:val="0"/>
          <w:bCs w:val="0"/>
        </w:rPr>
      </w:r>
    </w:p>
    <w:p>
      <w:pPr>
        <w:spacing w:line="240" w:lineRule="auto" w:before="10"/>
        <w:rPr>
          <w:rFonts w:ascii="宋体" w:hAnsi="宋体" w:cs="宋体" w:eastAsia="宋体" w:hint="default"/>
          <w:b/>
          <w:bCs/>
          <w:sz w:val="24"/>
          <w:szCs w:val="24"/>
        </w:rPr>
      </w:pPr>
    </w:p>
    <w:p>
      <w:pPr>
        <w:pStyle w:val="Heading5"/>
        <w:spacing w:line="273" w:lineRule="auto" w:before="0"/>
        <w:ind w:right="1104" w:firstLine="420"/>
        <w:jc w:val="both"/>
      </w:pPr>
      <w:r>
        <w:rPr>
          <w:spacing w:val="-2"/>
        </w:rPr>
        <w:t>与固定资产有关的后续支出，如果与该固定资产有关的经济利益很可能流入且其成本能可靠地计量，</w:t>
      </w:r>
      <w:r>
        <w:rPr>
          <w:w w:val="100"/>
        </w:rPr>
        <w:t> </w:t>
      </w:r>
      <w:r>
        <w:rPr>
          <w:spacing w:val="-2"/>
        </w:rPr>
        <w:t>则计入固定资产成本，并终止确认被替换部分的账面价值。除此以外的其他后续支出，在发生时计入当期</w:t>
      </w:r>
      <w:r>
        <w:rPr>
          <w:spacing w:val="-44"/>
        </w:rPr>
        <w:t> </w:t>
      </w:r>
      <w:r>
        <w:rPr>
          <w:spacing w:val="-44"/>
        </w:rPr>
      </w:r>
      <w:r>
        <w:rPr>
          <w:spacing w:val="-2"/>
        </w:rPr>
        <w:t>损益。当固定资产处于处置状态或预期通过使用或处置不能产生经济利益时，终止确认该固定资产。固定</w:t>
      </w:r>
      <w:r>
        <w:rPr>
          <w:spacing w:val="-44"/>
        </w:rPr>
        <w:t> </w:t>
      </w:r>
      <w:r>
        <w:rPr>
          <w:spacing w:val="-44"/>
        </w:rPr>
      </w:r>
      <w:r>
        <w:rPr>
          <w:spacing w:val="-2"/>
        </w:rPr>
        <w:t>资产出售、转让、报废或毁损的处置收入扣除其账面价值和相关税费后的差额计入当期损益。本公司至少</w:t>
      </w:r>
      <w:r>
        <w:rPr>
          <w:spacing w:val="-44"/>
        </w:rPr>
        <w:t> </w:t>
      </w:r>
      <w:r>
        <w:rPr>
          <w:spacing w:val="-44"/>
        </w:rPr>
      </w:r>
      <w:r>
        <w:rPr>
          <w:spacing w:val="-2"/>
        </w:rPr>
        <w:t>于年度终了对固定资产的使用寿命、预计净残值和折旧方法进行复核，如发生改变则作为会计估计变更处</w:t>
      </w:r>
      <w:r>
        <w:rPr>
          <w:spacing w:val="-42"/>
        </w:rPr>
        <w:t> </w:t>
      </w:r>
      <w:r>
        <w:rPr>
          <w:spacing w:val="-42"/>
        </w:rPr>
      </w:r>
      <w:r>
        <w:rPr/>
        <w:t>理。</w:t>
      </w:r>
    </w:p>
    <w:p>
      <w:pPr>
        <w:spacing w:line="240" w:lineRule="auto" w:before="7"/>
        <w:rPr>
          <w:rFonts w:ascii="宋体" w:hAnsi="宋体" w:cs="宋体" w:eastAsia="宋体" w:hint="default"/>
          <w:sz w:val="23"/>
          <w:szCs w:val="23"/>
        </w:rPr>
      </w:pPr>
    </w:p>
    <w:p>
      <w:pPr>
        <w:pStyle w:val="Heading4"/>
        <w:spacing w:line="240" w:lineRule="auto"/>
        <w:ind w:right="1133"/>
        <w:jc w:val="left"/>
        <w:rPr>
          <w:b w:val="0"/>
          <w:bCs w:val="0"/>
        </w:rPr>
      </w:pPr>
      <w:bookmarkStart w:name="20、在建工程" w:id="197"/>
      <w:bookmarkEnd w:id="197"/>
      <w:r>
        <w:rPr>
          <w:b w:val="0"/>
          <w:bCs w:val="0"/>
        </w:rPr>
      </w:r>
      <w:r>
        <w:rPr>
          <w:rFonts w:ascii="Times New Roman" w:hAnsi="Times New Roman" w:cs="Times New Roman" w:eastAsia="Times New Roman" w:hint="default"/>
        </w:rPr>
        <w:t>20</w:t>
      </w:r>
      <w:r>
        <w:rPr/>
        <w:t>、在建工程</w:t>
      </w:r>
      <w:r>
        <w:rPr>
          <w:b w:val="0"/>
          <w:bCs w:val="0"/>
        </w:rPr>
      </w:r>
    </w:p>
    <w:p>
      <w:pPr>
        <w:spacing w:line="240" w:lineRule="auto" w:before="7"/>
        <w:rPr>
          <w:rFonts w:ascii="宋体" w:hAnsi="宋体" w:cs="宋体" w:eastAsia="宋体" w:hint="default"/>
          <w:b/>
          <w:bCs/>
          <w:sz w:val="24"/>
          <w:szCs w:val="24"/>
        </w:rPr>
      </w:pPr>
    </w:p>
    <w:p>
      <w:pPr>
        <w:pStyle w:val="Heading5"/>
        <w:spacing w:line="273" w:lineRule="auto" w:before="0"/>
        <w:ind w:right="1126" w:firstLine="420"/>
        <w:jc w:val="both"/>
      </w:pPr>
      <w:r>
        <w:rPr>
          <w:spacing w:val="-2"/>
        </w:rPr>
        <w:t>在建工程成本按实际工程支出确定，包括在建期间发生的各项工程支出、工程达到预定可使用状态前</w:t>
      </w:r>
      <w:r>
        <w:rPr>
          <w:w w:val="100"/>
        </w:rPr>
        <w:t> </w:t>
      </w:r>
      <w:r>
        <w:rPr/>
        <w:t>的资本化的借款费用以及其他相关费用等。在建工程在达到预定可使用状态后结转为固定资产。</w:t>
      </w:r>
    </w:p>
    <w:p>
      <w:pPr>
        <w:pStyle w:val="Heading5"/>
        <w:spacing w:line="240" w:lineRule="auto"/>
        <w:ind w:left="573" w:right="1133"/>
        <w:jc w:val="left"/>
      </w:pPr>
      <w:r>
        <w:rPr/>
        <w:t>在建工程的减值测试方法和减值准备计提方法详见附注</w:t>
      </w:r>
      <w:r>
        <w:rPr>
          <w:rFonts w:ascii="Times New Roman" w:hAnsi="Times New Roman" w:cs="Times New Roman" w:eastAsia="Times New Roman" w:hint="default"/>
        </w:rPr>
        <w:t>“</w:t>
      </w:r>
      <w:r>
        <w:rPr/>
        <w:t>五、</w:t>
      </w:r>
      <w:r>
        <w:rPr>
          <w:rFonts w:ascii="Times New Roman" w:hAnsi="Times New Roman" w:cs="Times New Roman" w:eastAsia="Times New Roman" w:hint="default"/>
        </w:rPr>
        <w:t>23</w:t>
      </w:r>
      <w:r>
        <w:rPr/>
        <w:t>、长期资产减值</w:t>
      </w:r>
      <w:r>
        <w:rPr>
          <w:rFonts w:ascii="Times New Roman" w:hAnsi="Times New Roman" w:cs="Times New Roman" w:eastAsia="Times New Roman" w:hint="default"/>
        </w:rPr>
        <w:t>”</w:t>
      </w:r>
      <w:r>
        <w:rPr/>
        <w:t>。</w:t>
      </w:r>
    </w:p>
    <w:p>
      <w:pPr>
        <w:spacing w:line="240" w:lineRule="auto" w:before="7"/>
        <w:rPr>
          <w:rFonts w:ascii="宋体" w:hAnsi="宋体" w:cs="宋体" w:eastAsia="宋体" w:hint="default"/>
          <w:sz w:val="24"/>
          <w:szCs w:val="24"/>
        </w:rPr>
      </w:pPr>
    </w:p>
    <w:p>
      <w:pPr>
        <w:pStyle w:val="Heading4"/>
        <w:spacing w:line="240" w:lineRule="auto"/>
        <w:ind w:right="1133"/>
        <w:jc w:val="left"/>
        <w:rPr>
          <w:b w:val="0"/>
          <w:bCs w:val="0"/>
        </w:rPr>
      </w:pPr>
      <w:bookmarkStart w:name="21、借款费用" w:id="198"/>
      <w:bookmarkEnd w:id="198"/>
      <w:r>
        <w:rPr>
          <w:b w:val="0"/>
          <w:bCs w:val="0"/>
        </w:rPr>
      </w:r>
      <w:r>
        <w:rPr>
          <w:rFonts w:ascii="Times New Roman" w:hAnsi="Times New Roman" w:cs="Times New Roman" w:eastAsia="Times New Roman" w:hint="default"/>
        </w:rPr>
        <w:t>21</w:t>
      </w:r>
      <w:r>
        <w:rPr/>
        <w:t>、借款费用</w:t>
      </w:r>
      <w:r>
        <w:rPr>
          <w:b w:val="0"/>
          <w:bCs w:val="0"/>
        </w:rPr>
      </w:r>
    </w:p>
    <w:p>
      <w:pPr>
        <w:spacing w:line="240" w:lineRule="auto" w:before="10"/>
        <w:rPr>
          <w:rFonts w:ascii="宋体" w:hAnsi="宋体" w:cs="宋体" w:eastAsia="宋体" w:hint="default"/>
          <w:b/>
          <w:bCs/>
          <w:sz w:val="24"/>
          <w:szCs w:val="24"/>
        </w:rPr>
      </w:pPr>
    </w:p>
    <w:p>
      <w:pPr>
        <w:pStyle w:val="Heading5"/>
        <w:spacing w:line="273" w:lineRule="auto" w:before="0"/>
        <w:ind w:right="1126" w:firstLine="420"/>
        <w:jc w:val="both"/>
      </w:pPr>
      <w:r>
        <w:rPr>
          <w:spacing w:val="-2"/>
        </w:rPr>
        <w:t>借款费用包括借款利息、折价或溢价的摊销、辅助费用以及因外币借款而发生的汇兑差额等。可直接</w:t>
      </w:r>
      <w:r>
        <w:rPr>
          <w:w w:val="100"/>
        </w:rPr>
        <w:t> </w:t>
      </w:r>
      <w:r>
        <w:rPr>
          <w:spacing w:val="-2"/>
        </w:rPr>
        <w:t>归属于符合资本化条件的资产的购建或者生产的借款费用，在资产支出已经发生、借款费用已经发生、为</w:t>
      </w:r>
      <w:r>
        <w:rPr>
          <w:spacing w:val="-43"/>
        </w:rPr>
        <w:t> </w:t>
      </w:r>
      <w:r>
        <w:rPr>
          <w:spacing w:val="-43"/>
        </w:rPr>
      </w:r>
      <w:r>
        <w:rPr>
          <w:spacing w:val="-2"/>
        </w:rPr>
        <w:t>使资产达到预定可使用或可销售状态所必要的购建或生产活动已经开始时，开始资本化；构建或者生产的</w:t>
      </w:r>
      <w:r>
        <w:rPr>
          <w:spacing w:val="-43"/>
        </w:rPr>
        <w:t> </w:t>
      </w:r>
      <w:r>
        <w:rPr>
          <w:spacing w:val="-43"/>
        </w:rPr>
      </w:r>
      <w:r>
        <w:rPr>
          <w:spacing w:val="-2"/>
        </w:rPr>
        <w:t>符合资本化条件的资产达到预定可使用状态或者可销售状态时，停止资本化。其余借款费用在发生当期确</w:t>
      </w:r>
      <w:r>
        <w:rPr>
          <w:spacing w:val="-44"/>
        </w:rPr>
        <w:t> </w:t>
      </w:r>
      <w:r>
        <w:rPr>
          <w:spacing w:val="-44"/>
        </w:rPr>
      </w:r>
      <w:r>
        <w:rPr/>
        <w:t>认为费用。</w:t>
      </w:r>
    </w:p>
    <w:p>
      <w:pPr>
        <w:pStyle w:val="Heading5"/>
        <w:spacing w:line="273" w:lineRule="auto"/>
        <w:ind w:right="1126" w:firstLine="420"/>
        <w:jc w:val="both"/>
      </w:pPr>
      <w:r>
        <w:rPr>
          <w:spacing w:val="-2"/>
        </w:rPr>
        <w:t>专门借款当期实际发生的利息费用，减去尚未动用的借款资金存入银行取得的利息收入或进行暂时性</w:t>
      </w:r>
      <w:r>
        <w:rPr>
          <w:w w:val="100"/>
        </w:rPr>
        <w:t> </w:t>
      </w:r>
      <w:r>
        <w:rPr>
          <w:spacing w:val="-2"/>
        </w:rPr>
        <w:t>投资取得的投资收益后的金额予以资本化；一般借款根据累计资产支出超过专门借款部分的资产支出加权</w:t>
      </w:r>
      <w:r>
        <w:rPr>
          <w:spacing w:val="-43"/>
        </w:rPr>
        <w:t> </w:t>
      </w:r>
      <w:r>
        <w:rPr>
          <w:spacing w:val="-43"/>
        </w:rPr>
      </w:r>
      <w:r>
        <w:rPr>
          <w:spacing w:val="-2"/>
        </w:rPr>
        <w:t>平均数乘以所占用一般借款的资本化率，确定资本化金额。资本化率根据一般借款的加权平均利率计算确</w:t>
      </w:r>
      <w:r>
        <w:rPr>
          <w:spacing w:val="-43"/>
        </w:rPr>
        <w:t> </w:t>
      </w:r>
      <w:r>
        <w:rPr>
          <w:spacing w:val="-43"/>
        </w:rPr>
      </w:r>
      <w:r>
        <w:rPr/>
        <w:t>定。</w:t>
      </w:r>
    </w:p>
    <w:p>
      <w:pPr>
        <w:pStyle w:val="Heading5"/>
        <w:spacing w:line="273" w:lineRule="auto"/>
        <w:ind w:left="573" w:right="1133"/>
        <w:jc w:val="left"/>
      </w:pPr>
      <w:r>
        <w:rPr>
          <w:spacing w:val="-2"/>
        </w:rPr>
        <w:t>资本化期间内，外币专门借款的汇兑差额全部予以资本化；外币一般借款的汇兑差额计入当期损益。</w:t>
      </w:r>
      <w:r>
        <w:rPr>
          <w:spacing w:val="-27"/>
        </w:rPr>
        <w:t> </w:t>
      </w:r>
      <w:r>
        <w:rPr>
          <w:spacing w:val="-27"/>
        </w:rPr>
      </w:r>
      <w:r>
        <w:rPr/>
        <w:t>如果符合资本化条件的资产在购建或生产过程中发生非正常中断、并且中断时间连续超过</w:t>
      </w:r>
      <w:r>
        <w:rPr>
          <w:rFonts w:ascii="Times New Roman" w:hAnsi="Times New Roman" w:cs="Times New Roman" w:eastAsia="Times New Roman" w:hint="default"/>
        </w:rPr>
        <w:t>3</w:t>
      </w:r>
      <w:r>
        <w:rPr/>
        <w:t>个月的，</w:t>
      </w:r>
    </w:p>
    <w:p>
      <w:pPr>
        <w:pStyle w:val="Heading5"/>
        <w:spacing w:line="264" w:lineRule="exact" w:before="0"/>
        <w:ind w:right="1133"/>
        <w:jc w:val="left"/>
      </w:pPr>
      <w:r>
        <w:rPr/>
        <w:t>暂停借款费用的资本化，直至资产的购建或生产活动重新开始。</w:t>
      </w:r>
    </w:p>
    <w:p>
      <w:pPr>
        <w:spacing w:line="240" w:lineRule="auto" w:before="10"/>
        <w:rPr>
          <w:rFonts w:ascii="宋体" w:hAnsi="宋体" w:cs="宋体" w:eastAsia="宋体" w:hint="default"/>
          <w:sz w:val="25"/>
          <w:szCs w:val="25"/>
        </w:rPr>
      </w:pPr>
    </w:p>
    <w:p>
      <w:pPr>
        <w:pStyle w:val="Heading4"/>
        <w:spacing w:line="240" w:lineRule="auto"/>
        <w:ind w:right="1133"/>
        <w:jc w:val="left"/>
        <w:rPr>
          <w:b w:val="0"/>
          <w:bCs w:val="0"/>
        </w:rPr>
      </w:pPr>
      <w:bookmarkStart w:name="22、无形资产" w:id="199"/>
      <w:bookmarkEnd w:id="199"/>
      <w:r>
        <w:rPr>
          <w:b w:val="0"/>
          <w:bCs w:val="0"/>
        </w:rPr>
      </w:r>
      <w:r>
        <w:rPr>
          <w:rFonts w:ascii="Times New Roman" w:hAnsi="Times New Roman" w:cs="Times New Roman" w:eastAsia="Times New Roman" w:hint="default"/>
        </w:rPr>
        <w:t>22</w:t>
      </w:r>
      <w:r>
        <w:rPr/>
        <w:t>、无形资产</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33"/>
        <w:jc w:val="left"/>
        <w:rPr>
          <w:b w:val="0"/>
          <w:bCs w:val="0"/>
        </w:rPr>
      </w:pPr>
      <w:bookmarkStart w:name="（1）计价方法、使用寿命、减值测试" w:id="200"/>
      <w:bookmarkEnd w:id="200"/>
      <w:r>
        <w:rPr>
          <w:b w:val="0"/>
          <w:bCs w:val="0"/>
        </w:rPr>
      </w:r>
      <w:r>
        <w:rPr/>
        <w:t>（</w:t>
      </w:r>
      <w:r>
        <w:rPr>
          <w:rFonts w:ascii="Times New Roman" w:hAnsi="Times New Roman" w:cs="Times New Roman" w:eastAsia="Times New Roman" w:hint="default"/>
        </w:rPr>
        <w:t>1</w:t>
      </w:r>
      <w:r>
        <w:rPr/>
        <w:t>）计价方法、使用寿命、减值测试</w:t>
      </w:r>
      <w:r>
        <w:rPr>
          <w:b w:val="0"/>
          <w:bCs w:val="0"/>
        </w:rPr>
      </w:r>
    </w:p>
    <w:p>
      <w:pPr>
        <w:spacing w:line="240" w:lineRule="auto" w:before="10"/>
        <w:rPr>
          <w:rFonts w:ascii="宋体" w:hAnsi="宋体" w:cs="宋体" w:eastAsia="宋体" w:hint="default"/>
          <w:b/>
          <w:bCs/>
          <w:sz w:val="24"/>
          <w:szCs w:val="24"/>
        </w:rPr>
      </w:pPr>
    </w:p>
    <w:p>
      <w:pPr>
        <w:pStyle w:val="Heading5"/>
        <w:spacing w:line="273" w:lineRule="auto" w:before="0"/>
        <w:ind w:left="573" w:right="1133"/>
        <w:jc w:val="left"/>
      </w:pPr>
      <w:r>
        <w:rPr/>
        <w:t>无形资产是指本公司拥有或者控制的没有实物形态的可辨认非货币性资产。</w:t>
      </w:r>
      <w:r>
        <w:rPr>
          <w:w w:val="100"/>
        </w:rPr>
        <w:t> </w:t>
      </w:r>
      <w:r>
        <w:rPr>
          <w:spacing w:val="-2"/>
        </w:rPr>
        <w:t>无形资产按成本进行初始计量。与无形资产有关的支出，如果相关的经济利益很可能流入本公司且其</w:t>
      </w:r>
    </w:p>
    <w:p>
      <w:pPr>
        <w:pStyle w:val="Heading5"/>
        <w:spacing w:line="273" w:lineRule="auto"/>
        <w:ind w:left="573" w:right="1133" w:hanging="421"/>
        <w:jc w:val="left"/>
      </w:pPr>
      <w:r>
        <w:rPr/>
        <w:t>成本能可靠地计量，则计入无形资产成本。除此以外的其他项目的支出，在发生时计入当期损益。</w:t>
      </w:r>
      <w:r>
        <w:rPr>
          <w:w w:val="100"/>
        </w:rPr>
        <w:t> </w:t>
      </w:r>
      <w:r>
        <w:rPr>
          <w:spacing w:val="-2"/>
        </w:rPr>
        <w:t>取得的土地使用权通常作为无形资产核算。自行开发建造厂房等建筑物，相关的土地使用权支出和建</w:t>
      </w:r>
    </w:p>
    <w:p>
      <w:pPr>
        <w:pStyle w:val="Heading5"/>
        <w:spacing w:line="273" w:lineRule="auto"/>
        <w:ind w:right="1133"/>
        <w:jc w:val="left"/>
      </w:pPr>
      <w:r>
        <w:rPr>
          <w:spacing w:val="-2"/>
        </w:rPr>
        <w:t>筑物建造成本则分别作为无形资产和固定资产核算。如为外购的房屋及建筑物，则将有关价款在土地使用</w:t>
      </w:r>
      <w:r>
        <w:rPr>
          <w:spacing w:val="-44"/>
        </w:rPr>
        <w:t> </w:t>
      </w:r>
      <w:r>
        <w:rPr>
          <w:spacing w:val="-44"/>
        </w:rPr>
      </w:r>
      <w:r>
        <w:rPr/>
        <w:t>权和建筑物之间进行分配，难以合理分配的，全部作为固定资产处理。</w:t>
      </w:r>
    </w:p>
    <w:p>
      <w:pPr>
        <w:pStyle w:val="Heading5"/>
        <w:spacing w:line="273" w:lineRule="auto"/>
        <w:ind w:right="1126" w:firstLine="420"/>
        <w:jc w:val="both"/>
      </w:pPr>
      <w:r>
        <w:rPr>
          <w:spacing w:val="-2"/>
        </w:rPr>
        <w:t>使用寿命有限的无形资产自可供使用时起，对其原值减去预计净残值和已计提的减值准备累计金额在</w:t>
      </w:r>
      <w:r>
        <w:rPr>
          <w:w w:val="100"/>
        </w:rPr>
        <w:t> </w:t>
      </w:r>
      <w:r>
        <w:rPr/>
        <w:t>其预计使用寿命内采用直线法分期平均摊销。使用寿命不确定的无形资产不予摊销。</w:t>
      </w:r>
    </w:p>
    <w:p>
      <w:pPr>
        <w:spacing w:after="0" w:line="273" w:lineRule="auto"/>
        <w:jc w:val="both"/>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5"/>
        <w:spacing w:line="240" w:lineRule="auto" w:before="36"/>
        <w:ind w:left="573" w:right="1133"/>
        <w:jc w:val="left"/>
      </w:pPr>
      <w:r>
        <w:rPr/>
        <w:t>各项无形资产的使用寿命如下：</w:t>
      </w:r>
    </w:p>
    <w:p>
      <w:pPr>
        <w:spacing w:line="240" w:lineRule="auto" w:before="9"/>
        <w:rPr>
          <w:rFonts w:ascii="宋体" w:hAnsi="宋体" w:cs="宋体" w:eastAsia="宋体" w:hint="default"/>
          <w:sz w:val="27"/>
          <w:szCs w:val="27"/>
        </w:rPr>
      </w:pPr>
    </w:p>
    <w:tbl>
      <w:tblPr>
        <w:tblW w:w="0" w:type="auto"/>
        <w:jc w:val="left"/>
        <w:tblInd w:w="145" w:type="dxa"/>
        <w:tblLayout w:type="fixed"/>
        <w:tblCellMar>
          <w:top w:w="0" w:type="dxa"/>
          <w:left w:w="0" w:type="dxa"/>
          <w:bottom w:w="0" w:type="dxa"/>
          <w:right w:w="0" w:type="dxa"/>
        </w:tblCellMar>
        <w:tblLook w:val="01E0"/>
      </w:tblPr>
      <w:tblGrid>
        <w:gridCol w:w="4986"/>
        <w:gridCol w:w="4674"/>
      </w:tblGrid>
      <w:tr>
        <w:trPr>
          <w:trHeight w:val="329" w:hRule="exact"/>
        </w:trPr>
        <w:tc>
          <w:tcPr>
            <w:tcW w:w="498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4674"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使用寿命（年）</w:t>
            </w:r>
          </w:p>
        </w:tc>
      </w:tr>
      <w:tr>
        <w:trPr>
          <w:trHeight w:val="365" w:hRule="exact"/>
        </w:trPr>
        <w:tc>
          <w:tcPr>
            <w:tcW w:w="49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left="4" w:right="0"/>
              <w:jc w:val="center"/>
              <w:rPr>
                <w:rFonts w:ascii="宋体" w:hAnsi="宋体" w:cs="宋体" w:eastAsia="宋体" w:hint="default"/>
                <w:sz w:val="21"/>
                <w:szCs w:val="21"/>
              </w:rPr>
            </w:pPr>
            <w:r>
              <w:rPr>
                <w:rFonts w:ascii="宋体" w:hAnsi="宋体" w:cs="宋体" w:eastAsia="宋体" w:hint="default"/>
                <w:sz w:val="21"/>
                <w:szCs w:val="21"/>
              </w:rPr>
              <w:t>土地使用权</w:t>
            </w:r>
          </w:p>
        </w:tc>
        <w:tc>
          <w:tcPr>
            <w:tcW w:w="4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0"/>
              <w:jc w:val="center"/>
              <w:rPr>
                <w:rFonts w:ascii="Times New Roman" w:hAnsi="Times New Roman" w:cs="Times New Roman" w:eastAsia="Times New Roman" w:hint="default"/>
                <w:sz w:val="21"/>
                <w:szCs w:val="21"/>
              </w:rPr>
            </w:pPr>
            <w:r>
              <w:rPr>
                <w:rFonts w:ascii="Times New Roman"/>
                <w:sz w:val="21"/>
              </w:rPr>
              <w:t>50</w:t>
            </w:r>
          </w:p>
        </w:tc>
      </w:tr>
      <w:tr>
        <w:trPr>
          <w:trHeight w:val="348" w:hRule="exact"/>
        </w:trPr>
        <w:tc>
          <w:tcPr>
            <w:tcW w:w="498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 w:right="0"/>
              <w:jc w:val="center"/>
              <w:rPr>
                <w:rFonts w:ascii="宋体" w:hAnsi="宋体" w:cs="宋体" w:eastAsia="宋体" w:hint="default"/>
                <w:sz w:val="21"/>
                <w:szCs w:val="21"/>
              </w:rPr>
            </w:pPr>
            <w:r>
              <w:rPr>
                <w:rFonts w:ascii="宋体" w:hAnsi="宋体" w:cs="宋体" w:eastAsia="宋体" w:hint="default"/>
                <w:sz w:val="21"/>
                <w:szCs w:val="21"/>
              </w:rPr>
              <w:t>软件</w:t>
            </w:r>
          </w:p>
        </w:tc>
        <w:tc>
          <w:tcPr>
            <w:tcW w:w="4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0"/>
              <w:jc w:val="center"/>
              <w:rPr>
                <w:rFonts w:ascii="Times New Roman" w:hAnsi="Times New Roman" w:cs="Times New Roman" w:eastAsia="Times New Roman" w:hint="default"/>
                <w:sz w:val="21"/>
                <w:szCs w:val="21"/>
              </w:rPr>
            </w:pPr>
            <w:r>
              <w:rPr>
                <w:rFonts w:ascii="Times New Roman"/>
                <w:w w:val="100"/>
                <w:sz w:val="21"/>
              </w:rPr>
              <w:t>5</w:t>
            </w:r>
          </w:p>
        </w:tc>
      </w:tr>
      <w:tr>
        <w:trPr>
          <w:trHeight w:val="346" w:hRule="exact"/>
        </w:trPr>
        <w:tc>
          <w:tcPr>
            <w:tcW w:w="4986"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专利权</w:t>
            </w:r>
          </w:p>
        </w:tc>
        <w:tc>
          <w:tcPr>
            <w:tcW w:w="4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w w:val="100"/>
                <w:sz w:val="21"/>
              </w:rPr>
              <w:t>5</w:t>
            </w:r>
          </w:p>
        </w:tc>
      </w:tr>
      <w:tr>
        <w:trPr>
          <w:trHeight w:val="348" w:hRule="exact"/>
        </w:trPr>
        <w:tc>
          <w:tcPr>
            <w:tcW w:w="498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4" w:right="0"/>
              <w:jc w:val="center"/>
              <w:rPr>
                <w:rFonts w:ascii="宋体" w:hAnsi="宋体" w:cs="宋体" w:eastAsia="宋体" w:hint="default"/>
                <w:sz w:val="21"/>
                <w:szCs w:val="21"/>
              </w:rPr>
            </w:pPr>
            <w:r>
              <w:rPr>
                <w:rFonts w:ascii="宋体" w:hAnsi="宋体" w:cs="宋体" w:eastAsia="宋体" w:hint="default"/>
                <w:sz w:val="21"/>
                <w:szCs w:val="21"/>
              </w:rPr>
              <w:t>非专利技术</w:t>
            </w:r>
          </w:p>
        </w:tc>
        <w:tc>
          <w:tcPr>
            <w:tcW w:w="4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0"/>
              <w:jc w:val="center"/>
              <w:rPr>
                <w:rFonts w:ascii="Times New Roman" w:hAnsi="Times New Roman" w:cs="Times New Roman" w:eastAsia="Times New Roman" w:hint="default"/>
                <w:sz w:val="21"/>
                <w:szCs w:val="21"/>
              </w:rPr>
            </w:pPr>
            <w:r>
              <w:rPr>
                <w:rFonts w:ascii="Times New Roman"/>
                <w:w w:val="100"/>
                <w:sz w:val="21"/>
              </w:rPr>
              <w:t>5</w:t>
            </w:r>
          </w:p>
        </w:tc>
      </w:tr>
      <w:tr>
        <w:trPr>
          <w:trHeight w:val="348" w:hRule="exact"/>
        </w:trPr>
        <w:tc>
          <w:tcPr>
            <w:tcW w:w="4986" w:type="dxa"/>
            <w:tcBorders>
              <w:top w:val="single" w:sz="6" w:space="0" w:color="000000"/>
              <w:left w:val="single" w:sz="6" w:space="0" w:color="000000"/>
              <w:bottom w:val="single" w:sz="6" w:space="0" w:color="000000"/>
              <w:right w:val="single" w:sz="6" w:space="0" w:color="000000"/>
            </w:tcBorders>
          </w:tcPr>
          <w:p>
            <w:pPr>
              <w:pStyle w:val="TableParagraph"/>
              <w:spacing w:line="288" w:lineRule="exact"/>
              <w:ind w:left="4"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PPP</w:t>
            </w:r>
            <w:r>
              <w:rPr>
                <w:rFonts w:ascii="宋体" w:hAnsi="宋体" w:cs="宋体" w:eastAsia="宋体" w:hint="default"/>
                <w:sz w:val="21"/>
                <w:szCs w:val="21"/>
              </w:rPr>
              <w:t>项目收益权</w:t>
            </w:r>
          </w:p>
        </w:tc>
        <w:tc>
          <w:tcPr>
            <w:tcW w:w="4674"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合同约定受益期</w:t>
            </w:r>
          </w:p>
        </w:tc>
      </w:tr>
    </w:tbl>
    <w:p>
      <w:pPr>
        <w:spacing w:line="240" w:lineRule="auto" w:before="2"/>
        <w:rPr>
          <w:rFonts w:ascii="宋体" w:hAnsi="宋体" w:cs="宋体" w:eastAsia="宋体" w:hint="default"/>
          <w:sz w:val="20"/>
          <w:szCs w:val="20"/>
        </w:rPr>
      </w:pPr>
    </w:p>
    <w:p>
      <w:pPr>
        <w:pStyle w:val="Heading5"/>
        <w:spacing w:line="273" w:lineRule="auto" w:before="36"/>
        <w:ind w:right="1107" w:firstLine="420"/>
        <w:jc w:val="both"/>
      </w:pPr>
      <w:r>
        <w:rPr>
          <w:spacing w:val="-2"/>
        </w:rPr>
        <w:t>期末，对使用寿命有限的无形资产的使用寿命和摊销方法进行复核，如发生变更则作为会计估计变更</w:t>
      </w:r>
      <w:r>
        <w:rPr>
          <w:w w:val="100"/>
        </w:rPr>
        <w:t> </w:t>
      </w:r>
      <w:r>
        <w:rPr>
          <w:spacing w:val="-2"/>
        </w:rPr>
        <w:t>处理。此外，还对使用寿命不确定的无形资产的使用寿命进行复核，如果有证据表明该无形资产为企业带</w:t>
      </w:r>
      <w:r>
        <w:rPr>
          <w:spacing w:val="-44"/>
        </w:rPr>
        <w:t> </w:t>
      </w:r>
      <w:r>
        <w:rPr>
          <w:spacing w:val="-44"/>
        </w:rPr>
      </w:r>
      <w:r>
        <w:rPr>
          <w:spacing w:val="-2"/>
        </w:rPr>
        <w:t>来经济利益的期限是可预见的，则估计其使用寿命并按照使用寿命有限的无形资产的摊销政策进行摊销。</w:t>
      </w:r>
    </w:p>
    <w:p>
      <w:pPr>
        <w:spacing w:line="240" w:lineRule="auto" w:before="7"/>
        <w:rPr>
          <w:rFonts w:ascii="宋体" w:hAnsi="宋体" w:cs="宋体" w:eastAsia="宋体" w:hint="default"/>
          <w:sz w:val="23"/>
          <w:szCs w:val="23"/>
        </w:rPr>
      </w:pPr>
    </w:p>
    <w:p>
      <w:pPr>
        <w:pStyle w:val="Heading4"/>
        <w:spacing w:line="240" w:lineRule="auto"/>
        <w:ind w:right="1133"/>
        <w:jc w:val="left"/>
        <w:rPr>
          <w:b w:val="0"/>
          <w:bCs w:val="0"/>
        </w:rPr>
      </w:pPr>
      <w:bookmarkStart w:name="（2）内部研究开发支出会计政策" w:id="201"/>
      <w:bookmarkEnd w:id="201"/>
      <w:r>
        <w:rPr>
          <w:b w:val="0"/>
          <w:bCs w:val="0"/>
        </w:rPr>
      </w:r>
      <w:r>
        <w:rPr/>
        <w:t>（</w:t>
      </w:r>
      <w:r>
        <w:rPr>
          <w:rFonts w:ascii="Times New Roman" w:hAnsi="Times New Roman" w:cs="Times New Roman" w:eastAsia="Times New Roman" w:hint="default"/>
        </w:rPr>
        <w:t>2</w:t>
      </w:r>
      <w:r>
        <w:rPr/>
        <w:t>）内部研究开发支出会计政策</w:t>
      </w:r>
      <w:r>
        <w:rPr>
          <w:b w:val="0"/>
          <w:bCs w:val="0"/>
        </w:rPr>
      </w:r>
    </w:p>
    <w:p>
      <w:pPr>
        <w:spacing w:line="240" w:lineRule="auto" w:before="7"/>
        <w:rPr>
          <w:rFonts w:ascii="宋体" w:hAnsi="宋体" w:cs="宋体" w:eastAsia="宋体" w:hint="default"/>
          <w:b/>
          <w:bCs/>
          <w:sz w:val="24"/>
          <w:szCs w:val="24"/>
        </w:rPr>
      </w:pPr>
    </w:p>
    <w:p>
      <w:pPr>
        <w:pStyle w:val="Heading5"/>
        <w:spacing w:line="273" w:lineRule="auto" w:before="0"/>
        <w:ind w:left="573" w:right="1133"/>
        <w:jc w:val="left"/>
      </w:pPr>
      <w:r>
        <w:rPr/>
        <w:t>本公司内部研究开发项目的支出分为研究阶段支出与开发阶段支出。</w:t>
      </w:r>
      <w:r>
        <w:rPr>
          <w:w w:val="100"/>
        </w:rPr>
        <w:t> </w:t>
      </w:r>
      <w:r>
        <w:rPr/>
        <w:t>研究阶段的支出，于发生时计入当期损益。</w:t>
      </w:r>
      <w:r>
        <w:rPr>
          <w:w w:val="100"/>
        </w:rPr>
        <w:t> </w:t>
      </w:r>
      <w:r>
        <w:rPr>
          <w:spacing w:val="-2"/>
        </w:rPr>
        <w:t>开发阶段的支出同时满足下列条件的，确认为无形资产，不能满足下述条件的开发阶段的支出计入当</w:t>
      </w:r>
    </w:p>
    <w:p>
      <w:pPr>
        <w:pStyle w:val="Heading5"/>
        <w:spacing w:line="240" w:lineRule="auto"/>
        <w:ind w:right="1133"/>
        <w:jc w:val="left"/>
      </w:pPr>
      <w:r>
        <w:rPr/>
        <w:t>期损益：</w:t>
      </w:r>
    </w:p>
    <w:p>
      <w:pPr>
        <w:pStyle w:val="Heading5"/>
        <w:spacing w:line="240" w:lineRule="auto" w:before="37"/>
        <w:ind w:left="573" w:right="1133"/>
        <w:jc w:val="left"/>
      </w:pPr>
      <w:r>
        <w:rPr/>
        <w:t>①完成该无形资产以使其能够使用或出售在技术上具有可行性；</w:t>
      </w:r>
    </w:p>
    <w:p>
      <w:pPr>
        <w:pStyle w:val="Heading5"/>
        <w:spacing w:line="240" w:lineRule="auto" w:before="37"/>
        <w:ind w:left="573" w:right="1133"/>
        <w:jc w:val="left"/>
      </w:pPr>
      <w:r>
        <w:rPr/>
        <w:t>②具有完成该无形资产并使用或出售的意图；</w:t>
      </w:r>
    </w:p>
    <w:p>
      <w:pPr>
        <w:pStyle w:val="Heading5"/>
        <w:spacing w:line="273" w:lineRule="auto" w:before="37"/>
        <w:ind w:right="1126" w:firstLine="420"/>
        <w:jc w:val="both"/>
      </w:pPr>
      <w:r>
        <w:rPr>
          <w:spacing w:val="-2"/>
        </w:rPr>
        <w:t>③无形资产产生经济利益的方式，包括能够证明运用该无形资产生产的产品存在市场或无形资产自身</w:t>
      </w:r>
      <w:r>
        <w:rPr>
          <w:w w:val="100"/>
        </w:rPr>
        <w:t> </w:t>
      </w:r>
      <w:r>
        <w:rPr/>
        <w:t>存在市场，无形资产将在内部使用的，能够证明其有用性；</w:t>
      </w:r>
    </w:p>
    <w:p>
      <w:pPr>
        <w:pStyle w:val="Heading5"/>
        <w:spacing w:line="273" w:lineRule="auto" w:before="8"/>
        <w:ind w:right="1126" w:firstLine="420"/>
        <w:jc w:val="both"/>
      </w:pPr>
      <w:r>
        <w:rPr>
          <w:spacing w:val="-2"/>
        </w:rPr>
        <w:t>④有足够的技术、财务资源和其他资源支持，以完成该无形资产的开发，并有能力使用或出售该无形</w:t>
      </w:r>
      <w:r>
        <w:rPr>
          <w:w w:val="100"/>
        </w:rPr>
        <w:t> </w:t>
      </w:r>
      <w:r>
        <w:rPr/>
        <w:t>资产；</w:t>
      </w:r>
    </w:p>
    <w:p>
      <w:pPr>
        <w:pStyle w:val="Heading5"/>
        <w:spacing w:line="273" w:lineRule="auto"/>
        <w:ind w:left="573" w:right="1133"/>
        <w:jc w:val="left"/>
      </w:pPr>
      <w:r>
        <w:rPr/>
        <w:t>⑤归属于该无形资产开发阶段的支出能够可靠地计量。</w:t>
      </w:r>
      <w:r>
        <w:rPr>
          <w:w w:val="100"/>
        </w:rPr>
        <w:t> </w:t>
      </w:r>
      <w:r>
        <w:rPr>
          <w:spacing w:val="-2"/>
        </w:rPr>
        <w:t>无法区分研究阶段支出和开发阶段支出的，将发生的研发支出全部计入当期损益。</w:t>
      </w:r>
    </w:p>
    <w:p>
      <w:pPr>
        <w:pStyle w:val="Heading5"/>
        <w:spacing w:line="256" w:lineRule="auto"/>
        <w:ind w:left="573" w:right="1133"/>
        <w:jc w:val="left"/>
      </w:pPr>
      <w:r>
        <w:rPr/>
        <w:t>（</w:t>
      </w:r>
      <w:r>
        <w:rPr>
          <w:rFonts w:ascii="Times New Roman" w:hAnsi="Times New Roman" w:cs="Times New Roman" w:eastAsia="Times New Roman" w:hint="default"/>
        </w:rPr>
        <w:t>3</w:t>
      </w:r>
      <w:r>
        <w:rPr/>
        <w:t>）无形资产的减值测试方法及减值准备计提方法</w:t>
      </w:r>
      <w:r>
        <w:rPr>
          <w:w w:val="100"/>
        </w:rPr>
        <w:t> </w:t>
      </w:r>
      <w:r>
        <w:rPr>
          <w:spacing w:val="-2"/>
        </w:rPr>
        <w:t>无形资产的减值测试方法和减值准备计提方法详见附注</w:t>
      </w:r>
      <w:r>
        <w:rPr>
          <w:rFonts w:ascii="Times New Roman" w:hAnsi="Times New Roman" w:cs="Times New Roman" w:eastAsia="Times New Roman" w:hint="default"/>
          <w:spacing w:val="-2"/>
        </w:rPr>
        <w:t>“</w:t>
      </w:r>
      <w:r>
        <w:rPr>
          <w:spacing w:val="-2"/>
        </w:rPr>
        <w:t>四、</w:t>
      </w:r>
      <w:r>
        <w:rPr>
          <w:rFonts w:ascii="Times New Roman" w:hAnsi="Times New Roman" w:cs="Times New Roman" w:eastAsia="Times New Roman" w:hint="default"/>
          <w:spacing w:val="-2"/>
        </w:rPr>
        <w:t>23</w:t>
      </w:r>
      <w:r>
        <w:rPr>
          <w:spacing w:val="-2"/>
        </w:rPr>
        <w:t>、长期资产减值</w:t>
      </w:r>
      <w:r>
        <w:rPr>
          <w:rFonts w:ascii="Times New Roman" w:hAnsi="Times New Roman" w:cs="Times New Roman" w:eastAsia="Times New Roman" w:hint="default"/>
          <w:spacing w:val="-2"/>
        </w:rPr>
        <w:t>”</w:t>
      </w:r>
      <w:r>
        <w:rPr>
          <w:spacing w:val="-2"/>
        </w:rPr>
        <w:t>。</w:t>
      </w:r>
    </w:p>
    <w:p>
      <w:pPr>
        <w:pStyle w:val="Heading5"/>
        <w:spacing w:line="614" w:lineRule="exact" w:before="59"/>
        <w:ind w:left="573" w:right="1133" w:hanging="421"/>
        <w:jc w:val="left"/>
      </w:pPr>
      <w:bookmarkStart w:name="23、长期资产减值" w:id="202"/>
      <w:bookmarkEnd w:id="202"/>
      <w:r>
        <w:rPr/>
      </w:r>
      <w:r>
        <w:rPr>
          <w:rFonts w:ascii="Times New Roman" w:hAnsi="Times New Roman" w:cs="Times New Roman" w:eastAsia="Times New Roman" w:hint="default"/>
          <w:b/>
          <w:bCs/>
        </w:rPr>
        <w:t>23</w:t>
      </w:r>
      <w:r>
        <w:rPr>
          <w:rFonts w:ascii="宋体" w:hAnsi="宋体" w:cs="宋体" w:eastAsia="宋体" w:hint="default"/>
          <w:b/>
          <w:bCs/>
        </w:rPr>
        <w:t>、长期资产减值</w:t>
      </w:r>
      <w:r>
        <w:rPr>
          <w:rFonts w:ascii="宋体" w:hAnsi="宋体" w:cs="宋体" w:eastAsia="宋体" w:hint="default"/>
          <w:b/>
          <w:bCs/>
          <w:w w:val="100"/>
        </w:rPr>
        <w:t> </w:t>
      </w:r>
      <w:r>
        <w:rPr>
          <w:spacing w:val="-2"/>
        </w:rPr>
        <w:t>对于固定资产、在建工程、使用寿命有限的无形资产、以成本模式计量的投资性房地产及对子公司、</w:t>
      </w:r>
    </w:p>
    <w:p>
      <w:pPr>
        <w:pStyle w:val="Heading5"/>
        <w:spacing w:line="219" w:lineRule="exact" w:before="0"/>
        <w:ind w:right="0"/>
        <w:jc w:val="left"/>
      </w:pPr>
      <w:r>
        <w:rPr>
          <w:spacing w:val="-5"/>
        </w:rPr>
        <w:t>合营企业、联营企业的长期股权投资等非流动非金融资产，本公司于资产负债表日判断是否存在减值迹象。</w:t>
      </w:r>
    </w:p>
    <w:p>
      <w:pPr>
        <w:pStyle w:val="Heading5"/>
        <w:spacing w:line="273" w:lineRule="auto" w:before="37"/>
        <w:ind w:right="1133"/>
        <w:jc w:val="left"/>
      </w:pPr>
      <w:r>
        <w:rPr>
          <w:spacing w:val="-2"/>
        </w:rPr>
        <w:t>如存在减值迹象的，则估计其可收回金额，进行减值测试。商誉、使用寿命不确定的无形资产和尚未达到</w:t>
      </w:r>
      <w:r>
        <w:rPr>
          <w:spacing w:val="-47"/>
        </w:rPr>
        <w:t> </w:t>
      </w:r>
      <w:r>
        <w:rPr>
          <w:spacing w:val="-47"/>
        </w:rPr>
      </w:r>
      <w:r>
        <w:rPr/>
        <w:t>可使用状态的无形资产，无论是否存在减值迹象，每年均进行减值测试。</w:t>
      </w:r>
    </w:p>
    <w:p>
      <w:pPr>
        <w:pStyle w:val="Heading5"/>
        <w:spacing w:line="273" w:lineRule="auto"/>
        <w:ind w:right="1104" w:firstLine="420"/>
        <w:jc w:val="both"/>
      </w:pPr>
      <w:r>
        <w:rPr>
          <w:spacing w:val="-2"/>
        </w:rPr>
        <w:t>减值测试结果表明资产的可收回金额低于其账面价值的，按其差额计提减值准备并计入减值损失。可</w:t>
      </w:r>
      <w:r>
        <w:rPr>
          <w:w w:val="100"/>
        </w:rPr>
        <w:t> </w:t>
      </w:r>
      <w:r>
        <w:rPr>
          <w:spacing w:val="-2"/>
        </w:rPr>
        <w:t>收回金额为资产的公允价值减去处置费用后的净额与资产预计未来现金流量的现值两者之间的较高者。资</w:t>
      </w:r>
      <w:r>
        <w:rPr>
          <w:spacing w:val="-43"/>
        </w:rPr>
        <w:t> </w:t>
      </w:r>
      <w:r>
        <w:rPr>
          <w:spacing w:val="-43"/>
        </w:rPr>
      </w:r>
      <w:r>
        <w:rPr>
          <w:spacing w:val="-2"/>
        </w:rPr>
        <w:t>产的公允价值根据公平交易中销售协议价格确定；不存在销售协议但存在资产活跃市场的，公允价值按照</w:t>
      </w:r>
      <w:r>
        <w:rPr>
          <w:spacing w:val="-42"/>
        </w:rPr>
        <w:t> </w:t>
      </w:r>
      <w:r>
        <w:rPr>
          <w:spacing w:val="-42"/>
        </w:rPr>
      </w:r>
      <w:r>
        <w:rPr>
          <w:spacing w:val="-2"/>
        </w:rPr>
        <w:t>该资产的买方出价确定；不存在销售协议和资产活跃市场的，则以可获取的最佳信息为基础估计资产的公</w:t>
      </w:r>
      <w:r>
        <w:rPr>
          <w:spacing w:val="-42"/>
        </w:rPr>
        <w:t> </w:t>
      </w:r>
      <w:r>
        <w:rPr>
          <w:spacing w:val="-42"/>
        </w:rPr>
      </w:r>
      <w:r>
        <w:rPr>
          <w:spacing w:val="-2"/>
        </w:rPr>
        <w:t>允价值。处置费用包括与资产处置有关的法律费用、相关税费、搬运费以及为使资产达到可销售状态所发</w:t>
      </w:r>
      <w:r>
        <w:rPr>
          <w:spacing w:val="-43"/>
        </w:rPr>
        <w:t> </w:t>
      </w:r>
      <w:r>
        <w:rPr>
          <w:spacing w:val="-43"/>
        </w:rPr>
      </w:r>
      <w:r>
        <w:rPr>
          <w:spacing w:val="-2"/>
        </w:rPr>
        <w:t>生的直接费用。资产预计未来现金流量的现值，按照资产在持续使用过程中和最终处置时所产生的预计未</w:t>
      </w:r>
      <w:r>
        <w:rPr>
          <w:spacing w:val="-43"/>
        </w:rPr>
        <w:t> </w:t>
      </w:r>
      <w:r>
        <w:rPr>
          <w:spacing w:val="-43"/>
        </w:rPr>
      </w:r>
      <w:r>
        <w:rPr>
          <w:spacing w:val="-2"/>
        </w:rPr>
        <w:t>来现金流量，选择恰当的折现率对其进行折现后的金额加以确定。资产减值准备按单项资产为基础计算并</w:t>
      </w:r>
      <w:r>
        <w:rPr>
          <w:spacing w:val="-43"/>
        </w:rPr>
        <w:t> </w:t>
      </w:r>
      <w:r>
        <w:rPr>
          <w:spacing w:val="-43"/>
        </w:rPr>
      </w:r>
      <w:r>
        <w:rPr>
          <w:spacing w:val="-2"/>
        </w:rPr>
        <w:t>确认，如果难以对单项资产的可收回金额进行估计的，以该资产所属的资产组确定资产组的可收回金额。</w:t>
      </w:r>
    </w:p>
    <w:p>
      <w:pPr>
        <w:spacing w:after="0" w:line="273" w:lineRule="auto"/>
        <w:jc w:val="both"/>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5"/>
        <w:spacing w:line="273" w:lineRule="auto" w:before="36"/>
        <w:ind w:left="573" w:right="1133" w:hanging="421"/>
        <w:jc w:val="left"/>
      </w:pPr>
      <w:r>
        <w:rPr/>
        <w:t>资产组是能够独立产生现金流入的最小资产组合。</w:t>
      </w:r>
      <w:r>
        <w:rPr>
          <w:w w:val="100"/>
        </w:rPr>
        <w:t> </w:t>
      </w:r>
      <w:r>
        <w:rPr>
          <w:spacing w:val="-2"/>
        </w:rPr>
        <w:t>在财务报表中单独列示的商誉，在进行减值测试时，将商誉的账面价值分摊至预期从企业合并的协同</w:t>
      </w:r>
    </w:p>
    <w:p>
      <w:pPr>
        <w:pStyle w:val="Heading5"/>
        <w:spacing w:line="273" w:lineRule="auto"/>
        <w:ind w:right="1126"/>
        <w:jc w:val="both"/>
      </w:pPr>
      <w:r>
        <w:rPr>
          <w:spacing w:val="-2"/>
        </w:rPr>
        <w:t>效应中受益的资产组或资产组组合。测试结果表明包含分摊的商誉的资产组或资产组组合的可收回金额低</w:t>
      </w:r>
      <w:r>
        <w:rPr>
          <w:spacing w:val="-43"/>
        </w:rPr>
        <w:t> </w:t>
      </w:r>
      <w:r>
        <w:rPr>
          <w:spacing w:val="-43"/>
        </w:rPr>
      </w:r>
      <w:r>
        <w:rPr>
          <w:spacing w:val="-2"/>
        </w:rPr>
        <w:t>于其账面价值的，确认相应的减值损失。减值损失金额先抵减分摊至该资产组或资产组组合的商誉的账面</w:t>
      </w:r>
      <w:r>
        <w:rPr>
          <w:spacing w:val="-43"/>
        </w:rPr>
        <w:t> </w:t>
      </w:r>
      <w:r>
        <w:rPr>
          <w:spacing w:val="-43"/>
        </w:rPr>
      </w:r>
      <w:r>
        <w:rPr>
          <w:spacing w:val="-2"/>
        </w:rPr>
        <w:t>价值，再根据资产组或资产组组合中除商誉以外的其他各项资产的账面价值所占比重，按比例抵减其他各</w:t>
      </w:r>
      <w:r>
        <w:rPr>
          <w:spacing w:val="-42"/>
        </w:rPr>
        <w:t> </w:t>
      </w:r>
      <w:r>
        <w:rPr>
          <w:spacing w:val="-42"/>
        </w:rPr>
      </w:r>
      <w:r>
        <w:rPr/>
        <w:t>项资产的账面价值。</w:t>
      </w:r>
    </w:p>
    <w:p>
      <w:pPr>
        <w:pStyle w:val="Heading5"/>
        <w:spacing w:line="240" w:lineRule="auto"/>
        <w:ind w:left="573" w:right="1133"/>
        <w:jc w:val="left"/>
      </w:pPr>
      <w:r>
        <w:rPr/>
        <w:t>上述资产减值损失一经确认，以后期间不予转回价值得以恢复的部分。</w:t>
      </w:r>
    </w:p>
    <w:p>
      <w:pPr>
        <w:pStyle w:val="Heading5"/>
        <w:spacing w:line="600" w:lineRule="atLeast" w:before="28"/>
        <w:ind w:left="573" w:right="1133" w:hanging="421"/>
        <w:jc w:val="left"/>
      </w:pPr>
      <w:bookmarkStart w:name="24、长期待摊费用" w:id="203"/>
      <w:bookmarkEnd w:id="203"/>
      <w:r>
        <w:rPr/>
      </w:r>
      <w:r>
        <w:rPr>
          <w:rFonts w:ascii="Times New Roman" w:hAnsi="Times New Roman" w:cs="Times New Roman" w:eastAsia="Times New Roman" w:hint="default"/>
          <w:b/>
          <w:bCs/>
        </w:rPr>
        <w:t>24</w:t>
      </w:r>
      <w:r>
        <w:rPr>
          <w:rFonts w:ascii="宋体" w:hAnsi="宋体" w:cs="宋体" w:eastAsia="宋体" w:hint="default"/>
          <w:b/>
          <w:bCs/>
        </w:rPr>
        <w:t>、长期待摊费用</w:t>
      </w:r>
      <w:r>
        <w:rPr>
          <w:rFonts w:ascii="宋体" w:hAnsi="宋体" w:cs="宋体" w:eastAsia="宋体" w:hint="default"/>
          <w:b/>
          <w:bCs/>
          <w:w w:val="100"/>
        </w:rPr>
        <w:t> </w:t>
      </w:r>
      <w:r>
        <w:rPr>
          <w:spacing w:val="-2"/>
        </w:rPr>
        <w:t>长期待摊费用为已经发生但应由报告期和以后各期负担的分摊期限在一年以上的各项费用。长期待摊</w:t>
      </w:r>
    </w:p>
    <w:p>
      <w:pPr>
        <w:pStyle w:val="Heading5"/>
        <w:spacing w:line="240" w:lineRule="auto" w:before="37"/>
        <w:ind w:right="0"/>
        <w:jc w:val="both"/>
      </w:pPr>
      <w:r>
        <w:rPr/>
        <w:t>费用在预计受益期间按直线法摊销。</w:t>
      </w:r>
    </w:p>
    <w:p>
      <w:pPr>
        <w:spacing w:line="240" w:lineRule="auto" w:before="11"/>
        <w:rPr>
          <w:rFonts w:ascii="宋体" w:hAnsi="宋体" w:cs="宋体" w:eastAsia="宋体" w:hint="default"/>
          <w:sz w:val="25"/>
          <w:szCs w:val="25"/>
        </w:rPr>
      </w:pPr>
    </w:p>
    <w:p>
      <w:pPr>
        <w:pStyle w:val="Heading4"/>
        <w:spacing w:line="240" w:lineRule="auto"/>
        <w:ind w:right="0"/>
        <w:jc w:val="both"/>
        <w:rPr>
          <w:b w:val="0"/>
          <w:bCs w:val="0"/>
        </w:rPr>
      </w:pPr>
      <w:bookmarkStart w:name="25、职工薪酬" w:id="204"/>
      <w:bookmarkEnd w:id="204"/>
      <w:r>
        <w:rPr>
          <w:b w:val="0"/>
          <w:bCs w:val="0"/>
        </w:rPr>
      </w:r>
      <w:r>
        <w:rPr>
          <w:rFonts w:ascii="Times New Roman" w:hAnsi="Times New Roman" w:cs="Times New Roman" w:eastAsia="Times New Roman" w:hint="default"/>
        </w:rPr>
        <w:t>25</w:t>
      </w:r>
      <w:r>
        <w:rPr/>
        <w:t>、职工薪酬</w:t>
      </w:r>
      <w:r>
        <w:rPr>
          <w:b w:val="0"/>
          <w:bCs w:val="0"/>
        </w:rPr>
      </w:r>
    </w:p>
    <w:p>
      <w:pPr>
        <w:spacing w:line="600" w:lineRule="atLeast" w:before="12"/>
        <w:ind w:left="573" w:right="1133" w:hanging="421"/>
        <w:jc w:val="left"/>
        <w:rPr>
          <w:rFonts w:ascii="宋体" w:hAnsi="宋体" w:cs="宋体" w:eastAsia="宋体" w:hint="default"/>
          <w:sz w:val="21"/>
          <w:szCs w:val="21"/>
        </w:rPr>
      </w:pPr>
      <w:bookmarkStart w:name="（1）短期薪酬的会计处理方法" w:id="205"/>
      <w:bookmarkEnd w:id="20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）短期薪酬的会计处理方法</w:t>
      </w:r>
      <w:r>
        <w:rPr>
          <w:rFonts w:ascii="宋体" w:hAnsi="宋体" w:cs="宋体" w:eastAsia="宋体" w:hint="default"/>
          <w:b/>
          <w:bCs/>
          <w:w w:val="100"/>
          <w:sz w:val="21"/>
          <w:szCs w:val="21"/>
        </w:rPr>
        <w:t> </w:t>
      </w:r>
      <w:r>
        <w:rPr>
          <w:rFonts w:ascii="宋体" w:hAnsi="宋体" w:cs="宋体" w:eastAsia="宋体" w:hint="default"/>
          <w:spacing w:val="-2"/>
          <w:sz w:val="21"/>
          <w:szCs w:val="21"/>
        </w:rPr>
        <w:t>短期薪酬主要包括工资、奖金、津贴和补贴、职工福利费、医疗保险费、生育保险费、工伤保险费、</w:t>
      </w:r>
    </w:p>
    <w:p>
      <w:pPr>
        <w:pStyle w:val="Heading5"/>
        <w:spacing w:line="273" w:lineRule="auto" w:before="37"/>
        <w:ind w:right="1126"/>
        <w:jc w:val="both"/>
      </w:pPr>
      <w:r>
        <w:rPr>
          <w:spacing w:val="-2"/>
        </w:rPr>
        <w:t>住房公积金、工会经费和职工教育经费、非货币性福利等。本公司在职工为本公司提供服务的会计期间将</w:t>
      </w:r>
      <w:r>
        <w:rPr>
          <w:spacing w:val="-43"/>
        </w:rPr>
        <w:t> </w:t>
      </w:r>
      <w:r>
        <w:rPr>
          <w:spacing w:val="-43"/>
        </w:rPr>
      </w:r>
      <w:r>
        <w:rPr>
          <w:spacing w:val="-2"/>
        </w:rPr>
        <w:t>实际发生的短期职工薪酬确认为负债，并计入当期损益或相关资产成本。其中非货币性福利按公允价值计</w:t>
      </w:r>
      <w:r>
        <w:rPr>
          <w:spacing w:val="-43"/>
        </w:rPr>
        <w:t> </w:t>
      </w:r>
      <w:r>
        <w:rPr>
          <w:spacing w:val="-43"/>
        </w:rPr>
      </w:r>
      <w:r>
        <w:rPr/>
        <w:t>量。</w:t>
      </w:r>
    </w:p>
    <w:p>
      <w:pPr>
        <w:spacing w:line="590" w:lineRule="atLeast" w:before="8"/>
        <w:ind w:left="573" w:right="0" w:hanging="421"/>
        <w:jc w:val="left"/>
        <w:rPr>
          <w:rFonts w:ascii="宋体" w:hAnsi="宋体" w:cs="宋体" w:eastAsia="宋体" w:hint="default"/>
          <w:sz w:val="21"/>
          <w:szCs w:val="21"/>
        </w:rPr>
      </w:pPr>
      <w:bookmarkStart w:name="（2）离职后福利的会计处理方法" w:id="206"/>
      <w:bookmarkEnd w:id="206"/>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）离职后福利的会计处理方法</w:t>
      </w:r>
      <w:r>
        <w:rPr>
          <w:rFonts w:ascii="宋体" w:hAnsi="宋体" w:cs="宋体" w:eastAsia="宋体" w:hint="default"/>
          <w:b/>
          <w:bCs/>
          <w:w w:val="100"/>
          <w:sz w:val="21"/>
          <w:szCs w:val="21"/>
        </w:rPr>
        <w:t> </w:t>
      </w:r>
      <w:r>
        <w:rPr>
          <w:rFonts w:ascii="宋体" w:hAnsi="宋体" w:cs="宋体" w:eastAsia="宋体" w:hint="default"/>
          <w:spacing w:val="-5"/>
          <w:sz w:val="21"/>
          <w:szCs w:val="21"/>
        </w:rPr>
        <w:t>离职后福利主要包括基本养老保险、失业保险等。离职后福利计划包括设定提存计划及设定受益计划。</w:t>
      </w:r>
    </w:p>
    <w:p>
      <w:pPr>
        <w:pStyle w:val="Heading5"/>
        <w:spacing w:line="273" w:lineRule="auto" w:before="37"/>
        <w:ind w:left="573" w:right="1133"/>
        <w:jc w:val="left"/>
      </w:pPr>
      <w:r>
        <w:rPr/>
        <w:t>①设定提存计划</w:t>
      </w:r>
      <w:r>
        <w:rPr>
          <w:spacing w:val="-103"/>
        </w:rPr>
        <w:t> </w:t>
      </w:r>
      <w:r>
        <w:rPr>
          <w:spacing w:val="-103"/>
        </w:rPr>
      </w:r>
      <w:r>
        <w:rPr>
          <w:spacing w:val="2"/>
        </w:rPr>
        <w:t>公司根据在资产负债表日为换取职工在会计期间提供的服务而向单独主体缴存的提存金，确认为负</w:t>
      </w:r>
    </w:p>
    <w:p>
      <w:pPr>
        <w:pStyle w:val="Heading5"/>
        <w:spacing w:line="240" w:lineRule="auto"/>
        <w:ind w:right="0"/>
        <w:jc w:val="both"/>
      </w:pPr>
      <w:r>
        <w:rPr/>
        <w:t>债，并按照受益对象计入当期损益或相关资产成本。</w:t>
      </w:r>
    </w:p>
    <w:p>
      <w:pPr>
        <w:pStyle w:val="Heading5"/>
        <w:spacing w:line="273" w:lineRule="auto" w:before="37"/>
        <w:ind w:left="573" w:right="1133"/>
        <w:jc w:val="left"/>
      </w:pPr>
      <w:r>
        <w:rPr/>
        <w:t>②设定受益计划</w:t>
      </w:r>
      <w:r>
        <w:rPr>
          <w:spacing w:val="-103"/>
        </w:rPr>
        <w:t> </w:t>
      </w:r>
      <w:r>
        <w:rPr>
          <w:spacing w:val="-103"/>
        </w:rPr>
      </w:r>
      <w:r>
        <w:rPr/>
        <w:t>设定受益计划，是指除设定提存计划以外的离职后福利计划。会计处理包括下列步骤：</w:t>
      </w:r>
      <w:r>
        <w:rPr>
          <w:w w:val="100"/>
        </w:rPr>
        <w:t> </w:t>
      </w:r>
      <w:r>
        <w:rPr>
          <w:rFonts w:ascii="Times New Roman" w:hAnsi="Times New Roman" w:cs="Times New Roman" w:eastAsia="Times New Roman" w:hint="default"/>
          <w:spacing w:val="-1"/>
        </w:rPr>
        <w:t>A</w:t>
      </w:r>
      <w:r>
        <w:rPr>
          <w:spacing w:val="-1"/>
        </w:rPr>
        <w:t>．根据预期累计福利单位法，采用无偏且相互一致的精算假设对有关人口统计变量和财务变量等作</w:t>
      </w:r>
    </w:p>
    <w:p>
      <w:pPr>
        <w:pStyle w:val="Heading5"/>
        <w:spacing w:line="273" w:lineRule="auto" w:before="0"/>
        <w:ind w:right="1126"/>
        <w:jc w:val="both"/>
      </w:pPr>
      <w:r>
        <w:rPr>
          <w:spacing w:val="-2"/>
        </w:rPr>
        <w:t>出估计，计量设定受益计划所产生的义务，并确定相关义务的所属期间；公司对所有设定受益计划义务予</w:t>
      </w:r>
      <w:r>
        <w:rPr>
          <w:spacing w:val="-44"/>
        </w:rPr>
        <w:t> </w:t>
      </w:r>
      <w:r>
        <w:rPr>
          <w:spacing w:val="-44"/>
        </w:rPr>
      </w:r>
      <w:r>
        <w:rPr>
          <w:spacing w:val="-2"/>
        </w:rPr>
        <w:t>以折现，包括预期在职工提供服务的年度报告期间结束后的十二个月内支付的义务。折现时所采用的折现</w:t>
      </w:r>
      <w:r>
        <w:rPr>
          <w:spacing w:val="-44"/>
        </w:rPr>
        <w:t> </w:t>
      </w:r>
      <w:r>
        <w:rPr>
          <w:spacing w:val="-44"/>
        </w:rPr>
      </w:r>
      <w:r>
        <w:rPr>
          <w:spacing w:val="2"/>
        </w:rPr>
        <w:t>率根据资产负债表日与设定受益计划义务期限和币种相匹配的国债或活跃市场上的高质量公司债券的市</w:t>
      </w:r>
      <w:r>
        <w:rPr>
          <w:spacing w:val="-30"/>
        </w:rPr>
        <w:t> </w:t>
      </w:r>
      <w:r>
        <w:rPr>
          <w:spacing w:val="-30"/>
        </w:rPr>
      </w:r>
      <w:r>
        <w:rPr/>
        <w:t>场收益率确定；</w:t>
      </w:r>
    </w:p>
    <w:p>
      <w:pPr>
        <w:pStyle w:val="Heading5"/>
        <w:spacing w:line="266" w:lineRule="auto" w:before="8"/>
        <w:ind w:right="1126" w:firstLine="420"/>
        <w:jc w:val="both"/>
      </w:pPr>
      <w:r>
        <w:rPr>
          <w:rFonts w:ascii="Times New Roman" w:hAnsi="Times New Roman" w:cs="Times New Roman" w:eastAsia="Times New Roman" w:hint="default"/>
          <w:spacing w:val="-2"/>
        </w:rPr>
        <w:t>B.</w:t>
      </w:r>
      <w:r>
        <w:rPr>
          <w:spacing w:val="-2"/>
        </w:rPr>
        <w:t>设定受益计划存在资产的，将设定受益计划义务现值减去设定受益计划资产公允价值所形成的赤字</w:t>
      </w:r>
      <w:r>
        <w:rPr>
          <w:w w:val="100"/>
        </w:rPr>
        <w:t> </w:t>
      </w:r>
      <w:r>
        <w:rPr>
          <w:spacing w:val="-2"/>
        </w:rPr>
        <w:t>或盈余确认为一项设定受益计划净负债或净资产。设定受益计划存在盈余的，以设定受益计划的盈余和资</w:t>
      </w:r>
      <w:r>
        <w:rPr>
          <w:spacing w:val="-43"/>
        </w:rPr>
        <w:t> </w:t>
      </w:r>
      <w:r>
        <w:rPr>
          <w:spacing w:val="-43"/>
        </w:rPr>
      </w:r>
      <w:r>
        <w:rPr>
          <w:spacing w:val="-2"/>
        </w:rPr>
        <w:t>产上限两项的孰低者计量设定受益计划净资产。资产上限是指公司可从设定受益计划退款或减少未来对设</w:t>
      </w:r>
      <w:r>
        <w:rPr>
          <w:spacing w:val="-43"/>
        </w:rPr>
        <w:t> </w:t>
      </w:r>
      <w:r>
        <w:rPr>
          <w:spacing w:val="-43"/>
        </w:rPr>
      </w:r>
      <w:r>
        <w:rPr/>
        <w:t>定受益计划缴存资金而获得的经济利益的现值；</w:t>
      </w:r>
    </w:p>
    <w:p>
      <w:pPr>
        <w:pStyle w:val="Heading5"/>
        <w:spacing w:line="268" w:lineRule="auto" w:before="14"/>
        <w:ind w:right="1126" w:firstLine="420"/>
        <w:jc w:val="both"/>
      </w:pPr>
      <w:r>
        <w:rPr>
          <w:rFonts w:ascii="Times New Roman" w:hAnsi="Times New Roman" w:cs="Times New Roman" w:eastAsia="Times New Roman" w:hint="default"/>
          <w:spacing w:val="-2"/>
        </w:rPr>
        <w:t>C.</w:t>
      </w:r>
      <w:r>
        <w:rPr>
          <w:spacing w:val="-2"/>
        </w:rPr>
        <w:t>期末，将设定受益计划产生的职工薪酬成本确认为服务成本、设定受益计划净负债或净资产的利息</w:t>
      </w:r>
      <w:r>
        <w:rPr>
          <w:w w:val="100"/>
        </w:rPr>
        <w:t> </w:t>
      </w:r>
      <w:r>
        <w:rPr>
          <w:spacing w:val="-2"/>
        </w:rPr>
        <w:t>净额以及重新计量设定受益计划净负债或净资产所产生的变动，其中服务成本和设定受益计划净负债或净</w:t>
      </w:r>
      <w:r>
        <w:rPr>
          <w:spacing w:val="-43"/>
        </w:rPr>
        <w:t> </w:t>
      </w:r>
      <w:r>
        <w:rPr>
          <w:spacing w:val="-43"/>
        </w:rPr>
      </w:r>
      <w:r>
        <w:rPr>
          <w:spacing w:val="-2"/>
        </w:rPr>
        <w:t>资产的利息净额计入当期损益或相关资产成本，重新计量设定受益计划净负债或净资产所产生的变动计入</w:t>
      </w:r>
      <w:r>
        <w:rPr>
          <w:spacing w:val="-43"/>
        </w:rPr>
        <w:t> </w:t>
      </w:r>
      <w:r>
        <w:rPr>
          <w:spacing w:val="-43"/>
        </w:rPr>
      </w:r>
      <w:r>
        <w:rPr>
          <w:spacing w:val="-2"/>
        </w:rPr>
        <w:t>其他综合收益，并且在后续会计期间不允许转回至损益，但可以在权益范围内转移这些在其他综合收益确</w:t>
      </w:r>
      <w:r>
        <w:rPr>
          <w:spacing w:val="-42"/>
        </w:rPr>
        <w:t> </w:t>
      </w:r>
      <w:r>
        <w:rPr>
          <w:spacing w:val="-42"/>
        </w:rPr>
      </w:r>
      <w:r>
        <w:rPr/>
        <w:t>认的金额；</w:t>
      </w:r>
    </w:p>
    <w:p>
      <w:pPr>
        <w:spacing w:after="0" w:line="268" w:lineRule="auto"/>
        <w:jc w:val="both"/>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5"/>
        <w:spacing w:line="240" w:lineRule="auto" w:before="36"/>
        <w:ind w:left="573" w:right="1133"/>
        <w:jc w:val="left"/>
      </w:pPr>
      <w:r>
        <w:rPr>
          <w:rFonts w:ascii="Times New Roman" w:hAnsi="Times New Roman" w:cs="Times New Roman" w:eastAsia="Times New Roman" w:hint="default"/>
        </w:rPr>
        <w:t>D.</w:t>
      </w:r>
      <w:r>
        <w:rPr/>
        <w:t>在设定受益计划结算时，确认一项结算利得或损失。</w:t>
      </w:r>
    </w:p>
    <w:p>
      <w:pPr>
        <w:spacing w:line="600" w:lineRule="atLeast" w:before="12"/>
        <w:ind w:left="573" w:right="1133" w:hanging="421"/>
        <w:jc w:val="left"/>
        <w:rPr>
          <w:rFonts w:ascii="宋体" w:hAnsi="宋体" w:cs="宋体" w:eastAsia="宋体" w:hint="default"/>
          <w:sz w:val="21"/>
          <w:szCs w:val="21"/>
        </w:rPr>
      </w:pPr>
      <w:bookmarkStart w:name="（3）辞退福利的会计处理方法" w:id="207"/>
      <w:bookmarkEnd w:id="207"/>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）辞退福利的会计处理方法</w:t>
      </w:r>
      <w:r>
        <w:rPr>
          <w:rFonts w:ascii="宋体" w:hAnsi="宋体" w:cs="宋体" w:eastAsia="宋体" w:hint="default"/>
          <w:b/>
          <w:bCs/>
          <w:w w:val="100"/>
          <w:sz w:val="21"/>
          <w:szCs w:val="21"/>
        </w:rPr>
        <w:t> </w:t>
      </w:r>
      <w:r>
        <w:rPr>
          <w:rFonts w:ascii="宋体" w:hAnsi="宋体" w:cs="宋体" w:eastAsia="宋体" w:hint="default"/>
          <w:spacing w:val="2"/>
          <w:sz w:val="21"/>
          <w:szCs w:val="21"/>
        </w:rPr>
        <w:t>在职工劳动合同到期之前解除与职工的劳动关系，或为鼓励职工自愿接受裁减而提出给予补偿的建</w:t>
      </w:r>
    </w:p>
    <w:p>
      <w:pPr>
        <w:pStyle w:val="Heading5"/>
        <w:spacing w:line="273" w:lineRule="auto" w:before="37"/>
        <w:ind w:right="1133"/>
        <w:jc w:val="left"/>
      </w:pPr>
      <w:r>
        <w:rPr>
          <w:spacing w:val="-2"/>
        </w:rPr>
        <w:t>议，在本公司不能单方面撤回因解除劳动关系计划或裁减建议所提供的辞退福利时，和本公司确认与涉及</w:t>
      </w:r>
      <w:r>
        <w:rPr>
          <w:spacing w:val="-44"/>
        </w:rPr>
        <w:t> </w:t>
      </w:r>
      <w:r>
        <w:rPr>
          <w:spacing w:val="-44"/>
        </w:rPr>
      </w:r>
      <w:r>
        <w:rPr>
          <w:spacing w:val="-2"/>
        </w:rPr>
        <w:t>支付辞退福利的重组相关的成本两者孰早日，确认辞退福利产生的职工薪酬负债，并计入当期损益。但辞</w:t>
      </w:r>
      <w:r>
        <w:rPr>
          <w:spacing w:val="-43"/>
        </w:rPr>
        <w:t> </w:t>
      </w:r>
      <w:r>
        <w:rPr>
          <w:spacing w:val="-43"/>
        </w:rPr>
      </w:r>
      <w:r>
        <w:rPr/>
        <w:t>退福利预期在年度报告期结束后十二个月不能完全支付的，按照其他长期职工薪酬处理。</w:t>
      </w:r>
      <w:r>
        <w:rPr>
          <w:w w:val="100"/>
        </w:rPr>
        <w:t> </w:t>
      </w:r>
      <w:r>
        <w:rPr>
          <w:spacing w:val="-2"/>
        </w:rPr>
        <w:t>职工内部退休计划采用与上述辞退福利相同的原则处理。本公司将自职工停止提供服务日至正常退休日的</w:t>
      </w:r>
      <w:r>
        <w:rPr>
          <w:spacing w:val="-43"/>
        </w:rPr>
        <w:t> </w:t>
      </w:r>
      <w:r>
        <w:rPr>
          <w:spacing w:val="-43"/>
        </w:rPr>
      </w:r>
      <w:r>
        <w:rPr>
          <w:spacing w:val="-2"/>
        </w:rPr>
        <w:t>期间拟支付的内退人员工资和缴纳的社会保险费等，在符合预计负债确认条件时，计入当期损益（辞退福</w:t>
      </w:r>
      <w:r>
        <w:rPr>
          <w:spacing w:val="-44"/>
        </w:rPr>
        <w:t> </w:t>
      </w:r>
      <w:r>
        <w:rPr>
          <w:spacing w:val="-44"/>
        </w:rPr>
      </w:r>
      <w:r>
        <w:rPr/>
        <w:t>利）。</w:t>
      </w:r>
    </w:p>
    <w:p>
      <w:pPr>
        <w:spacing w:line="590" w:lineRule="atLeast" w:before="9"/>
        <w:ind w:left="573" w:right="1133" w:hanging="421"/>
        <w:jc w:val="left"/>
        <w:rPr>
          <w:rFonts w:ascii="宋体" w:hAnsi="宋体" w:cs="宋体" w:eastAsia="宋体" w:hint="default"/>
          <w:sz w:val="21"/>
          <w:szCs w:val="21"/>
        </w:rPr>
      </w:pPr>
      <w:bookmarkStart w:name="（4）其他长期职工福利的会计处理方法" w:id="208"/>
      <w:bookmarkEnd w:id="208"/>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）其他长期职工福利的会计处理方法</w:t>
      </w:r>
      <w:r>
        <w:rPr>
          <w:rFonts w:ascii="宋体" w:hAnsi="宋体" w:cs="宋体" w:eastAsia="宋体" w:hint="default"/>
          <w:b/>
          <w:bCs/>
          <w:w w:val="100"/>
          <w:sz w:val="21"/>
          <w:szCs w:val="21"/>
        </w:rPr>
        <w:t> </w:t>
      </w:r>
      <w:r>
        <w:rPr>
          <w:rFonts w:ascii="宋体" w:hAnsi="宋体" w:cs="宋体" w:eastAsia="宋体" w:hint="default"/>
          <w:spacing w:val="-2"/>
          <w:sz w:val="21"/>
          <w:szCs w:val="21"/>
        </w:rPr>
        <w:t>本公司向职工提供的其他长期职工福利，符合设定提存计划的，按照设定提存计划进行会计处理，除</w:t>
      </w:r>
    </w:p>
    <w:p>
      <w:pPr>
        <w:pStyle w:val="Heading5"/>
        <w:spacing w:line="240" w:lineRule="auto" w:before="37"/>
        <w:ind w:right="1133"/>
        <w:jc w:val="left"/>
      </w:pPr>
      <w:r>
        <w:rPr/>
        <w:t>此之外按照设定受益计划进行会计处理。</w:t>
      </w:r>
    </w:p>
    <w:p>
      <w:pPr>
        <w:spacing w:line="240" w:lineRule="auto" w:before="10"/>
        <w:rPr>
          <w:rFonts w:ascii="宋体" w:hAnsi="宋体" w:cs="宋体" w:eastAsia="宋体" w:hint="default"/>
          <w:sz w:val="25"/>
          <w:szCs w:val="25"/>
        </w:rPr>
      </w:pPr>
    </w:p>
    <w:p>
      <w:pPr>
        <w:pStyle w:val="Heading4"/>
        <w:spacing w:line="240" w:lineRule="auto"/>
        <w:ind w:right="1133"/>
        <w:jc w:val="left"/>
        <w:rPr>
          <w:b w:val="0"/>
          <w:bCs w:val="0"/>
        </w:rPr>
      </w:pPr>
      <w:bookmarkStart w:name="26、预计负债" w:id="209"/>
      <w:bookmarkEnd w:id="209"/>
      <w:r>
        <w:rPr>
          <w:b w:val="0"/>
          <w:bCs w:val="0"/>
        </w:rPr>
      </w:r>
      <w:r>
        <w:rPr>
          <w:rFonts w:ascii="Times New Roman" w:hAnsi="Times New Roman" w:cs="Times New Roman" w:eastAsia="Times New Roman" w:hint="default"/>
        </w:rPr>
        <w:t>26</w:t>
      </w:r>
      <w:r>
        <w:rPr/>
        <w:t>、预计负债</w:t>
      </w:r>
      <w:r>
        <w:rPr>
          <w:b w:val="0"/>
          <w:bCs w:val="0"/>
        </w:rPr>
      </w:r>
    </w:p>
    <w:p>
      <w:pPr>
        <w:spacing w:line="240" w:lineRule="auto" w:before="10"/>
        <w:rPr>
          <w:rFonts w:ascii="宋体" w:hAnsi="宋体" w:cs="宋体" w:eastAsia="宋体" w:hint="default"/>
          <w:b/>
          <w:bCs/>
          <w:sz w:val="24"/>
          <w:szCs w:val="24"/>
        </w:rPr>
      </w:pPr>
    </w:p>
    <w:p>
      <w:pPr>
        <w:pStyle w:val="Heading5"/>
        <w:spacing w:line="256" w:lineRule="auto" w:before="0"/>
        <w:ind w:right="1133" w:firstLine="420"/>
        <w:jc w:val="left"/>
      </w:pPr>
      <w:r>
        <w:rPr>
          <w:spacing w:val="-2"/>
        </w:rPr>
        <w:t>当与或有事项相关的义务同时符合以下条件，确认为预计负债：（</w:t>
      </w:r>
      <w:r>
        <w:rPr>
          <w:rFonts w:ascii="Times New Roman" w:hAnsi="Times New Roman" w:cs="Times New Roman" w:eastAsia="Times New Roman" w:hint="default"/>
          <w:spacing w:val="-2"/>
        </w:rPr>
        <w:t>1</w:t>
      </w:r>
      <w:r>
        <w:rPr>
          <w:spacing w:val="-2"/>
        </w:rPr>
        <w:t>）该义务是本公司承担的现时义</w:t>
      </w:r>
      <w:r>
        <w:rPr>
          <w:w w:val="100"/>
        </w:rPr>
        <w:t> </w:t>
      </w:r>
      <w:r>
        <w:rPr/>
        <w:t>务；（</w:t>
      </w:r>
      <w:r>
        <w:rPr>
          <w:rFonts w:ascii="Times New Roman" w:hAnsi="Times New Roman" w:cs="Times New Roman" w:eastAsia="Times New Roman" w:hint="default"/>
        </w:rPr>
        <w:t>2</w:t>
      </w:r>
      <w:r>
        <w:rPr/>
        <w:t>）履行该义务很可能导致经济利益流出；（</w:t>
      </w:r>
      <w:r>
        <w:rPr>
          <w:rFonts w:ascii="Times New Roman" w:hAnsi="Times New Roman" w:cs="Times New Roman" w:eastAsia="Times New Roman" w:hint="default"/>
        </w:rPr>
        <w:t>3</w:t>
      </w:r>
      <w:r>
        <w:rPr/>
        <w:t>）该义务的金额能够可靠地计量。</w:t>
      </w:r>
    </w:p>
    <w:p>
      <w:pPr>
        <w:pStyle w:val="Heading5"/>
        <w:spacing w:line="273" w:lineRule="auto" w:before="5"/>
        <w:ind w:right="1133" w:firstLine="420"/>
        <w:jc w:val="left"/>
      </w:pPr>
      <w:r>
        <w:rPr>
          <w:spacing w:val="-2"/>
        </w:rPr>
        <w:t>在资产负债表日，考虑与或有事项有关的风险、不确定性和货币时间价值等因素，按照履行相关现时</w:t>
      </w:r>
      <w:r>
        <w:rPr>
          <w:w w:val="100"/>
        </w:rPr>
        <w:t> </w:t>
      </w:r>
      <w:r>
        <w:rPr/>
        <w:t>义务所需支出的最佳估计数对预计负债进行计量。</w:t>
      </w:r>
    </w:p>
    <w:p>
      <w:pPr>
        <w:pStyle w:val="Heading5"/>
        <w:spacing w:line="273" w:lineRule="auto"/>
        <w:ind w:right="1133" w:firstLine="420"/>
        <w:jc w:val="left"/>
      </w:pPr>
      <w:r>
        <w:rPr>
          <w:spacing w:val="-2"/>
        </w:rPr>
        <w:t>如果清偿预计负债所需支出全部或部分预期由第三方补偿的，补偿金额在基本确定能够收到时，作为</w:t>
      </w:r>
      <w:r>
        <w:rPr>
          <w:w w:val="100"/>
        </w:rPr>
        <w:t> </w:t>
      </w:r>
      <w:r>
        <w:rPr/>
        <w:t>资产单独确认，且确认的补偿金额不超过预计负债的账面价值。</w:t>
      </w:r>
    </w:p>
    <w:p>
      <w:pPr>
        <w:pStyle w:val="Heading5"/>
        <w:spacing w:line="256" w:lineRule="auto"/>
        <w:ind w:left="573" w:right="1133"/>
        <w:jc w:val="left"/>
      </w:pPr>
      <w:r>
        <w:rPr/>
        <w:t>（</w:t>
      </w:r>
      <w:r>
        <w:rPr>
          <w:rFonts w:ascii="Times New Roman" w:hAnsi="Times New Roman" w:cs="Times New Roman" w:eastAsia="Times New Roman" w:hint="default"/>
        </w:rPr>
        <w:t>1</w:t>
      </w:r>
      <w:r>
        <w:rPr/>
        <w:t>）亏损合同</w:t>
      </w:r>
      <w:r>
        <w:rPr>
          <w:w w:val="100"/>
        </w:rPr>
        <w:t> </w:t>
      </w:r>
      <w:r>
        <w:rPr>
          <w:spacing w:val="-2"/>
        </w:rPr>
        <w:t>亏损合同是履行合同义务不可避免会发生的成本超过预期经济利益的合同。待执行合同变成亏损合</w:t>
      </w:r>
    </w:p>
    <w:p>
      <w:pPr>
        <w:pStyle w:val="Heading5"/>
        <w:spacing w:line="273" w:lineRule="auto" w:before="22"/>
        <w:ind w:right="1133"/>
        <w:jc w:val="left"/>
      </w:pPr>
      <w:r>
        <w:rPr>
          <w:spacing w:val="-2"/>
        </w:rPr>
        <w:t>同，且该亏损合同产生的义务满足上述预计负债的确认条件的，将合同预计损失超过合同标的资产已确认</w:t>
      </w:r>
      <w:r>
        <w:rPr>
          <w:spacing w:val="-44"/>
        </w:rPr>
        <w:t> </w:t>
      </w:r>
      <w:r>
        <w:rPr>
          <w:spacing w:val="-44"/>
        </w:rPr>
      </w:r>
      <w:r>
        <w:rPr/>
        <w:t>的减值损失（如有）的部分，确认为预计负债。</w:t>
      </w:r>
    </w:p>
    <w:p>
      <w:pPr>
        <w:pStyle w:val="Heading5"/>
        <w:spacing w:line="278" w:lineRule="auto"/>
        <w:ind w:right="1133" w:firstLine="420"/>
        <w:jc w:val="left"/>
      </w:pPr>
      <w:r>
        <w:rPr/>
        <w:t>（</w:t>
      </w:r>
      <w:r>
        <w:rPr>
          <w:rFonts w:ascii="Times New Roman" w:hAnsi="Times New Roman" w:cs="Times New Roman" w:eastAsia="Times New Roman" w:hint="default"/>
        </w:rPr>
        <w:t>2</w:t>
      </w:r>
      <w:r>
        <w:rPr/>
        <w:t>）重组义务</w:t>
      </w:r>
      <w:r>
        <w:rPr>
          <w:w w:val="100"/>
        </w:rPr>
        <w:t> </w:t>
      </w:r>
      <w:r>
        <w:rPr>
          <w:spacing w:val="-2"/>
        </w:rPr>
        <w:t>对于有详细、正式并且已经对外公告的重组计划，在满足前述预计负债的确认条件的情况下，按照与重组</w:t>
      </w:r>
      <w:r>
        <w:rPr>
          <w:spacing w:val="-43"/>
        </w:rPr>
        <w:t> </w:t>
      </w:r>
      <w:r>
        <w:rPr>
          <w:spacing w:val="-43"/>
        </w:rPr>
      </w:r>
      <w:r>
        <w:rPr>
          <w:spacing w:val="-2"/>
        </w:rPr>
        <w:t>有关的直接支出确定预计负债金额。对于出售部分业务的重组义务，只有在本公司承诺出售部分业务（即</w:t>
      </w:r>
      <w:r>
        <w:rPr>
          <w:spacing w:val="-44"/>
        </w:rPr>
        <w:t> </w:t>
      </w:r>
      <w:r>
        <w:rPr>
          <w:spacing w:val="-44"/>
        </w:rPr>
      </w:r>
      <w:r>
        <w:rPr/>
        <w:t>签订了约束性出售协议时），才确认与重组相关的义务。</w:t>
      </w:r>
    </w:p>
    <w:p>
      <w:pPr>
        <w:spacing w:line="240" w:lineRule="auto" w:before="3"/>
        <w:rPr>
          <w:rFonts w:ascii="宋体" w:hAnsi="宋体" w:cs="宋体" w:eastAsia="宋体" w:hint="default"/>
          <w:sz w:val="23"/>
          <w:szCs w:val="23"/>
        </w:rPr>
      </w:pPr>
    </w:p>
    <w:p>
      <w:pPr>
        <w:pStyle w:val="Heading4"/>
        <w:spacing w:line="240" w:lineRule="auto"/>
        <w:ind w:right="1133"/>
        <w:jc w:val="left"/>
        <w:rPr>
          <w:b w:val="0"/>
          <w:bCs w:val="0"/>
        </w:rPr>
      </w:pPr>
      <w:bookmarkStart w:name="27、股份支付" w:id="210"/>
      <w:bookmarkEnd w:id="210"/>
      <w:r>
        <w:rPr>
          <w:b w:val="0"/>
          <w:bCs w:val="0"/>
        </w:rPr>
      </w:r>
      <w:r>
        <w:rPr>
          <w:rFonts w:ascii="Times New Roman" w:hAnsi="Times New Roman" w:cs="Times New Roman" w:eastAsia="Times New Roman" w:hint="default"/>
        </w:rPr>
        <w:t>27</w:t>
      </w:r>
      <w:r>
        <w:rPr/>
        <w:t>、股份支付</w:t>
      </w:r>
      <w:r>
        <w:rPr>
          <w:b w:val="0"/>
          <w:bCs w:val="0"/>
        </w:rPr>
      </w:r>
    </w:p>
    <w:p>
      <w:pPr>
        <w:spacing w:line="240" w:lineRule="auto" w:before="10"/>
        <w:rPr>
          <w:rFonts w:ascii="宋体" w:hAnsi="宋体" w:cs="宋体" w:eastAsia="宋体" w:hint="default"/>
          <w:b/>
          <w:bCs/>
          <w:sz w:val="24"/>
          <w:szCs w:val="24"/>
        </w:rPr>
      </w:pPr>
    </w:p>
    <w:p>
      <w:pPr>
        <w:pStyle w:val="Heading5"/>
        <w:spacing w:line="256" w:lineRule="auto" w:before="0"/>
        <w:ind w:left="573" w:right="1133"/>
        <w:jc w:val="left"/>
      </w:pPr>
      <w:r>
        <w:rPr/>
        <w:t>（</w:t>
      </w:r>
      <w:r>
        <w:rPr>
          <w:rFonts w:ascii="Times New Roman" w:hAnsi="Times New Roman" w:cs="Times New Roman" w:eastAsia="Times New Roman" w:hint="default"/>
        </w:rPr>
        <w:t>1</w:t>
      </w:r>
      <w:r>
        <w:rPr/>
        <w:t>）股份支付的会计处理方法</w:t>
      </w:r>
      <w:r>
        <w:rPr>
          <w:w w:val="100"/>
        </w:rPr>
        <w:t> </w:t>
      </w:r>
      <w:r>
        <w:rPr>
          <w:spacing w:val="-2"/>
        </w:rPr>
        <w:t>股份支付是为了获取职工或其他方提供服务而授予权益工具或者承担以权益工具为基础确定的负债</w:t>
      </w:r>
    </w:p>
    <w:p>
      <w:pPr>
        <w:pStyle w:val="Heading5"/>
        <w:spacing w:line="240" w:lineRule="auto" w:before="22"/>
        <w:ind w:right="1133"/>
        <w:jc w:val="left"/>
      </w:pPr>
      <w:r>
        <w:rPr/>
        <w:t>的交易。股份支付分为以权益结算的股份支付和以现金结算的股份支付。</w:t>
      </w:r>
    </w:p>
    <w:p>
      <w:pPr>
        <w:pStyle w:val="Heading5"/>
        <w:spacing w:line="273" w:lineRule="auto" w:before="37"/>
        <w:ind w:left="573" w:right="1133"/>
        <w:jc w:val="left"/>
      </w:pPr>
      <w:r>
        <w:rPr/>
        <w:t>①以权益结算的股份支付</w:t>
      </w:r>
      <w:r>
        <w:rPr>
          <w:w w:val="100"/>
        </w:rPr>
        <w:t> </w:t>
      </w:r>
      <w:r>
        <w:rPr>
          <w:spacing w:val="-2"/>
        </w:rPr>
        <w:t>授予后立即可行权的换取职工服务的以权益结算的股份支付，在授予日按照权益工具的公允价值计入</w:t>
      </w:r>
    </w:p>
    <w:p>
      <w:pPr>
        <w:pStyle w:val="Heading5"/>
        <w:spacing w:line="273" w:lineRule="auto"/>
        <w:ind w:right="0"/>
        <w:jc w:val="left"/>
      </w:pPr>
      <w:r>
        <w:rPr>
          <w:spacing w:val="-2"/>
        </w:rPr>
        <w:t>相关成本或费用，相应调整资本公积。完成等待期内的服务或达到规定业绩条件才可行权的换取职工服务</w:t>
      </w:r>
      <w:r>
        <w:rPr>
          <w:spacing w:val="-44"/>
        </w:rPr>
        <w:t> </w:t>
      </w:r>
      <w:r>
        <w:rPr>
          <w:spacing w:val="-44"/>
        </w:rPr>
      </w:r>
      <w:r>
        <w:rPr>
          <w:spacing w:val="-5"/>
        </w:rPr>
        <w:t>的以权益结算的股份支付，在等待期内的每个资产负债表日，以对可行权权益工具数量的最佳估计为基础，</w:t>
      </w:r>
      <w:r>
        <w:rPr>
          <w:spacing w:val="-6"/>
        </w:rPr>
        <w:t> </w:t>
      </w:r>
      <w:r>
        <w:rPr>
          <w:spacing w:val="-6"/>
        </w:rPr>
      </w:r>
      <w:r>
        <w:rPr/>
        <w:t>按权益工具授予日的公允价值，将当期取得的服务计入相关成本或费用，相应调整资本公积。</w:t>
      </w:r>
    </w:p>
    <w:p>
      <w:pPr>
        <w:spacing w:after="0" w:line="273" w:lineRule="auto"/>
        <w:jc w:val="left"/>
        <w:sectPr>
          <w:footerReference w:type="default" r:id="rId21"/>
          <w:pgSz w:w="11910" w:h="16840"/>
          <w:pgMar w:footer="980" w:header="745" w:top="1060" w:bottom="1160" w:left="980" w:right="0"/>
          <w:pgNumType w:start="120"/>
        </w:sectPr>
      </w:pPr>
    </w:p>
    <w:p>
      <w:pPr>
        <w:spacing w:line="240" w:lineRule="auto" w:before="10"/>
        <w:rPr>
          <w:rFonts w:ascii="宋体" w:hAnsi="宋体" w:cs="宋体" w:eastAsia="宋体" w:hint="default"/>
          <w:sz w:val="24"/>
          <w:szCs w:val="24"/>
        </w:rPr>
      </w:pPr>
    </w:p>
    <w:p>
      <w:pPr>
        <w:pStyle w:val="Heading5"/>
        <w:spacing w:line="273" w:lineRule="auto" w:before="36"/>
        <w:ind w:right="1107" w:firstLine="420"/>
        <w:jc w:val="both"/>
      </w:pPr>
      <w:r>
        <w:rPr/>
        <w:t>在等待期内每个资产负债表日，本公司根据最新取得的可行权职工人数变动等后续信息做出最佳估</w:t>
      </w:r>
      <w:r>
        <w:rPr>
          <w:w w:val="100"/>
        </w:rPr>
        <w:t> </w:t>
      </w:r>
      <w:r>
        <w:rPr>
          <w:spacing w:val="-2"/>
        </w:rPr>
        <w:t>计，修正预计可行权的权益工具数量。上述估计的影响计入当期相关成本或费用，并相应调整资本公积。</w:t>
      </w:r>
    </w:p>
    <w:p>
      <w:pPr>
        <w:pStyle w:val="Heading5"/>
        <w:spacing w:line="273" w:lineRule="auto"/>
        <w:ind w:right="1126" w:firstLine="420"/>
        <w:jc w:val="both"/>
      </w:pPr>
      <w:r>
        <w:rPr>
          <w:spacing w:val="-2"/>
        </w:rPr>
        <w:t>用以换取其他方服务的权益结算的股份支付，如果其他方服务的公允价值能够可靠计量，按照其他方</w:t>
      </w:r>
      <w:r>
        <w:rPr>
          <w:w w:val="100"/>
        </w:rPr>
        <w:t> </w:t>
      </w:r>
      <w:r>
        <w:rPr>
          <w:spacing w:val="-2"/>
        </w:rPr>
        <w:t>服务在取得日的公允价值计量，如果其他方服务的公允价值不能可靠计量，但权益工具的公允价值能够可</w:t>
      </w:r>
      <w:r>
        <w:rPr>
          <w:spacing w:val="-42"/>
        </w:rPr>
        <w:t> </w:t>
      </w:r>
      <w:r>
        <w:rPr>
          <w:spacing w:val="-42"/>
        </w:rPr>
      </w:r>
      <w:r>
        <w:rPr/>
        <w:t>靠计量的，按照权益工具在服务取得日的公允价值计量，计入相关成本或费用，相应增加股东权益。</w:t>
      </w:r>
    </w:p>
    <w:p>
      <w:pPr>
        <w:pStyle w:val="Heading5"/>
        <w:spacing w:line="273" w:lineRule="auto"/>
        <w:ind w:left="573" w:right="1133"/>
        <w:jc w:val="left"/>
      </w:pPr>
      <w:r>
        <w:rPr/>
        <w:t>②以现金结算的股份支付</w:t>
      </w:r>
      <w:r>
        <w:rPr>
          <w:w w:val="100"/>
        </w:rPr>
        <w:t> </w:t>
      </w:r>
      <w:r>
        <w:rPr>
          <w:spacing w:val="-2"/>
        </w:rPr>
        <w:t>以现金结算的股份支付，按照本公司承担的以股份或其他权益工具为基础确定的负债的公允价值计</w:t>
      </w:r>
    </w:p>
    <w:p>
      <w:pPr>
        <w:pStyle w:val="Heading5"/>
        <w:spacing w:line="273" w:lineRule="auto"/>
        <w:ind w:right="1126"/>
        <w:jc w:val="both"/>
      </w:pPr>
      <w:r>
        <w:rPr>
          <w:spacing w:val="-2"/>
        </w:rPr>
        <w:t>量。如授予后立即可行权，在授予日计入相关成本或费用，相应增加负债；如须完成等待期内的服务或达</w:t>
      </w:r>
      <w:r>
        <w:rPr>
          <w:spacing w:val="-47"/>
        </w:rPr>
        <w:t> </w:t>
      </w:r>
      <w:r>
        <w:rPr>
          <w:spacing w:val="-47"/>
        </w:rPr>
      </w:r>
      <w:r>
        <w:rPr>
          <w:spacing w:val="-2"/>
        </w:rPr>
        <w:t>到规定业绩条件以后才可行权，在等待期的每个资产负债表日，以对可行权情况的最佳估计为基础，按照</w:t>
      </w:r>
      <w:r>
        <w:rPr>
          <w:spacing w:val="-43"/>
        </w:rPr>
        <w:t> </w:t>
      </w:r>
      <w:r>
        <w:rPr>
          <w:spacing w:val="-43"/>
        </w:rPr>
      </w:r>
      <w:r>
        <w:rPr/>
        <w:t>本公司承担负债的公允价值金额，将当期取得的服务计入成本或费用，相应增加负债。</w:t>
      </w:r>
    </w:p>
    <w:p>
      <w:pPr>
        <w:pStyle w:val="Heading5"/>
        <w:spacing w:line="273" w:lineRule="auto"/>
        <w:ind w:right="1126" w:firstLine="420"/>
        <w:jc w:val="both"/>
      </w:pPr>
      <w:r>
        <w:rPr>
          <w:spacing w:val="-2"/>
        </w:rPr>
        <w:t>在相关负债结算前的每个资产负债表日以及结算日，对负债的公允价值重新计量，其变动计入当期损</w:t>
      </w:r>
      <w:r>
        <w:rPr>
          <w:w w:val="100"/>
        </w:rPr>
        <w:t> </w:t>
      </w:r>
      <w:r>
        <w:rPr/>
        <w:t>益。</w:t>
      </w:r>
    </w:p>
    <w:p>
      <w:pPr>
        <w:pStyle w:val="Heading5"/>
        <w:spacing w:line="240" w:lineRule="auto" w:before="8"/>
        <w:ind w:left="573" w:right="1133"/>
        <w:jc w:val="left"/>
      </w:pPr>
      <w:r>
        <w:rPr/>
        <w:t>（</w:t>
      </w:r>
      <w:r>
        <w:rPr>
          <w:rFonts w:ascii="Times New Roman" w:hAnsi="Times New Roman" w:cs="Times New Roman" w:eastAsia="Times New Roman" w:hint="default"/>
        </w:rPr>
        <w:t>2</w:t>
      </w:r>
      <w:r>
        <w:rPr/>
        <w:t>）权益工具公允价值的确定方法</w:t>
      </w:r>
    </w:p>
    <w:p>
      <w:pPr>
        <w:pStyle w:val="Heading5"/>
        <w:spacing w:line="240" w:lineRule="auto" w:before="21"/>
        <w:ind w:left="573" w:right="1133"/>
        <w:jc w:val="left"/>
      </w:pPr>
      <w:r>
        <w:rPr/>
        <w:t>①存在活跃市场的，按照活跃市场中的报价确定。</w:t>
      </w:r>
    </w:p>
    <w:p>
      <w:pPr>
        <w:pStyle w:val="Heading5"/>
        <w:spacing w:line="273" w:lineRule="auto" w:before="37"/>
        <w:ind w:right="1126" w:firstLine="420"/>
        <w:jc w:val="both"/>
      </w:pPr>
      <w:r>
        <w:rPr>
          <w:spacing w:val="-2"/>
        </w:rPr>
        <w:t>②不存在活跃市场的，采用估值技术确定，包括参考熟悉情况并自愿交易的各方最近进行的市场交易</w:t>
      </w:r>
      <w:r>
        <w:rPr>
          <w:w w:val="100"/>
        </w:rPr>
        <w:t> </w:t>
      </w:r>
      <w:r>
        <w:rPr/>
        <w:t>中使用的价格、参照实质上相同的其他金融工具的当前公允价值、现金流量折现法和期权定价模型等。</w:t>
      </w:r>
    </w:p>
    <w:p>
      <w:pPr>
        <w:pStyle w:val="Heading5"/>
        <w:spacing w:line="256" w:lineRule="auto"/>
        <w:ind w:left="573" w:right="1133"/>
        <w:jc w:val="left"/>
      </w:pPr>
      <w:r>
        <w:rPr/>
        <w:t>（</w:t>
      </w:r>
      <w:r>
        <w:rPr>
          <w:rFonts w:ascii="Times New Roman" w:hAnsi="Times New Roman" w:cs="Times New Roman" w:eastAsia="Times New Roman" w:hint="default"/>
        </w:rPr>
        <w:t>3</w:t>
      </w:r>
      <w:r>
        <w:rPr/>
        <w:t>）修改、终止股份支付计划的相关会计处理</w:t>
      </w:r>
      <w:r>
        <w:rPr>
          <w:w w:val="100"/>
        </w:rPr>
        <w:t> </w:t>
      </w:r>
      <w:r>
        <w:rPr>
          <w:spacing w:val="-2"/>
        </w:rPr>
        <w:t>本公司对股份支付计划进行修改时，若修改增加了所授予权益工具的公允价值，按照权益工具公允价</w:t>
      </w:r>
    </w:p>
    <w:p>
      <w:pPr>
        <w:pStyle w:val="Heading5"/>
        <w:spacing w:line="273" w:lineRule="auto" w:before="22"/>
        <w:ind w:right="1126"/>
        <w:jc w:val="both"/>
      </w:pPr>
      <w:r>
        <w:rPr>
          <w:spacing w:val="-2"/>
        </w:rPr>
        <w:t>值的增加相应确认取得服务的增加。权益工具公允价值的增加是指修改前后的权益工具在修改日的公允价</w:t>
      </w:r>
      <w:r>
        <w:rPr>
          <w:spacing w:val="-43"/>
        </w:rPr>
        <w:t> </w:t>
      </w:r>
      <w:r>
        <w:rPr>
          <w:spacing w:val="-43"/>
        </w:rPr>
      </w:r>
      <w:r>
        <w:rPr>
          <w:spacing w:val="-2"/>
        </w:rPr>
        <w:t>值之间的差额。若修改减少了股份支付公允价值总额或采用了其他不利于职工的方式，则仍继续对取得的</w:t>
      </w:r>
      <w:r>
        <w:rPr>
          <w:spacing w:val="-42"/>
        </w:rPr>
        <w:t> </w:t>
      </w:r>
      <w:r>
        <w:rPr>
          <w:spacing w:val="-42"/>
        </w:rPr>
      </w:r>
      <w:r>
        <w:rPr/>
        <w:t>服务进行会计处理，视同该变更从未发生，除非本公司取消了部分或全部已授予的权益工具。</w:t>
      </w:r>
    </w:p>
    <w:p>
      <w:pPr>
        <w:pStyle w:val="Heading5"/>
        <w:spacing w:line="273" w:lineRule="auto"/>
        <w:ind w:right="1126" w:firstLine="420"/>
        <w:jc w:val="both"/>
      </w:pPr>
      <w:r>
        <w:rPr>
          <w:spacing w:val="-2"/>
        </w:rPr>
        <w:t>在等待期内，如果取消了授予的权益工具，本公司对取消所授予的权益性工具作为加速行权处理，将</w:t>
      </w:r>
      <w:r>
        <w:rPr>
          <w:w w:val="100"/>
        </w:rPr>
        <w:t> </w:t>
      </w:r>
      <w:r>
        <w:rPr/>
        <w:t>剩余等待期内应确认的金额立即计入当期损益，同时确认资本公积。</w:t>
      </w:r>
    </w:p>
    <w:p>
      <w:pPr>
        <w:spacing w:line="240" w:lineRule="auto" w:before="7"/>
        <w:rPr>
          <w:rFonts w:ascii="宋体" w:hAnsi="宋体" w:cs="宋体" w:eastAsia="宋体" w:hint="default"/>
          <w:sz w:val="23"/>
          <w:szCs w:val="23"/>
        </w:rPr>
      </w:pPr>
    </w:p>
    <w:p>
      <w:pPr>
        <w:pStyle w:val="Heading4"/>
        <w:spacing w:line="240" w:lineRule="auto"/>
        <w:ind w:right="0"/>
        <w:jc w:val="both"/>
        <w:rPr>
          <w:b w:val="0"/>
          <w:bCs w:val="0"/>
        </w:rPr>
      </w:pPr>
      <w:bookmarkStart w:name="28、优先股、永续债等其他金融工具" w:id="211"/>
      <w:bookmarkEnd w:id="211"/>
      <w:r>
        <w:rPr>
          <w:b w:val="0"/>
          <w:bCs w:val="0"/>
        </w:rPr>
      </w:r>
      <w:r>
        <w:rPr>
          <w:rFonts w:ascii="Times New Roman" w:hAnsi="Times New Roman" w:cs="Times New Roman" w:eastAsia="Times New Roman" w:hint="default"/>
        </w:rPr>
        <w:t>28</w:t>
      </w:r>
      <w:r>
        <w:rPr/>
        <w:t>、优先股、永续债等其他金融工具</w:t>
      </w:r>
      <w:r>
        <w:rPr>
          <w:b w:val="0"/>
          <w:bCs w:val="0"/>
        </w:rPr>
      </w:r>
    </w:p>
    <w:p>
      <w:pPr>
        <w:spacing w:line="240" w:lineRule="auto" w:before="10"/>
        <w:rPr>
          <w:rFonts w:ascii="宋体" w:hAnsi="宋体" w:cs="宋体" w:eastAsia="宋体" w:hint="default"/>
          <w:b/>
          <w:bCs/>
          <w:sz w:val="24"/>
          <w:szCs w:val="24"/>
        </w:rPr>
      </w:pPr>
    </w:p>
    <w:p>
      <w:pPr>
        <w:pStyle w:val="Heading5"/>
        <w:spacing w:line="256" w:lineRule="auto" w:before="0"/>
        <w:ind w:left="573" w:right="1133"/>
        <w:jc w:val="left"/>
      </w:pPr>
      <w:r>
        <w:rPr/>
        <w:t>（</w:t>
      </w:r>
      <w:r>
        <w:rPr>
          <w:rFonts w:ascii="Times New Roman" w:hAnsi="Times New Roman" w:cs="Times New Roman" w:eastAsia="Times New Roman" w:hint="default"/>
        </w:rPr>
        <w:t>1</w:t>
      </w:r>
      <w:r>
        <w:rPr/>
        <w:t>）永续债和优先股等的区分</w:t>
      </w:r>
      <w:r>
        <w:rPr>
          <w:w w:val="100"/>
        </w:rPr>
        <w:t> </w:t>
      </w:r>
      <w:r>
        <w:rPr>
          <w:spacing w:val="-2"/>
        </w:rPr>
        <w:t>本公司发行的永续债和优先股等金融工具，同时符合以下条件的，作为权益工具：</w:t>
      </w:r>
    </w:p>
    <w:p>
      <w:pPr>
        <w:pStyle w:val="Heading5"/>
        <w:spacing w:line="273" w:lineRule="auto" w:before="22"/>
        <w:ind w:right="1126" w:firstLine="420"/>
        <w:jc w:val="both"/>
      </w:pPr>
      <w:r>
        <w:rPr>
          <w:spacing w:val="-2"/>
        </w:rPr>
        <w:t>①该金融工具不包括交付现金或其他金融资产给其他方，或在潜在不利条件下与其他方交换金融资产</w:t>
      </w:r>
      <w:r>
        <w:rPr>
          <w:w w:val="100"/>
        </w:rPr>
        <w:t> </w:t>
      </w:r>
      <w:r>
        <w:rPr/>
        <w:t>或金融负债的合同义务；</w:t>
      </w:r>
    </w:p>
    <w:p>
      <w:pPr>
        <w:pStyle w:val="Heading5"/>
        <w:spacing w:line="273" w:lineRule="auto"/>
        <w:ind w:right="1126" w:firstLine="420"/>
        <w:jc w:val="both"/>
      </w:pPr>
      <w:r>
        <w:rPr>
          <w:spacing w:val="-2"/>
        </w:rPr>
        <w:t>②如将来须用或可用企业自身权益工具结算该金融工具的，如该金融工具为非衍生工具，则不包括交</w:t>
      </w:r>
      <w:r>
        <w:rPr>
          <w:w w:val="100"/>
        </w:rPr>
        <w:t> </w:t>
      </w:r>
      <w:r>
        <w:rPr>
          <w:spacing w:val="-2"/>
        </w:rPr>
        <w:t>付可变数量的自身权益工具进行结算的合同义务；如为衍生工具，则本公司只能通过以固定数量的自身权</w:t>
      </w:r>
      <w:r>
        <w:rPr>
          <w:spacing w:val="-42"/>
        </w:rPr>
        <w:t> </w:t>
      </w:r>
      <w:r>
        <w:rPr>
          <w:spacing w:val="-42"/>
        </w:rPr>
      </w:r>
      <w:r>
        <w:rPr/>
        <w:t>益工具交换固定金额的现金或其他金融资产结算该金融工具。</w:t>
      </w:r>
    </w:p>
    <w:p>
      <w:pPr>
        <w:pStyle w:val="Heading5"/>
        <w:spacing w:line="273" w:lineRule="auto"/>
        <w:ind w:left="573" w:right="1133"/>
        <w:jc w:val="left"/>
      </w:pPr>
      <w:r>
        <w:rPr/>
        <w:t>除按上述条件可归类为权益工具的金融工具以外，本公司发行的其他金融工具应归类为金融负债。</w:t>
      </w:r>
      <w:r>
        <w:rPr>
          <w:w w:val="100"/>
        </w:rPr>
        <w:t> </w:t>
      </w:r>
      <w:r>
        <w:rPr>
          <w:spacing w:val="-2"/>
        </w:rPr>
        <w:t>本公司发行的金融工具为复合金融工具的，按照负债成分的公允价值确认为一项负债，按实际收到的</w:t>
      </w:r>
    </w:p>
    <w:p>
      <w:pPr>
        <w:pStyle w:val="Heading5"/>
        <w:spacing w:line="256" w:lineRule="auto" w:before="8"/>
        <w:ind w:right="1131"/>
        <w:jc w:val="both"/>
      </w:pPr>
      <w:r>
        <w:rPr>
          <w:spacing w:val="-2"/>
        </w:rPr>
        <w:t>金额扣除负债成分的公允价值后的金额，确认为</w:t>
      </w:r>
      <w:r>
        <w:rPr>
          <w:rFonts w:ascii="Times New Roman" w:hAnsi="Times New Roman" w:cs="Times New Roman" w:eastAsia="Times New Roman" w:hint="default"/>
          <w:spacing w:val="-2"/>
        </w:rPr>
        <w:t>“</w:t>
      </w:r>
      <w:r>
        <w:rPr>
          <w:spacing w:val="-2"/>
        </w:rPr>
        <w:t>其他权益工具</w:t>
      </w:r>
      <w:r>
        <w:rPr>
          <w:rFonts w:ascii="Times New Roman" w:hAnsi="Times New Roman" w:cs="Times New Roman" w:eastAsia="Times New Roman" w:hint="default"/>
          <w:spacing w:val="-2"/>
        </w:rPr>
        <w:t>”</w:t>
      </w:r>
      <w:r>
        <w:rPr>
          <w:spacing w:val="-2"/>
        </w:rPr>
        <w:t>。发行复合金融工具发生的交易费用，在</w:t>
      </w:r>
      <w:r>
        <w:rPr>
          <w:spacing w:val="-23"/>
        </w:rPr>
        <w:t> </w:t>
      </w:r>
      <w:r>
        <w:rPr>
          <w:spacing w:val="-23"/>
        </w:rPr>
      </w:r>
      <w:r>
        <w:rPr/>
        <w:t>负债成分和权益成分之间按照各自占总发行价款的比例进行分摊。</w:t>
      </w:r>
    </w:p>
    <w:p>
      <w:pPr>
        <w:pStyle w:val="Heading5"/>
        <w:spacing w:line="256" w:lineRule="auto" w:before="22"/>
        <w:ind w:left="573" w:right="1133"/>
        <w:jc w:val="left"/>
      </w:pPr>
      <w:r>
        <w:rPr/>
        <w:t>（</w:t>
      </w:r>
      <w:r>
        <w:rPr>
          <w:rFonts w:ascii="Times New Roman" w:hAnsi="Times New Roman" w:cs="Times New Roman" w:eastAsia="Times New Roman" w:hint="default"/>
        </w:rPr>
        <w:t>2</w:t>
      </w:r>
      <w:r>
        <w:rPr/>
        <w:t>）永续债和优先股等的会计处理方法</w:t>
      </w:r>
      <w:r>
        <w:rPr>
          <w:w w:val="100"/>
        </w:rPr>
        <w:t> </w:t>
      </w:r>
      <w:r>
        <w:rPr>
          <w:spacing w:val="-2"/>
        </w:rPr>
        <w:t>归类为金融负债的永续债和优先股等金融工具，其相关利息、股利（或股息）、利得或损失，以及赎</w:t>
      </w:r>
    </w:p>
    <w:p>
      <w:pPr>
        <w:pStyle w:val="Heading5"/>
        <w:spacing w:line="256" w:lineRule="auto" w:before="22"/>
        <w:ind w:right="1126"/>
        <w:jc w:val="both"/>
      </w:pPr>
      <w:r>
        <w:rPr>
          <w:spacing w:val="-2"/>
        </w:rPr>
        <w:t>回或再融资产生的利得或损失等，除符合资本化条件的借款费用（参见本附注四、</w:t>
      </w:r>
      <w:r>
        <w:rPr>
          <w:rFonts w:ascii="Times New Roman" w:hAnsi="Times New Roman" w:cs="Times New Roman" w:eastAsia="Times New Roman" w:hint="default"/>
          <w:spacing w:val="-2"/>
        </w:rPr>
        <w:t>17“</w:t>
      </w:r>
      <w:r>
        <w:rPr>
          <w:spacing w:val="-2"/>
        </w:rPr>
        <w:t>借款费用</w:t>
      </w:r>
      <w:r>
        <w:rPr>
          <w:rFonts w:ascii="Times New Roman" w:hAnsi="Times New Roman" w:cs="Times New Roman" w:eastAsia="Times New Roman" w:hint="default"/>
          <w:spacing w:val="-2"/>
        </w:rPr>
        <w:t>”</w:t>
      </w:r>
      <w:r>
        <w:rPr>
          <w:spacing w:val="-2"/>
        </w:rPr>
        <w:t>）以外，</w:t>
      </w:r>
      <w:r>
        <w:rPr>
          <w:spacing w:val="-14"/>
        </w:rPr>
        <w:t> </w:t>
      </w:r>
      <w:r>
        <w:rPr>
          <w:spacing w:val="-14"/>
        </w:rPr>
      </w:r>
      <w:r>
        <w:rPr/>
        <w:t>均计入当期损益。</w:t>
      </w:r>
    </w:p>
    <w:p>
      <w:pPr>
        <w:pStyle w:val="Heading5"/>
        <w:spacing w:line="290" w:lineRule="auto" w:before="22"/>
        <w:ind w:right="0" w:firstLine="420"/>
        <w:jc w:val="left"/>
      </w:pPr>
      <w:r>
        <w:rPr/>
        <w:t>归类为权益工具的永续债和优先股等金融工具，其发行（含再融资）、回购、出售或注销时，本公司</w:t>
      </w:r>
      <w:r>
        <w:rPr>
          <w:w w:val="100"/>
        </w:rPr>
        <w:t> </w:t>
      </w:r>
      <w:r>
        <w:rPr>
          <w:spacing w:val="-5"/>
        </w:rPr>
        <w:t>作为权益的变动处理，相关交易费用亦从权益中扣减。本公司对权益工具持有方的分配作为利润分配处理。</w:t>
      </w:r>
      <w:r>
        <w:rPr>
          <w:spacing w:val="-7"/>
        </w:rPr>
        <w:t> </w:t>
      </w:r>
      <w:r>
        <w:rPr>
          <w:spacing w:val="-7"/>
        </w:rPr>
      </w:r>
      <w:r>
        <w:rPr/>
        <w:t>本公司不确认权益工具的公允价值变动。</w:t>
      </w:r>
    </w:p>
    <w:p>
      <w:pPr>
        <w:spacing w:after="0" w:line="29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1133"/>
        <w:jc w:val="left"/>
        <w:rPr>
          <w:b w:val="0"/>
          <w:bCs w:val="0"/>
        </w:rPr>
      </w:pPr>
      <w:bookmarkStart w:name="29、收入" w:id="212"/>
      <w:bookmarkEnd w:id="212"/>
      <w:r>
        <w:rPr>
          <w:b w:val="0"/>
          <w:bCs w:val="0"/>
        </w:rPr>
      </w:r>
      <w:r>
        <w:rPr>
          <w:rFonts w:ascii="Times New Roman" w:hAnsi="Times New Roman" w:cs="Times New Roman" w:eastAsia="Times New Roman" w:hint="default"/>
        </w:rPr>
        <w:t>29</w:t>
      </w:r>
      <w:r>
        <w:rPr/>
        <w:t>、收入</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1133"/>
        <w:jc w:val="left"/>
      </w:pP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w:t>
      </w:r>
    </w:p>
    <w:p>
      <w:pPr>
        <w:pStyle w:val="Heading5"/>
        <w:spacing w:line="256" w:lineRule="auto" w:before="80"/>
        <w:ind w:left="573" w:right="1133"/>
        <w:jc w:val="left"/>
      </w:pPr>
      <w:r>
        <w:rPr/>
        <w:t>（</w:t>
      </w:r>
      <w:r>
        <w:rPr>
          <w:rFonts w:ascii="Times New Roman" w:hAnsi="Times New Roman" w:cs="Times New Roman" w:eastAsia="Times New Roman" w:hint="default"/>
        </w:rPr>
        <w:t>1</w:t>
      </w:r>
      <w:r>
        <w:rPr/>
        <w:t>）销售商品收入</w:t>
      </w:r>
      <w:r>
        <w:rPr>
          <w:w w:val="100"/>
        </w:rPr>
        <w:t> </w:t>
      </w:r>
      <w:r>
        <w:rPr>
          <w:spacing w:val="-2"/>
        </w:rPr>
        <w:t>在已将商品所有权上的重要风险和报酬转移给购货方，本公司不再对该商品实施继续管理权和实际控</w:t>
      </w:r>
    </w:p>
    <w:p>
      <w:pPr>
        <w:pStyle w:val="Heading5"/>
        <w:spacing w:line="273" w:lineRule="auto" w:before="22"/>
        <w:ind w:right="1126"/>
        <w:jc w:val="both"/>
      </w:pPr>
      <w:r>
        <w:rPr>
          <w:spacing w:val="-2"/>
        </w:rPr>
        <w:t>制权，相关的收入已经收到或取得了收款的凭据，并且与销售该商品的成本能够可靠的计量时，确认收入</w:t>
      </w:r>
      <w:r>
        <w:rPr>
          <w:spacing w:val="-43"/>
        </w:rPr>
        <w:t> </w:t>
      </w:r>
      <w:r>
        <w:rPr>
          <w:spacing w:val="-43"/>
        </w:rPr>
      </w:r>
      <w:r>
        <w:rPr>
          <w:spacing w:val="-2"/>
        </w:rPr>
        <w:t>的实现。主要交易方式的具体销售确认的时间为：按转移商品所有权凭证或交付实物的时间为收入确认时</w:t>
      </w:r>
      <w:r>
        <w:rPr>
          <w:spacing w:val="-42"/>
        </w:rPr>
        <w:t> </w:t>
      </w:r>
      <w:r>
        <w:rPr>
          <w:spacing w:val="-42"/>
        </w:rPr>
      </w:r>
      <w:r>
        <w:rPr/>
        <w:t>点。</w:t>
      </w:r>
    </w:p>
    <w:p>
      <w:pPr>
        <w:pStyle w:val="Heading5"/>
        <w:spacing w:line="256" w:lineRule="auto"/>
        <w:ind w:left="573" w:right="1133"/>
        <w:jc w:val="left"/>
      </w:pPr>
      <w:r>
        <w:rPr/>
        <w:t>（</w:t>
      </w:r>
      <w:r>
        <w:rPr>
          <w:rFonts w:ascii="Times New Roman" w:hAnsi="Times New Roman" w:cs="Times New Roman" w:eastAsia="Times New Roman" w:hint="default"/>
        </w:rPr>
        <w:t>2</w:t>
      </w:r>
      <w:r>
        <w:rPr/>
        <w:t>）提供劳务收入</w:t>
      </w:r>
      <w:r>
        <w:rPr>
          <w:w w:val="100"/>
        </w:rPr>
        <w:t> </w:t>
      </w:r>
      <w:r>
        <w:rPr>
          <w:spacing w:val="-2"/>
        </w:rPr>
        <w:t>对在同一会计年度内开始并完成的劳务，于完成劳务时确认收入；如果劳务的开始和完成分属不同的</w:t>
      </w:r>
    </w:p>
    <w:p>
      <w:pPr>
        <w:pStyle w:val="Heading5"/>
        <w:spacing w:line="240" w:lineRule="auto" w:before="22"/>
        <w:ind w:right="0"/>
        <w:jc w:val="left"/>
      </w:pPr>
      <w:r>
        <w:rPr>
          <w:spacing w:val="-5"/>
        </w:rPr>
        <w:t>会计年度，则在提供劳务交易的结果能够可靠估计的情况下，于期末按完工百分比法确认相关的劳务收入。</w:t>
      </w:r>
    </w:p>
    <w:p>
      <w:pPr>
        <w:pStyle w:val="Heading5"/>
        <w:spacing w:line="259" w:lineRule="auto" w:before="37"/>
        <w:ind w:left="573" w:right="4994"/>
        <w:jc w:val="left"/>
      </w:pPr>
      <w:r>
        <w:rPr/>
        <w:t>（</w:t>
      </w:r>
      <w:r>
        <w:rPr>
          <w:rFonts w:ascii="Times New Roman" w:hAnsi="Times New Roman" w:cs="Times New Roman" w:eastAsia="Times New Roman" w:hint="default"/>
        </w:rPr>
        <w:t>3</w:t>
      </w:r>
      <w:r>
        <w:rPr/>
        <w:t>）让渡资产使用权收入</w:t>
      </w:r>
      <w:r>
        <w:rPr>
          <w:w w:val="100"/>
        </w:rPr>
        <w:t> </w:t>
      </w:r>
      <w:r>
        <w:rPr>
          <w:spacing w:val="-2"/>
        </w:rPr>
        <w:t>让渡资产使用权收入包括利息收入和使用费收入等；</w:t>
      </w:r>
    </w:p>
    <w:p>
      <w:pPr>
        <w:pStyle w:val="Heading5"/>
        <w:spacing w:line="273" w:lineRule="auto" w:before="20"/>
        <w:ind w:right="1133" w:firstLine="420"/>
        <w:jc w:val="left"/>
      </w:pPr>
      <w:r>
        <w:rPr>
          <w:spacing w:val="-2"/>
        </w:rPr>
        <w:t>利息收入金额，按照他人使用本公司货币资金的时间和实际利率计算确定；使用费收入金额，按照有</w:t>
      </w:r>
      <w:r>
        <w:rPr>
          <w:w w:val="100"/>
        </w:rPr>
        <w:t> </w:t>
      </w:r>
      <w:r>
        <w:rPr/>
        <w:t>关合同或协议约定的收费时间和方法计算确定。</w:t>
      </w:r>
    </w:p>
    <w:p>
      <w:pPr>
        <w:pStyle w:val="Heading5"/>
        <w:spacing w:line="256" w:lineRule="auto"/>
        <w:ind w:left="573" w:right="1133"/>
        <w:jc w:val="left"/>
      </w:pPr>
      <w:r>
        <w:rPr/>
        <w:t>（</w:t>
      </w:r>
      <w:r>
        <w:rPr>
          <w:rFonts w:ascii="Times New Roman" w:hAnsi="Times New Roman" w:cs="Times New Roman" w:eastAsia="Times New Roman" w:hint="default"/>
        </w:rPr>
        <w:t>4</w:t>
      </w:r>
      <w:r>
        <w:rPr/>
        <w:t>）建造合同收入</w:t>
      </w:r>
      <w:r>
        <w:rPr>
          <w:w w:val="100"/>
        </w:rPr>
        <w:t> </w:t>
      </w:r>
      <w:r>
        <w:rPr>
          <w:spacing w:val="-2"/>
        </w:rPr>
        <w:t>依据《企业会计准则－建造合同》的规定，本公司的建造合同收入确认原则为完工百分比法。完工百</w:t>
      </w:r>
    </w:p>
    <w:p>
      <w:pPr>
        <w:pStyle w:val="Heading5"/>
        <w:spacing w:line="273" w:lineRule="auto" w:before="22"/>
        <w:ind w:left="573" w:right="3863" w:hanging="421"/>
        <w:jc w:val="left"/>
      </w:pPr>
      <w:r>
        <w:rPr>
          <w:spacing w:val="-2"/>
        </w:rPr>
        <w:t>分比法是指根据合同完工进度确认合同收入和成本的方法。具体原则为：</w:t>
      </w:r>
      <w:r>
        <w:rPr>
          <w:spacing w:val="-45"/>
        </w:rPr>
        <w:t> </w:t>
      </w:r>
      <w:r>
        <w:rPr>
          <w:spacing w:val="-45"/>
        </w:rPr>
      </w:r>
      <w:r>
        <w:rPr/>
        <w:t>建造合同收入，当下列条件均能满足时按完工百分比法予以确认：</w:t>
      </w:r>
      <w:r>
        <w:rPr>
          <w:w w:val="100"/>
        </w:rPr>
        <w:t> </w:t>
      </w:r>
      <w:r>
        <w:rPr/>
        <w:t>合同总收入能够可靠地计量；</w:t>
      </w:r>
      <w:r>
        <w:rPr>
          <w:w w:val="100"/>
        </w:rPr>
        <w:t> </w:t>
      </w:r>
      <w:r>
        <w:rPr/>
        <w:t>与合同相关的经济利益很可能流入企业；</w:t>
      </w:r>
      <w:r>
        <w:rPr>
          <w:w w:val="100"/>
        </w:rPr>
        <w:t> </w:t>
      </w:r>
      <w:r>
        <w:rPr/>
        <w:t>实际发生的合同成本能够清楚地区分和可靠地计量；</w:t>
      </w:r>
      <w:r>
        <w:rPr>
          <w:w w:val="100"/>
        </w:rPr>
        <w:t> </w:t>
      </w:r>
      <w:r>
        <w:rPr/>
        <w:t>合同完工进度和为完成合同尚需发生的成本能够可靠地确定。</w:t>
      </w:r>
    </w:p>
    <w:p>
      <w:pPr>
        <w:pStyle w:val="Heading5"/>
        <w:spacing w:line="240" w:lineRule="auto"/>
        <w:ind w:left="573" w:right="1133"/>
        <w:jc w:val="left"/>
      </w:pPr>
      <w:r>
        <w:rPr/>
        <w:t>②完工百分比计算办法和建造工程收入确认原则。</w:t>
      </w:r>
    </w:p>
    <w:p>
      <w:pPr>
        <w:spacing w:after="0" w:line="240" w:lineRule="auto"/>
        <w:jc w:val="left"/>
        <w:sectPr>
          <w:pgSz w:w="11910" w:h="16840"/>
          <w:pgMar w:header="745" w:footer="980" w:top="1060" w:bottom="1160" w:left="980" w:right="0"/>
        </w:sectPr>
      </w:pPr>
    </w:p>
    <w:p>
      <w:pPr>
        <w:spacing w:line="240" w:lineRule="auto" w:before="5"/>
        <w:rPr>
          <w:rFonts w:ascii="宋体" w:hAnsi="宋体" w:cs="宋体" w:eastAsia="宋体" w:hint="default"/>
          <w:sz w:val="29"/>
          <w:szCs w:val="29"/>
        </w:rPr>
      </w:pPr>
    </w:p>
    <w:p>
      <w:pPr>
        <w:spacing w:line="11520" w:lineRule="exact"/>
        <w:ind w:left="225" w:right="0" w:firstLine="0"/>
        <w:rPr>
          <w:rFonts w:ascii="宋体" w:hAnsi="宋体" w:cs="宋体" w:eastAsia="宋体" w:hint="default"/>
          <w:sz w:val="20"/>
          <w:szCs w:val="20"/>
        </w:rPr>
      </w:pPr>
      <w:r>
        <w:rPr>
          <w:rFonts w:ascii="宋体" w:hAnsi="宋体" w:cs="宋体" w:eastAsia="宋体" w:hint="default"/>
          <w:position w:val="-229"/>
          <w:sz w:val="20"/>
          <w:szCs w:val="20"/>
        </w:rPr>
        <w:drawing>
          <wp:inline distT="0" distB="0" distL="0" distR="0">
            <wp:extent cx="5295900" cy="7315200"/>
            <wp:effectExtent l="0" t="0" r="0" b="0"/>
            <wp:docPr id="11" name="image7.jpeg" descr=""/>
            <wp:cNvGraphicFramePr>
              <a:graphicFrameLocks noChangeAspect="1"/>
            </wp:cNvGraphicFramePr>
            <a:graphic>
              <a:graphicData uri="http://schemas.openxmlformats.org/drawingml/2006/picture">
                <pic:pic>
                  <pic:nvPicPr>
                    <pic:cNvPr id="12" name="image7.jpeg"/>
                    <pic:cNvPicPr/>
                  </pic:nvPicPr>
                  <pic:blipFill>
                    <a:blip r:embed="rId22" cstate="print"/>
                    <a:stretch>
                      <a:fillRect/>
                    </a:stretch>
                  </pic:blipFill>
                  <pic:spPr>
                    <a:xfrm>
                      <a:off x="0" y="0"/>
                      <a:ext cx="5295900" cy="7315200"/>
                    </a:xfrm>
                    <a:prstGeom prst="rect">
                      <a:avLst/>
                    </a:prstGeom>
                  </pic:spPr>
                </pic:pic>
              </a:graphicData>
            </a:graphic>
          </wp:inline>
        </w:drawing>
      </w:r>
      <w:r>
        <w:rPr>
          <w:rFonts w:ascii="宋体" w:hAnsi="宋体" w:cs="宋体" w:eastAsia="宋体" w:hint="default"/>
          <w:position w:val="-229"/>
          <w:sz w:val="20"/>
          <w:szCs w:val="20"/>
        </w:rPr>
      </w:r>
    </w:p>
    <w:p>
      <w:pPr>
        <w:spacing w:line="240" w:lineRule="auto" w:before="2"/>
        <w:rPr>
          <w:rFonts w:ascii="宋体" w:hAnsi="宋体" w:cs="宋体" w:eastAsia="宋体" w:hint="default"/>
          <w:sz w:val="21"/>
          <w:szCs w:val="21"/>
        </w:rPr>
      </w:pPr>
    </w:p>
    <w:p>
      <w:pPr>
        <w:pStyle w:val="Heading5"/>
        <w:spacing w:line="273" w:lineRule="auto" w:before="36"/>
        <w:ind w:right="1126" w:firstLine="420"/>
        <w:jc w:val="both"/>
      </w:pPr>
      <w:r>
        <w:rPr>
          <w:spacing w:val="-2"/>
        </w:rPr>
        <w:t>公司建造合同业务采用完工百分比法中的工作量法确认收入。按工程进度，公司工程项目一般处于三</w:t>
      </w:r>
      <w:r>
        <w:rPr>
          <w:w w:val="100"/>
        </w:rPr>
        <w:t> </w:t>
      </w:r>
      <w:r>
        <w:rPr>
          <w:spacing w:val="-2"/>
        </w:rPr>
        <w:t>种状态：未完工、竣工、结算。公司确认项目工作量主要依靠客户或第三方监理单位确认的工程完工进度</w:t>
      </w:r>
      <w:r>
        <w:rPr>
          <w:spacing w:val="-44"/>
        </w:rPr>
        <w:t> </w:t>
      </w:r>
      <w:r>
        <w:rPr>
          <w:spacing w:val="-44"/>
        </w:rPr>
      </w:r>
      <w:r>
        <w:rPr/>
        <w:t>单或关键节点的正式报告（如工程竣工报告及工程结算报告）。</w:t>
      </w:r>
    </w:p>
    <w:p>
      <w:pPr>
        <w:pStyle w:val="Heading5"/>
        <w:spacing w:line="240" w:lineRule="auto"/>
        <w:ind w:left="573" w:right="1133"/>
        <w:jc w:val="left"/>
      </w:pPr>
      <w:r>
        <w:rPr/>
        <w:t>公司建造工程收入确认的资料依据：</w:t>
      </w:r>
    </w:p>
    <w:p>
      <w:pPr>
        <w:spacing w:after="0" w:line="240" w:lineRule="auto"/>
        <w:jc w:val="left"/>
        <w:sectPr>
          <w:pgSz w:w="11910" w:h="16840"/>
          <w:pgMar w:header="745" w:footer="980"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7"/>
          <w:szCs w:val="27"/>
        </w:rPr>
      </w:pPr>
    </w:p>
    <w:p>
      <w:pPr>
        <w:pStyle w:val="BodyText"/>
        <w:spacing w:line="240" w:lineRule="auto" w:before="44"/>
        <w:ind w:left="0" w:right="1576"/>
        <w:jc w:val="right"/>
      </w:pPr>
      <w:r>
        <w:rPr/>
        <w:pict>
          <v:shape style="position:absolute;margin-left:56.279999pt;margin-top:-25.828276pt;width:457.8pt;height:117.5pt;mso-position-horizontal-relative:page;mso-position-vertical-relative:paragraph;z-index:16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01"/>
                    <w:gridCol w:w="2242"/>
                    <w:gridCol w:w="4991"/>
                  </w:tblGrid>
                  <w:tr>
                    <w:trPr>
                      <w:trHeight w:val="468" w:hRule="exact"/>
                    </w:trPr>
                    <w:tc>
                      <w:tcPr>
                        <w:tcW w:w="19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77"/>
                          <w:ind w:left="5" w:right="0"/>
                          <w:jc w:val="center"/>
                          <w:rPr>
                            <w:rFonts w:ascii="宋体" w:hAnsi="宋体" w:cs="宋体" w:eastAsia="宋体" w:hint="default"/>
                            <w:sz w:val="18"/>
                            <w:szCs w:val="18"/>
                          </w:rPr>
                        </w:pPr>
                        <w:r>
                          <w:rPr>
                            <w:rFonts w:ascii="宋体" w:hAnsi="宋体" w:cs="宋体" w:eastAsia="宋体" w:hint="default"/>
                            <w:b/>
                            <w:bCs/>
                            <w:sz w:val="18"/>
                            <w:szCs w:val="18"/>
                          </w:rPr>
                          <w:t>提供方</w:t>
                        </w:r>
                        <w:r>
                          <w:rPr>
                            <w:rFonts w:ascii="宋体" w:hAnsi="宋体" w:cs="宋体" w:eastAsia="宋体" w:hint="default"/>
                            <w:sz w:val="18"/>
                            <w:szCs w:val="18"/>
                          </w:rPr>
                        </w:r>
                      </w:p>
                    </w:tc>
                    <w:tc>
                      <w:tcPr>
                        <w:tcW w:w="224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77"/>
                          <w:ind w:left="5" w:right="0"/>
                          <w:jc w:val="center"/>
                          <w:rPr>
                            <w:rFonts w:ascii="宋体" w:hAnsi="宋体" w:cs="宋体" w:eastAsia="宋体" w:hint="default"/>
                            <w:sz w:val="18"/>
                            <w:szCs w:val="18"/>
                          </w:rPr>
                        </w:pPr>
                        <w:r>
                          <w:rPr>
                            <w:rFonts w:ascii="宋体" w:hAnsi="宋体" w:cs="宋体" w:eastAsia="宋体" w:hint="default"/>
                            <w:b/>
                            <w:bCs/>
                            <w:sz w:val="18"/>
                            <w:szCs w:val="18"/>
                          </w:rPr>
                          <w:t>内容</w:t>
                        </w:r>
                        <w:r>
                          <w:rPr>
                            <w:rFonts w:ascii="宋体" w:hAnsi="宋体" w:cs="宋体" w:eastAsia="宋体" w:hint="default"/>
                            <w:sz w:val="18"/>
                            <w:szCs w:val="18"/>
                          </w:rPr>
                        </w:r>
                      </w:p>
                    </w:tc>
                    <w:tc>
                      <w:tcPr>
                        <w:tcW w:w="499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77"/>
                          <w:ind w:left="4" w:right="0"/>
                          <w:jc w:val="center"/>
                          <w:rPr>
                            <w:rFonts w:ascii="宋体" w:hAnsi="宋体" w:cs="宋体" w:eastAsia="宋体" w:hint="default"/>
                            <w:sz w:val="18"/>
                            <w:szCs w:val="18"/>
                          </w:rPr>
                        </w:pPr>
                        <w:r>
                          <w:rPr>
                            <w:rFonts w:ascii="宋体" w:hAnsi="宋体" w:cs="宋体" w:eastAsia="宋体" w:hint="default"/>
                            <w:b/>
                            <w:bCs/>
                            <w:sz w:val="18"/>
                            <w:szCs w:val="18"/>
                          </w:rPr>
                          <w:t>文件名称</w:t>
                        </w:r>
                        <w:r>
                          <w:rPr>
                            <w:rFonts w:ascii="宋体" w:hAnsi="宋体" w:cs="宋体" w:eastAsia="宋体" w:hint="default"/>
                            <w:sz w:val="18"/>
                            <w:szCs w:val="18"/>
                          </w:rPr>
                        </w:r>
                      </w:p>
                    </w:tc>
                  </w:tr>
                  <w:tr>
                    <w:trPr>
                      <w:trHeight w:val="466" w:hRule="exact"/>
                    </w:trPr>
                    <w:tc>
                      <w:tcPr>
                        <w:tcW w:w="1901" w:type="dxa"/>
                        <w:vMerge w:val="restart"/>
                        <w:tcBorders>
                          <w:top w:val="single" w:sz="10" w:space="0" w:color="000000"/>
                          <w:left w:val="single" w:sz="6" w:space="0" w:color="000000"/>
                          <w:right w:val="single" w:sz="6" w:space="0" w:color="000000"/>
                        </w:tcBorders>
                      </w:tcPr>
                      <w:p>
                        <w:pPr>
                          <w:pStyle w:val="TableParagraph"/>
                          <w:spacing w:line="240" w:lineRule="auto" w:before="73"/>
                          <w:ind w:left="4" w:right="0"/>
                          <w:jc w:val="left"/>
                          <w:rPr>
                            <w:rFonts w:ascii="宋体" w:hAnsi="宋体" w:cs="宋体" w:eastAsia="宋体" w:hint="default"/>
                            <w:sz w:val="18"/>
                            <w:szCs w:val="18"/>
                          </w:rPr>
                        </w:pPr>
                        <w:r>
                          <w:rPr>
                            <w:rFonts w:ascii="宋体" w:hAnsi="宋体" w:cs="宋体" w:eastAsia="宋体" w:hint="default"/>
                            <w:sz w:val="18"/>
                            <w:szCs w:val="18"/>
                          </w:rPr>
                          <w:t>客户或监理单位</w:t>
                        </w:r>
                      </w:p>
                    </w:tc>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4" w:right="0"/>
                          <w:jc w:val="left"/>
                          <w:rPr>
                            <w:rFonts w:ascii="宋体" w:hAnsi="宋体" w:cs="宋体" w:eastAsia="宋体" w:hint="default"/>
                            <w:sz w:val="18"/>
                            <w:szCs w:val="18"/>
                          </w:rPr>
                        </w:pPr>
                        <w:r>
                          <w:rPr>
                            <w:rFonts w:ascii="宋体" w:hAnsi="宋体" w:cs="宋体" w:eastAsia="宋体" w:hint="default"/>
                            <w:sz w:val="18"/>
                            <w:szCs w:val="18"/>
                          </w:rPr>
                          <w:t>中间进度确认报告</w:t>
                        </w:r>
                      </w:p>
                    </w:tc>
                    <w:tc>
                      <w:tcPr>
                        <w:tcW w:w="4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4" w:right="0"/>
                          <w:jc w:val="left"/>
                          <w:rPr>
                            <w:rFonts w:ascii="宋体" w:hAnsi="宋体" w:cs="宋体" w:eastAsia="宋体" w:hint="default"/>
                            <w:sz w:val="18"/>
                            <w:szCs w:val="18"/>
                          </w:rPr>
                        </w:pPr>
                        <w:r>
                          <w:rPr>
                            <w:rFonts w:ascii="宋体" w:hAnsi="宋体" w:cs="宋体" w:eastAsia="宋体" w:hint="default"/>
                            <w:sz w:val="18"/>
                            <w:szCs w:val="18"/>
                          </w:rPr>
                          <w:t>《工作联系单》、《工作进度确认函》或《工程形象进度报告</w:t>
                        </w:r>
                      </w:p>
                    </w:tc>
                  </w:tr>
                  <w:tr>
                    <w:trPr>
                      <w:trHeight w:val="468" w:hRule="exact"/>
                    </w:trPr>
                    <w:tc>
                      <w:tcPr>
                        <w:tcW w:w="1901" w:type="dxa"/>
                        <w:vMerge/>
                        <w:tcBorders>
                          <w:left w:val="single" w:sz="6" w:space="0" w:color="000000"/>
                          <w:right w:val="single" w:sz="6" w:space="0" w:color="000000"/>
                        </w:tcBorders>
                      </w:tcPr>
                      <w:p>
                        <w:pPr/>
                      </w:p>
                    </w:tc>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4" w:right="0"/>
                          <w:jc w:val="left"/>
                          <w:rPr>
                            <w:rFonts w:ascii="宋体" w:hAnsi="宋体" w:cs="宋体" w:eastAsia="宋体" w:hint="default"/>
                            <w:sz w:val="18"/>
                            <w:szCs w:val="18"/>
                          </w:rPr>
                        </w:pPr>
                        <w:r>
                          <w:rPr>
                            <w:rFonts w:ascii="宋体" w:hAnsi="宋体" w:cs="宋体" w:eastAsia="宋体" w:hint="default"/>
                            <w:sz w:val="18"/>
                            <w:szCs w:val="18"/>
                          </w:rPr>
                          <w:t>竣工报告</w:t>
                        </w:r>
                      </w:p>
                    </w:tc>
                    <w:tc>
                      <w:tcPr>
                        <w:tcW w:w="4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4" w:right="0"/>
                          <w:jc w:val="left"/>
                          <w:rPr>
                            <w:rFonts w:ascii="宋体" w:hAnsi="宋体" w:cs="宋体" w:eastAsia="宋体" w:hint="default"/>
                            <w:sz w:val="18"/>
                            <w:szCs w:val="18"/>
                          </w:rPr>
                        </w:pPr>
                        <w:r>
                          <w:rPr>
                            <w:rFonts w:ascii="宋体" w:hAnsi="宋体" w:cs="宋体" w:eastAsia="宋体" w:hint="default"/>
                            <w:sz w:val="18"/>
                            <w:szCs w:val="18"/>
                          </w:rPr>
                          <w:t>《工程竣工验收单》或《工程竣工报告》</w:t>
                        </w:r>
                      </w:p>
                    </w:tc>
                  </w:tr>
                  <w:tr>
                    <w:trPr>
                      <w:trHeight w:val="466" w:hRule="exact"/>
                    </w:trPr>
                    <w:tc>
                      <w:tcPr>
                        <w:tcW w:w="1901" w:type="dxa"/>
                        <w:vMerge/>
                        <w:tcBorders>
                          <w:left w:val="single" w:sz="6" w:space="0" w:color="000000"/>
                          <w:bottom w:val="single" w:sz="6" w:space="0" w:color="000000"/>
                          <w:right w:val="single" w:sz="6" w:space="0" w:color="000000"/>
                        </w:tcBorders>
                      </w:tcPr>
                      <w:p>
                        <w:pPr/>
                      </w:p>
                    </w:tc>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4" w:right="0"/>
                          <w:jc w:val="left"/>
                          <w:rPr>
                            <w:rFonts w:ascii="宋体" w:hAnsi="宋体" w:cs="宋体" w:eastAsia="宋体" w:hint="default"/>
                            <w:sz w:val="18"/>
                            <w:szCs w:val="18"/>
                          </w:rPr>
                        </w:pPr>
                        <w:r>
                          <w:rPr>
                            <w:rFonts w:ascii="宋体" w:hAnsi="宋体" w:cs="宋体" w:eastAsia="宋体" w:hint="default"/>
                            <w:sz w:val="18"/>
                            <w:szCs w:val="18"/>
                          </w:rPr>
                          <w:t>结算报告</w:t>
                        </w:r>
                      </w:p>
                    </w:tc>
                    <w:tc>
                      <w:tcPr>
                        <w:tcW w:w="4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4" w:right="0"/>
                          <w:jc w:val="left"/>
                          <w:rPr>
                            <w:rFonts w:ascii="宋体" w:hAnsi="宋体" w:cs="宋体" w:eastAsia="宋体" w:hint="default"/>
                            <w:sz w:val="18"/>
                            <w:szCs w:val="18"/>
                          </w:rPr>
                        </w:pPr>
                        <w:r>
                          <w:rPr>
                            <w:rFonts w:ascii="宋体" w:hAnsi="宋体" w:cs="宋体" w:eastAsia="宋体" w:hint="default"/>
                            <w:sz w:val="18"/>
                            <w:szCs w:val="18"/>
                          </w:rPr>
                          <w:t>《工程结算书》或《工程结算报告》</w:t>
                        </w:r>
                      </w:p>
                    </w:tc>
                  </w:tr>
                  <w:tr>
                    <w:trPr>
                      <w:trHeight w:val="468" w:hRule="exact"/>
                    </w:trPr>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4" w:right="0"/>
                          <w:jc w:val="left"/>
                          <w:rPr>
                            <w:rFonts w:ascii="宋体" w:hAnsi="宋体" w:cs="宋体" w:eastAsia="宋体" w:hint="default"/>
                            <w:sz w:val="18"/>
                            <w:szCs w:val="18"/>
                          </w:rPr>
                        </w:pPr>
                        <w:r>
                          <w:rPr>
                            <w:rFonts w:ascii="宋体" w:hAnsi="宋体" w:cs="宋体" w:eastAsia="宋体" w:hint="default"/>
                            <w:sz w:val="18"/>
                            <w:szCs w:val="18"/>
                          </w:rPr>
                          <w:t>公司工程部门</w:t>
                        </w:r>
                      </w:p>
                    </w:tc>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4" w:right="0"/>
                          <w:jc w:val="left"/>
                          <w:rPr>
                            <w:rFonts w:ascii="宋体" w:hAnsi="宋体" w:cs="宋体" w:eastAsia="宋体" w:hint="default"/>
                            <w:sz w:val="18"/>
                            <w:szCs w:val="18"/>
                          </w:rPr>
                        </w:pPr>
                        <w:r>
                          <w:rPr>
                            <w:rFonts w:ascii="宋体" w:hAnsi="宋体" w:cs="宋体" w:eastAsia="宋体" w:hint="default"/>
                            <w:sz w:val="18"/>
                            <w:szCs w:val="18"/>
                          </w:rPr>
                          <w:t>完工进度资料</w:t>
                        </w:r>
                      </w:p>
                    </w:tc>
                    <w:tc>
                      <w:tcPr>
                        <w:tcW w:w="4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4" w:right="0"/>
                          <w:jc w:val="left"/>
                          <w:rPr>
                            <w:rFonts w:ascii="宋体" w:hAnsi="宋体" w:cs="宋体" w:eastAsia="宋体" w:hint="default"/>
                            <w:sz w:val="18"/>
                            <w:szCs w:val="18"/>
                          </w:rPr>
                        </w:pPr>
                        <w:r>
                          <w:rPr>
                            <w:rFonts w:ascii="宋体" w:hAnsi="宋体" w:cs="宋体" w:eastAsia="宋体" w:hint="default"/>
                            <w:sz w:val="18"/>
                            <w:szCs w:val="18"/>
                          </w:rPr>
                          <w:t>《工程实施进度表》或《项目完工结算表》</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8"/>
          <w:szCs w:val="18"/>
        </w:rPr>
      </w:pPr>
    </w:p>
    <w:p>
      <w:pPr>
        <w:pStyle w:val="Heading5"/>
        <w:spacing w:line="256" w:lineRule="auto" w:before="36"/>
        <w:ind w:left="573" w:right="1133"/>
        <w:jc w:val="left"/>
      </w:pPr>
      <w:r>
        <w:rPr/>
        <w:t>建造工程的完工进度</w:t>
      </w:r>
      <w:r>
        <w:rPr>
          <w:rFonts w:ascii="Times New Roman" w:hAnsi="Times New Roman" w:cs="Times New Roman" w:eastAsia="Times New Roman" w:hint="default"/>
        </w:rPr>
        <w:t>=</w:t>
      </w:r>
      <w:r>
        <w:rPr/>
        <w:t>已完成的合同工作量</w:t>
      </w:r>
      <w:r>
        <w:rPr>
          <w:rFonts w:ascii="Times New Roman" w:hAnsi="Times New Roman" w:cs="Times New Roman" w:eastAsia="Times New Roman" w:hint="default"/>
        </w:rPr>
        <w:t>/</w:t>
      </w:r>
      <w:r>
        <w:rPr/>
        <w:t>合同预计总工作量</w:t>
      </w:r>
      <w:r>
        <w:rPr>
          <w:rFonts w:ascii="Times New Roman" w:hAnsi="Times New Roman" w:cs="Times New Roman" w:eastAsia="Times New Roman" w:hint="default"/>
        </w:rPr>
        <w:t>×100%</w:t>
      </w:r>
      <w:r>
        <w:rPr>
          <w:rFonts w:ascii="Times New Roman" w:hAnsi="Times New Roman" w:cs="Times New Roman" w:eastAsia="Times New Roman" w:hint="default"/>
          <w:w w:val="100"/>
        </w:rPr>
        <w:t> </w:t>
      </w:r>
      <w:r>
        <w:rPr>
          <w:spacing w:val="-2"/>
        </w:rPr>
        <w:t>建造工程项目预计的总工作量根据建造工程预算资料合理预计，建造工程预算资料是由达实智能工程</w:t>
      </w:r>
    </w:p>
    <w:p>
      <w:pPr>
        <w:pStyle w:val="Heading5"/>
        <w:spacing w:line="273" w:lineRule="auto" w:before="22"/>
        <w:ind w:left="573" w:right="2654" w:hanging="421"/>
        <w:jc w:val="left"/>
      </w:pPr>
      <w:r>
        <w:rPr>
          <w:spacing w:val="-2"/>
        </w:rPr>
        <w:t>预算部门按工程合同约定的工程材料和工程量等进行计算、编制。</w:t>
      </w:r>
      <w:r>
        <w:rPr>
          <w:spacing w:val="-49"/>
        </w:rPr>
        <w:t> </w:t>
      </w:r>
      <w:r>
        <w:rPr>
          <w:spacing w:val="-49"/>
        </w:rPr>
      </w:r>
      <w:r>
        <w:rPr/>
        <w:t>建造工程收入确认原则：</w:t>
      </w:r>
    </w:p>
    <w:p>
      <w:pPr>
        <w:pStyle w:val="Heading5"/>
        <w:spacing w:line="256" w:lineRule="auto" w:before="8"/>
        <w:ind w:left="573" w:right="1133"/>
        <w:jc w:val="left"/>
      </w:pPr>
      <w:r>
        <w:rPr/>
        <w:t>未完工结算建造工程的工程收入</w:t>
      </w:r>
      <w:r>
        <w:rPr>
          <w:rFonts w:ascii="Times New Roman" w:hAnsi="Times New Roman" w:cs="Times New Roman" w:eastAsia="Times New Roman" w:hint="default"/>
        </w:rPr>
        <w:t>=</w:t>
      </w:r>
      <w:r>
        <w:rPr/>
        <w:t>完工进度</w:t>
      </w:r>
      <w:r>
        <w:rPr>
          <w:rFonts w:ascii="Times New Roman" w:hAnsi="Times New Roman" w:cs="Times New Roman" w:eastAsia="Times New Roman" w:hint="default"/>
        </w:rPr>
        <w:t>×</w:t>
      </w:r>
      <w:r>
        <w:rPr/>
        <w:t>合同总收入－以前会计年度累计已确认的工程收入</w:t>
      </w:r>
      <w:r>
        <w:rPr>
          <w:w w:val="100"/>
        </w:rPr>
        <w:t> </w:t>
      </w:r>
      <w:r>
        <w:rPr/>
        <w:t>竣工未结算建造工程的工程收入</w:t>
      </w:r>
      <w:r>
        <w:rPr>
          <w:rFonts w:ascii="Times New Roman" w:hAnsi="Times New Roman" w:cs="Times New Roman" w:eastAsia="Times New Roman" w:hint="default"/>
        </w:rPr>
        <w:t>=90%×</w:t>
      </w:r>
      <w:r>
        <w:rPr/>
        <w:t>合同总收入－以前会计年度累计已确认的工程收入</w:t>
      </w:r>
      <w:r>
        <w:rPr>
          <w:w w:val="100"/>
        </w:rPr>
        <w:t> </w:t>
      </w:r>
      <w:r>
        <w:rPr>
          <w:spacing w:val="-2"/>
        </w:rPr>
        <w:t>已完工结算建造工程的工程收入</w:t>
      </w:r>
      <w:r>
        <w:rPr>
          <w:rFonts w:ascii="Times New Roman" w:hAnsi="Times New Roman" w:cs="Times New Roman" w:eastAsia="Times New Roman" w:hint="default"/>
          <w:spacing w:val="-2"/>
        </w:rPr>
        <w:t>=</w:t>
      </w:r>
      <w:r>
        <w:rPr>
          <w:spacing w:val="-2"/>
        </w:rPr>
        <w:t>结算收入（或已全额结算收入）－以前会计年度累计已确认的工程</w:t>
      </w:r>
    </w:p>
    <w:p>
      <w:pPr>
        <w:pStyle w:val="Heading5"/>
        <w:spacing w:line="240" w:lineRule="auto" w:before="5"/>
        <w:ind w:right="1133"/>
        <w:jc w:val="left"/>
      </w:pPr>
      <w:r>
        <w:rPr/>
        <w:t>收入</w:t>
      </w:r>
    </w:p>
    <w:p>
      <w:pPr>
        <w:pStyle w:val="Heading5"/>
        <w:spacing w:line="273" w:lineRule="auto" w:before="37"/>
        <w:ind w:right="1126" w:firstLine="420"/>
        <w:jc w:val="both"/>
      </w:pPr>
      <w:r>
        <w:rPr>
          <w:spacing w:val="-2"/>
        </w:rPr>
        <w:t>③如果建造合同的结果不能可靠地估计，且合同成本能够收回的，合同收入根据能够收回的实际合同</w:t>
      </w:r>
      <w:r>
        <w:rPr>
          <w:w w:val="100"/>
        </w:rPr>
        <w:t> </w:t>
      </w:r>
      <w:r>
        <w:rPr>
          <w:spacing w:val="-2"/>
        </w:rPr>
        <w:t>成本加以确认，合同成本在其发生的当期确认为合同费用；合同成本不能收回的，于发生时立即确认为费</w:t>
      </w:r>
      <w:r>
        <w:rPr>
          <w:spacing w:val="-44"/>
        </w:rPr>
        <w:t> </w:t>
      </w:r>
      <w:r>
        <w:rPr>
          <w:spacing w:val="-44"/>
        </w:rPr>
      </w:r>
      <w:r>
        <w:rPr/>
        <w:t>用，不确认收入。</w:t>
      </w:r>
    </w:p>
    <w:p>
      <w:pPr>
        <w:pStyle w:val="Heading5"/>
        <w:spacing w:line="240" w:lineRule="auto"/>
        <w:ind w:left="573" w:right="1133"/>
        <w:jc w:val="left"/>
      </w:pPr>
      <w:r>
        <w:rPr/>
        <w:t>④如果合同预计总成本将超过合同预计总收入，超过部分作为预计损失立即计入当期费用。</w:t>
      </w:r>
    </w:p>
    <w:p>
      <w:pPr>
        <w:pStyle w:val="Heading5"/>
        <w:spacing w:line="256" w:lineRule="auto" w:before="37"/>
        <w:ind w:left="573" w:right="1133"/>
        <w:jc w:val="left"/>
      </w:pPr>
      <w:r>
        <w:rPr/>
        <w:t>（</w:t>
      </w:r>
      <w:r>
        <w:rPr>
          <w:rFonts w:ascii="Times New Roman" w:hAnsi="Times New Roman" w:cs="Times New Roman" w:eastAsia="Times New Roman" w:hint="default"/>
        </w:rPr>
        <w:t>5</w:t>
      </w:r>
      <w:r>
        <w:rPr/>
        <w:t>）节能服务合同业务收入</w:t>
      </w:r>
      <w:r>
        <w:rPr>
          <w:w w:val="100"/>
        </w:rPr>
        <w:t> </w:t>
      </w:r>
      <w:r>
        <w:rPr>
          <w:spacing w:val="-2"/>
        </w:rPr>
        <w:t>节能服务合同业务基本情况：公司利用自身技术，通过为客户节约能源，获得节能分成来达到盈利目</w:t>
      </w:r>
    </w:p>
    <w:p>
      <w:pPr>
        <w:pStyle w:val="Heading5"/>
        <w:spacing w:line="268" w:lineRule="auto" w:before="22"/>
        <w:ind w:left="0" w:right="1107"/>
        <w:jc w:val="right"/>
      </w:pPr>
      <w:r>
        <w:rPr>
          <w:spacing w:val="-2"/>
        </w:rPr>
        <w:t>的；项目服务期通常为</w:t>
      </w:r>
      <w:r>
        <w:rPr>
          <w:rFonts w:ascii="Times New Roman" w:hAnsi="Times New Roman" w:cs="Times New Roman" w:eastAsia="Times New Roman" w:hint="default"/>
          <w:spacing w:val="-2"/>
        </w:rPr>
        <w:t>3-15</w:t>
      </w:r>
      <w:r>
        <w:rPr>
          <w:spacing w:val="-2"/>
        </w:rPr>
        <w:t>年；在经营过程中，公司为节能项目提供相应的设备；在经营期间，相应设备</w:t>
      </w:r>
      <w:r>
        <w:rPr>
          <w:spacing w:val="-73"/>
        </w:rPr>
        <w:t> </w:t>
      </w:r>
      <w:r>
        <w:rPr>
          <w:spacing w:val="-73"/>
        </w:rPr>
      </w:r>
      <w:r>
        <w:rPr>
          <w:spacing w:val="-2"/>
        </w:rPr>
        <w:t>由客户代为保管；在项目进行过程中，公司为客户提供相关节能的服务；在项目结束后，公司会将相应设</w:t>
      </w:r>
      <w:r>
        <w:rPr>
          <w:spacing w:val="-98"/>
        </w:rPr>
        <w:t> </w:t>
      </w:r>
      <w:r>
        <w:rPr>
          <w:spacing w:val="-98"/>
        </w:rPr>
      </w:r>
      <w:r>
        <w:rPr>
          <w:spacing w:val="-2"/>
        </w:rPr>
        <w:t>备转移给其客户，不再另行收费；在项目结束后，客户如需后续服务，公司会予以提供，但需另行收费。</w:t>
      </w:r>
      <w:r>
        <w:rPr>
          <w:spacing w:val="-46"/>
        </w:rPr>
        <w:t> </w:t>
      </w:r>
      <w:r>
        <w:rPr>
          <w:spacing w:val="-46"/>
        </w:rPr>
      </w:r>
      <w:r>
        <w:rPr>
          <w:spacing w:val="-2"/>
        </w:rPr>
        <w:t>节能服务合同业务收入在满足收入确认条件时按双方约定的节能效果来计算确定，公司用于节能项目</w:t>
      </w:r>
      <w:r>
        <w:rPr>
          <w:w w:val="100"/>
        </w:rPr>
        <w:t> </w:t>
      </w:r>
      <w:r>
        <w:rPr>
          <w:spacing w:val="-2"/>
        </w:rPr>
        <w:t>的设备作为固定资产处理，使用寿命按项目期确定，计提折旧的年限按项目主要受益期确定，计提的折旧</w:t>
      </w:r>
    </w:p>
    <w:p>
      <w:pPr>
        <w:pStyle w:val="Heading5"/>
        <w:spacing w:line="240" w:lineRule="auto" w:before="12"/>
        <w:ind w:right="1133"/>
        <w:jc w:val="left"/>
      </w:pPr>
      <w:r>
        <w:rPr/>
        <w:t>计入节能服务业务成本，与节能服务相关的费用计入当期费用。</w:t>
      </w:r>
    </w:p>
    <w:p>
      <w:pPr>
        <w:pStyle w:val="Heading5"/>
        <w:spacing w:line="256" w:lineRule="auto" w:before="78"/>
        <w:ind w:right="1133" w:firstLine="420"/>
        <w:jc w:val="left"/>
      </w:pPr>
      <w:r>
        <w:rPr/>
        <w:t>（</w:t>
      </w:r>
      <w:r>
        <w:rPr>
          <w:rFonts w:ascii="Times New Roman" w:hAnsi="Times New Roman" w:cs="Times New Roman" w:eastAsia="Times New Roman" w:hint="default"/>
        </w:rPr>
        <w:t>6</w:t>
      </w:r>
      <w:r>
        <w:rPr/>
        <w:t>）租赁收入：租赁服务费收入按照合同约定确认收入，租息收入以天为基数按照权责发生制原则</w:t>
      </w:r>
      <w:r>
        <w:rPr>
          <w:w w:val="100"/>
        </w:rPr>
        <w:t> </w:t>
      </w:r>
      <w:r>
        <w:rPr/>
        <w:t>计入当月收入。</w:t>
      </w:r>
    </w:p>
    <w:p>
      <w:pPr>
        <w:spacing w:line="240" w:lineRule="auto" w:before="6"/>
        <w:rPr>
          <w:rFonts w:ascii="宋体" w:hAnsi="宋体" w:cs="宋体" w:eastAsia="宋体" w:hint="default"/>
          <w:sz w:val="24"/>
          <w:szCs w:val="24"/>
        </w:rPr>
      </w:pPr>
    </w:p>
    <w:p>
      <w:pPr>
        <w:pStyle w:val="Heading4"/>
        <w:spacing w:line="240" w:lineRule="auto"/>
        <w:ind w:right="1133"/>
        <w:jc w:val="left"/>
        <w:rPr>
          <w:b w:val="0"/>
          <w:bCs w:val="0"/>
        </w:rPr>
      </w:pPr>
      <w:bookmarkStart w:name="30、政府补助" w:id="213"/>
      <w:bookmarkEnd w:id="213"/>
      <w:r>
        <w:rPr>
          <w:b w:val="0"/>
          <w:bCs w:val="0"/>
        </w:rPr>
      </w:r>
      <w:r>
        <w:rPr>
          <w:rFonts w:ascii="Times New Roman" w:hAnsi="Times New Roman" w:cs="Times New Roman" w:eastAsia="Times New Roman" w:hint="default"/>
        </w:rPr>
        <w:t>30</w:t>
      </w:r>
      <w:r>
        <w:rPr/>
        <w:t>、政府补助</w:t>
      </w:r>
      <w:r>
        <w:rPr>
          <w:b w:val="0"/>
          <w:bCs w:val="0"/>
        </w:rPr>
      </w:r>
    </w:p>
    <w:p>
      <w:pPr>
        <w:spacing w:line="240" w:lineRule="auto" w:before="10"/>
        <w:rPr>
          <w:rFonts w:ascii="宋体" w:hAnsi="宋体" w:cs="宋体" w:eastAsia="宋体" w:hint="default"/>
          <w:b/>
          <w:bCs/>
          <w:sz w:val="24"/>
          <w:szCs w:val="24"/>
        </w:rPr>
      </w:pPr>
    </w:p>
    <w:p>
      <w:pPr>
        <w:pStyle w:val="Heading5"/>
        <w:spacing w:line="268" w:lineRule="auto" w:before="0"/>
        <w:ind w:right="1133" w:firstLine="420"/>
        <w:jc w:val="left"/>
      </w:pPr>
      <w:r>
        <w:rPr>
          <w:spacing w:val="-2"/>
        </w:rPr>
        <w:t>政府补助是指本公司从政府无偿取得货币性资产和非货币性资产，不包括政府以投资者身份并享有相</w:t>
      </w:r>
      <w:r>
        <w:rPr>
          <w:w w:val="100"/>
        </w:rPr>
        <w:t> </w:t>
      </w:r>
      <w:r>
        <w:rPr>
          <w:spacing w:val="-2"/>
        </w:rPr>
        <w:t>应所有者权益而投入的资本。政府补助分为与资产相关的政府补助和与收益相关的政府补助。本公司将所</w:t>
      </w:r>
      <w:r>
        <w:rPr>
          <w:spacing w:val="-44"/>
        </w:rPr>
        <w:t> </w:t>
      </w:r>
      <w:r>
        <w:rPr>
          <w:spacing w:val="-44"/>
        </w:rPr>
      </w:r>
      <w:r>
        <w:rPr>
          <w:spacing w:val="-2"/>
        </w:rPr>
        <w:t>取得的用于购建或以其他方式形成长期资产的政府补助界定为与资产相关的政府补助；其余政府补助界定</w:t>
      </w:r>
      <w:r>
        <w:rPr>
          <w:spacing w:val="-43"/>
        </w:rPr>
        <w:t> </w:t>
      </w:r>
      <w:r>
        <w:rPr>
          <w:spacing w:val="-43"/>
        </w:rPr>
      </w:r>
      <w:r>
        <w:rPr>
          <w:spacing w:val="-2"/>
        </w:rPr>
        <w:t>为与收益相关的政府补助。若政府文件未明确规定补助对象，则采用以下方式将补助款划分为与收益相关</w:t>
      </w:r>
      <w:r>
        <w:rPr>
          <w:spacing w:val="-43"/>
        </w:rPr>
        <w:t> </w:t>
      </w:r>
      <w:r>
        <w:rPr>
          <w:spacing w:val="-43"/>
        </w:rPr>
      </w:r>
      <w:r>
        <w:rPr/>
        <w:t>的政府补助和与资产相关的政府补助：（</w:t>
      </w:r>
      <w:r>
        <w:rPr>
          <w:rFonts w:ascii="Times New Roman" w:hAnsi="Times New Roman" w:cs="Times New Roman" w:eastAsia="Times New Roman" w:hint="default"/>
        </w:rPr>
        <w:t>1</w:t>
      </w:r>
      <w:r>
        <w:rPr/>
        <w:t>）政府文件明确了补助所针对的特定项目的，根据该特定项目</w:t>
      </w:r>
      <w:r>
        <w:rPr>
          <w:w w:val="100"/>
        </w:rPr>
        <w:t> </w:t>
      </w:r>
      <w:r>
        <w:rPr>
          <w:spacing w:val="-2"/>
        </w:rPr>
        <w:t>的预算中将形成资产的支出金额和计入费用的支出金额的相对比例进行划分，对该划分比例需在每个资产</w:t>
      </w:r>
      <w:r>
        <w:rPr>
          <w:spacing w:val="-43"/>
        </w:rPr>
        <w:t> </w:t>
      </w:r>
      <w:r>
        <w:rPr>
          <w:spacing w:val="-43"/>
        </w:rPr>
      </w:r>
      <w:r>
        <w:rPr/>
        <w:t>负债表日进行复核，必要时进行变更；（</w:t>
      </w:r>
      <w:r>
        <w:rPr>
          <w:rFonts w:ascii="Times New Roman" w:hAnsi="Times New Roman" w:cs="Times New Roman" w:eastAsia="Times New Roman" w:hint="default"/>
        </w:rPr>
        <w:t>2</w:t>
      </w:r>
      <w:r>
        <w:rPr/>
        <w:t>）政府文件中对用途仅作一般性表述，没有指明特定项目的，</w:t>
      </w:r>
      <w:r>
        <w:rPr>
          <w:w w:val="100"/>
        </w:rPr>
        <w:t> </w:t>
      </w:r>
      <w:r>
        <w:rPr>
          <w:spacing w:val="-2"/>
        </w:rPr>
        <w:t>作为与收益相关的政府补助。政府补助为货币性资产的，按照收到或应收的金额计量。政府补助为非货币</w:t>
      </w:r>
      <w:r>
        <w:rPr>
          <w:spacing w:val="-44"/>
        </w:rPr>
        <w:t> </w:t>
      </w:r>
      <w:r>
        <w:rPr>
          <w:spacing w:val="-44"/>
        </w:rPr>
      </w:r>
      <w:r>
        <w:rPr>
          <w:spacing w:val="-2"/>
        </w:rPr>
        <w:t>性资产的，按照公允价值计量；公允价值不能够可靠取得的，按照名义金额计量。按照名义金额计量的政</w:t>
      </w:r>
      <w:r>
        <w:rPr>
          <w:spacing w:val="-50"/>
        </w:rPr>
        <w:t> </w:t>
      </w:r>
      <w:r>
        <w:rPr>
          <w:spacing w:val="-50"/>
        </w:rPr>
      </w:r>
      <w:r>
        <w:rPr/>
        <w:t>府补助，直接计入当期损益。</w:t>
      </w:r>
    </w:p>
    <w:p>
      <w:pPr>
        <w:pStyle w:val="Heading5"/>
        <w:spacing w:line="240" w:lineRule="auto" w:before="12"/>
        <w:ind w:left="573" w:right="0"/>
        <w:jc w:val="left"/>
      </w:pPr>
      <w:r>
        <w:rPr/>
        <w:t>本公司对于政府补助通常在实际收到时，按照实收金额予以确认和计量。但对于期末有确凿证据表明</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5"/>
        <w:spacing w:line="264" w:lineRule="auto" w:before="36"/>
        <w:ind w:right="1133"/>
        <w:jc w:val="left"/>
      </w:pPr>
      <w:r>
        <w:rPr>
          <w:spacing w:val="-2"/>
        </w:rPr>
        <w:t>能够符合财政扶持政策规定的相关条件预计能够收到财政扶持资金，按照应收的金额计量。按照应收金额</w:t>
      </w:r>
      <w:r>
        <w:rPr>
          <w:spacing w:val="-43"/>
        </w:rPr>
        <w:t> </w:t>
      </w:r>
      <w:r>
        <w:rPr>
          <w:spacing w:val="-43"/>
        </w:rPr>
      </w:r>
      <w:r>
        <w:rPr/>
        <w:t>计量的政府补助应同时符合以下条件：（</w:t>
      </w:r>
      <w:r>
        <w:rPr>
          <w:rFonts w:ascii="Times New Roman" w:hAnsi="Times New Roman" w:cs="Times New Roman" w:eastAsia="Times New Roman" w:hint="default"/>
        </w:rPr>
        <w:t>1</w:t>
      </w:r>
      <w:r>
        <w:rPr/>
        <w:t>）应收补助款的金额已经过有权政府部门发文确认，或者可根</w:t>
      </w:r>
      <w:r>
        <w:rPr>
          <w:w w:val="100"/>
        </w:rPr>
        <w:t> </w:t>
      </w:r>
      <w:r>
        <w:rPr/>
        <w:t>据正式发布的财政资金管理办法的有关规定自行合理测算，且预计其金额不存在重大不确定性；（</w:t>
      </w:r>
      <w:r>
        <w:rPr>
          <w:rFonts w:ascii="Times New Roman" w:hAnsi="Times New Roman" w:cs="Times New Roman" w:eastAsia="Times New Roman" w:hint="default"/>
        </w:rPr>
        <w:t>2</w:t>
      </w:r>
      <w:r>
        <w:rPr/>
        <w:t>）所</w:t>
      </w:r>
      <w:r>
        <w:rPr>
          <w:spacing w:val="-3"/>
          <w:w w:val="100"/>
        </w:rPr>
        <w:t> </w:t>
      </w:r>
      <w:r>
        <w:rPr>
          <w:spacing w:val="-2"/>
        </w:rPr>
        <w:t>依据的是当地财政部门正式发布并按照《政府信息公开条例》的规定予以主动公开的财政扶持项目及其财</w:t>
      </w:r>
      <w:r>
        <w:rPr>
          <w:spacing w:val="-43"/>
        </w:rPr>
        <w:t> </w:t>
      </w:r>
      <w:r>
        <w:rPr>
          <w:spacing w:val="-43"/>
        </w:rPr>
      </w:r>
      <w:r>
        <w:rPr>
          <w:spacing w:val="-2"/>
        </w:rPr>
        <w:t>政资金管理办法，且该管理办法应当是普惠性的（任何符合规定条件的企业均可申请），而不是专门针对</w:t>
      </w:r>
      <w:r>
        <w:rPr>
          <w:spacing w:val="-47"/>
        </w:rPr>
        <w:t> </w:t>
      </w:r>
      <w:r>
        <w:rPr>
          <w:spacing w:val="-47"/>
        </w:rPr>
      </w:r>
      <w:r>
        <w:rPr/>
        <w:t>特定企业制定的；（</w:t>
      </w:r>
      <w:r>
        <w:rPr>
          <w:rFonts w:ascii="Times New Roman" w:hAnsi="Times New Roman" w:cs="Times New Roman" w:eastAsia="Times New Roman" w:hint="default"/>
        </w:rPr>
        <w:t>3</w:t>
      </w:r>
      <w:r>
        <w:rPr/>
        <w:t>）相关的补助款批文中已明确承诺了拨付期限，且该款项的拨付是有相应财政预算</w:t>
      </w:r>
      <w:r>
        <w:rPr>
          <w:w w:val="100"/>
        </w:rPr>
        <w:t> </w:t>
      </w:r>
      <w:r>
        <w:rPr/>
        <w:t>作为保障的，因而可以合理保证其可在规定期限内收到；（</w:t>
      </w:r>
      <w:r>
        <w:rPr>
          <w:rFonts w:ascii="Times New Roman" w:hAnsi="Times New Roman" w:cs="Times New Roman" w:eastAsia="Times New Roman" w:hint="default"/>
        </w:rPr>
        <w:t>4</w:t>
      </w:r>
      <w:r>
        <w:rPr/>
        <w:t>）根据本公司和该补助事项的具体情况，应</w:t>
      </w:r>
      <w:r>
        <w:rPr>
          <w:w w:val="100"/>
        </w:rPr>
        <w:t> </w:t>
      </w:r>
      <w:r>
        <w:rPr/>
        <w:t>满足的其他相关条件（如有）。</w:t>
      </w:r>
    </w:p>
    <w:p>
      <w:pPr>
        <w:pStyle w:val="Heading5"/>
        <w:spacing w:line="273" w:lineRule="auto" w:before="16"/>
        <w:ind w:right="1126" w:firstLine="420"/>
        <w:jc w:val="both"/>
      </w:pPr>
      <w:r>
        <w:rPr>
          <w:spacing w:val="-2"/>
        </w:rPr>
        <w:t>与资产相关的政府补助，确认为递延收益，并在相关资产的使用寿命内按照合理、系统的方法分期计</w:t>
      </w:r>
      <w:r>
        <w:rPr>
          <w:w w:val="100"/>
        </w:rPr>
        <w:t> </w:t>
      </w:r>
      <w:r>
        <w:rPr>
          <w:spacing w:val="-2"/>
        </w:rPr>
        <w:t>入当期损益。与收益相关的政府补助，用于补偿以后期间的相关成本费用或损失的，确认为递延收益，并</w:t>
      </w:r>
      <w:r>
        <w:rPr>
          <w:spacing w:val="-47"/>
        </w:rPr>
        <w:t> </w:t>
      </w:r>
      <w:r>
        <w:rPr>
          <w:spacing w:val="-47"/>
        </w:rPr>
      </w:r>
      <w:r>
        <w:rPr>
          <w:spacing w:val="-2"/>
        </w:rPr>
        <w:t>在确认相关成本费用或损失的期间计入当期损益；用于补偿已经发生的相关成本费用或损失的，直接计入</w:t>
      </w:r>
      <w:r>
        <w:rPr>
          <w:spacing w:val="-42"/>
        </w:rPr>
        <w:t> </w:t>
      </w:r>
      <w:r>
        <w:rPr>
          <w:spacing w:val="-42"/>
        </w:rPr>
      </w:r>
      <w:r>
        <w:rPr/>
        <w:t>当期损益。</w:t>
      </w:r>
    </w:p>
    <w:p>
      <w:pPr>
        <w:pStyle w:val="Heading5"/>
        <w:spacing w:line="273" w:lineRule="auto" w:before="8"/>
        <w:ind w:right="1126" w:firstLine="420"/>
        <w:jc w:val="both"/>
      </w:pPr>
      <w:r>
        <w:rPr>
          <w:spacing w:val="-2"/>
        </w:rPr>
        <w:t>同时包含与资产相关部分和与收益相关部分的政府补助，区分不同部分分别进行会计处理；难以区分</w:t>
      </w:r>
      <w:r>
        <w:rPr>
          <w:w w:val="100"/>
        </w:rPr>
        <w:t> </w:t>
      </w:r>
      <w:r>
        <w:rPr/>
        <w:t>的，将其整体归类为与收益相关的政府补助。</w:t>
      </w:r>
    </w:p>
    <w:p>
      <w:pPr>
        <w:pStyle w:val="Heading5"/>
        <w:spacing w:line="273" w:lineRule="auto"/>
        <w:ind w:right="1126" w:firstLine="420"/>
        <w:jc w:val="both"/>
      </w:pPr>
      <w:r>
        <w:rPr>
          <w:spacing w:val="-2"/>
        </w:rPr>
        <w:t>与本公司日常活动相关的政府补助，按照经济业务的实质，计入其他收益或冲减相关成本费用；与日</w:t>
      </w:r>
      <w:r>
        <w:rPr>
          <w:w w:val="100"/>
        </w:rPr>
        <w:t> </w:t>
      </w:r>
      <w:r>
        <w:rPr/>
        <w:t>常活动无关的政府补助，计入营业外收支。</w:t>
      </w:r>
    </w:p>
    <w:p>
      <w:pPr>
        <w:pStyle w:val="Heading5"/>
        <w:spacing w:line="273" w:lineRule="auto" w:before="48"/>
        <w:ind w:right="1126" w:firstLine="420"/>
        <w:jc w:val="both"/>
      </w:pPr>
      <w:r>
        <w:rPr>
          <w:spacing w:val="-2"/>
        </w:rPr>
        <w:t>已确认的政府补助需要退回时，存在相关递延收益余额的，冲减相关递延收益账面余额，超出部分计</w:t>
      </w:r>
      <w:r>
        <w:rPr>
          <w:w w:val="100"/>
        </w:rPr>
        <w:t> </w:t>
      </w:r>
      <w:r>
        <w:rPr/>
        <w:t>入当期损益；属于其他情况的，直接计入当期损益。</w:t>
      </w:r>
    </w:p>
    <w:p>
      <w:pPr>
        <w:spacing w:line="240" w:lineRule="auto" w:before="4"/>
        <w:rPr>
          <w:rFonts w:ascii="宋体" w:hAnsi="宋体" w:cs="宋体" w:eastAsia="宋体" w:hint="default"/>
          <w:sz w:val="23"/>
          <w:szCs w:val="23"/>
        </w:rPr>
      </w:pPr>
    </w:p>
    <w:p>
      <w:pPr>
        <w:pStyle w:val="Heading4"/>
        <w:spacing w:line="240" w:lineRule="auto"/>
        <w:ind w:right="1133"/>
        <w:jc w:val="left"/>
        <w:rPr>
          <w:b w:val="0"/>
          <w:bCs w:val="0"/>
        </w:rPr>
      </w:pPr>
      <w:bookmarkStart w:name="31、递延所得税资产/递延所得税负债" w:id="214"/>
      <w:bookmarkEnd w:id="214"/>
      <w:r>
        <w:rPr>
          <w:b w:val="0"/>
          <w:bCs w:val="0"/>
        </w:rPr>
      </w:r>
      <w:r>
        <w:rPr>
          <w:rFonts w:ascii="Times New Roman" w:hAnsi="Times New Roman" w:cs="Times New Roman" w:eastAsia="Times New Roman" w:hint="default"/>
        </w:rPr>
        <w:t>31</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10"/>
        <w:rPr>
          <w:rFonts w:ascii="宋体" w:hAnsi="宋体" w:cs="宋体" w:eastAsia="宋体" w:hint="default"/>
          <w:b/>
          <w:bCs/>
          <w:sz w:val="24"/>
          <w:szCs w:val="24"/>
        </w:rPr>
      </w:pPr>
    </w:p>
    <w:p>
      <w:pPr>
        <w:pStyle w:val="Heading5"/>
        <w:spacing w:line="256" w:lineRule="auto" w:before="0"/>
        <w:ind w:left="573" w:right="1133"/>
        <w:jc w:val="left"/>
      </w:pPr>
      <w:r>
        <w:rPr/>
        <w:t>（</w:t>
      </w:r>
      <w:r>
        <w:rPr>
          <w:rFonts w:ascii="Times New Roman" w:hAnsi="Times New Roman" w:cs="Times New Roman" w:eastAsia="Times New Roman" w:hint="default"/>
        </w:rPr>
        <w:t>1</w:t>
      </w:r>
      <w:r>
        <w:rPr/>
        <w:t>）当期所得税</w:t>
      </w:r>
      <w:r>
        <w:rPr>
          <w:w w:val="100"/>
        </w:rPr>
        <w:t> </w:t>
      </w:r>
      <w:r>
        <w:rPr>
          <w:spacing w:val="-2"/>
        </w:rPr>
        <w:t>资产负债表日，对于当期和以前期间形成的当期所得税负债（或资产），以按照税法规定计算的预期</w:t>
      </w:r>
    </w:p>
    <w:p>
      <w:pPr>
        <w:pStyle w:val="Heading5"/>
        <w:spacing w:line="273" w:lineRule="auto" w:before="22"/>
        <w:ind w:right="1133"/>
        <w:jc w:val="left"/>
      </w:pPr>
      <w:r>
        <w:rPr>
          <w:spacing w:val="-2"/>
        </w:rPr>
        <w:t>应交纳（或返还）的所得税金额计量。计算当期所得税费用所依据的应纳税所得额系根据有关税法规定对</w:t>
      </w:r>
      <w:r>
        <w:rPr>
          <w:spacing w:val="-41"/>
        </w:rPr>
        <w:t> </w:t>
      </w:r>
      <w:r>
        <w:rPr>
          <w:spacing w:val="-41"/>
        </w:rPr>
      </w:r>
      <w:r>
        <w:rPr/>
        <w:t>本年度税前会计利润作相应调整后计算得出。</w:t>
      </w:r>
    </w:p>
    <w:p>
      <w:pPr>
        <w:pStyle w:val="Heading5"/>
        <w:spacing w:line="256" w:lineRule="auto"/>
        <w:ind w:left="573" w:right="1133"/>
        <w:jc w:val="left"/>
      </w:pPr>
      <w:r>
        <w:rPr/>
        <w:t>（</w:t>
      </w:r>
      <w:r>
        <w:rPr>
          <w:rFonts w:ascii="Times New Roman" w:hAnsi="Times New Roman" w:cs="Times New Roman" w:eastAsia="Times New Roman" w:hint="default"/>
        </w:rPr>
        <w:t>2</w:t>
      </w:r>
      <w:r>
        <w:rPr/>
        <w:t>）递延所得税资产及递延所得税负债</w:t>
      </w:r>
      <w:r>
        <w:rPr>
          <w:w w:val="100"/>
        </w:rPr>
        <w:t> </w:t>
      </w:r>
      <w:r>
        <w:rPr>
          <w:spacing w:val="-2"/>
        </w:rPr>
        <w:t>某些资产、负债项目的账面价值与其计税基础之间的差额，以及未作为资产和负债确认但按照税法规</w:t>
      </w:r>
    </w:p>
    <w:p>
      <w:pPr>
        <w:pStyle w:val="Heading5"/>
        <w:spacing w:line="273" w:lineRule="auto" w:before="22"/>
        <w:ind w:right="1133"/>
        <w:jc w:val="left"/>
      </w:pPr>
      <w:r>
        <w:rPr>
          <w:spacing w:val="-2"/>
        </w:rPr>
        <w:t>定可以确定其计税基础的项目的账面价值与计税基础之间的差额产生的暂时性差异，采用资产负债表债务</w:t>
      </w:r>
      <w:r>
        <w:rPr>
          <w:spacing w:val="-43"/>
        </w:rPr>
        <w:t> </w:t>
      </w:r>
      <w:r>
        <w:rPr>
          <w:spacing w:val="-43"/>
        </w:rPr>
      </w:r>
      <w:r>
        <w:rPr/>
        <w:t>法确认递延所得税资产及递延所得税负债。</w:t>
      </w:r>
    </w:p>
    <w:p>
      <w:pPr>
        <w:pStyle w:val="Heading5"/>
        <w:spacing w:line="273" w:lineRule="auto"/>
        <w:ind w:right="0" w:firstLine="420"/>
        <w:jc w:val="left"/>
      </w:pPr>
      <w:r>
        <w:rPr/>
        <w:t>与商誉的初始确认有关，以及与既不是企业合并、发生时也不影响会计利润和应纳税所得额（或可抵</w:t>
      </w:r>
      <w:r>
        <w:rPr>
          <w:w w:val="100"/>
        </w:rPr>
        <w:t> </w:t>
      </w:r>
      <w:r>
        <w:rPr>
          <w:spacing w:val="-2"/>
        </w:rPr>
        <w:t>扣亏损）的交易中产生的资产或负债的初始确认有关的应纳税暂时性差异，不予确认有关的递延所得税负</w:t>
      </w:r>
      <w:r>
        <w:rPr>
          <w:spacing w:val="-43"/>
        </w:rPr>
        <w:t> </w:t>
      </w:r>
      <w:r>
        <w:rPr>
          <w:spacing w:val="-43"/>
        </w:rPr>
      </w:r>
      <w:r>
        <w:rPr>
          <w:spacing w:val="-2"/>
        </w:rPr>
        <w:t>债。此外，对与子公司、联营企业及合营企业投资相关的应纳税暂时性差异，如果本公司能够控制暂时性</w:t>
      </w:r>
      <w:r>
        <w:rPr>
          <w:spacing w:val="-44"/>
        </w:rPr>
        <w:t> </w:t>
      </w:r>
      <w:r>
        <w:rPr>
          <w:spacing w:val="-44"/>
        </w:rPr>
      </w:r>
      <w:r>
        <w:rPr>
          <w:spacing w:val="-5"/>
        </w:rPr>
        <w:t>差异转回的时间，而且该暂时性差异在可预见的未来很可能不会转回，也不予确认有关的递延所得税负债。 </w:t>
      </w:r>
      <w:r>
        <w:rPr>
          <w:spacing w:val="-5"/>
        </w:rPr>
      </w:r>
      <w:r>
        <w:rPr/>
        <w:t>除上述例外情况，本公司确认其他所有应纳税暂时性差异产生的递延所得税负债。</w:t>
      </w:r>
    </w:p>
    <w:p>
      <w:pPr>
        <w:pStyle w:val="Heading5"/>
        <w:spacing w:line="273" w:lineRule="auto"/>
        <w:ind w:right="1126" w:firstLine="420"/>
        <w:jc w:val="both"/>
      </w:pPr>
      <w:r>
        <w:rPr>
          <w:spacing w:val="-2"/>
        </w:rPr>
        <w:t>与既不是企业合并、发生时也不影响会计利润和应纳税所得额（或可抵扣亏损）的交易中产生的资产</w:t>
      </w:r>
      <w:r>
        <w:rPr>
          <w:w w:val="100"/>
        </w:rPr>
        <w:t> </w:t>
      </w:r>
      <w:r>
        <w:rPr>
          <w:spacing w:val="-2"/>
        </w:rPr>
        <w:t>或负债的初始确认有关的可抵扣暂时性差异，不予确认有关的递延所得税资产。此外，对与子公司、联营</w:t>
      </w:r>
      <w:r>
        <w:rPr>
          <w:spacing w:val="-44"/>
        </w:rPr>
        <w:t> </w:t>
      </w:r>
      <w:r>
        <w:rPr>
          <w:spacing w:val="-44"/>
        </w:rPr>
      </w:r>
      <w:r>
        <w:rPr>
          <w:spacing w:val="-2"/>
        </w:rPr>
        <w:t>企业及合营企业投资相关的可抵扣暂时性差异，如果暂时性差异在可预见的未来不是很可能转回，或者未</w:t>
      </w:r>
      <w:r>
        <w:rPr>
          <w:spacing w:val="-43"/>
        </w:rPr>
        <w:t> </w:t>
      </w:r>
      <w:r>
        <w:rPr>
          <w:spacing w:val="-43"/>
        </w:rPr>
      </w:r>
      <w:r>
        <w:rPr>
          <w:spacing w:val="-2"/>
        </w:rPr>
        <w:t>来不是很可能获得用来抵扣可抵扣暂时性差异的应纳税所得额，不予确认有关的递延所得税资产。除上述</w:t>
      </w:r>
      <w:r>
        <w:rPr>
          <w:spacing w:val="-44"/>
        </w:rPr>
        <w:t> </w:t>
      </w:r>
      <w:r>
        <w:rPr>
          <w:spacing w:val="-44"/>
        </w:rPr>
      </w:r>
      <w:r>
        <w:rPr>
          <w:spacing w:val="-2"/>
        </w:rPr>
        <w:t>例外情况，本公司以很可能取得用来抵扣可抵扣暂时性差异的应纳税所得额为限，确认其他可抵扣暂时性</w:t>
      </w:r>
      <w:r>
        <w:rPr>
          <w:spacing w:val="-42"/>
        </w:rPr>
        <w:t> </w:t>
      </w:r>
      <w:r>
        <w:rPr>
          <w:spacing w:val="-42"/>
        </w:rPr>
      </w:r>
      <w:r>
        <w:rPr/>
        <w:t>差异产生的递延所得税资产。</w:t>
      </w:r>
    </w:p>
    <w:p>
      <w:pPr>
        <w:pStyle w:val="Heading5"/>
        <w:spacing w:line="273" w:lineRule="auto"/>
        <w:ind w:right="1126" w:firstLine="420"/>
        <w:jc w:val="both"/>
      </w:pPr>
      <w:r>
        <w:rPr>
          <w:spacing w:val="-2"/>
        </w:rPr>
        <w:t>对于能够结转以后年度的可抵扣亏损和税款抵减，以很可能获得用来抵扣可抵扣亏损和税款抵减的未</w:t>
      </w:r>
      <w:r>
        <w:rPr>
          <w:w w:val="100"/>
        </w:rPr>
        <w:t> </w:t>
      </w:r>
      <w:r>
        <w:rPr/>
        <w:t>来应纳税所得额为限，确认相应的递延所得税资产。</w:t>
      </w:r>
    </w:p>
    <w:p>
      <w:pPr>
        <w:pStyle w:val="Heading5"/>
        <w:spacing w:line="273" w:lineRule="auto"/>
        <w:ind w:right="1126" w:firstLine="420"/>
        <w:jc w:val="both"/>
      </w:pPr>
      <w:r>
        <w:rPr>
          <w:spacing w:val="-2"/>
        </w:rPr>
        <w:t>资产负债表日，对于递延所得税资产和递延所得税负债，根据税法规定，按照预期收回相关资产或清</w:t>
      </w:r>
      <w:r>
        <w:rPr>
          <w:w w:val="100"/>
        </w:rPr>
        <w:t> </w:t>
      </w:r>
      <w:r>
        <w:rPr/>
        <w:t>偿相关负债期间的适用税率计量。</w:t>
      </w:r>
    </w:p>
    <w:p>
      <w:pPr>
        <w:spacing w:after="0" w:line="273" w:lineRule="auto"/>
        <w:jc w:val="both"/>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5"/>
        <w:spacing w:line="273" w:lineRule="auto" w:before="36"/>
        <w:ind w:right="1126" w:firstLine="420"/>
        <w:jc w:val="both"/>
      </w:pPr>
      <w:r>
        <w:rPr>
          <w:spacing w:val="-2"/>
        </w:rPr>
        <w:t>于资产负债表日，对递延所得税资产的账面价值进行复核，如果未来很可能无法获得足够的应纳税所</w:t>
      </w:r>
      <w:r>
        <w:rPr>
          <w:w w:val="100"/>
        </w:rPr>
        <w:t> </w:t>
      </w:r>
      <w:r>
        <w:rPr>
          <w:spacing w:val="-2"/>
        </w:rPr>
        <w:t>得额用以抵扣递延所得税资产的利益，则减记递延所得税资产的账面价值。在很可能获得足够的应纳税所</w:t>
      </w:r>
      <w:r>
        <w:rPr>
          <w:spacing w:val="-43"/>
        </w:rPr>
        <w:t> </w:t>
      </w:r>
      <w:r>
        <w:rPr>
          <w:spacing w:val="-43"/>
        </w:rPr>
      </w:r>
      <w:r>
        <w:rPr/>
        <w:t>得额时，减记的金额予以转回。</w:t>
      </w:r>
    </w:p>
    <w:p>
      <w:pPr>
        <w:pStyle w:val="Heading5"/>
        <w:spacing w:line="256" w:lineRule="auto"/>
        <w:ind w:left="573" w:right="4994"/>
        <w:jc w:val="left"/>
      </w:pPr>
      <w:r>
        <w:rPr/>
        <w:t>（</w:t>
      </w:r>
      <w:r>
        <w:rPr>
          <w:rFonts w:ascii="Times New Roman" w:hAnsi="Times New Roman" w:cs="Times New Roman" w:eastAsia="Times New Roman" w:hint="default"/>
        </w:rPr>
        <w:t>3</w:t>
      </w:r>
      <w:r>
        <w:rPr/>
        <w:t>）所得税费用</w:t>
      </w:r>
      <w:r>
        <w:rPr>
          <w:w w:val="100"/>
        </w:rPr>
        <w:t> </w:t>
      </w:r>
      <w:r>
        <w:rPr>
          <w:spacing w:val="-2"/>
        </w:rPr>
        <w:t>所得税费用包括当期所得税和递延所得税。</w:t>
      </w:r>
    </w:p>
    <w:p>
      <w:pPr>
        <w:pStyle w:val="Heading5"/>
        <w:spacing w:line="273" w:lineRule="auto" w:before="22"/>
        <w:ind w:right="1133" w:firstLine="420"/>
        <w:jc w:val="left"/>
      </w:pPr>
      <w:r>
        <w:rPr/>
        <w:t>除确认为其他综合收益或直接计入股东权益的交易和事项相关的当期所得税和递延所得税计入其他</w:t>
      </w:r>
      <w:r>
        <w:rPr>
          <w:w w:val="100"/>
        </w:rPr>
        <w:t> </w:t>
      </w:r>
      <w:r>
        <w:rPr>
          <w:spacing w:val="-2"/>
        </w:rPr>
        <w:t>综合收益或股东权益，以及企业合并产生的递延所得税调整商誉的账面价值外，其余当期所得税和递延所</w:t>
      </w:r>
      <w:r>
        <w:rPr>
          <w:spacing w:val="-44"/>
        </w:rPr>
        <w:t> </w:t>
      </w:r>
      <w:r>
        <w:rPr>
          <w:spacing w:val="-44"/>
        </w:rPr>
      </w:r>
      <w:r>
        <w:rPr/>
        <w:t>得税费用或收益计入当期损益。</w:t>
      </w:r>
    </w:p>
    <w:p>
      <w:pPr>
        <w:spacing w:line="240" w:lineRule="auto" w:before="7"/>
        <w:rPr>
          <w:rFonts w:ascii="宋体" w:hAnsi="宋体" w:cs="宋体" w:eastAsia="宋体" w:hint="default"/>
          <w:sz w:val="23"/>
          <w:szCs w:val="23"/>
        </w:rPr>
      </w:pPr>
    </w:p>
    <w:p>
      <w:pPr>
        <w:pStyle w:val="Heading4"/>
        <w:spacing w:line="240" w:lineRule="auto"/>
        <w:ind w:right="0"/>
        <w:jc w:val="both"/>
        <w:rPr>
          <w:b w:val="0"/>
          <w:bCs w:val="0"/>
        </w:rPr>
      </w:pPr>
      <w:bookmarkStart w:name="32、租赁" w:id="215"/>
      <w:bookmarkEnd w:id="215"/>
      <w:r>
        <w:rPr>
          <w:b w:val="0"/>
          <w:bCs w:val="0"/>
        </w:rPr>
      </w:r>
      <w:r>
        <w:rPr>
          <w:rFonts w:ascii="Times New Roman" w:hAnsi="Times New Roman" w:cs="Times New Roman" w:eastAsia="Times New Roman" w:hint="default"/>
        </w:rPr>
        <w:t>32</w:t>
      </w:r>
      <w:r>
        <w:rPr/>
        <w:t>、租赁</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both"/>
        <w:rPr>
          <w:b w:val="0"/>
          <w:bCs w:val="0"/>
        </w:rPr>
      </w:pPr>
      <w:bookmarkStart w:name="（1）经营租赁的会计处理方法" w:id="216"/>
      <w:bookmarkEnd w:id="216"/>
      <w:r>
        <w:rPr>
          <w:b w:val="0"/>
          <w:bCs w:val="0"/>
        </w:rPr>
      </w:r>
      <w:r>
        <w:rPr/>
        <w:t>（</w:t>
      </w:r>
      <w:r>
        <w:rPr>
          <w:rFonts w:ascii="Times New Roman" w:hAnsi="Times New Roman" w:cs="Times New Roman" w:eastAsia="Times New Roman" w:hint="default"/>
        </w:rPr>
        <w:t>1</w:t>
      </w:r>
      <w:r>
        <w:rPr/>
        <w:t>）经营租赁的会计处理方法</w:t>
      </w:r>
      <w:r>
        <w:rPr>
          <w:b w:val="0"/>
          <w:bCs w:val="0"/>
        </w:rPr>
      </w:r>
    </w:p>
    <w:p>
      <w:pPr>
        <w:spacing w:line="240" w:lineRule="auto" w:before="8"/>
        <w:rPr>
          <w:rFonts w:ascii="宋体" w:hAnsi="宋体" w:cs="宋体" w:eastAsia="宋体" w:hint="default"/>
          <w:b/>
          <w:bCs/>
          <w:sz w:val="24"/>
          <w:szCs w:val="24"/>
        </w:rPr>
      </w:pPr>
    </w:p>
    <w:p>
      <w:pPr>
        <w:pStyle w:val="Heading5"/>
        <w:spacing w:line="273" w:lineRule="auto" w:before="0"/>
        <w:ind w:left="573" w:right="1133"/>
        <w:jc w:val="left"/>
      </w:pPr>
      <w:r>
        <w:rPr/>
        <w:t>①本公司作为承租人记录经营租赁业务</w:t>
      </w:r>
      <w:r>
        <w:rPr>
          <w:w w:val="100"/>
        </w:rPr>
        <w:t> </w:t>
      </w:r>
      <w:r>
        <w:rPr>
          <w:spacing w:val="-2"/>
        </w:rPr>
        <w:t>经营租赁的租金支出在租赁期内的各个期间按直线法计入相关资产成本或当期损益。初始直接费用计</w:t>
      </w:r>
    </w:p>
    <w:p>
      <w:pPr>
        <w:pStyle w:val="Heading5"/>
        <w:spacing w:line="240" w:lineRule="auto"/>
        <w:ind w:right="0"/>
        <w:jc w:val="both"/>
      </w:pPr>
      <w:r>
        <w:rPr/>
        <w:t>入当期损益。或有租金于实际发生时计入当期损益。</w:t>
      </w:r>
    </w:p>
    <w:p>
      <w:pPr>
        <w:pStyle w:val="Heading5"/>
        <w:spacing w:line="273" w:lineRule="auto" w:before="37"/>
        <w:ind w:left="573" w:right="1133"/>
        <w:jc w:val="left"/>
      </w:pPr>
      <w:r>
        <w:rPr/>
        <w:t>②本公司作为出租人记录经营租赁业务</w:t>
      </w:r>
      <w:r>
        <w:rPr>
          <w:w w:val="100"/>
        </w:rPr>
        <w:t> </w:t>
      </w:r>
      <w:r>
        <w:rPr>
          <w:spacing w:val="-2"/>
        </w:rPr>
        <w:t>经营租赁的租金收入在租赁期内的各个期间按直线法确认为当期损益。对金额较大的初始直接费用于</w:t>
      </w:r>
    </w:p>
    <w:p>
      <w:pPr>
        <w:pStyle w:val="Heading5"/>
        <w:spacing w:line="273" w:lineRule="auto"/>
        <w:ind w:right="1126"/>
        <w:jc w:val="both"/>
      </w:pPr>
      <w:r>
        <w:rPr>
          <w:spacing w:val="-2"/>
        </w:rPr>
        <w:t>发生时予以资本化，在整个租赁期间内按照与确认租金收入相同的基础分期计入当期损益；其他金额较小</w:t>
      </w:r>
      <w:r>
        <w:rPr>
          <w:spacing w:val="-42"/>
        </w:rPr>
        <w:t> </w:t>
      </w:r>
      <w:r>
        <w:rPr>
          <w:spacing w:val="-42"/>
        </w:rPr>
      </w:r>
      <w:r>
        <w:rPr/>
        <w:t>的初始直接费用于发生时计入当期损益。或有租金于实际发生时计入当期损益。</w:t>
      </w:r>
    </w:p>
    <w:p>
      <w:pPr>
        <w:spacing w:line="240" w:lineRule="auto" w:before="7"/>
        <w:rPr>
          <w:rFonts w:ascii="宋体" w:hAnsi="宋体" w:cs="宋体" w:eastAsia="宋体" w:hint="default"/>
          <w:sz w:val="23"/>
          <w:szCs w:val="23"/>
        </w:rPr>
      </w:pPr>
    </w:p>
    <w:p>
      <w:pPr>
        <w:pStyle w:val="Heading4"/>
        <w:spacing w:line="240" w:lineRule="auto"/>
        <w:ind w:right="0"/>
        <w:jc w:val="both"/>
        <w:rPr>
          <w:b w:val="0"/>
          <w:bCs w:val="0"/>
        </w:rPr>
      </w:pPr>
      <w:bookmarkStart w:name="（2）融资租赁的会计处理方法" w:id="217"/>
      <w:bookmarkEnd w:id="217"/>
      <w:r>
        <w:rPr>
          <w:b w:val="0"/>
          <w:bCs w:val="0"/>
        </w:rPr>
      </w:r>
      <w:r>
        <w:rPr/>
        <w:t>（</w:t>
      </w:r>
      <w:r>
        <w:rPr>
          <w:rFonts w:ascii="Times New Roman" w:hAnsi="Times New Roman" w:cs="Times New Roman" w:eastAsia="Times New Roman" w:hint="default"/>
        </w:rPr>
        <w:t>2</w:t>
      </w:r>
      <w:r>
        <w:rPr/>
        <w:t>）融资租赁的会计处理方法</w:t>
      </w:r>
      <w:r>
        <w:rPr>
          <w:b w:val="0"/>
          <w:bCs w:val="0"/>
        </w:rPr>
      </w:r>
    </w:p>
    <w:p>
      <w:pPr>
        <w:spacing w:line="240" w:lineRule="auto" w:before="10"/>
        <w:rPr>
          <w:rFonts w:ascii="宋体" w:hAnsi="宋体" w:cs="宋体" w:eastAsia="宋体" w:hint="default"/>
          <w:b/>
          <w:bCs/>
          <w:sz w:val="24"/>
          <w:szCs w:val="24"/>
        </w:rPr>
      </w:pPr>
    </w:p>
    <w:p>
      <w:pPr>
        <w:pStyle w:val="Heading5"/>
        <w:spacing w:line="273" w:lineRule="auto" w:before="0"/>
        <w:ind w:left="573" w:right="1133"/>
        <w:jc w:val="left"/>
      </w:pPr>
      <w:r>
        <w:rPr/>
        <w:t>①本公司作为承租人记录融资租赁业务</w:t>
      </w:r>
      <w:r>
        <w:rPr>
          <w:spacing w:val="-3"/>
          <w:w w:val="100"/>
        </w:rPr>
        <w:t> </w:t>
      </w:r>
      <w:r>
        <w:rPr>
          <w:spacing w:val="-2"/>
        </w:rPr>
        <w:t>于租赁期开始日，将租赁开始日租赁资产的公允价值与最低租赁付款额现值两者中较低者作为租入资</w:t>
      </w:r>
    </w:p>
    <w:p>
      <w:pPr>
        <w:pStyle w:val="Heading5"/>
        <w:spacing w:line="273" w:lineRule="auto"/>
        <w:ind w:right="1126"/>
        <w:jc w:val="both"/>
      </w:pPr>
      <w:r>
        <w:rPr>
          <w:spacing w:val="-2"/>
        </w:rPr>
        <w:t>产的入账价值，将最低租赁付款额作为长期应付款的入账价值，其差额作为未确认融资费用。此外，在租</w:t>
      </w:r>
      <w:r>
        <w:rPr>
          <w:spacing w:val="-47"/>
        </w:rPr>
        <w:t> </w:t>
      </w:r>
      <w:r>
        <w:rPr>
          <w:spacing w:val="-47"/>
        </w:rPr>
      </w:r>
      <w:r>
        <w:rPr>
          <w:spacing w:val="-2"/>
        </w:rPr>
        <w:t>赁谈判和签订租赁合同过程中发生的，可归属于租赁项目的初始直接费用也计入租入资产价值。最低租赁</w:t>
      </w:r>
      <w:r>
        <w:rPr>
          <w:spacing w:val="-43"/>
        </w:rPr>
        <w:t> </w:t>
      </w:r>
      <w:r>
        <w:rPr>
          <w:spacing w:val="-43"/>
        </w:rPr>
      </w:r>
      <w:r>
        <w:rPr/>
        <w:t>付款额扣除未确认融资费用后的余额分别长期负债和一年内到期的长期负债列示。</w:t>
      </w:r>
    </w:p>
    <w:p>
      <w:pPr>
        <w:pStyle w:val="Heading5"/>
        <w:spacing w:line="273" w:lineRule="auto"/>
        <w:ind w:right="1133" w:firstLine="420"/>
        <w:jc w:val="left"/>
      </w:pPr>
      <w:r>
        <w:rPr>
          <w:spacing w:val="-2"/>
        </w:rPr>
        <w:t>未确认融资费用在租赁期内采用实际利率法计算确认当期的融资费用。或有租金于实际发生时计入当</w:t>
      </w:r>
      <w:r>
        <w:rPr>
          <w:w w:val="100"/>
        </w:rPr>
        <w:t> </w:t>
      </w:r>
      <w:r>
        <w:rPr/>
        <w:t>期损益。</w:t>
      </w:r>
    </w:p>
    <w:p>
      <w:pPr>
        <w:pStyle w:val="Heading5"/>
        <w:spacing w:line="273" w:lineRule="auto"/>
        <w:ind w:left="573" w:right="1133"/>
        <w:jc w:val="left"/>
      </w:pPr>
      <w:r>
        <w:rPr/>
        <w:t>②本公司作为出租人记录融资租赁业务</w:t>
      </w:r>
      <w:r>
        <w:rPr>
          <w:w w:val="100"/>
        </w:rPr>
        <w:t> </w:t>
      </w:r>
      <w:r>
        <w:rPr>
          <w:spacing w:val="-2"/>
        </w:rPr>
        <w:t>于租赁期开始日，将租赁开始日最低租赁收款额与初始直接费用之和作为应收融资租赁款的入账价</w:t>
      </w:r>
    </w:p>
    <w:p>
      <w:pPr>
        <w:pStyle w:val="Heading5"/>
        <w:spacing w:line="273" w:lineRule="auto"/>
        <w:ind w:right="1126"/>
        <w:jc w:val="both"/>
      </w:pPr>
      <w:r>
        <w:rPr>
          <w:spacing w:val="-2"/>
        </w:rPr>
        <w:t>值，同时记录未担保余值；将最低租赁收款额、初始直接费用及未担保余值之和与其现值之和的差额确认</w:t>
      </w:r>
      <w:r>
        <w:rPr>
          <w:spacing w:val="-43"/>
        </w:rPr>
        <w:t> </w:t>
      </w:r>
      <w:r>
        <w:rPr>
          <w:spacing w:val="-43"/>
        </w:rPr>
      </w:r>
      <w:r>
        <w:rPr>
          <w:spacing w:val="-2"/>
        </w:rPr>
        <w:t>为未实现融资收益。应收融资租赁款扣除未实现融资收益后的余额分别长期债权和一年内到期的长期债权</w:t>
      </w:r>
      <w:r>
        <w:rPr>
          <w:spacing w:val="-43"/>
        </w:rPr>
        <w:t> </w:t>
      </w:r>
      <w:r>
        <w:rPr>
          <w:spacing w:val="-43"/>
        </w:rPr>
      </w:r>
      <w:r>
        <w:rPr/>
        <w:t>列示。</w:t>
      </w:r>
    </w:p>
    <w:p>
      <w:pPr>
        <w:pStyle w:val="Heading5"/>
        <w:spacing w:line="271" w:lineRule="auto" w:before="49"/>
        <w:ind w:right="1133" w:firstLine="420"/>
        <w:jc w:val="left"/>
      </w:pPr>
      <w:r>
        <w:rPr>
          <w:spacing w:val="-2"/>
        </w:rPr>
        <w:t>未实现融资收益在租赁期内采用实际利率法计算确认当期的融资收入。或有租金于实际发生时计入当</w:t>
      </w:r>
      <w:r>
        <w:rPr>
          <w:w w:val="100"/>
        </w:rPr>
        <w:t> </w:t>
      </w:r>
      <w:r>
        <w:rPr/>
        <w:t>期损益。</w:t>
      </w:r>
    </w:p>
    <w:p>
      <w:pPr>
        <w:spacing w:line="240" w:lineRule="auto" w:before="9"/>
        <w:rPr>
          <w:rFonts w:ascii="宋体" w:hAnsi="宋体" w:cs="宋体" w:eastAsia="宋体" w:hint="default"/>
          <w:sz w:val="23"/>
          <w:szCs w:val="23"/>
        </w:rPr>
      </w:pPr>
    </w:p>
    <w:p>
      <w:pPr>
        <w:pStyle w:val="Heading4"/>
        <w:spacing w:line="240" w:lineRule="auto"/>
        <w:ind w:right="0"/>
        <w:jc w:val="both"/>
        <w:rPr>
          <w:b w:val="0"/>
          <w:bCs w:val="0"/>
        </w:rPr>
      </w:pPr>
      <w:bookmarkStart w:name="33、其他重要的会计政策和会计估计" w:id="218"/>
      <w:bookmarkEnd w:id="218"/>
      <w:r>
        <w:rPr>
          <w:b w:val="0"/>
          <w:bCs w:val="0"/>
        </w:rPr>
      </w:r>
      <w:r>
        <w:rPr>
          <w:rFonts w:ascii="Times New Roman" w:hAnsi="Times New Roman" w:cs="Times New Roman" w:eastAsia="Times New Roman" w:hint="default"/>
        </w:rPr>
        <w:t>33</w:t>
      </w:r>
      <w:r>
        <w:rPr/>
        <w:t>、其他重要的会计政策和会计估计</w:t>
      </w:r>
      <w:r>
        <w:rPr>
          <w:b w:val="0"/>
          <w:bCs w:val="0"/>
        </w:rPr>
      </w:r>
    </w:p>
    <w:p>
      <w:pPr>
        <w:spacing w:line="240" w:lineRule="auto" w:before="10"/>
        <w:rPr>
          <w:rFonts w:ascii="宋体" w:hAnsi="宋体" w:cs="宋体" w:eastAsia="宋体" w:hint="default"/>
          <w:b/>
          <w:bCs/>
          <w:sz w:val="24"/>
          <w:szCs w:val="24"/>
        </w:rPr>
      </w:pPr>
    </w:p>
    <w:p>
      <w:pPr>
        <w:pStyle w:val="Heading5"/>
        <w:spacing w:line="256" w:lineRule="auto" w:before="0"/>
        <w:ind w:left="573" w:right="1133"/>
        <w:jc w:val="left"/>
      </w:pPr>
      <w:r>
        <w:rPr/>
        <w:t>（</w:t>
      </w:r>
      <w:r>
        <w:rPr>
          <w:rFonts w:ascii="Times New Roman" w:hAnsi="Times New Roman" w:cs="Times New Roman" w:eastAsia="Times New Roman" w:hint="default"/>
        </w:rPr>
        <w:t>1</w:t>
      </w:r>
      <w:r>
        <w:rPr/>
        <w:t>）终止经营</w:t>
      </w:r>
      <w:r>
        <w:rPr>
          <w:w w:val="100"/>
        </w:rPr>
        <w:t> </w:t>
      </w:r>
      <w:r>
        <w:rPr>
          <w:spacing w:val="-2"/>
        </w:rPr>
        <w:t>终止经营，是指满足下列条件之一的、能够单独区分且已被本公司处置或划分为持有待售类别的组成</w:t>
      </w:r>
    </w:p>
    <w:p>
      <w:pPr>
        <w:pStyle w:val="Heading5"/>
        <w:spacing w:line="273" w:lineRule="auto" w:before="22"/>
        <w:ind w:right="1126"/>
        <w:jc w:val="both"/>
      </w:pPr>
      <w:r>
        <w:rPr>
          <w:spacing w:val="-2"/>
        </w:rPr>
        <w:t>部分：①该组成部分代表一项独立的主要业务或一个单独的主要经营地区；②该组成部分是拟对一项独立</w:t>
      </w:r>
      <w:r>
        <w:rPr>
          <w:spacing w:val="-42"/>
        </w:rPr>
        <w:t> </w:t>
      </w:r>
      <w:r>
        <w:rPr>
          <w:spacing w:val="-42"/>
        </w:rPr>
      </w:r>
      <w:r>
        <w:rPr>
          <w:spacing w:val="-2"/>
        </w:rPr>
        <w:t>的主要业务或一个单独的主要经营地区进行处置的一项相关联计划的一部分；③该组成部分是专为了转售</w:t>
      </w:r>
    </w:p>
    <w:p>
      <w:pPr>
        <w:spacing w:after="0" w:line="273" w:lineRule="auto"/>
        <w:jc w:val="both"/>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5"/>
        <w:spacing w:line="273" w:lineRule="auto" w:before="36"/>
        <w:ind w:left="573" w:right="2654" w:hanging="421"/>
        <w:jc w:val="left"/>
      </w:pPr>
      <w:r>
        <w:rPr/>
        <w:t>而取得的子公司。</w:t>
      </w:r>
      <w:r>
        <w:rPr>
          <w:w w:val="100"/>
        </w:rPr>
        <w:t> </w:t>
      </w:r>
      <w:r>
        <w:rPr>
          <w:spacing w:val="-2"/>
        </w:rPr>
        <w:t>终止经营的会计处理方法参见本附注</w:t>
      </w:r>
      <w:r>
        <w:rPr>
          <w:rFonts w:ascii="Times New Roman" w:hAnsi="Times New Roman" w:cs="Times New Roman" w:eastAsia="Times New Roman" w:hint="default"/>
          <w:spacing w:val="-2"/>
        </w:rPr>
        <w:t>“</w:t>
      </w:r>
      <w:r>
        <w:rPr>
          <w:spacing w:val="-2"/>
        </w:rPr>
        <w:t>五、</w:t>
      </w:r>
      <w:r>
        <w:rPr>
          <w:rFonts w:ascii="Times New Roman" w:hAnsi="Times New Roman" w:cs="Times New Roman" w:eastAsia="Times New Roman" w:hint="default"/>
          <w:spacing w:val="-2"/>
        </w:rPr>
        <w:t>16</w:t>
      </w:r>
      <w:r>
        <w:rPr>
          <w:spacing w:val="-2"/>
        </w:rPr>
        <w:t>、持有待售资产</w:t>
      </w:r>
      <w:r>
        <w:rPr>
          <w:rFonts w:ascii="Times New Roman" w:hAnsi="Times New Roman" w:cs="Times New Roman" w:eastAsia="Times New Roman" w:hint="default"/>
          <w:spacing w:val="-2"/>
        </w:rPr>
        <w:t>”</w:t>
      </w:r>
      <w:r>
        <w:rPr>
          <w:spacing w:val="-2"/>
        </w:rPr>
        <w:t>相关描述。</w:t>
      </w:r>
    </w:p>
    <w:p>
      <w:pPr>
        <w:pStyle w:val="Heading5"/>
        <w:spacing w:line="256" w:lineRule="auto" w:before="0"/>
        <w:ind w:left="573" w:right="1133"/>
        <w:jc w:val="left"/>
      </w:pPr>
      <w:r>
        <w:rPr/>
        <w:t>（</w:t>
      </w:r>
      <w:r>
        <w:rPr>
          <w:rFonts w:ascii="Times New Roman" w:hAnsi="Times New Roman" w:cs="Times New Roman" w:eastAsia="Times New Roman" w:hint="default"/>
        </w:rPr>
        <w:t>2</w:t>
      </w:r>
      <w:r>
        <w:rPr/>
        <w:t>）回购股份</w:t>
      </w:r>
      <w:r>
        <w:rPr>
          <w:w w:val="100"/>
        </w:rPr>
        <w:t> </w:t>
      </w:r>
      <w:r>
        <w:rPr>
          <w:spacing w:val="-2"/>
        </w:rPr>
        <w:t>股份回购中支付的对价和交易费用减少股东权益，回购、转让或注销本公司股份时，不确认利得或损</w:t>
      </w:r>
    </w:p>
    <w:p>
      <w:pPr>
        <w:pStyle w:val="Heading5"/>
        <w:spacing w:line="240" w:lineRule="auto" w:before="22"/>
        <w:ind w:right="0"/>
        <w:jc w:val="both"/>
      </w:pPr>
      <w:r>
        <w:rPr/>
        <w:t>失。</w:t>
      </w:r>
    </w:p>
    <w:p>
      <w:pPr>
        <w:pStyle w:val="Heading5"/>
        <w:spacing w:line="273" w:lineRule="auto" w:before="37"/>
        <w:ind w:right="1126" w:firstLine="420"/>
        <w:jc w:val="both"/>
      </w:pPr>
      <w:r>
        <w:rPr>
          <w:spacing w:val="-2"/>
        </w:rPr>
        <w:t>转让库存股，按实际收到的金额与库存股账面金额的差额，计入资本公积，资本公积不足冲减的，冲</w:t>
      </w:r>
      <w:r>
        <w:rPr>
          <w:w w:val="100"/>
        </w:rPr>
        <w:t> </w:t>
      </w:r>
      <w:r>
        <w:rPr>
          <w:spacing w:val="-2"/>
        </w:rPr>
        <w:t>减盈余公积和未分配利润。注销库存股，按股票面值和注销股数减少股本，按注销库存股的账面余额与面</w:t>
      </w:r>
      <w:r>
        <w:rPr>
          <w:spacing w:val="-44"/>
        </w:rPr>
        <w:t> </w:t>
      </w:r>
      <w:r>
        <w:rPr>
          <w:spacing w:val="-44"/>
        </w:rPr>
      </w:r>
      <w:r>
        <w:rPr/>
        <w:t>值的差额，冲减资本公积，资本公积不足冲减的，冲减盈余公积和未分配利润。</w:t>
      </w:r>
    </w:p>
    <w:p>
      <w:pPr>
        <w:pStyle w:val="Heading5"/>
        <w:spacing w:line="273" w:lineRule="auto"/>
        <w:ind w:right="1126" w:firstLine="420"/>
        <w:jc w:val="both"/>
      </w:pPr>
      <w:r>
        <w:rPr>
          <w:spacing w:val="-2"/>
        </w:rPr>
        <w:t>本公司在运用会计政策过程中，由于经营活动内在的不确定性，本公司需要对无法准确计量的报表项</w:t>
      </w:r>
      <w:r>
        <w:rPr>
          <w:w w:val="100"/>
        </w:rPr>
        <w:t> </w:t>
      </w:r>
      <w:r>
        <w:rPr>
          <w:spacing w:val="-2"/>
        </w:rPr>
        <w:t>目的账面价值进行判断、估计和假设。这些判断、估计和假设是基于本公司管理层过去的历史经验，并在</w:t>
      </w:r>
      <w:r>
        <w:rPr>
          <w:spacing w:val="-47"/>
        </w:rPr>
        <w:t> </w:t>
      </w:r>
      <w:r>
        <w:rPr>
          <w:spacing w:val="-47"/>
        </w:rPr>
      </w:r>
      <w:r>
        <w:rPr>
          <w:spacing w:val="-2"/>
        </w:rPr>
        <w:t>考虑其他相关因素的基础上做出的。这些判断、估计和假设会影响收入、费用、资产和负债的报告金额以</w:t>
      </w:r>
      <w:r>
        <w:rPr>
          <w:spacing w:val="-47"/>
        </w:rPr>
        <w:t> </w:t>
      </w:r>
      <w:r>
        <w:rPr>
          <w:spacing w:val="-47"/>
        </w:rPr>
      </w:r>
      <w:r>
        <w:rPr>
          <w:spacing w:val="-2"/>
        </w:rPr>
        <w:t>及资产负债表日或有负债的披露。然而，这些估计的不确定性所导致的实际结果可能与本公司管理层当前</w:t>
      </w:r>
      <w:r>
        <w:rPr>
          <w:spacing w:val="-44"/>
        </w:rPr>
        <w:t> </w:t>
      </w:r>
      <w:r>
        <w:rPr>
          <w:spacing w:val="-44"/>
        </w:rPr>
      </w:r>
      <w:r>
        <w:rPr/>
        <w:t>的估计存在差异，进而造成对未来受影响的资产或负债的账面金额进行重大调整。</w:t>
      </w:r>
    </w:p>
    <w:p>
      <w:pPr>
        <w:pStyle w:val="Heading5"/>
        <w:spacing w:line="256" w:lineRule="auto"/>
        <w:ind w:left="573" w:right="1133"/>
        <w:jc w:val="left"/>
      </w:pPr>
      <w:r>
        <w:rPr/>
        <w:t>（</w:t>
      </w:r>
      <w:r>
        <w:rPr>
          <w:rFonts w:ascii="Times New Roman" w:hAnsi="Times New Roman" w:cs="Times New Roman" w:eastAsia="Times New Roman" w:hint="default"/>
        </w:rPr>
        <w:t>3</w:t>
      </w:r>
      <w:r>
        <w:rPr/>
        <w:t>）重大会计判断和估计</w:t>
      </w:r>
      <w:r>
        <w:rPr>
          <w:w w:val="100"/>
        </w:rPr>
        <w:t> </w:t>
      </w:r>
      <w:r>
        <w:rPr>
          <w:spacing w:val="-2"/>
        </w:rPr>
        <w:t>本公司对前述判断、估计和假设在持续经营的基础上进行定期复核，会计估计的变更仅影响变更当期</w:t>
      </w:r>
    </w:p>
    <w:p>
      <w:pPr>
        <w:pStyle w:val="Heading5"/>
        <w:spacing w:line="273" w:lineRule="auto" w:before="22"/>
        <w:ind w:right="1126"/>
        <w:jc w:val="both"/>
      </w:pPr>
      <w:r>
        <w:rPr>
          <w:spacing w:val="-2"/>
        </w:rPr>
        <w:t>的，其影响数在变更当期予以确认；既影响变更当期又影响未来期间的，其影响数在变更当期和未来期间</w:t>
      </w:r>
      <w:r>
        <w:rPr>
          <w:spacing w:val="-44"/>
        </w:rPr>
        <w:t> </w:t>
      </w:r>
      <w:r>
        <w:rPr>
          <w:spacing w:val="-44"/>
        </w:rPr>
      </w:r>
      <w:r>
        <w:rPr/>
        <w:t>予以确认。</w:t>
      </w:r>
    </w:p>
    <w:p>
      <w:pPr>
        <w:pStyle w:val="Heading5"/>
        <w:spacing w:line="240" w:lineRule="auto"/>
        <w:ind w:left="573" w:right="1133"/>
        <w:jc w:val="left"/>
      </w:pPr>
      <w:r>
        <w:rPr/>
        <w:t>于资产负债表日，本公司需对财务报表项目金额进行判断、估计和假设的重要领域如下：</w:t>
      </w:r>
    </w:p>
    <w:p>
      <w:pPr>
        <w:pStyle w:val="Heading5"/>
        <w:spacing w:line="256" w:lineRule="auto" w:before="37"/>
        <w:ind w:left="573" w:right="1133"/>
        <w:jc w:val="left"/>
      </w:pPr>
      <w:r>
        <w:rPr/>
        <w:t>①收入确认</w:t>
      </w:r>
      <w:r>
        <w:rPr>
          <w:rFonts w:ascii="Times New Roman" w:hAnsi="Times New Roman" w:cs="Times New Roman" w:eastAsia="Times New Roman" w:hint="default"/>
        </w:rPr>
        <w:t>——</w:t>
      </w:r>
      <w:r>
        <w:rPr/>
        <w:t>建造合同</w:t>
      </w:r>
      <w:r>
        <w:rPr>
          <w:w w:val="100"/>
        </w:rPr>
        <w:t> </w:t>
      </w:r>
      <w:r>
        <w:rPr>
          <w:spacing w:val="-2"/>
        </w:rPr>
        <w:t>在建造合同结果可以可靠估计时，本公司采用完工百分比法在资产负债表日确认合同收入。合同的完</w:t>
      </w:r>
    </w:p>
    <w:p>
      <w:pPr>
        <w:pStyle w:val="Heading5"/>
        <w:spacing w:line="256" w:lineRule="auto" w:before="22"/>
        <w:ind w:right="1128"/>
        <w:jc w:val="both"/>
      </w:pPr>
      <w:r>
        <w:rPr>
          <w:spacing w:val="-2"/>
        </w:rPr>
        <w:t>工百分比是依照本附注</w:t>
      </w:r>
      <w:r>
        <w:rPr>
          <w:rFonts w:ascii="Times New Roman" w:hAnsi="Times New Roman" w:cs="Times New Roman" w:eastAsia="Times New Roman" w:hint="default"/>
          <w:spacing w:val="-2"/>
        </w:rPr>
        <w:t>“</w:t>
      </w:r>
      <w:r>
        <w:rPr>
          <w:spacing w:val="-2"/>
        </w:rPr>
        <w:t>五、</w:t>
      </w:r>
      <w:r>
        <w:rPr>
          <w:rFonts w:ascii="Times New Roman" w:hAnsi="Times New Roman" w:cs="Times New Roman" w:eastAsia="Times New Roman" w:hint="default"/>
          <w:spacing w:val="-2"/>
        </w:rPr>
        <w:t>29</w:t>
      </w:r>
      <w:r>
        <w:rPr>
          <w:spacing w:val="-2"/>
        </w:rPr>
        <w:t>、收入</w:t>
      </w:r>
      <w:r>
        <w:rPr>
          <w:rFonts w:ascii="Times New Roman" w:hAnsi="Times New Roman" w:cs="Times New Roman" w:eastAsia="Times New Roman" w:hint="default"/>
          <w:spacing w:val="-2"/>
        </w:rPr>
        <w:t>”</w:t>
      </w:r>
      <w:r>
        <w:rPr>
          <w:spacing w:val="-2"/>
        </w:rPr>
        <w:t>所述方法进行确认的，在执行各该建造合同的各会计年度内累积计</w:t>
      </w:r>
      <w:r>
        <w:rPr>
          <w:spacing w:val="-20"/>
        </w:rPr>
        <w:t> </w:t>
      </w:r>
      <w:r>
        <w:rPr>
          <w:spacing w:val="-20"/>
        </w:rPr>
      </w:r>
      <w:r>
        <w:rPr/>
        <w:t>算。</w:t>
      </w:r>
    </w:p>
    <w:p>
      <w:pPr>
        <w:pStyle w:val="Heading5"/>
        <w:spacing w:line="273" w:lineRule="auto" w:before="22"/>
        <w:ind w:right="1126" w:firstLine="420"/>
        <w:jc w:val="both"/>
      </w:pPr>
      <w:r>
        <w:rPr>
          <w:spacing w:val="-3"/>
        </w:rPr>
        <w:t>在确定完工百分比、已发生的合同成本、预计合同总收入和总成本，以及合同可回收性时，需要作出</w:t>
      </w:r>
      <w:r>
        <w:rPr>
          <w:w w:val="100"/>
        </w:rPr>
        <w:t> </w:t>
      </w:r>
      <w:r>
        <w:rPr>
          <w:spacing w:val="-2"/>
        </w:rPr>
        <w:t>重大判断。预计合同总收入和总成本，以及合同执行结果的估计变更都可能对变更当期或以后期间的营业</w:t>
      </w:r>
      <w:r>
        <w:rPr>
          <w:spacing w:val="-43"/>
        </w:rPr>
        <w:t> </w:t>
      </w:r>
      <w:r>
        <w:rPr>
          <w:spacing w:val="-43"/>
        </w:rPr>
      </w:r>
      <w:r>
        <w:rPr/>
        <w:t>收入、营业成本，以及期间损益产生影响，且可能构成重大影响。</w:t>
      </w:r>
    </w:p>
    <w:p>
      <w:pPr>
        <w:pStyle w:val="Heading5"/>
        <w:spacing w:line="273" w:lineRule="auto"/>
        <w:ind w:left="573" w:right="1133"/>
        <w:jc w:val="left"/>
      </w:pPr>
      <w:r>
        <w:rPr/>
        <w:t>②坏账准备计提</w:t>
      </w:r>
      <w:r>
        <w:rPr>
          <w:spacing w:val="-103"/>
        </w:rPr>
        <w:t> </w:t>
      </w:r>
      <w:r>
        <w:rPr>
          <w:spacing w:val="-103"/>
        </w:rPr>
      </w:r>
      <w:r>
        <w:rPr>
          <w:spacing w:val="-2"/>
        </w:rPr>
        <w:t>本公司根据应收款项的会计政策，采用备抵法核算坏账损失。应收款项减值是基于评估应收款项的可</w:t>
      </w:r>
    </w:p>
    <w:p>
      <w:pPr>
        <w:pStyle w:val="Heading5"/>
        <w:spacing w:line="273" w:lineRule="auto"/>
        <w:ind w:right="1126"/>
        <w:jc w:val="both"/>
      </w:pPr>
      <w:r>
        <w:rPr>
          <w:spacing w:val="-2"/>
        </w:rPr>
        <w:t>收回性。鉴定应收款项减值要求管理层的判断和估计。实际的结果与原先估计的差异将在估计被改变的期</w:t>
      </w:r>
      <w:r>
        <w:rPr>
          <w:spacing w:val="-44"/>
        </w:rPr>
        <w:t> </w:t>
      </w:r>
      <w:r>
        <w:rPr>
          <w:spacing w:val="-44"/>
        </w:rPr>
      </w:r>
      <w:r>
        <w:rPr/>
        <w:t>间影响应收款项的账面价值及应收款项坏账准备的计提或转回。</w:t>
      </w:r>
    </w:p>
    <w:p>
      <w:pPr>
        <w:pStyle w:val="Heading5"/>
        <w:spacing w:line="273" w:lineRule="auto"/>
        <w:ind w:left="573" w:right="1133"/>
        <w:jc w:val="left"/>
      </w:pPr>
      <w:r>
        <w:rPr/>
        <w:t>③存货跌价准备</w:t>
      </w:r>
      <w:r>
        <w:rPr>
          <w:spacing w:val="-103"/>
        </w:rPr>
        <w:t> </w:t>
      </w:r>
      <w:r>
        <w:rPr>
          <w:spacing w:val="-103"/>
        </w:rPr>
      </w:r>
      <w:r>
        <w:rPr>
          <w:spacing w:val="-2"/>
        </w:rPr>
        <w:t>本公司根据存货会计政策，按照成本与可变现净值孰低计量，对成本高于可变现净值及陈旧和滞销的</w:t>
      </w:r>
    </w:p>
    <w:p>
      <w:pPr>
        <w:pStyle w:val="Heading5"/>
        <w:spacing w:line="273" w:lineRule="auto"/>
        <w:ind w:right="1126"/>
        <w:jc w:val="both"/>
      </w:pPr>
      <w:r>
        <w:rPr>
          <w:spacing w:val="-2"/>
        </w:rPr>
        <w:t>存货，计提存货跌价准备。存货减值至可变现净值是基于评估存货的可售性及其可变现净值。鉴定存货减</w:t>
      </w:r>
      <w:r>
        <w:rPr>
          <w:spacing w:val="-45"/>
        </w:rPr>
        <w:t> </w:t>
      </w:r>
      <w:r>
        <w:rPr>
          <w:spacing w:val="-45"/>
        </w:rPr>
      </w:r>
      <w:r>
        <w:rPr>
          <w:spacing w:val="-2"/>
        </w:rPr>
        <w:t>值要求管理层在取得确凿证据，并且考虑持有存货的目的、资产负债表日后事项的影响等因素的基础上作</w:t>
      </w:r>
      <w:r>
        <w:rPr>
          <w:spacing w:val="-43"/>
        </w:rPr>
        <w:t> </w:t>
      </w:r>
      <w:r>
        <w:rPr>
          <w:spacing w:val="-43"/>
        </w:rPr>
      </w:r>
      <w:r>
        <w:rPr>
          <w:spacing w:val="-2"/>
        </w:rPr>
        <w:t>出判断和估计。实际的结果与原先估计的差异将在估计被改变的期间影响存货的账面价值及存货跌价准备</w:t>
      </w:r>
      <w:r>
        <w:rPr>
          <w:spacing w:val="-43"/>
        </w:rPr>
        <w:t> </w:t>
      </w:r>
      <w:r>
        <w:rPr>
          <w:spacing w:val="-43"/>
        </w:rPr>
      </w:r>
      <w:r>
        <w:rPr/>
        <w:t>的计提或转回。</w:t>
      </w:r>
    </w:p>
    <w:p>
      <w:pPr>
        <w:pStyle w:val="Heading5"/>
        <w:spacing w:line="273" w:lineRule="auto" w:before="8"/>
        <w:ind w:left="573" w:right="1133"/>
        <w:jc w:val="left"/>
      </w:pPr>
      <w:r>
        <w:rPr/>
        <w:t>④长期资产减值准备</w:t>
      </w:r>
      <w:r>
        <w:rPr>
          <w:w w:val="100"/>
        </w:rPr>
        <w:t> </w:t>
      </w:r>
      <w:r>
        <w:rPr>
          <w:spacing w:val="-2"/>
        </w:rPr>
        <w:t>本公司于资产负债表日对除金融资产之外的非流动资产判断是否存在可能发生减值的迹象。对使用寿</w:t>
      </w:r>
    </w:p>
    <w:p>
      <w:pPr>
        <w:pStyle w:val="Heading5"/>
        <w:spacing w:line="273" w:lineRule="auto"/>
        <w:ind w:right="1131"/>
        <w:jc w:val="both"/>
      </w:pPr>
      <w:r>
        <w:rPr>
          <w:spacing w:val="-2"/>
        </w:rPr>
        <w:t>命不确定的无形资产，除每年进行的减值测试外，当其存在减值迹象时，也进行减值测试。其他除金融资</w:t>
      </w:r>
      <w:r>
        <w:rPr>
          <w:spacing w:val="-50"/>
        </w:rPr>
        <w:t> </w:t>
      </w:r>
      <w:r>
        <w:rPr>
          <w:spacing w:val="-50"/>
        </w:rPr>
      </w:r>
      <w:r>
        <w:rPr/>
        <w:t>产之外的非流动资产，当存在迹象表明其账面金额不可收回时，进行减值测试。</w:t>
      </w:r>
    </w:p>
    <w:p>
      <w:pPr>
        <w:pStyle w:val="Heading5"/>
        <w:spacing w:line="273" w:lineRule="auto"/>
        <w:ind w:right="1126" w:firstLine="420"/>
        <w:jc w:val="both"/>
      </w:pPr>
      <w:r>
        <w:rPr>
          <w:spacing w:val="-2"/>
        </w:rPr>
        <w:t>当资产或资产组的账面价值高于可收回金额，即公允价值减去处置费用后的净额和预计未来现金流量</w:t>
      </w:r>
      <w:r>
        <w:rPr>
          <w:w w:val="100"/>
        </w:rPr>
        <w:t> </w:t>
      </w:r>
      <w:r>
        <w:rPr/>
        <w:t>的现值中的较高者，表明发生了减值。</w:t>
      </w:r>
    </w:p>
    <w:p>
      <w:pPr>
        <w:pStyle w:val="Heading5"/>
        <w:spacing w:line="273" w:lineRule="auto"/>
        <w:ind w:right="1104" w:firstLine="420"/>
        <w:jc w:val="both"/>
      </w:pPr>
      <w:r>
        <w:rPr>
          <w:spacing w:val="-2"/>
        </w:rPr>
        <w:t>公允价值减去处置费用后的净额，参考公平交易中类似资产的销售协议价格或可观察到的市场价格，</w:t>
      </w:r>
      <w:r>
        <w:rPr>
          <w:w w:val="100"/>
        </w:rPr>
        <w:t> </w:t>
      </w:r>
      <w:r>
        <w:rPr/>
        <w:t>减去可直接归属于该资产处置的增量成本确定。</w:t>
      </w:r>
    </w:p>
    <w:p>
      <w:pPr>
        <w:pStyle w:val="Heading5"/>
        <w:spacing w:line="240" w:lineRule="auto"/>
        <w:ind w:left="573" w:right="0"/>
        <w:jc w:val="left"/>
      </w:pPr>
      <w:r>
        <w:rPr/>
        <w:t>在预计未来现金流量现值时，需要对该资产（或资产组）的产量、售价、相关经营成本以及计算现值</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5"/>
        <w:spacing w:line="273" w:lineRule="auto" w:before="36"/>
        <w:ind w:right="1126"/>
        <w:jc w:val="both"/>
      </w:pPr>
      <w:r>
        <w:rPr>
          <w:spacing w:val="-2"/>
        </w:rPr>
        <w:t>时使用的折现率等作出重大判断。本公司在估计可收回金额时会采用所有能够获得的相关资料，包括根据</w:t>
      </w:r>
      <w:r>
        <w:rPr>
          <w:spacing w:val="-43"/>
        </w:rPr>
        <w:t> </w:t>
      </w:r>
      <w:r>
        <w:rPr>
          <w:spacing w:val="-43"/>
        </w:rPr>
      </w:r>
      <w:r>
        <w:rPr/>
        <w:t>合理和可支持的假设所作出有关产量、售价和相关经营成本的预测。</w:t>
      </w:r>
    </w:p>
    <w:p>
      <w:pPr>
        <w:pStyle w:val="Heading5"/>
        <w:spacing w:line="273" w:lineRule="auto"/>
        <w:ind w:right="1126" w:firstLine="420"/>
        <w:jc w:val="both"/>
      </w:pPr>
      <w:r>
        <w:rPr>
          <w:spacing w:val="-2"/>
        </w:rPr>
        <w:t>本公司至少每年测试商誉是否发生减值。这要求对分配了商誉的资产组或者资产组组合的未来现金流</w:t>
      </w:r>
      <w:r>
        <w:rPr>
          <w:w w:val="100"/>
        </w:rPr>
        <w:t> </w:t>
      </w:r>
      <w:r>
        <w:rPr>
          <w:spacing w:val="-2"/>
        </w:rPr>
        <w:t>量的现值进行预计。对未来现金流量的现值进行预计时，本公司需要预计未来资产组或者资产组组合产生</w:t>
      </w:r>
      <w:r>
        <w:rPr>
          <w:spacing w:val="-42"/>
        </w:rPr>
        <w:t> </w:t>
      </w:r>
      <w:r>
        <w:rPr>
          <w:spacing w:val="-42"/>
        </w:rPr>
      </w:r>
      <w:r>
        <w:rPr/>
        <w:t>的现金流量，同时选择恰当的折现率确定未来现金流量的现值。</w:t>
      </w:r>
    </w:p>
    <w:p>
      <w:pPr>
        <w:pStyle w:val="Heading5"/>
        <w:spacing w:line="273" w:lineRule="auto"/>
        <w:ind w:left="573" w:right="1133"/>
        <w:jc w:val="left"/>
      </w:pPr>
      <w:r>
        <w:rPr/>
        <w:t>⑤折旧和摊销</w:t>
      </w:r>
      <w:r>
        <w:rPr>
          <w:w w:val="100"/>
        </w:rPr>
        <w:t> </w:t>
      </w:r>
      <w:r>
        <w:rPr>
          <w:spacing w:val="-2"/>
        </w:rPr>
        <w:t>本公司对投资性房地产、固定资产和无形资产在考虑其残值后，在使用寿命内按直线法计提折旧和摊</w:t>
      </w:r>
    </w:p>
    <w:p>
      <w:pPr>
        <w:pStyle w:val="Heading5"/>
        <w:spacing w:line="273" w:lineRule="auto"/>
        <w:ind w:right="1126"/>
        <w:jc w:val="both"/>
      </w:pPr>
      <w:r>
        <w:rPr>
          <w:spacing w:val="-2"/>
        </w:rPr>
        <w:t>销。本公司定期复核使用寿命，以决定将计入每个报告期的折旧和摊销费用数额。使用寿命是本公司根据</w:t>
      </w:r>
      <w:r>
        <w:rPr>
          <w:spacing w:val="-44"/>
        </w:rPr>
        <w:t> </w:t>
      </w:r>
      <w:r>
        <w:rPr>
          <w:spacing w:val="-44"/>
        </w:rPr>
      </w:r>
      <w:r>
        <w:rPr>
          <w:spacing w:val="-2"/>
        </w:rPr>
        <w:t>对同类资产的以往经验并结合预期的技术更新而确定的。如果以前的估计发生重大变化，则会在未来期间</w:t>
      </w:r>
      <w:r>
        <w:rPr>
          <w:spacing w:val="-43"/>
        </w:rPr>
        <w:t> </w:t>
      </w:r>
      <w:r>
        <w:rPr>
          <w:spacing w:val="-43"/>
        </w:rPr>
      </w:r>
      <w:r>
        <w:rPr/>
        <w:t>对折旧和摊销费用进行调整。</w:t>
      </w:r>
    </w:p>
    <w:p>
      <w:pPr>
        <w:pStyle w:val="Heading5"/>
        <w:spacing w:line="273" w:lineRule="auto"/>
        <w:ind w:left="573" w:right="1133"/>
        <w:jc w:val="left"/>
      </w:pPr>
      <w:r>
        <w:rPr/>
        <w:t>⑥开发支出</w:t>
      </w:r>
      <w:r>
        <w:rPr>
          <w:spacing w:val="-102"/>
        </w:rPr>
        <w:t> </w:t>
      </w:r>
      <w:r>
        <w:rPr>
          <w:spacing w:val="-102"/>
        </w:rPr>
      </w:r>
      <w:r>
        <w:rPr>
          <w:spacing w:val="-2"/>
        </w:rPr>
        <w:t>确定资本化的金额时，本公司管理层需要作出有关资产的预计未来现金流量、适用的折现率以及预计</w:t>
      </w:r>
    </w:p>
    <w:p>
      <w:pPr>
        <w:pStyle w:val="Heading5"/>
        <w:spacing w:line="273" w:lineRule="auto" w:before="8"/>
        <w:ind w:left="573" w:right="1133" w:hanging="421"/>
        <w:jc w:val="left"/>
      </w:pPr>
      <w:r>
        <w:rPr/>
        <w:t>受益期间的假设。</w:t>
      </w:r>
      <w:r>
        <w:rPr>
          <w:w w:val="100"/>
        </w:rPr>
        <w:t> </w:t>
      </w:r>
      <w:r>
        <w:rPr>
          <w:spacing w:val="-2"/>
        </w:rPr>
        <w:t>本公司自行开发的无形资产，管理层认为该业务的前景和目前的发展良好，市场对以该无形资产生产</w:t>
      </w:r>
    </w:p>
    <w:p>
      <w:pPr>
        <w:pStyle w:val="Heading5"/>
        <w:spacing w:line="273" w:lineRule="auto"/>
        <w:ind w:right="1126"/>
        <w:jc w:val="both"/>
      </w:pPr>
      <w:r>
        <w:rPr>
          <w:spacing w:val="-2"/>
        </w:rPr>
        <w:t>的产品的反应也证实了管理层之前对这一项目预期收入的估计。但是日益增加的竞争也使得管理层重新考</w:t>
      </w:r>
      <w:r>
        <w:rPr>
          <w:spacing w:val="-43"/>
        </w:rPr>
        <w:t> </w:t>
      </w:r>
      <w:r>
        <w:rPr>
          <w:spacing w:val="-43"/>
        </w:rPr>
      </w:r>
      <w:r>
        <w:rPr>
          <w:spacing w:val="-2"/>
        </w:rPr>
        <w:t>虑对市场份额和有关产品的预计毛利等方面的假设。经过全面的检视后，本公司管理层认为即使在产品回</w:t>
      </w:r>
      <w:r>
        <w:rPr>
          <w:spacing w:val="-43"/>
        </w:rPr>
        <w:t> </w:t>
      </w:r>
      <w:r>
        <w:rPr>
          <w:spacing w:val="-43"/>
        </w:rPr>
      </w:r>
      <w:r>
        <w:rPr>
          <w:spacing w:val="-2"/>
        </w:rPr>
        <w:t>报率出现下调的情况下，仍可以全额收回该无形资产账面价值。本公司将继续密切检视有关情况，一旦有</w:t>
      </w:r>
      <w:r>
        <w:rPr>
          <w:spacing w:val="-43"/>
        </w:rPr>
        <w:t> </w:t>
      </w:r>
      <w:r>
        <w:rPr>
          <w:spacing w:val="-43"/>
        </w:rPr>
      </w:r>
      <w:r>
        <w:rPr/>
        <w:t>迹象表明需要调整相关会计估计的假设，本公司将在有关迹象发生的期间作出调整。</w:t>
      </w:r>
    </w:p>
    <w:p>
      <w:pPr>
        <w:spacing w:line="240" w:lineRule="auto" w:before="7"/>
        <w:rPr>
          <w:rFonts w:ascii="宋体" w:hAnsi="宋体" w:cs="宋体" w:eastAsia="宋体" w:hint="default"/>
          <w:sz w:val="23"/>
          <w:szCs w:val="23"/>
        </w:rPr>
      </w:pPr>
    </w:p>
    <w:p>
      <w:pPr>
        <w:pStyle w:val="Heading4"/>
        <w:spacing w:line="240" w:lineRule="auto"/>
        <w:ind w:right="0"/>
        <w:jc w:val="both"/>
        <w:rPr>
          <w:b w:val="0"/>
          <w:bCs w:val="0"/>
        </w:rPr>
      </w:pPr>
      <w:bookmarkStart w:name="34、重要会计政策和会计估计变更" w:id="219"/>
      <w:bookmarkEnd w:id="219"/>
      <w:r>
        <w:rPr>
          <w:b w:val="0"/>
          <w:bCs w:val="0"/>
        </w:rPr>
      </w:r>
      <w:r>
        <w:rPr>
          <w:rFonts w:ascii="Times New Roman" w:hAnsi="Times New Roman" w:cs="Times New Roman" w:eastAsia="Times New Roman" w:hint="default"/>
        </w:rPr>
        <w:t>34</w:t>
      </w:r>
      <w:r>
        <w:rPr/>
        <w:t>、重要会计政策和会计估计变更</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both"/>
        <w:rPr>
          <w:b w:val="0"/>
          <w:bCs w:val="0"/>
        </w:rPr>
      </w:pPr>
      <w:bookmarkStart w:name="（1）重要会计政策变更" w:id="220"/>
      <w:bookmarkEnd w:id="220"/>
      <w:r>
        <w:rPr>
          <w:b w:val="0"/>
          <w:bCs w:val="0"/>
        </w:rPr>
      </w:r>
      <w:r>
        <w:rPr/>
        <w:t>（</w:t>
      </w:r>
      <w:r>
        <w:rPr>
          <w:rFonts w:ascii="Times New Roman" w:hAnsi="Times New Roman" w:cs="Times New Roman" w:eastAsia="Times New Roman" w:hint="default"/>
        </w:rPr>
        <w:t>1</w:t>
      </w:r>
      <w:r>
        <w:rPr/>
        <w:t>）重要会计政策变更</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93"/>
        <w:gridCol w:w="3188"/>
        <w:gridCol w:w="3190"/>
      </w:tblGrid>
      <w:tr>
        <w:trPr>
          <w:trHeight w:val="401" w:hRule="exact"/>
        </w:trPr>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11"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审批程序</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5979" w:hRule="exact"/>
        </w:trPr>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49"/>
              <w:ind w:left="24" w:right="20"/>
              <w:jc w:val="left"/>
              <w:rPr>
                <w:rFonts w:ascii="宋体" w:hAnsi="宋体" w:cs="宋体" w:eastAsia="宋体" w:hint="default"/>
                <w:sz w:val="18"/>
                <w:szCs w:val="18"/>
              </w:rPr>
            </w:pPr>
            <w:r>
              <w:rPr>
                <w:rFonts w:ascii="宋体" w:hAnsi="宋体" w:cs="宋体" w:eastAsia="宋体" w:hint="default"/>
                <w:sz w:val="18"/>
                <w:szCs w:val="18"/>
              </w:rPr>
              <w:t>公司自</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日起开始执行财政 部发布的新金融工具准则及通知。新金 </w:t>
            </w:r>
            <w:r>
              <w:rPr>
                <w:rFonts w:ascii="宋体" w:hAnsi="宋体" w:cs="宋体" w:eastAsia="宋体" w:hint="default"/>
                <w:spacing w:val="-1"/>
                <w:sz w:val="18"/>
                <w:szCs w:val="18"/>
              </w:rPr>
              <w:t>融工具准则修订内容主要包括：</w:t>
            </w: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、以企</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业持有金融资产的</w:t>
            </w:r>
            <w:r>
              <w:rPr>
                <w:rFonts w:ascii="Times New Roman" w:hAnsi="Times New Roman" w:cs="Times New Roman" w:eastAsia="Times New Roman" w:hint="default"/>
                <w:sz w:val="18"/>
                <w:szCs w:val="18"/>
              </w:rPr>
              <w:t>"</w:t>
            </w:r>
            <w:r>
              <w:rPr>
                <w:rFonts w:ascii="宋体" w:hAnsi="宋体" w:cs="宋体" w:eastAsia="宋体" w:hint="default"/>
                <w:sz w:val="18"/>
                <w:szCs w:val="18"/>
              </w:rPr>
              <w:t>业务模式</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金融资 产合同现金流量特征</w:t>
            </w:r>
            <w:r>
              <w:rPr>
                <w:rFonts w:ascii="Times New Roman" w:hAnsi="Times New Roman" w:cs="Times New Roman" w:eastAsia="Times New Roman" w:hint="default"/>
                <w:sz w:val="18"/>
                <w:szCs w:val="18"/>
              </w:rPr>
              <w:t>"</w:t>
            </w:r>
            <w:r>
              <w:rPr>
                <w:rFonts w:ascii="宋体" w:hAnsi="宋体" w:cs="宋体" w:eastAsia="宋体" w:hint="default"/>
                <w:sz w:val="18"/>
                <w:szCs w:val="18"/>
              </w:rPr>
              <w:t>作为金融资产分类 的判断依据，将金融资产分类为</w:t>
            </w:r>
            <w:r>
              <w:rPr>
                <w:rFonts w:ascii="Times New Roman" w:hAnsi="Times New Roman" w:cs="Times New Roman" w:eastAsia="Times New Roman" w:hint="default"/>
                <w:sz w:val="18"/>
                <w:szCs w:val="18"/>
              </w:rPr>
              <w:t>"</w:t>
            </w:r>
            <w:r>
              <w:rPr>
                <w:rFonts w:ascii="宋体" w:hAnsi="宋体" w:cs="宋体" w:eastAsia="宋体" w:hint="default"/>
                <w:sz w:val="18"/>
                <w:szCs w:val="18"/>
              </w:rPr>
              <w:t>以摊余 </w:t>
            </w:r>
            <w:r>
              <w:rPr>
                <w:rFonts w:ascii="宋体" w:hAnsi="宋体" w:cs="宋体" w:eastAsia="宋体" w:hint="default"/>
                <w:spacing w:val="-4"/>
                <w:w w:val="99"/>
                <w:sz w:val="18"/>
                <w:szCs w:val="18"/>
              </w:rPr>
              <w:t>成本计量的金融资产</w:t>
            </w:r>
            <w:r>
              <w:rPr>
                <w:rFonts w:ascii="Times New Roman" w:hAnsi="Times New Roman" w:cs="Times New Roman" w:eastAsia="Times New Roman" w:hint="default"/>
                <w:spacing w:val="-4"/>
                <w:w w:val="99"/>
                <w:sz w:val="18"/>
                <w:szCs w:val="18"/>
              </w:rPr>
              <w:t>"</w:t>
            </w:r>
            <w:r>
              <w:rPr>
                <w:rFonts w:ascii="宋体" w:hAnsi="宋体" w:cs="宋体" w:eastAsia="宋体" w:hint="default"/>
                <w:spacing w:val="-4"/>
                <w:w w:val="99"/>
                <w:sz w:val="18"/>
                <w:szCs w:val="18"/>
              </w:rPr>
              <w:t>、</w:t>
            </w:r>
            <w:r>
              <w:rPr>
                <w:rFonts w:ascii="Times New Roman" w:hAnsi="Times New Roman" w:cs="Times New Roman" w:eastAsia="Times New Roman" w:hint="default"/>
                <w:spacing w:val="-4"/>
                <w:w w:val="99"/>
                <w:sz w:val="18"/>
                <w:szCs w:val="18"/>
              </w:rPr>
              <w:t>"</w:t>
            </w:r>
            <w:r>
              <w:rPr>
                <w:rFonts w:ascii="宋体" w:hAnsi="宋体" w:cs="宋体" w:eastAsia="宋体" w:hint="default"/>
                <w:spacing w:val="-4"/>
                <w:w w:val="99"/>
                <w:sz w:val="18"/>
                <w:szCs w:val="18"/>
              </w:rPr>
              <w:t>以公允价值计量</w:t>
            </w:r>
            <w:r>
              <w:rPr>
                <w:rFonts w:ascii="宋体" w:hAnsi="宋体" w:cs="宋体" w:eastAsia="宋体" w:hint="default"/>
                <w:spacing w:val="-88"/>
                <w:w w:val="99"/>
                <w:sz w:val="18"/>
                <w:szCs w:val="18"/>
              </w:rPr>
              <w:t> </w:t>
            </w:r>
            <w:r>
              <w:rPr>
                <w:rFonts w:ascii="宋体" w:hAnsi="宋体" w:cs="宋体" w:eastAsia="宋体" w:hint="default"/>
                <w:spacing w:val="-88"/>
                <w:w w:val="99"/>
                <w:sz w:val="18"/>
                <w:szCs w:val="18"/>
              </w:rPr>
            </w:r>
            <w:r>
              <w:rPr>
                <w:rFonts w:ascii="宋体" w:hAnsi="宋体" w:cs="宋体" w:eastAsia="宋体" w:hint="default"/>
                <w:sz w:val="18"/>
                <w:szCs w:val="18"/>
              </w:rPr>
              <w:t>且其变动计入其他综合收益的金融资产</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以及</w:t>
            </w:r>
            <w:r>
              <w:rPr>
                <w:rFonts w:ascii="Times New Roman" w:hAnsi="Times New Roman" w:cs="Times New Roman" w:eastAsia="Times New Roman" w:hint="default"/>
                <w:sz w:val="18"/>
                <w:szCs w:val="18"/>
              </w:rPr>
              <w:t>"</w:t>
            </w:r>
            <w:r>
              <w:rPr>
                <w:rFonts w:ascii="宋体" w:hAnsi="宋体" w:cs="宋体" w:eastAsia="宋体" w:hint="default"/>
                <w:sz w:val="18"/>
                <w:szCs w:val="18"/>
              </w:rPr>
              <w:t>以公允价值计量且其变动计入当期 </w:t>
            </w:r>
            <w:r>
              <w:rPr>
                <w:rFonts w:ascii="宋体" w:hAnsi="宋体" w:cs="宋体" w:eastAsia="宋体" w:hint="default"/>
                <w:spacing w:val="-5"/>
                <w:sz w:val="18"/>
                <w:szCs w:val="18"/>
              </w:rPr>
              <w:t>损益的金融资产</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三类；</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、将金融资产减</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值会计处理由</w:t>
            </w:r>
            <w:r>
              <w:rPr>
                <w:rFonts w:ascii="Times New Roman" w:hAnsi="Times New Roman" w:cs="Times New Roman" w:eastAsia="Times New Roman" w:hint="default"/>
                <w:sz w:val="18"/>
                <w:szCs w:val="18"/>
              </w:rPr>
              <w:t>“</w:t>
            </w:r>
            <w:r>
              <w:rPr>
                <w:rFonts w:ascii="宋体" w:hAnsi="宋体" w:cs="宋体" w:eastAsia="宋体" w:hint="default"/>
                <w:sz w:val="18"/>
                <w:szCs w:val="18"/>
              </w:rPr>
              <w:t>已发生损失法</w:t>
            </w:r>
            <w:r>
              <w:rPr>
                <w:rFonts w:ascii="Times New Roman" w:hAnsi="Times New Roman" w:cs="Times New Roman" w:eastAsia="Times New Roman" w:hint="default"/>
                <w:sz w:val="18"/>
                <w:szCs w:val="18"/>
              </w:rPr>
              <w:t>”</w:t>
            </w:r>
            <w:r>
              <w:rPr>
                <w:rFonts w:ascii="宋体" w:hAnsi="宋体" w:cs="宋体" w:eastAsia="宋体" w:hint="default"/>
                <w:sz w:val="18"/>
                <w:szCs w:val="18"/>
              </w:rPr>
              <w:t>修改为</w:t>
            </w:r>
            <w:r>
              <w:rPr>
                <w:rFonts w:ascii="Times New Roman" w:hAnsi="Times New Roman" w:cs="Times New Roman" w:eastAsia="Times New Roman" w:hint="default"/>
                <w:sz w:val="18"/>
                <w:szCs w:val="18"/>
              </w:rPr>
              <w:t>“</w:t>
            </w:r>
            <w:r>
              <w:rPr>
                <w:rFonts w:ascii="宋体" w:hAnsi="宋体" w:cs="宋体" w:eastAsia="宋体" w:hint="default"/>
                <w:sz w:val="18"/>
                <w:szCs w:val="18"/>
              </w:rPr>
              <w:t>预 期损失法</w:t>
            </w:r>
            <w:r>
              <w:rPr>
                <w:rFonts w:ascii="Times New Roman" w:hAnsi="Times New Roman" w:cs="Times New Roman" w:eastAsia="Times New Roman" w:hint="default"/>
                <w:sz w:val="18"/>
                <w:szCs w:val="18"/>
              </w:rPr>
              <w:t>”</w:t>
            </w:r>
            <w:r>
              <w:rPr>
                <w:rFonts w:ascii="宋体" w:hAnsi="宋体" w:cs="宋体" w:eastAsia="宋体" w:hint="default"/>
                <w:sz w:val="18"/>
                <w:szCs w:val="18"/>
              </w:rPr>
              <w:t>，要求考虑金融资产未来预期 信用损失情况，从而更加及时、足额地 </w:t>
            </w:r>
            <w:r>
              <w:rPr>
                <w:rFonts w:ascii="宋体" w:hAnsi="宋体" w:cs="宋体" w:eastAsia="宋体" w:hint="default"/>
                <w:spacing w:val="-1"/>
                <w:sz w:val="18"/>
                <w:szCs w:val="18"/>
              </w:rPr>
              <w:t>计提金融资产减值准备；</w:t>
            </w: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、调整非交易</w:t>
            </w:r>
            <w:r>
              <w:rPr>
                <w:rFonts w:ascii="宋体" w:hAnsi="宋体" w:cs="宋体" w:eastAsia="宋体" w:hint="default"/>
                <w:sz w:val="18"/>
                <w:szCs w:val="18"/>
              </w:rPr>
              <w:t> 性权益工具投资的会计处理，允许企业 将非交易性权益工具投资指定为以公允 价值计量且其变动计入其他综合收益进 行处理，但该指定不可撤销，且在处置 时不得将原计入其他综合收益的累计公</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第六届董事会第二十三次会议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93"/>
        <w:gridCol w:w="3188"/>
        <w:gridCol w:w="3190"/>
      </w:tblGrid>
      <w:tr>
        <w:trPr>
          <w:trHeight w:val="1611" w:hRule="exact"/>
        </w:trPr>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8"/>
              <w:ind w:left="24" w:right="22"/>
              <w:jc w:val="left"/>
              <w:rPr>
                <w:rFonts w:ascii="宋体" w:hAnsi="宋体" w:cs="宋体" w:eastAsia="宋体" w:hint="default"/>
                <w:sz w:val="18"/>
                <w:szCs w:val="18"/>
              </w:rPr>
            </w:pPr>
            <w:r>
              <w:rPr>
                <w:rFonts w:ascii="宋体" w:hAnsi="宋体" w:cs="宋体" w:eastAsia="宋体" w:hint="default"/>
                <w:spacing w:val="-2"/>
                <w:sz w:val="18"/>
                <w:szCs w:val="18"/>
              </w:rPr>
              <w:t>允价值变动额结转计入当期损益；</w:t>
            </w: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、进</w:t>
            </w:r>
            <w:r>
              <w:rPr>
                <w:rFonts w:ascii="宋体" w:hAnsi="宋体" w:cs="宋体" w:eastAsia="宋体" w:hint="default"/>
                <w:spacing w:val="-76"/>
                <w:sz w:val="18"/>
                <w:szCs w:val="18"/>
              </w:rPr>
              <w:t> </w:t>
            </w:r>
            <w:r>
              <w:rPr>
                <w:rFonts w:ascii="宋体" w:hAnsi="宋体" w:cs="宋体" w:eastAsia="宋体" w:hint="default"/>
                <w:sz w:val="18"/>
                <w:szCs w:val="18"/>
              </w:rPr>
              <w:t>一步明确金融资产转移的判断原则及其</w:t>
            </w:r>
            <w:r>
              <w:rPr>
                <w:rFonts w:ascii="宋体" w:hAnsi="宋体" w:cs="宋体" w:eastAsia="宋体" w:hint="default"/>
                <w:sz w:val="18"/>
                <w:szCs w:val="18"/>
              </w:rPr>
              <w:t> </w:t>
            </w:r>
            <w:r>
              <w:rPr>
                <w:rFonts w:ascii="宋体" w:hAnsi="宋体" w:cs="宋体" w:eastAsia="宋体" w:hint="default"/>
                <w:spacing w:val="-1"/>
                <w:sz w:val="18"/>
                <w:szCs w:val="18"/>
              </w:rPr>
              <w:t>会计处理；</w:t>
            </w:r>
            <w:r>
              <w:rPr>
                <w:rFonts w:ascii="Times New Roman" w:hAnsi="Times New Roman" w:cs="Times New Roman" w:eastAsia="Times New Roman" w:hint="default"/>
                <w:spacing w:val="-1"/>
                <w:sz w:val="18"/>
                <w:szCs w:val="18"/>
              </w:rPr>
              <w:t>5</w:t>
            </w:r>
            <w:r>
              <w:rPr>
                <w:rFonts w:ascii="宋体" w:hAnsi="宋体" w:cs="宋体" w:eastAsia="宋体" w:hint="default"/>
                <w:spacing w:val="-1"/>
                <w:sz w:val="18"/>
                <w:szCs w:val="18"/>
              </w:rPr>
              <w:t>、套期会计准则更加强调套</w:t>
            </w:r>
            <w:r>
              <w:rPr>
                <w:rFonts w:ascii="宋体" w:hAnsi="宋体" w:cs="宋体" w:eastAsia="宋体" w:hint="default"/>
                <w:sz w:val="18"/>
                <w:szCs w:val="18"/>
              </w:rPr>
              <w:t> 期会计与企业风险管理活动的有机结 合，更好地反映企业的风险管理活动。</w:t>
            </w:r>
          </w:p>
        </w:tc>
        <w:tc>
          <w:tcPr>
            <w:tcW w:w="3188"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20"/>
          <w:szCs w:val="20"/>
        </w:rPr>
      </w:pPr>
    </w:p>
    <w:p>
      <w:pPr>
        <w:pStyle w:val="Heading5"/>
        <w:spacing w:line="273" w:lineRule="auto" w:before="36"/>
        <w:ind w:left="573" w:right="0" w:hanging="8"/>
        <w:jc w:val="left"/>
      </w:pPr>
      <w:r>
        <w:rPr/>
        <w:t>执行新金融工具准则导致的会计政策变更</w:t>
      </w:r>
      <w:r>
        <w:rPr>
          <w:w w:val="100"/>
        </w:rPr>
        <w:t> </w:t>
      </w:r>
      <w:r>
        <w:rPr>
          <w:spacing w:val="-2"/>
        </w:rPr>
        <w:t>财政部于</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31</w:t>
      </w:r>
      <w:r>
        <w:rPr>
          <w:spacing w:val="-2"/>
        </w:rPr>
        <w:t>日分别发布了《企业会计准则第</w:t>
      </w:r>
      <w:r>
        <w:rPr>
          <w:rFonts w:ascii="Times New Roman" w:hAnsi="Times New Roman" w:cs="Times New Roman" w:eastAsia="Times New Roman" w:hint="default"/>
          <w:spacing w:val="-2"/>
        </w:rPr>
        <w:t>22</w:t>
      </w:r>
      <w:r>
        <w:rPr>
          <w:spacing w:val="-2"/>
        </w:rPr>
        <w:t>号</w:t>
      </w:r>
      <w:r>
        <w:rPr>
          <w:rFonts w:ascii="Times New Roman" w:hAnsi="Times New Roman" w:cs="Times New Roman" w:eastAsia="Times New Roman" w:hint="default"/>
          <w:spacing w:val="-2"/>
        </w:rPr>
        <w:t>——</w:t>
      </w:r>
      <w:r>
        <w:rPr>
          <w:spacing w:val="-2"/>
        </w:rPr>
        <w:t>金融工具确认和计量（</w:t>
      </w:r>
      <w:r>
        <w:rPr>
          <w:rFonts w:ascii="Times New Roman" w:hAnsi="Times New Roman" w:cs="Times New Roman" w:eastAsia="Times New Roman" w:hint="default"/>
          <w:spacing w:val="-2"/>
        </w:rPr>
        <w:t>2017</w:t>
      </w:r>
      <w:r>
        <w:rPr>
          <w:spacing w:val="-2"/>
        </w:rPr>
        <w:t>年修订）》</w:t>
      </w:r>
    </w:p>
    <w:p>
      <w:pPr>
        <w:pStyle w:val="Heading5"/>
        <w:spacing w:line="279" w:lineRule="exact" w:before="0"/>
        <w:ind w:right="0"/>
        <w:jc w:val="left"/>
      </w:pPr>
      <w:r>
        <w:rPr>
          <w:spacing w:val="-4"/>
        </w:rPr>
        <w:t>（财会〔</w:t>
      </w:r>
      <w:r>
        <w:rPr>
          <w:rFonts w:ascii="Times New Roman" w:hAnsi="Times New Roman" w:cs="Times New Roman" w:eastAsia="Times New Roman" w:hint="default"/>
          <w:spacing w:val="-4"/>
        </w:rPr>
        <w:t>2017</w:t>
      </w:r>
      <w:r>
        <w:rPr>
          <w:spacing w:val="-4"/>
        </w:rPr>
        <w:t>〕</w:t>
      </w:r>
      <w:r>
        <w:rPr>
          <w:rFonts w:ascii="Times New Roman" w:hAnsi="Times New Roman" w:cs="Times New Roman" w:eastAsia="Times New Roman" w:hint="default"/>
          <w:spacing w:val="-4"/>
        </w:rPr>
        <w:t>7</w:t>
      </w:r>
      <w:r>
        <w:rPr>
          <w:spacing w:val="-4"/>
        </w:rPr>
        <w:t>号）、《企业会计准则第</w:t>
      </w:r>
      <w:r>
        <w:rPr>
          <w:rFonts w:ascii="Times New Roman" w:hAnsi="Times New Roman" w:cs="Times New Roman" w:eastAsia="Times New Roman" w:hint="default"/>
          <w:spacing w:val="-4"/>
        </w:rPr>
        <w:t>23</w:t>
      </w:r>
      <w:r>
        <w:rPr>
          <w:spacing w:val="-4"/>
        </w:rPr>
        <w:t>号</w:t>
      </w:r>
      <w:r>
        <w:rPr>
          <w:rFonts w:ascii="Times New Roman" w:hAnsi="Times New Roman" w:cs="Times New Roman" w:eastAsia="Times New Roman" w:hint="default"/>
          <w:spacing w:val="-4"/>
        </w:rPr>
        <w:t>——</w:t>
      </w:r>
      <w:r>
        <w:rPr>
          <w:spacing w:val="-4"/>
        </w:rPr>
        <w:t>金融资产转移（</w:t>
      </w:r>
      <w:r>
        <w:rPr>
          <w:rFonts w:ascii="Times New Roman" w:hAnsi="Times New Roman" w:cs="Times New Roman" w:eastAsia="Times New Roman" w:hint="default"/>
          <w:spacing w:val="-4"/>
        </w:rPr>
        <w:t>2017</w:t>
      </w:r>
      <w:r>
        <w:rPr>
          <w:spacing w:val="-4"/>
        </w:rPr>
        <w:t>年修订）》（财会〔</w:t>
      </w:r>
      <w:r>
        <w:rPr>
          <w:rFonts w:ascii="Times New Roman" w:hAnsi="Times New Roman" w:cs="Times New Roman" w:eastAsia="Times New Roman" w:hint="default"/>
          <w:spacing w:val="-4"/>
        </w:rPr>
        <w:t>2017</w:t>
      </w:r>
      <w:r>
        <w:rPr>
          <w:spacing w:val="-4"/>
        </w:rPr>
        <w:t>〕</w:t>
      </w:r>
      <w:r>
        <w:rPr>
          <w:rFonts w:ascii="Times New Roman" w:hAnsi="Times New Roman" w:cs="Times New Roman" w:eastAsia="Times New Roman" w:hint="default"/>
          <w:spacing w:val="-4"/>
        </w:rPr>
        <w:t>8</w:t>
      </w:r>
      <w:r>
        <w:rPr>
          <w:spacing w:val="-4"/>
        </w:rPr>
        <w:t>号）、</w:t>
      </w:r>
    </w:p>
    <w:p>
      <w:pPr>
        <w:pStyle w:val="Heading5"/>
        <w:spacing w:line="256" w:lineRule="auto" w:before="21"/>
        <w:ind w:right="1133"/>
        <w:jc w:val="left"/>
      </w:pPr>
      <w:r>
        <w:rPr>
          <w:spacing w:val="-4"/>
        </w:rPr>
        <w:t>《企业会计准则第</w:t>
      </w:r>
      <w:r>
        <w:rPr>
          <w:rFonts w:ascii="Times New Roman" w:hAnsi="Times New Roman" w:cs="Times New Roman" w:eastAsia="Times New Roman" w:hint="default"/>
          <w:spacing w:val="-4"/>
        </w:rPr>
        <w:t>24</w:t>
      </w:r>
      <w:r>
        <w:rPr>
          <w:spacing w:val="-4"/>
        </w:rPr>
        <w:t>号</w:t>
      </w:r>
      <w:r>
        <w:rPr>
          <w:rFonts w:ascii="Times New Roman" w:hAnsi="Times New Roman" w:cs="Times New Roman" w:eastAsia="Times New Roman" w:hint="default"/>
          <w:spacing w:val="-4"/>
        </w:rPr>
        <w:t>——</w:t>
      </w:r>
      <w:r>
        <w:rPr>
          <w:spacing w:val="-4"/>
        </w:rPr>
        <w:t>套期会计（</w:t>
      </w:r>
      <w:r>
        <w:rPr>
          <w:rFonts w:ascii="Times New Roman" w:hAnsi="Times New Roman" w:cs="Times New Roman" w:eastAsia="Times New Roman" w:hint="default"/>
          <w:spacing w:val="-4"/>
        </w:rPr>
        <w:t>2017</w:t>
      </w:r>
      <w:r>
        <w:rPr>
          <w:spacing w:val="-4"/>
        </w:rPr>
        <w:t>年修订）》（财会〔</w:t>
      </w:r>
      <w:r>
        <w:rPr>
          <w:rFonts w:ascii="Times New Roman" w:hAnsi="Times New Roman" w:cs="Times New Roman" w:eastAsia="Times New Roman" w:hint="default"/>
          <w:spacing w:val="-4"/>
        </w:rPr>
        <w:t>2017</w:t>
      </w:r>
      <w:r>
        <w:rPr>
          <w:spacing w:val="-4"/>
        </w:rPr>
        <w:t>〕</w:t>
      </w:r>
      <w:r>
        <w:rPr>
          <w:rFonts w:ascii="Times New Roman" w:hAnsi="Times New Roman" w:cs="Times New Roman" w:eastAsia="Times New Roman" w:hint="default"/>
          <w:spacing w:val="-4"/>
        </w:rPr>
        <w:t>9</w:t>
      </w:r>
      <w:r>
        <w:rPr>
          <w:spacing w:val="-4"/>
        </w:rPr>
        <w:t>号），于</w:t>
      </w:r>
      <w:r>
        <w:rPr>
          <w:rFonts w:ascii="Times New Roman" w:hAnsi="Times New Roman" w:cs="Times New Roman" w:eastAsia="Times New Roman" w:hint="default"/>
          <w:spacing w:val="-4"/>
        </w:rPr>
        <w:t>2017</w:t>
      </w:r>
      <w:r>
        <w:rPr>
          <w:spacing w:val="-4"/>
        </w:rPr>
        <w:t>年</w:t>
      </w:r>
      <w:r>
        <w:rPr>
          <w:rFonts w:ascii="Times New Roman" w:hAnsi="Times New Roman" w:cs="Times New Roman" w:eastAsia="Times New Roman" w:hint="default"/>
          <w:spacing w:val="-4"/>
        </w:rPr>
        <w:t>5</w:t>
      </w:r>
      <w:r>
        <w:rPr>
          <w:spacing w:val="-4"/>
        </w:rPr>
        <w:t>月</w:t>
      </w:r>
      <w:r>
        <w:rPr>
          <w:rFonts w:ascii="Times New Roman" w:hAnsi="Times New Roman" w:cs="Times New Roman" w:eastAsia="Times New Roman" w:hint="default"/>
          <w:spacing w:val="-4"/>
        </w:rPr>
        <w:t>2</w:t>
      </w:r>
      <w:r>
        <w:rPr>
          <w:spacing w:val="-4"/>
        </w:rPr>
        <w:t>日发布了《企</w:t>
      </w:r>
      <w:r>
        <w:rPr>
          <w:spacing w:val="-21"/>
        </w:rPr>
        <w:t> </w:t>
      </w:r>
      <w:r>
        <w:rPr>
          <w:spacing w:val="-21"/>
        </w:rPr>
      </w:r>
      <w:r>
        <w:rPr/>
        <w:t>业会计准则第</w:t>
      </w:r>
      <w:r>
        <w:rPr>
          <w:rFonts w:ascii="Times New Roman" w:hAnsi="Times New Roman" w:cs="Times New Roman" w:eastAsia="Times New Roman" w:hint="default"/>
        </w:rPr>
        <w:t>37</w:t>
      </w:r>
      <w:r>
        <w:rPr/>
        <w:t>号</w:t>
      </w:r>
      <w:r>
        <w:rPr>
          <w:rFonts w:ascii="Times New Roman" w:hAnsi="Times New Roman" w:cs="Times New Roman" w:eastAsia="Times New Roman" w:hint="default"/>
        </w:rPr>
        <w:t>——</w:t>
      </w:r>
      <w:r>
        <w:rPr/>
        <w:t>金融工具列报（</w:t>
      </w:r>
      <w:r>
        <w:rPr>
          <w:rFonts w:ascii="Times New Roman" w:hAnsi="Times New Roman" w:cs="Times New Roman" w:eastAsia="Times New Roman" w:hint="default"/>
        </w:rPr>
        <w:t>2017</w:t>
      </w:r>
      <w:r>
        <w:rPr/>
        <w:t>年修订）》（财会〔</w:t>
      </w:r>
      <w:r>
        <w:rPr>
          <w:rFonts w:ascii="Times New Roman" w:hAnsi="Times New Roman" w:cs="Times New Roman" w:eastAsia="Times New Roman" w:hint="default"/>
        </w:rPr>
        <w:t>2017</w:t>
      </w:r>
      <w:r>
        <w:rPr/>
        <w:t>〕</w:t>
      </w:r>
      <w:r>
        <w:rPr>
          <w:rFonts w:ascii="Times New Roman" w:hAnsi="Times New Roman" w:cs="Times New Roman" w:eastAsia="Times New Roman" w:hint="default"/>
        </w:rPr>
        <w:t>14</w:t>
      </w:r>
      <w:r>
        <w:rPr/>
        <w:t>号）（上述准则统称</w:t>
      </w:r>
      <w:r>
        <w:rPr>
          <w:rFonts w:ascii="Times New Roman" w:hAnsi="Times New Roman" w:cs="Times New Roman" w:eastAsia="Times New Roman" w:hint="default"/>
        </w:rPr>
        <w:t>“</w:t>
      </w:r>
      <w:r>
        <w:rPr/>
        <w:t>新金融工</w:t>
      </w:r>
      <w:r>
        <w:rPr>
          <w:w w:val="100"/>
        </w:rPr>
        <w:t> </w:t>
      </w:r>
      <w:r>
        <w:rPr/>
        <w:t>具准则</w:t>
      </w:r>
      <w:r>
        <w:rPr>
          <w:rFonts w:ascii="Times New Roman" w:hAnsi="Times New Roman" w:cs="Times New Roman" w:eastAsia="Times New Roman" w:hint="default"/>
        </w:rPr>
        <w:t>”</w:t>
      </w:r>
      <w:r>
        <w:rPr/>
        <w:t>），要求境内上市企业自</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日起执行新金融工具准则。</w:t>
      </w:r>
    </w:p>
    <w:p>
      <w:pPr>
        <w:pStyle w:val="Heading5"/>
        <w:spacing w:line="256" w:lineRule="auto" w:before="5"/>
        <w:ind w:right="1133" w:firstLine="420"/>
        <w:jc w:val="left"/>
      </w:pPr>
      <w:r>
        <w:rPr>
          <w:spacing w:val="-2"/>
        </w:rPr>
        <w:t>经本公司于</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29</w:t>
      </w:r>
      <w:r>
        <w:rPr>
          <w:spacing w:val="-2"/>
        </w:rPr>
        <w:t>日召开第六届董事会第二十三次会议及第六届监事会第十三次会议决议通</w:t>
      </w:r>
      <w:r>
        <w:rPr>
          <w:w w:val="100"/>
        </w:rPr>
        <w:t> </w:t>
      </w:r>
      <w:r>
        <w:rPr/>
        <w:t>过，本公司于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日起开始执行前述新金融工具准则。</w:t>
      </w:r>
    </w:p>
    <w:p>
      <w:pPr>
        <w:pStyle w:val="Heading5"/>
        <w:spacing w:line="273" w:lineRule="auto" w:before="5"/>
        <w:ind w:right="1126" w:firstLine="420"/>
        <w:jc w:val="both"/>
      </w:pPr>
      <w:r>
        <w:rPr>
          <w:spacing w:val="-2"/>
        </w:rPr>
        <w:t>在新金融工具准则下所有已确认金融资产，其后续均按摊余成本或公允价值计量。在新金融工具准则</w:t>
      </w:r>
      <w:r>
        <w:rPr>
          <w:w w:val="100"/>
        </w:rPr>
        <w:t> </w:t>
      </w:r>
      <w:r>
        <w:rPr>
          <w:spacing w:val="-2"/>
        </w:rPr>
        <w:t>施行日，以本公司该日既有事实和情况为基础评估管理金融资产的业务模式、以金融资产初始确认时的事</w:t>
      </w:r>
      <w:r>
        <w:rPr>
          <w:spacing w:val="-44"/>
        </w:rPr>
        <w:t> </w:t>
      </w:r>
      <w:r>
        <w:rPr>
          <w:spacing w:val="-44"/>
        </w:rPr>
      </w:r>
      <w:r>
        <w:rPr>
          <w:spacing w:val="-2"/>
        </w:rPr>
        <w:t>实和情况为基础评估该金融资产上的合同现金流量特征，将金融资产分为三类：按摊余成本计量、按公允</w:t>
      </w:r>
      <w:r>
        <w:rPr>
          <w:spacing w:val="-43"/>
        </w:rPr>
        <w:t> </w:t>
      </w:r>
      <w:r>
        <w:rPr>
          <w:spacing w:val="-43"/>
        </w:rPr>
      </w:r>
      <w:r>
        <w:rPr>
          <w:spacing w:val="-2"/>
        </w:rPr>
        <w:t>价值计量且其变动计入其他综合收益及按公允价值计量且其变动计入当期损益。其中，对于按公允价值计</w:t>
      </w:r>
      <w:r>
        <w:rPr>
          <w:spacing w:val="-44"/>
        </w:rPr>
        <w:t> </w:t>
      </w:r>
      <w:r>
        <w:rPr>
          <w:spacing w:val="-44"/>
        </w:rPr>
      </w:r>
      <w:r>
        <w:rPr>
          <w:spacing w:val="-2"/>
        </w:rPr>
        <w:t>量且其变动计入其他综合收益的权益工具投资，当该金融资产终止确认时，之前计入其他综合收益的累计</w:t>
      </w:r>
      <w:r>
        <w:rPr>
          <w:spacing w:val="-43"/>
        </w:rPr>
        <w:t> </w:t>
      </w:r>
      <w:r>
        <w:rPr>
          <w:spacing w:val="-43"/>
        </w:rPr>
      </w:r>
      <w:r>
        <w:rPr/>
        <w:t>利得或损失将从其他综合收益转入留存收益，不计入当期损益。</w:t>
      </w:r>
    </w:p>
    <w:p>
      <w:pPr>
        <w:pStyle w:val="Heading5"/>
        <w:spacing w:line="273" w:lineRule="auto"/>
        <w:ind w:right="1126" w:firstLine="420"/>
        <w:jc w:val="both"/>
      </w:pPr>
      <w:r>
        <w:rPr>
          <w:spacing w:val="-2"/>
        </w:rPr>
        <w:t>在新金融工具准则下，本公司以预期信用损失为基础，对以摊余成本计量的金融资产、以公允价值计</w:t>
      </w:r>
      <w:r>
        <w:rPr>
          <w:w w:val="100"/>
        </w:rPr>
        <w:t> </w:t>
      </w:r>
      <w:r>
        <w:rPr>
          <w:spacing w:val="-2"/>
        </w:rPr>
        <w:t>量且其变动计入其他综合收益的债务工具投资、租赁应收款、合同资产及财务担保合同计提减值准备并确</w:t>
      </w:r>
      <w:r>
        <w:rPr>
          <w:spacing w:val="-43"/>
        </w:rPr>
        <w:t> </w:t>
      </w:r>
      <w:r>
        <w:rPr>
          <w:spacing w:val="-43"/>
        </w:rPr>
      </w:r>
      <w:r>
        <w:rPr/>
        <w:t>认信用减值损失。</w:t>
      </w:r>
    </w:p>
    <w:p>
      <w:pPr>
        <w:pStyle w:val="Heading5"/>
        <w:spacing w:line="264" w:lineRule="auto" w:before="8"/>
        <w:ind w:right="1126" w:firstLine="420"/>
        <w:jc w:val="both"/>
      </w:pPr>
      <w:r>
        <w:rPr>
          <w:spacing w:val="-2"/>
        </w:rPr>
        <w:t>本公司追溯应用新金融工具准则，但对于分类和计量（含减值）涉及前期比较财务报表数据与新金融</w:t>
      </w:r>
      <w:r>
        <w:rPr>
          <w:w w:val="100"/>
        </w:rPr>
        <w:t> </w:t>
      </w:r>
      <w:r>
        <w:rPr>
          <w:spacing w:val="-2"/>
        </w:rPr>
        <w:t>工具准则不一致的，本公司选择不进行重述。因此，对于首次执行该准则的累积影响数，本公司调整</w:t>
      </w:r>
      <w:r>
        <w:rPr>
          <w:rFonts w:ascii="Times New Roman" w:hAnsi="Times New Roman" w:cs="Times New Roman" w:eastAsia="Times New Roman" w:hint="default"/>
          <w:spacing w:val="-2"/>
        </w:rPr>
        <w:t>2019</w:t>
      </w:r>
      <w:r>
        <w:rPr>
          <w:rFonts w:ascii="Times New Roman" w:hAnsi="Times New Roman" w:cs="Times New Roman" w:eastAsia="Times New Roman" w:hint="default"/>
          <w:spacing w:val="6"/>
        </w:rPr>
        <w:t> </w:t>
      </w:r>
      <w:r>
        <w:rPr>
          <w:rFonts w:ascii="Times New Roman" w:hAnsi="Times New Roman" w:cs="Times New Roman" w:eastAsia="Times New Roman" w:hint="default"/>
          <w:spacing w:val="6"/>
        </w:rPr>
      </w:r>
      <w:r>
        <w:rPr/>
        <w:t>年年初留存收益或其他综合收益以及财务报表其他相关项目金额，</w:t>
      </w:r>
      <w:r>
        <w:rPr>
          <w:rFonts w:ascii="Times New Roman" w:hAnsi="Times New Roman" w:cs="Times New Roman" w:eastAsia="Times New Roman" w:hint="default"/>
        </w:rPr>
        <w:t>2018</w:t>
      </w:r>
      <w:r>
        <w:rPr/>
        <w:t>年度的财务报表未予重述。</w:t>
      </w:r>
    </w:p>
    <w:p>
      <w:pPr>
        <w:pStyle w:val="Heading5"/>
        <w:spacing w:line="273" w:lineRule="auto" w:before="0"/>
        <w:ind w:left="573" w:right="1133"/>
        <w:jc w:val="left"/>
      </w:pPr>
      <w:r>
        <w:rPr/>
        <w:t>执行新金融工具准则对本公司的主要变化和影响如下：</w:t>
      </w:r>
      <w:r>
        <w:rPr>
          <w:w w:val="100"/>
        </w:rPr>
        <w:t> </w:t>
      </w:r>
      <w:r>
        <w:rPr>
          <w:spacing w:val="-2"/>
        </w:rPr>
        <w:t>本公司于</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1</w:t>
      </w:r>
      <w:r>
        <w:rPr>
          <w:spacing w:val="-2"/>
        </w:rPr>
        <w:t>日及以后将持有的部分非交易性股权投资指定为以公允价值计量且其变动计入</w:t>
      </w:r>
    </w:p>
    <w:p>
      <w:pPr>
        <w:pStyle w:val="Heading5"/>
        <w:spacing w:line="273" w:lineRule="auto" w:before="0"/>
        <w:ind w:left="573" w:right="1133" w:hanging="421"/>
        <w:jc w:val="left"/>
      </w:pPr>
      <w:r>
        <w:rPr/>
        <w:t>其他综合收益的金融资产，列报为其他权益工具投资。</w:t>
      </w:r>
      <w:r>
        <w:rPr>
          <w:w w:val="100"/>
        </w:rPr>
        <w:t> </w:t>
      </w:r>
      <w:r>
        <w:rPr>
          <w:spacing w:val="-2"/>
        </w:rPr>
        <w:t>本公司持有的某些理财产品等，其收益率与观察日的汇率、同业拆借利率、贵金属现货行情等变量挂</w:t>
      </w:r>
    </w:p>
    <w:p>
      <w:pPr>
        <w:pStyle w:val="Heading5"/>
        <w:spacing w:line="264" w:lineRule="auto"/>
        <w:ind w:right="1105"/>
        <w:jc w:val="both"/>
      </w:pPr>
      <w:r>
        <w:rPr>
          <w:spacing w:val="-2"/>
        </w:rPr>
        <w:t>钩，原列报为其他流动资产。由于其合同现金流量不仅仅为对本金和以未偿付本金为基础的利息的支付，</w:t>
      </w:r>
      <w:r>
        <w:rPr>
          <w:spacing w:val="-21"/>
        </w:rPr>
        <w:t> </w:t>
      </w:r>
      <w:r>
        <w:rPr>
          <w:spacing w:val="-21"/>
        </w:rPr>
      </w:r>
      <w:r>
        <w:rPr>
          <w:spacing w:val="-2"/>
        </w:rPr>
        <w:t>本公司在</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1</w:t>
      </w:r>
      <w:r>
        <w:rPr>
          <w:spacing w:val="-2"/>
        </w:rPr>
        <w:t>日及以后将其重分类为以公允价值计量且其变动计入当期损益的金融资产，列报为交</w:t>
      </w:r>
      <w:r>
        <w:rPr>
          <w:spacing w:val="-38"/>
        </w:rPr>
        <w:t> </w:t>
      </w:r>
      <w:r>
        <w:rPr>
          <w:spacing w:val="-38"/>
        </w:rPr>
      </w:r>
      <w:r>
        <w:rPr/>
        <w:t>易性金融资产。</w:t>
      </w:r>
    </w:p>
    <w:p>
      <w:pPr>
        <w:pStyle w:val="Heading5"/>
        <w:spacing w:line="266" w:lineRule="auto" w:before="16"/>
        <w:ind w:right="1125" w:firstLine="420"/>
        <w:jc w:val="both"/>
      </w:pPr>
      <w:r>
        <w:rPr>
          <w:spacing w:val="-2"/>
        </w:rPr>
        <w:t>公司金融资产减值准备计提由</w:t>
      </w:r>
      <w:r>
        <w:rPr>
          <w:rFonts w:ascii="Times New Roman" w:hAnsi="Times New Roman" w:cs="Times New Roman" w:eastAsia="Times New Roman" w:hint="default"/>
          <w:spacing w:val="-2"/>
        </w:rPr>
        <w:t>“</w:t>
      </w:r>
      <w:r>
        <w:rPr>
          <w:spacing w:val="-2"/>
        </w:rPr>
        <w:t>已发生损失法</w:t>
      </w:r>
      <w:r>
        <w:rPr>
          <w:rFonts w:ascii="Times New Roman" w:hAnsi="Times New Roman" w:cs="Times New Roman" w:eastAsia="Times New Roman" w:hint="default"/>
          <w:spacing w:val="-2"/>
        </w:rPr>
        <w:t>”</w:t>
      </w:r>
      <w:r>
        <w:rPr>
          <w:spacing w:val="-2"/>
        </w:rPr>
        <w:t>改为</w:t>
      </w:r>
      <w:r>
        <w:rPr>
          <w:rFonts w:ascii="Times New Roman" w:hAnsi="Times New Roman" w:cs="Times New Roman" w:eastAsia="Times New Roman" w:hint="default"/>
          <w:spacing w:val="-2"/>
        </w:rPr>
        <w:t>“</w:t>
      </w:r>
      <w:r>
        <w:rPr>
          <w:spacing w:val="-2"/>
        </w:rPr>
        <w:t>预期损失法</w:t>
      </w:r>
      <w:r>
        <w:rPr>
          <w:rFonts w:ascii="Times New Roman" w:hAnsi="Times New Roman" w:cs="Times New Roman" w:eastAsia="Times New Roman" w:hint="default"/>
          <w:spacing w:val="-2"/>
        </w:rPr>
        <w:t>”</w:t>
      </w:r>
      <w:r>
        <w:rPr>
          <w:spacing w:val="-2"/>
        </w:rPr>
        <w:t>。利润表项目新增</w:t>
      </w:r>
      <w:r>
        <w:rPr>
          <w:rFonts w:ascii="Times New Roman" w:hAnsi="Times New Roman" w:cs="Times New Roman" w:eastAsia="Times New Roman" w:hint="default"/>
          <w:spacing w:val="-2"/>
        </w:rPr>
        <w:t>“</w:t>
      </w:r>
      <w:r>
        <w:rPr>
          <w:spacing w:val="-2"/>
        </w:rPr>
        <w:t>信用减值损失</w:t>
      </w:r>
      <w:r>
        <w:rPr>
          <w:rFonts w:ascii="Times New Roman" w:hAnsi="Times New Roman" w:cs="Times New Roman" w:eastAsia="Times New Roman" w:hint="default"/>
          <w:spacing w:val="-2"/>
        </w:rPr>
        <w:t>”</w:t>
      </w:r>
      <w:r>
        <w:rPr>
          <w:spacing w:val="-2"/>
        </w:rPr>
        <w:t>，</w:t>
      </w:r>
      <w:r>
        <w:rPr>
          <w:w w:val="100"/>
        </w:rPr>
        <w:t> </w:t>
      </w:r>
      <w:r>
        <w:rPr>
          <w:spacing w:val="-2"/>
        </w:rPr>
        <w:t>用以核算企业按照新金融工具准则的要求计提的各项金融工具减值准备所形成的预期信用损失。利润表项</w:t>
      </w:r>
      <w:r>
        <w:rPr>
          <w:spacing w:val="-43"/>
        </w:rPr>
        <w:t> </w:t>
      </w:r>
      <w:r>
        <w:rPr>
          <w:spacing w:val="-43"/>
        </w:rPr>
      </w:r>
      <w:r>
        <w:rPr/>
        <w:t>目从</w:t>
      </w:r>
      <w:r>
        <w:rPr>
          <w:rFonts w:ascii="Times New Roman" w:hAnsi="Times New Roman" w:cs="Times New Roman" w:eastAsia="Times New Roman" w:hint="default"/>
        </w:rPr>
        <w:t>“</w:t>
      </w:r>
      <w:r>
        <w:rPr/>
        <w:t>资产减值损失</w:t>
      </w:r>
      <w:r>
        <w:rPr>
          <w:rFonts w:ascii="Times New Roman" w:hAnsi="Times New Roman" w:cs="Times New Roman" w:eastAsia="Times New Roman" w:hint="default"/>
        </w:rPr>
        <w:t>”</w:t>
      </w:r>
      <w:r>
        <w:rPr/>
        <w:t>调整为在</w:t>
      </w:r>
      <w:r>
        <w:rPr>
          <w:rFonts w:ascii="Times New Roman" w:hAnsi="Times New Roman" w:cs="Times New Roman" w:eastAsia="Times New Roman" w:hint="default"/>
        </w:rPr>
        <w:t>“</w:t>
      </w:r>
      <w:r>
        <w:rPr/>
        <w:t>信用减值损失</w:t>
      </w:r>
      <w:r>
        <w:rPr>
          <w:rFonts w:ascii="Times New Roman" w:hAnsi="Times New Roman" w:cs="Times New Roman" w:eastAsia="Times New Roman" w:hint="default"/>
        </w:rPr>
        <w:t>”</w:t>
      </w:r>
      <w:r>
        <w:rPr/>
        <w:t>中列示。</w:t>
      </w:r>
    </w:p>
    <w:p>
      <w:pPr>
        <w:spacing w:line="240" w:lineRule="auto" w:before="8"/>
        <w:rPr>
          <w:rFonts w:ascii="宋体" w:hAnsi="宋体" w:cs="宋体" w:eastAsia="宋体" w:hint="default"/>
          <w:sz w:val="22"/>
          <w:szCs w:val="22"/>
        </w:rPr>
      </w:pPr>
    </w:p>
    <w:p>
      <w:pPr>
        <w:pStyle w:val="Heading4"/>
        <w:spacing w:line="240" w:lineRule="auto"/>
        <w:ind w:right="1133"/>
        <w:jc w:val="left"/>
        <w:rPr>
          <w:b w:val="0"/>
          <w:bCs w:val="0"/>
        </w:rPr>
      </w:pPr>
      <w:bookmarkStart w:name="（2）重要会计估计变更" w:id="221"/>
      <w:bookmarkEnd w:id="221"/>
      <w:r>
        <w:rPr>
          <w:b w:val="0"/>
          <w:bCs w:val="0"/>
        </w:rPr>
      </w:r>
      <w:r>
        <w:rPr/>
        <w:t>（</w:t>
      </w:r>
      <w:r>
        <w:rPr>
          <w:rFonts w:ascii="Times New Roman" w:hAnsi="Times New Roman" w:cs="Times New Roman" w:eastAsia="Times New Roman" w:hint="default"/>
        </w:rPr>
        <w:t>2</w:t>
      </w:r>
      <w:r>
        <w:rPr/>
        <w:t>）重要会计估计变更</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4"/>
        <w:spacing w:line="240" w:lineRule="auto"/>
        <w:ind w:right="0"/>
        <w:jc w:val="left"/>
        <w:rPr>
          <w:b w:val="0"/>
          <w:bCs w:val="0"/>
        </w:rPr>
      </w:pPr>
      <w:bookmarkStart w:name="（3）2019年起执行新金融工具准则、新收入准则或新租赁准则调整执行当年年初财务" w:id="222"/>
      <w:bookmarkEnd w:id="222"/>
      <w:r>
        <w:rPr>
          <w:b w:val="0"/>
          <w:bCs w:val="0"/>
        </w:rPr>
      </w:r>
      <w:r>
        <w:rPr/>
        <w:t>（</w:t>
      </w:r>
      <w:r>
        <w:rPr>
          <w:rFonts w:ascii="Times New Roman" w:hAnsi="Times New Roman" w:cs="Times New Roman" w:eastAsia="Times New Roman" w:hint="default"/>
        </w:rPr>
        <w:t>3</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15"/>
        </w:rPr>
        <w:t> </w:t>
      </w:r>
      <w:r>
        <w:rPr/>
        <w:t>年起执行新金融工具准则、新收入准则或新租赁准则调整执行当年年初财务报表相关项目情况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1133"/>
        <w:jc w:val="left"/>
        <w:rPr>
          <w:b w:val="0"/>
          <w:bCs w:val="0"/>
        </w:rPr>
      </w:pPr>
      <w:bookmarkStart w:name="（4）2019年起执行新金融工具准则或新租赁准则追溯调整前期比较数据说明" w:id="223"/>
      <w:bookmarkEnd w:id="223"/>
      <w:r>
        <w:rPr>
          <w:b w:val="0"/>
          <w:bCs w:val="0"/>
        </w:rPr>
      </w:r>
      <w:r>
        <w:rPr/>
        <w:t>（</w:t>
      </w:r>
      <w:r>
        <w:rPr>
          <w:rFonts w:ascii="Times New Roman" w:hAnsi="Times New Roman" w:cs="Times New Roman" w:eastAsia="Times New Roman" w:hint="default"/>
        </w:rPr>
        <w:t>4</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5"/>
        </w:rPr>
        <w:t> </w:t>
      </w:r>
      <w:r>
        <w:rPr/>
        <w:t>年起执行新金融工具准则或新租赁准则追溯调整前期比较数据说明</w:t>
      </w:r>
      <w:r>
        <w:rPr>
          <w:b w:val="0"/>
          <w:bCs w:val="0"/>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80" w:top="1060" w:bottom="1160" w:left="980" w:right="0"/>
        </w:sect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300" w:lineRule="auto" w:before="101"/>
        <w:ind w:left="566" w:right="0" w:firstLine="7"/>
        <w:jc w:val="left"/>
      </w:pPr>
      <w:r>
        <w:rPr>
          <w:rFonts w:ascii="Times New Roman" w:hAnsi="Times New Roman" w:cs="Times New Roman" w:eastAsia="Times New Roman" w:hint="default"/>
          <w:spacing w:val="-1"/>
        </w:rPr>
        <w:t>A</w:t>
      </w:r>
      <w:r>
        <w:rPr>
          <w:spacing w:val="-1"/>
        </w:rPr>
        <w:t>、首次执行日前后金融资产分类和计量对比表</w:t>
      </w:r>
      <w:r>
        <w:rPr>
          <w:spacing w:val="-78"/>
        </w:rPr>
        <w:t> </w:t>
      </w:r>
      <w:r>
        <w:rPr>
          <w:spacing w:val="-78"/>
        </w:rPr>
      </w:r>
      <w:r>
        <w:rPr>
          <w:rFonts w:ascii="Times New Roman" w:hAnsi="Times New Roman" w:cs="Times New Roman" w:eastAsia="Times New Roman" w:hint="default"/>
        </w:rPr>
        <w:t>a</w:t>
      </w:r>
      <w:r>
        <w:rPr/>
        <w:t>、对合并财务报表的影响</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3"/>
          <w:szCs w:val="23"/>
        </w:rPr>
      </w:pPr>
    </w:p>
    <w:p>
      <w:pPr>
        <w:pStyle w:val="BodyText"/>
        <w:spacing w:line="240" w:lineRule="auto"/>
        <w:ind w:right="0"/>
        <w:jc w:val="left"/>
      </w:pPr>
      <w:r>
        <w:rPr/>
        <w:t>单位：元</w:t>
      </w:r>
    </w:p>
    <w:p>
      <w:pPr>
        <w:spacing w:after="0" w:line="240" w:lineRule="auto"/>
        <w:jc w:val="left"/>
        <w:sectPr>
          <w:type w:val="continuous"/>
          <w:pgSz w:w="11910" w:h="16840"/>
          <w:pgMar w:top="1060" w:bottom="1160" w:left="980" w:right="0"/>
          <w:cols w:num="2" w:equalWidth="0">
            <w:col w:w="4303" w:space="4617"/>
            <w:col w:w="2010"/>
          </w:cols>
        </w:sectPr>
      </w:pPr>
    </w:p>
    <w:p>
      <w:pPr>
        <w:spacing w:line="240" w:lineRule="auto" w:before="9"/>
        <w:rPr>
          <w:rFonts w:ascii="宋体" w:hAnsi="宋体" w:cs="宋体" w:eastAsia="宋体" w:hint="default"/>
          <w:sz w:val="5"/>
          <w:szCs w:val="5"/>
        </w:rPr>
      </w:pPr>
    </w:p>
    <w:tbl>
      <w:tblPr>
        <w:tblW w:w="0" w:type="auto"/>
        <w:jc w:val="left"/>
        <w:tblInd w:w="138" w:type="dxa"/>
        <w:tblLayout w:type="fixed"/>
        <w:tblCellMar>
          <w:top w:w="0" w:type="dxa"/>
          <w:left w:w="0" w:type="dxa"/>
          <w:bottom w:w="0" w:type="dxa"/>
          <w:right w:w="0" w:type="dxa"/>
        </w:tblCellMar>
        <w:tblLook w:val="01E0"/>
      </w:tblPr>
      <w:tblGrid>
        <w:gridCol w:w="1882"/>
        <w:gridCol w:w="2809"/>
        <w:gridCol w:w="1438"/>
        <w:gridCol w:w="953"/>
        <w:gridCol w:w="2578"/>
      </w:tblGrid>
      <w:tr>
        <w:trPr>
          <w:trHeight w:val="415" w:hRule="exact"/>
        </w:trPr>
        <w:tc>
          <w:tcPr>
            <w:tcW w:w="18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28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left="3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日（变更前）</w:t>
            </w:r>
          </w:p>
        </w:tc>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left="443" w:right="0"/>
              <w:jc w:val="left"/>
              <w:rPr>
                <w:rFonts w:ascii="宋体" w:hAnsi="宋体" w:cs="宋体" w:eastAsia="宋体" w:hint="default"/>
                <w:sz w:val="18"/>
                <w:szCs w:val="18"/>
              </w:rPr>
            </w:pPr>
            <w:r>
              <w:rPr>
                <w:rFonts w:ascii="宋体" w:hAnsi="宋体" w:cs="宋体" w:eastAsia="宋体" w:hint="default"/>
                <w:sz w:val="18"/>
                <w:szCs w:val="18"/>
              </w:rPr>
              <w:t>重分类</w:t>
            </w:r>
          </w:p>
        </w:tc>
        <w:tc>
          <w:tcPr>
            <w:tcW w:w="9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left="110" w:right="0"/>
              <w:jc w:val="left"/>
              <w:rPr>
                <w:rFonts w:ascii="宋体" w:hAnsi="宋体" w:cs="宋体" w:eastAsia="宋体" w:hint="default"/>
                <w:sz w:val="18"/>
                <w:szCs w:val="18"/>
              </w:rPr>
            </w:pPr>
            <w:r>
              <w:rPr>
                <w:rFonts w:ascii="宋体" w:hAnsi="宋体" w:cs="宋体" w:eastAsia="宋体" w:hint="default"/>
                <w:sz w:val="18"/>
                <w:szCs w:val="18"/>
              </w:rPr>
              <w:t>重新计量</w:t>
            </w:r>
          </w:p>
        </w:tc>
        <w:tc>
          <w:tcPr>
            <w:tcW w:w="25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left="29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日（变更后）</w:t>
            </w:r>
          </w:p>
        </w:tc>
      </w:tr>
      <w:tr>
        <w:trPr>
          <w:trHeight w:val="421"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4" w:right="0"/>
              <w:jc w:val="left"/>
              <w:rPr>
                <w:rFonts w:ascii="宋体" w:hAnsi="宋体" w:cs="宋体" w:eastAsia="宋体" w:hint="default"/>
                <w:sz w:val="18"/>
                <w:szCs w:val="18"/>
              </w:rPr>
            </w:pPr>
            <w:r>
              <w:rPr>
                <w:rFonts w:ascii="宋体" w:hAnsi="宋体" w:cs="宋体" w:eastAsia="宋体" w:hint="default"/>
                <w:sz w:val="18"/>
                <w:szCs w:val="18"/>
              </w:rPr>
              <w:t>资产：</w:t>
            </w:r>
          </w:p>
        </w:tc>
        <w:tc>
          <w:tcPr>
            <w:tcW w:w="2809"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c>
          <w:tcPr>
            <w:tcW w:w="953" w:type="dxa"/>
            <w:tcBorders>
              <w:top w:val="single" w:sz="4" w:space="0" w:color="000000"/>
              <w:left w:val="single" w:sz="4" w:space="0" w:color="000000"/>
              <w:bottom w:val="single" w:sz="4" w:space="0" w:color="000000"/>
              <w:right w:val="single" w:sz="4" w:space="0" w:color="000000"/>
            </w:tcBorders>
          </w:tcPr>
          <w:p>
            <w:pPr/>
          </w:p>
        </w:tc>
        <w:tc>
          <w:tcPr>
            <w:tcW w:w="2578" w:type="dxa"/>
            <w:tcBorders>
              <w:top w:val="single" w:sz="4" w:space="0" w:color="000000"/>
              <w:left w:val="single" w:sz="4" w:space="0" w:color="000000"/>
              <w:bottom w:val="single" w:sz="4" w:space="0" w:color="000000"/>
              <w:right w:val="single" w:sz="4" w:space="0" w:color="000000"/>
            </w:tcBorders>
          </w:tcPr>
          <w:p>
            <w:pPr/>
          </w:p>
        </w:tc>
      </w:tr>
      <w:tr>
        <w:trPr>
          <w:trHeight w:val="420"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65"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2809"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3"/>
              <w:jc w:val="right"/>
              <w:rPr>
                <w:rFonts w:ascii="Times New Roman" w:hAnsi="Times New Roman" w:cs="Times New Roman" w:eastAsia="Times New Roman" w:hint="default"/>
                <w:sz w:val="18"/>
                <w:szCs w:val="18"/>
              </w:rPr>
            </w:pPr>
            <w:r>
              <w:rPr>
                <w:rFonts w:ascii="Times New Roman"/>
                <w:spacing w:val="-1"/>
                <w:sz w:val="18"/>
              </w:rPr>
              <w:t>45,000,000.00</w:t>
            </w:r>
          </w:p>
        </w:tc>
        <w:tc>
          <w:tcPr>
            <w:tcW w:w="953" w:type="dxa"/>
            <w:tcBorders>
              <w:top w:val="single" w:sz="4" w:space="0" w:color="000000"/>
              <w:left w:val="single" w:sz="4" w:space="0" w:color="000000"/>
              <w:bottom w:val="single" w:sz="4" w:space="0" w:color="000000"/>
              <w:right w:val="single" w:sz="4" w:space="0" w:color="000000"/>
            </w:tcBorders>
          </w:tcPr>
          <w:p>
            <w:pPr/>
          </w:p>
        </w:tc>
        <w:tc>
          <w:tcPr>
            <w:tcW w:w="2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45,000,000.00</w:t>
            </w:r>
          </w:p>
        </w:tc>
      </w:tr>
      <w:tr>
        <w:trPr>
          <w:trHeight w:val="422"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365"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107,778,935.20</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right"/>
              <w:rPr>
                <w:rFonts w:ascii="Times New Roman" w:hAnsi="Times New Roman" w:cs="Times New Roman" w:eastAsia="Times New Roman" w:hint="default"/>
                <w:sz w:val="18"/>
                <w:szCs w:val="18"/>
              </w:rPr>
            </w:pPr>
            <w:r>
              <w:rPr>
                <w:rFonts w:ascii="Times New Roman"/>
                <w:spacing w:val="-1"/>
                <w:sz w:val="18"/>
              </w:rPr>
              <w:t>-45,000,000.00</w:t>
            </w:r>
          </w:p>
        </w:tc>
        <w:tc>
          <w:tcPr>
            <w:tcW w:w="953" w:type="dxa"/>
            <w:tcBorders>
              <w:top w:val="single" w:sz="4" w:space="0" w:color="000000"/>
              <w:left w:val="single" w:sz="4" w:space="0" w:color="000000"/>
              <w:bottom w:val="single" w:sz="4" w:space="0" w:color="000000"/>
              <w:right w:val="single" w:sz="4" w:space="0" w:color="000000"/>
            </w:tcBorders>
          </w:tcPr>
          <w:p>
            <w:pPr/>
          </w:p>
        </w:tc>
        <w:tc>
          <w:tcPr>
            <w:tcW w:w="2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62,778,935.20</w:t>
            </w:r>
          </w:p>
        </w:tc>
      </w:tr>
      <w:tr>
        <w:trPr>
          <w:trHeight w:val="421"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65"/>
              <w:jc w:val="righ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85,975,000.00</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3"/>
              <w:jc w:val="right"/>
              <w:rPr>
                <w:rFonts w:ascii="Times New Roman" w:hAnsi="Times New Roman" w:cs="Times New Roman" w:eastAsia="Times New Roman" w:hint="default"/>
                <w:sz w:val="18"/>
                <w:szCs w:val="18"/>
              </w:rPr>
            </w:pPr>
            <w:r>
              <w:rPr>
                <w:rFonts w:ascii="Times New Roman"/>
                <w:spacing w:val="-1"/>
                <w:sz w:val="18"/>
              </w:rPr>
              <w:t>-85,975,000.00</w:t>
            </w:r>
          </w:p>
        </w:tc>
        <w:tc>
          <w:tcPr>
            <w:tcW w:w="953" w:type="dxa"/>
            <w:tcBorders>
              <w:top w:val="single" w:sz="4" w:space="0" w:color="000000"/>
              <w:left w:val="single" w:sz="4" w:space="0" w:color="000000"/>
              <w:bottom w:val="single" w:sz="4" w:space="0" w:color="000000"/>
              <w:right w:val="single" w:sz="4" w:space="0" w:color="000000"/>
            </w:tcBorders>
          </w:tcPr>
          <w:p>
            <w:pPr/>
          </w:p>
        </w:tc>
        <w:tc>
          <w:tcPr>
            <w:tcW w:w="2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22"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65"/>
              <w:jc w:val="righ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2809"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right"/>
              <w:rPr>
                <w:rFonts w:ascii="Times New Roman" w:hAnsi="Times New Roman" w:cs="Times New Roman" w:eastAsia="Times New Roman" w:hint="default"/>
                <w:sz w:val="18"/>
                <w:szCs w:val="18"/>
              </w:rPr>
            </w:pPr>
            <w:r>
              <w:rPr>
                <w:rFonts w:ascii="Times New Roman"/>
                <w:spacing w:val="-1"/>
                <w:sz w:val="18"/>
              </w:rPr>
              <w:t>85,975,000.00</w:t>
            </w:r>
          </w:p>
        </w:tc>
        <w:tc>
          <w:tcPr>
            <w:tcW w:w="953" w:type="dxa"/>
            <w:tcBorders>
              <w:top w:val="single" w:sz="4" w:space="0" w:color="000000"/>
              <w:left w:val="single" w:sz="4" w:space="0" w:color="000000"/>
              <w:bottom w:val="single" w:sz="4" w:space="0" w:color="000000"/>
              <w:right w:val="single" w:sz="4" w:space="0" w:color="000000"/>
            </w:tcBorders>
          </w:tcPr>
          <w:p>
            <w:pPr/>
          </w:p>
        </w:tc>
        <w:tc>
          <w:tcPr>
            <w:tcW w:w="2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85,975,000.00</w:t>
            </w:r>
          </w:p>
        </w:tc>
      </w:tr>
    </w:tbl>
    <w:p>
      <w:pPr>
        <w:spacing w:line="240" w:lineRule="auto" w:before="1"/>
        <w:rPr>
          <w:rFonts w:ascii="宋体" w:hAnsi="宋体" w:cs="宋体" w:eastAsia="宋体" w:hint="default"/>
          <w:sz w:val="21"/>
          <w:szCs w:val="21"/>
        </w:rPr>
      </w:pPr>
    </w:p>
    <w:p>
      <w:pPr>
        <w:pStyle w:val="BodyText"/>
        <w:spacing w:line="240" w:lineRule="auto" w:before="44"/>
        <w:ind w:left="573" w:right="1133"/>
        <w:jc w:val="left"/>
      </w:pPr>
      <w:r>
        <w:rPr>
          <w:rFonts w:ascii="Times New Roman" w:hAnsi="Times New Roman" w:cs="Times New Roman" w:eastAsia="Times New Roman" w:hint="default"/>
        </w:rPr>
        <w:t>b</w:t>
      </w:r>
      <w:r>
        <w:rPr/>
        <w:t>、对母公司财务报表的影响</w:t>
      </w:r>
    </w:p>
    <w:p>
      <w:pPr>
        <w:pStyle w:val="BodyText"/>
        <w:spacing w:line="240" w:lineRule="auto" w:before="63"/>
        <w:ind w:left="0" w:right="1131"/>
        <w:jc w:val="right"/>
      </w:pPr>
      <w:r>
        <w:rPr/>
        <w:t>单位：元</w:t>
      </w:r>
    </w:p>
    <w:p>
      <w:pPr>
        <w:spacing w:line="240" w:lineRule="auto" w:before="8"/>
        <w:rPr>
          <w:rFonts w:ascii="宋体" w:hAnsi="宋体" w:cs="宋体" w:eastAsia="宋体" w:hint="default"/>
          <w:sz w:val="5"/>
          <w:szCs w:val="5"/>
        </w:rPr>
      </w:pPr>
    </w:p>
    <w:tbl>
      <w:tblPr>
        <w:tblW w:w="0" w:type="auto"/>
        <w:jc w:val="left"/>
        <w:tblInd w:w="138" w:type="dxa"/>
        <w:tblLayout w:type="fixed"/>
        <w:tblCellMar>
          <w:top w:w="0" w:type="dxa"/>
          <w:left w:w="0" w:type="dxa"/>
          <w:bottom w:w="0" w:type="dxa"/>
          <w:right w:w="0" w:type="dxa"/>
        </w:tblCellMar>
        <w:tblLook w:val="01E0"/>
      </w:tblPr>
      <w:tblGrid>
        <w:gridCol w:w="1882"/>
        <w:gridCol w:w="2809"/>
        <w:gridCol w:w="1438"/>
        <w:gridCol w:w="953"/>
        <w:gridCol w:w="2578"/>
      </w:tblGrid>
      <w:tr>
        <w:trPr>
          <w:trHeight w:val="415" w:hRule="exact"/>
        </w:trPr>
        <w:tc>
          <w:tcPr>
            <w:tcW w:w="18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28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31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日（变更前）</w:t>
            </w:r>
          </w:p>
        </w:tc>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43" w:right="0"/>
              <w:jc w:val="left"/>
              <w:rPr>
                <w:rFonts w:ascii="宋体" w:hAnsi="宋体" w:cs="宋体" w:eastAsia="宋体" w:hint="default"/>
                <w:sz w:val="18"/>
                <w:szCs w:val="18"/>
              </w:rPr>
            </w:pPr>
            <w:r>
              <w:rPr>
                <w:rFonts w:ascii="宋体" w:hAnsi="宋体" w:cs="宋体" w:eastAsia="宋体" w:hint="default"/>
                <w:sz w:val="18"/>
                <w:szCs w:val="18"/>
              </w:rPr>
              <w:t>重分类</w:t>
            </w:r>
          </w:p>
        </w:tc>
        <w:tc>
          <w:tcPr>
            <w:tcW w:w="9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10" w:right="0"/>
              <w:jc w:val="left"/>
              <w:rPr>
                <w:rFonts w:ascii="宋体" w:hAnsi="宋体" w:cs="宋体" w:eastAsia="宋体" w:hint="default"/>
                <w:sz w:val="18"/>
                <w:szCs w:val="18"/>
              </w:rPr>
            </w:pPr>
            <w:r>
              <w:rPr>
                <w:rFonts w:ascii="宋体" w:hAnsi="宋体" w:cs="宋体" w:eastAsia="宋体" w:hint="default"/>
                <w:sz w:val="18"/>
                <w:szCs w:val="18"/>
              </w:rPr>
              <w:t>重新计量</w:t>
            </w:r>
          </w:p>
        </w:tc>
        <w:tc>
          <w:tcPr>
            <w:tcW w:w="25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9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日（变更后）</w:t>
            </w:r>
          </w:p>
        </w:tc>
      </w:tr>
      <w:tr>
        <w:trPr>
          <w:trHeight w:val="422"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资产：</w:t>
            </w:r>
          </w:p>
        </w:tc>
        <w:tc>
          <w:tcPr>
            <w:tcW w:w="2809"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c>
          <w:tcPr>
            <w:tcW w:w="953" w:type="dxa"/>
            <w:tcBorders>
              <w:top w:val="single" w:sz="4" w:space="0" w:color="000000"/>
              <w:left w:val="single" w:sz="4" w:space="0" w:color="000000"/>
              <w:bottom w:val="single" w:sz="4" w:space="0" w:color="000000"/>
              <w:right w:val="single" w:sz="4" w:space="0" w:color="000000"/>
            </w:tcBorders>
          </w:tcPr>
          <w:p>
            <w:pPr/>
          </w:p>
        </w:tc>
        <w:tc>
          <w:tcPr>
            <w:tcW w:w="2578" w:type="dxa"/>
            <w:tcBorders>
              <w:top w:val="single" w:sz="4" w:space="0" w:color="000000"/>
              <w:left w:val="single" w:sz="4" w:space="0" w:color="000000"/>
              <w:bottom w:val="single" w:sz="4" w:space="0" w:color="000000"/>
              <w:right w:val="single" w:sz="4" w:space="0" w:color="000000"/>
            </w:tcBorders>
          </w:tcPr>
          <w:p>
            <w:pPr/>
          </w:p>
        </w:tc>
      </w:tr>
      <w:tr>
        <w:trPr>
          <w:trHeight w:val="420"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65"/>
              <w:jc w:val="righ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1759" w:right="0"/>
              <w:jc w:val="left"/>
              <w:rPr>
                <w:rFonts w:ascii="Times New Roman" w:hAnsi="Times New Roman" w:cs="Times New Roman" w:eastAsia="Times New Roman" w:hint="default"/>
                <w:sz w:val="18"/>
                <w:szCs w:val="18"/>
              </w:rPr>
            </w:pPr>
            <w:r>
              <w:rPr>
                <w:rFonts w:ascii="Times New Roman"/>
                <w:sz w:val="18"/>
              </w:rPr>
              <w:t>85,975,000.00</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3"/>
              <w:jc w:val="right"/>
              <w:rPr>
                <w:rFonts w:ascii="Times New Roman" w:hAnsi="Times New Roman" w:cs="Times New Roman" w:eastAsia="Times New Roman" w:hint="default"/>
                <w:sz w:val="18"/>
                <w:szCs w:val="18"/>
              </w:rPr>
            </w:pPr>
            <w:r>
              <w:rPr>
                <w:rFonts w:ascii="Times New Roman"/>
                <w:spacing w:val="-1"/>
                <w:sz w:val="18"/>
              </w:rPr>
              <w:t>-85,975,000.00</w:t>
            </w:r>
          </w:p>
        </w:tc>
        <w:tc>
          <w:tcPr>
            <w:tcW w:w="953" w:type="dxa"/>
            <w:tcBorders>
              <w:top w:val="single" w:sz="4" w:space="0" w:color="000000"/>
              <w:left w:val="single" w:sz="4" w:space="0" w:color="000000"/>
              <w:bottom w:val="single" w:sz="4" w:space="0" w:color="000000"/>
              <w:right w:val="single" w:sz="4" w:space="0" w:color="000000"/>
            </w:tcBorders>
          </w:tcPr>
          <w:p>
            <w:pPr/>
          </w:p>
        </w:tc>
        <w:tc>
          <w:tcPr>
            <w:tcW w:w="2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22" w:hRule="exact"/>
        </w:trPr>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65"/>
              <w:jc w:val="righ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2809"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3"/>
              <w:jc w:val="right"/>
              <w:rPr>
                <w:rFonts w:ascii="Times New Roman" w:hAnsi="Times New Roman" w:cs="Times New Roman" w:eastAsia="Times New Roman" w:hint="default"/>
                <w:sz w:val="18"/>
                <w:szCs w:val="18"/>
              </w:rPr>
            </w:pPr>
            <w:r>
              <w:rPr>
                <w:rFonts w:ascii="Times New Roman"/>
                <w:spacing w:val="-1"/>
                <w:sz w:val="18"/>
              </w:rPr>
              <w:t>85,975,000.00</w:t>
            </w:r>
          </w:p>
        </w:tc>
        <w:tc>
          <w:tcPr>
            <w:tcW w:w="953" w:type="dxa"/>
            <w:tcBorders>
              <w:top w:val="single" w:sz="4" w:space="0" w:color="000000"/>
              <w:left w:val="single" w:sz="4" w:space="0" w:color="000000"/>
              <w:bottom w:val="single" w:sz="4" w:space="0" w:color="000000"/>
              <w:right w:val="single" w:sz="4" w:space="0" w:color="000000"/>
            </w:tcBorders>
          </w:tcPr>
          <w:p>
            <w:pPr/>
          </w:p>
        </w:tc>
        <w:tc>
          <w:tcPr>
            <w:tcW w:w="2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85,975,000.00</w:t>
            </w:r>
          </w:p>
        </w:tc>
      </w:tr>
    </w:tbl>
    <w:p>
      <w:pPr>
        <w:pStyle w:val="BodyText"/>
        <w:spacing w:line="240" w:lineRule="auto" w:before="8"/>
        <w:ind w:left="573" w:right="0"/>
        <w:jc w:val="left"/>
      </w:pPr>
      <w:r>
        <w:rPr>
          <w:rFonts w:ascii="Times New Roman" w:hAnsi="Times New Roman" w:cs="Times New Roman" w:eastAsia="Times New Roman" w:hint="default"/>
        </w:rPr>
        <w:t>B</w:t>
      </w:r>
      <w:r>
        <w:rPr/>
        <w:t>、首次执行日，原金融资产账面价值调整为按照新金融工具准则的规定进行分类和计量的新金融资产账面价值的调节</w:t>
      </w:r>
    </w:p>
    <w:p>
      <w:pPr>
        <w:pStyle w:val="BodyText"/>
        <w:spacing w:line="240" w:lineRule="auto" w:before="63"/>
        <w:ind w:right="1133"/>
        <w:jc w:val="left"/>
      </w:pPr>
      <w:r>
        <w:rPr/>
        <w:t>表</w:t>
      </w:r>
    </w:p>
    <w:p>
      <w:pPr>
        <w:spacing w:line="240" w:lineRule="auto" w:before="4"/>
        <w:rPr>
          <w:rFonts w:ascii="宋体" w:hAnsi="宋体" w:cs="宋体" w:eastAsia="宋体" w:hint="default"/>
          <w:sz w:val="26"/>
          <w:szCs w:val="26"/>
        </w:rPr>
      </w:pPr>
    </w:p>
    <w:p>
      <w:pPr>
        <w:pStyle w:val="BodyText"/>
        <w:spacing w:line="240" w:lineRule="auto" w:before="44"/>
        <w:ind w:left="573" w:right="1133"/>
        <w:jc w:val="left"/>
      </w:pPr>
      <w:r>
        <w:rPr>
          <w:rFonts w:ascii="Times New Roman" w:hAnsi="Times New Roman" w:cs="Times New Roman" w:eastAsia="Times New Roman" w:hint="default"/>
        </w:rPr>
        <w:t>a</w:t>
      </w:r>
      <w:r>
        <w:rPr/>
        <w:t>、对合并报表的影响</w:t>
      </w:r>
    </w:p>
    <w:p>
      <w:pPr>
        <w:pStyle w:val="BodyText"/>
        <w:spacing w:line="240" w:lineRule="auto" w:before="63"/>
        <w:ind w:left="0" w:right="1131"/>
        <w:jc w:val="right"/>
      </w:pPr>
      <w:r>
        <w:rPr/>
        <w:t>单位：元</w:t>
      </w:r>
    </w:p>
    <w:p>
      <w:pPr>
        <w:spacing w:line="240" w:lineRule="auto" w:before="3"/>
        <w:rPr>
          <w:rFonts w:ascii="宋体" w:hAnsi="宋体" w:cs="宋体" w:eastAsia="宋体" w:hint="default"/>
          <w:sz w:val="5"/>
          <w:szCs w:val="5"/>
        </w:rPr>
      </w:pPr>
    </w:p>
    <w:tbl>
      <w:tblPr>
        <w:tblW w:w="0" w:type="auto"/>
        <w:jc w:val="left"/>
        <w:tblInd w:w="138" w:type="dxa"/>
        <w:tblLayout w:type="fixed"/>
        <w:tblCellMar>
          <w:top w:w="0" w:type="dxa"/>
          <w:left w:w="0" w:type="dxa"/>
          <w:bottom w:w="0" w:type="dxa"/>
          <w:right w:w="0" w:type="dxa"/>
        </w:tblCellMar>
        <w:tblLook w:val="01E0"/>
      </w:tblPr>
      <w:tblGrid>
        <w:gridCol w:w="2067"/>
        <w:gridCol w:w="742"/>
        <w:gridCol w:w="1058"/>
        <w:gridCol w:w="1464"/>
        <w:gridCol w:w="3272"/>
        <w:gridCol w:w="1056"/>
      </w:tblGrid>
      <w:tr>
        <w:trPr>
          <w:trHeight w:val="420" w:hRule="exact"/>
        </w:trPr>
        <w:tc>
          <w:tcPr>
            <w:tcW w:w="386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2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日（变更前）</w:t>
            </w:r>
          </w:p>
        </w:tc>
        <w:tc>
          <w:tcPr>
            <w:tcW w:w="579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0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日（变更后）</w:t>
            </w:r>
          </w:p>
        </w:tc>
      </w:tr>
      <w:tr>
        <w:trPr>
          <w:trHeight w:val="421" w:hRule="exact"/>
        </w:trPr>
        <w:tc>
          <w:tcPr>
            <w:tcW w:w="20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计量类别</w:t>
            </w:r>
          </w:p>
        </w:tc>
        <w:tc>
          <w:tcPr>
            <w:tcW w:w="1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14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 w:right="0"/>
              <w:jc w:val="center"/>
              <w:rPr>
                <w:rFonts w:ascii="宋体" w:hAnsi="宋体" w:cs="宋体" w:eastAsia="宋体" w:hint="default"/>
                <w:sz w:val="18"/>
                <w:szCs w:val="18"/>
              </w:rPr>
            </w:pPr>
            <w:r>
              <w:rPr>
                <w:rFonts w:ascii="宋体" w:hAnsi="宋体" w:cs="宋体" w:eastAsia="宋体" w:hint="default"/>
                <w:sz w:val="18"/>
                <w:szCs w:val="18"/>
              </w:rPr>
              <w:t>计量类别</w:t>
            </w:r>
          </w:p>
        </w:tc>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r>
      <w:tr>
        <w:trPr>
          <w:trHeight w:val="421" w:hRule="exact"/>
        </w:trPr>
        <w:tc>
          <w:tcPr>
            <w:tcW w:w="2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4" w:right="0"/>
              <w:jc w:val="left"/>
              <w:rPr>
                <w:rFonts w:ascii="宋体" w:hAnsi="宋体" w:cs="宋体" w:eastAsia="宋体" w:hint="default"/>
                <w:sz w:val="18"/>
                <w:szCs w:val="18"/>
              </w:rPr>
            </w:pPr>
            <w:r>
              <w:rPr>
                <w:rFonts w:ascii="宋体" w:hAnsi="宋体" w:cs="宋体" w:eastAsia="宋体" w:hint="default"/>
                <w:sz w:val="18"/>
                <w:szCs w:val="18"/>
              </w:rPr>
              <w:t>其他流动资产</w:t>
            </w:r>
            <w:r>
              <w:rPr>
                <w:rFonts w:ascii="Times New Roman" w:hAnsi="Times New Roman" w:cs="Times New Roman" w:eastAsia="Times New Roman" w:hint="default"/>
                <w:sz w:val="18"/>
                <w:szCs w:val="18"/>
              </w:rPr>
              <w:t>-</w:t>
            </w:r>
            <w:r>
              <w:rPr>
                <w:rFonts w:ascii="宋体" w:hAnsi="宋体" w:cs="宋体" w:eastAsia="宋体" w:hint="default"/>
                <w:sz w:val="18"/>
                <w:szCs w:val="18"/>
              </w:rPr>
              <w:t>结构性存款</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
              <w:jc w:val="center"/>
              <w:rPr>
                <w:rFonts w:ascii="宋体" w:hAnsi="宋体" w:cs="宋体" w:eastAsia="宋体" w:hint="default"/>
                <w:sz w:val="18"/>
                <w:szCs w:val="18"/>
              </w:rPr>
            </w:pPr>
            <w:r>
              <w:rPr>
                <w:rFonts w:ascii="宋体" w:hAnsi="宋体" w:cs="宋体" w:eastAsia="宋体" w:hint="default"/>
                <w:sz w:val="18"/>
                <w:szCs w:val="18"/>
              </w:rPr>
              <w:t>摊余成本</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4" w:right="0"/>
              <w:jc w:val="center"/>
              <w:rPr>
                <w:rFonts w:ascii="Times New Roman" w:hAnsi="Times New Roman" w:cs="Times New Roman" w:eastAsia="Times New Roman" w:hint="default"/>
                <w:sz w:val="18"/>
                <w:szCs w:val="18"/>
              </w:rPr>
            </w:pPr>
            <w:r>
              <w:rPr>
                <w:rFonts w:ascii="Times New Roman"/>
                <w:sz w:val="18"/>
              </w:rPr>
              <w:t>45,000,000.00</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7"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3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7" w:right="0"/>
              <w:jc w:val="left"/>
              <w:rPr>
                <w:rFonts w:ascii="宋体" w:hAnsi="宋体" w:cs="宋体" w:eastAsia="宋体" w:hint="default"/>
                <w:sz w:val="18"/>
                <w:szCs w:val="18"/>
              </w:rPr>
            </w:pPr>
            <w:r>
              <w:rPr>
                <w:rFonts w:ascii="宋体" w:hAnsi="宋体" w:cs="宋体" w:eastAsia="宋体" w:hint="default"/>
                <w:sz w:val="18"/>
                <w:szCs w:val="18"/>
              </w:rPr>
              <w:t>以公允价值计量且变动计入当期损益</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2" w:right="0"/>
              <w:jc w:val="center"/>
              <w:rPr>
                <w:rFonts w:ascii="Times New Roman" w:hAnsi="Times New Roman" w:cs="Times New Roman" w:eastAsia="Times New Roman" w:hint="default"/>
                <w:sz w:val="18"/>
                <w:szCs w:val="18"/>
              </w:rPr>
            </w:pPr>
            <w:r>
              <w:rPr>
                <w:rFonts w:ascii="Times New Roman"/>
                <w:sz w:val="18"/>
              </w:rPr>
              <w:t>45,000,000.00</w:t>
            </w:r>
          </w:p>
        </w:tc>
      </w:tr>
      <w:tr>
        <w:trPr>
          <w:trHeight w:val="422" w:hRule="exact"/>
        </w:trPr>
        <w:tc>
          <w:tcPr>
            <w:tcW w:w="2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2"/>
              <w:jc w:val="center"/>
              <w:rPr>
                <w:rFonts w:ascii="宋体" w:hAnsi="宋体" w:cs="宋体" w:eastAsia="宋体" w:hint="default"/>
                <w:sz w:val="18"/>
                <w:szCs w:val="18"/>
              </w:rPr>
            </w:pPr>
            <w:r>
              <w:rPr>
                <w:rFonts w:ascii="宋体" w:hAnsi="宋体" w:cs="宋体" w:eastAsia="宋体" w:hint="default"/>
                <w:sz w:val="18"/>
                <w:szCs w:val="18"/>
              </w:rPr>
              <w:t>成本计量</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4" w:right="0"/>
              <w:jc w:val="center"/>
              <w:rPr>
                <w:rFonts w:ascii="Times New Roman" w:hAnsi="Times New Roman" w:cs="Times New Roman" w:eastAsia="Times New Roman" w:hint="default"/>
                <w:sz w:val="18"/>
                <w:szCs w:val="18"/>
              </w:rPr>
            </w:pPr>
            <w:r>
              <w:rPr>
                <w:rFonts w:ascii="Times New Roman"/>
                <w:sz w:val="18"/>
              </w:rPr>
              <w:t>85,975,000.00</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3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以公允价值计量且变动计入其他综合收益</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85,975,000.00</w:t>
            </w:r>
          </w:p>
        </w:tc>
      </w:tr>
    </w:tbl>
    <w:p>
      <w:pPr>
        <w:spacing w:line="240" w:lineRule="auto" w:before="1"/>
        <w:rPr>
          <w:rFonts w:ascii="宋体" w:hAnsi="宋体" w:cs="宋体" w:eastAsia="宋体" w:hint="default"/>
          <w:sz w:val="21"/>
          <w:szCs w:val="21"/>
        </w:rPr>
      </w:pPr>
    </w:p>
    <w:p>
      <w:pPr>
        <w:pStyle w:val="BodyText"/>
        <w:spacing w:line="240" w:lineRule="auto" w:before="44"/>
        <w:ind w:left="573" w:right="1133"/>
        <w:jc w:val="left"/>
      </w:pPr>
      <w:r>
        <w:rPr>
          <w:rFonts w:ascii="Times New Roman" w:hAnsi="Times New Roman" w:cs="Times New Roman" w:eastAsia="Times New Roman" w:hint="default"/>
        </w:rPr>
        <w:t>b</w:t>
      </w:r>
      <w:r>
        <w:rPr/>
        <w:t>、对母公司财务报表的影响</w:t>
      </w:r>
    </w:p>
    <w:p>
      <w:pPr>
        <w:pStyle w:val="BodyText"/>
        <w:spacing w:line="240" w:lineRule="auto" w:before="63"/>
        <w:ind w:left="0" w:right="1131"/>
        <w:jc w:val="right"/>
      </w:pPr>
      <w:r>
        <w:rPr/>
        <w:t>单位：元</w:t>
      </w:r>
    </w:p>
    <w:p>
      <w:pPr>
        <w:spacing w:line="240" w:lineRule="auto" w:before="3"/>
        <w:rPr>
          <w:rFonts w:ascii="宋体" w:hAnsi="宋体" w:cs="宋体" w:eastAsia="宋体" w:hint="default"/>
          <w:sz w:val="5"/>
          <w:szCs w:val="5"/>
        </w:rPr>
      </w:pPr>
    </w:p>
    <w:tbl>
      <w:tblPr>
        <w:tblW w:w="0" w:type="auto"/>
        <w:jc w:val="left"/>
        <w:tblInd w:w="138" w:type="dxa"/>
        <w:tblLayout w:type="fixed"/>
        <w:tblCellMar>
          <w:top w:w="0" w:type="dxa"/>
          <w:left w:w="0" w:type="dxa"/>
          <w:bottom w:w="0" w:type="dxa"/>
          <w:right w:w="0" w:type="dxa"/>
        </w:tblCellMar>
        <w:tblLook w:val="01E0"/>
      </w:tblPr>
      <w:tblGrid>
        <w:gridCol w:w="1560"/>
        <w:gridCol w:w="792"/>
        <w:gridCol w:w="1129"/>
        <w:gridCol w:w="1560"/>
        <w:gridCol w:w="3488"/>
        <w:gridCol w:w="1130"/>
      </w:tblGrid>
      <w:tr>
        <w:trPr>
          <w:trHeight w:val="420" w:hRule="exact"/>
        </w:trPr>
        <w:tc>
          <w:tcPr>
            <w:tcW w:w="348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8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日（变更前）</w:t>
            </w:r>
          </w:p>
        </w:tc>
        <w:tc>
          <w:tcPr>
            <w:tcW w:w="617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27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日（变更后）</w:t>
            </w:r>
          </w:p>
        </w:tc>
      </w:tr>
      <w:tr>
        <w:trPr>
          <w:trHeight w:val="420"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0"/>
              <w:jc w:val="center"/>
              <w:rPr>
                <w:rFonts w:ascii="宋体" w:hAnsi="宋体" w:cs="宋体" w:eastAsia="宋体" w:hint="default"/>
                <w:sz w:val="18"/>
                <w:szCs w:val="18"/>
              </w:rPr>
            </w:pPr>
            <w:r>
              <w:rPr>
                <w:rFonts w:ascii="宋体" w:hAnsi="宋体" w:cs="宋体" w:eastAsia="宋体" w:hint="default"/>
                <w:sz w:val="18"/>
                <w:szCs w:val="18"/>
              </w:rPr>
              <w:t>计量类别</w:t>
            </w:r>
          </w:p>
        </w:tc>
        <w:tc>
          <w:tcPr>
            <w:tcW w:w="11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4"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2" w:right="0"/>
              <w:jc w:val="center"/>
              <w:rPr>
                <w:rFonts w:ascii="宋体" w:hAnsi="宋体" w:cs="宋体" w:eastAsia="宋体" w:hint="default"/>
                <w:sz w:val="18"/>
                <w:szCs w:val="18"/>
              </w:rPr>
            </w:pPr>
            <w:r>
              <w:rPr>
                <w:rFonts w:ascii="宋体" w:hAnsi="宋体" w:cs="宋体" w:eastAsia="宋体" w:hint="default"/>
                <w:sz w:val="18"/>
                <w:szCs w:val="18"/>
              </w:rPr>
              <w:t>计量类别</w:t>
            </w:r>
          </w:p>
        </w:tc>
        <w:tc>
          <w:tcPr>
            <w:tcW w:w="11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2" w:right="0"/>
              <w:jc w:val="center"/>
              <w:rPr>
                <w:rFonts w:ascii="宋体" w:hAnsi="宋体" w:cs="宋体" w:eastAsia="宋体" w:hint="default"/>
                <w:sz w:val="18"/>
                <w:szCs w:val="18"/>
              </w:rPr>
            </w:pPr>
            <w:r>
              <w:rPr>
                <w:rFonts w:ascii="宋体" w:hAnsi="宋体" w:cs="宋体" w:eastAsia="宋体" w:hint="default"/>
                <w:sz w:val="18"/>
                <w:szCs w:val="18"/>
              </w:rPr>
              <w:t>账面价值</w:t>
            </w:r>
          </w:p>
        </w:tc>
      </w:tr>
      <w:tr>
        <w:trPr>
          <w:trHeight w:val="422"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center"/>
              <w:rPr>
                <w:rFonts w:ascii="宋体" w:hAnsi="宋体" w:cs="宋体" w:eastAsia="宋体" w:hint="default"/>
                <w:sz w:val="18"/>
                <w:szCs w:val="18"/>
              </w:rPr>
            </w:pPr>
            <w:r>
              <w:rPr>
                <w:rFonts w:ascii="宋体" w:hAnsi="宋体" w:cs="宋体" w:eastAsia="宋体" w:hint="default"/>
                <w:sz w:val="18"/>
                <w:szCs w:val="18"/>
              </w:rPr>
              <w:t>可供出售金融资产</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50"/>
              <w:jc w:val="center"/>
              <w:rPr>
                <w:rFonts w:ascii="宋体" w:hAnsi="宋体" w:cs="宋体" w:eastAsia="宋体" w:hint="default"/>
                <w:sz w:val="18"/>
                <w:szCs w:val="18"/>
              </w:rPr>
            </w:pPr>
            <w:r>
              <w:rPr>
                <w:rFonts w:ascii="宋体" w:hAnsi="宋体" w:cs="宋体" w:eastAsia="宋体" w:hint="default"/>
                <w:sz w:val="18"/>
                <w:szCs w:val="18"/>
              </w:rPr>
              <w:t>成本计量</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78" w:right="0"/>
              <w:jc w:val="center"/>
              <w:rPr>
                <w:rFonts w:ascii="Times New Roman" w:hAnsi="Times New Roman" w:cs="Times New Roman" w:eastAsia="Times New Roman" w:hint="default"/>
                <w:sz w:val="18"/>
                <w:szCs w:val="18"/>
              </w:rPr>
            </w:pPr>
            <w:r>
              <w:rPr>
                <w:rFonts w:ascii="Times New Roman"/>
                <w:sz w:val="18"/>
              </w:rPr>
              <w:t>85,975,000.00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8"/>
              <w:jc w:val="center"/>
              <w:rPr>
                <w:rFonts w:ascii="宋体" w:hAnsi="宋体" w:cs="宋体" w:eastAsia="宋体" w:hint="default"/>
                <w:sz w:val="18"/>
                <w:szCs w:val="18"/>
              </w:rPr>
            </w:pPr>
            <w:r>
              <w:rPr>
                <w:rFonts w:ascii="宋体" w:hAnsi="宋体" w:cs="宋体" w:eastAsia="宋体" w:hint="default"/>
                <w:sz w:val="18"/>
                <w:szCs w:val="18"/>
              </w:rPr>
              <w:t>其他权益工具投资</w:t>
            </w:r>
          </w:p>
        </w:tc>
        <w:tc>
          <w:tcPr>
            <w:tcW w:w="3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宋体" w:hAnsi="宋体" w:cs="宋体" w:eastAsia="宋体" w:hint="default"/>
                <w:sz w:val="18"/>
                <w:szCs w:val="18"/>
              </w:rPr>
            </w:pPr>
            <w:r>
              <w:rPr>
                <w:rFonts w:ascii="宋体" w:hAnsi="宋体" w:cs="宋体" w:eastAsia="宋体" w:hint="default"/>
                <w:sz w:val="18"/>
                <w:szCs w:val="18"/>
              </w:rPr>
              <w:t>以公允价值计量且变动计入其他综合收益</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81" w:right="0"/>
              <w:jc w:val="center"/>
              <w:rPr>
                <w:rFonts w:ascii="Times New Roman" w:hAnsi="Times New Roman" w:cs="Times New Roman" w:eastAsia="Times New Roman" w:hint="default"/>
                <w:sz w:val="18"/>
                <w:szCs w:val="18"/>
              </w:rPr>
            </w:pPr>
            <w:r>
              <w:rPr>
                <w:rFonts w:ascii="Times New Roman"/>
                <w:sz w:val="18"/>
              </w:rPr>
              <w:t>85,975,000.00</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35、其他" w:id="224"/>
      <w:bookmarkEnd w:id="224"/>
      <w:r>
        <w:rPr>
          <w:b w:val="0"/>
          <w:bCs w:val="0"/>
        </w:rPr>
      </w:r>
      <w:r>
        <w:rPr>
          <w:rFonts w:ascii="Times New Roman" w:hAnsi="Times New Roman" w:cs="Times New Roman" w:eastAsia="Times New Roman" w:hint="default"/>
        </w:rPr>
        <w:t>35</w:t>
      </w:r>
      <w:r>
        <w:rPr/>
        <w:t>、其他</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573" w:right="1133"/>
        <w:jc w:val="left"/>
      </w:pPr>
      <w:r>
        <w:rPr/>
        <w:t>其他会计政策变更</w:t>
      </w:r>
    </w:p>
    <w:p>
      <w:pPr>
        <w:spacing w:after="0" w:line="240" w:lineRule="auto"/>
        <w:jc w:val="left"/>
        <w:sectPr>
          <w:type w:val="continuous"/>
          <w:pgSz w:w="11910" w:h="16840"/>
          <w:pgMar w:top="1060" w:bottom="1160" w:left="980" w:right="0"/>
        </w:sectPr>
      </w:pPr>
    </w:p>
    <w:p>
      <w:pPr>
        <w:spacing w:line="240" w:lineRule="auto" w:before="9"/>
        <w:rPr>
          <w:rFonts w:ascii="宋体" w:hAnsi="宋体" w:cs="宋体" w:eastAsia="宋体" w:hint="default"/>
          <w:sz w:val="25"/>
          <w:szCs w:val="25"/>
        </w:rPr>
      </w:pPr>
    </w:p>
    <w:p>
      <w:pPr>
        <w:pStyle w:val="BodyText"/>
        <w:spacing w:line="300" w:lineRule="auto" w:before="44"/>
        <w:ind w:right="1133" w:firstLine="420"/>
        <w:jc w:val="both"/>
      </w:pPr>
      <w:r>
        <w:rPr/>
        <w:t>①财政部于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30</w:t>
      </w:r>
      <w:r>
        <w:rPr/>
        <w:t>日发布了《关于修订印发</w:t>
      </w:r>
      <w:r>
        <w:rPr>
          <w:rFonts w:ascii="Times New Roman" w:hAnsi="Times New Roman" w:cs="Times New Roman" w:eastAsia="Times New Roman" w:hint="default"/>
        </w:rPr>
        <w:t>2019</w:t>
      </w:r>
      <w:r>
        <w:rPr/>
        <w:t>年度一般企业财务报表格式的通知》（财会〔</w:t>
      </w:r>
      <w:r>
        <w:rPr>
          <w:rFonts w:ascii="Times New Roman" w:hAnsi="Times New Roman" w:cs="Times New Roman" w:eastAsia="Times New Roman" w:hint="default"/>
        </w:rPr>
        <w:t>2019</w:t>
      </w:r>
      <w:r>
        <w:rPr/>
        <w:t>〕</w:t>
      </w:r>
      <w:r>
        <w:rPr>
          <w:rFonts w:ascii="Times New Roman" w:hAnsi="Times New Roman" w:cs="Times New Roman" w:eastAsia="Times New Roman" w:hint="default"/>
        </w:rPr>
        <w:t>6</w:t>
      </w:r>
      <w:r>
        <w:rPr/>
        <w:t>号），于 </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19</w:t>
      </w:r>
      <w:r>
        <w:rPr/>
        <w:t>日发布了《关于修订印发合并财务报表格式（</w:t>
      </w:r>
      <w:r>
        <w:rPr>
          <w:rFonts w:ascii="Times New Roman" w:hAnsi="Times New Roman" w:cs="Times New Roman" w:eastAsia="Times New Roman" w:hint="default"/>
        </w:rPr>
        <w:t>2019</w:t>
      </w:r>
      <w:r>
        <w:rPr/>
        <w:t>版）的通知》（财会〔</w:t>
      </w:r>
      <w:r>
        <w:rPr>
          <w:rFonts w:ascii="Times New Roman" w:hAnsi="Times New Roman" w:cs="Times New Roman" w:eastAsia="Times New Roman" w:hint="default"/>
        </w:rPr>
        <w:t>2019</w:t>
      </w:r>
      <w:r>
        <w:rPr/>
        <w:t>〕</w:t>
      </w:r>
      <w:r>
        <w:rPr>
          <w:rFonts w:ascii="Times New Roman" w:hAnsi="Times New Roman" w:cs="Times New Roman" w:eastAsia="Times New Roman" w:hint="default"/>
        </w:rPr>
        <w:t>16</w:t>
      </w:r>
      <w:r>
        <w:rPr/>
        <w:t>号），执行企业会计准则的 企业应按照企业会计准则和以上通知要求编制</w:t>
      </w:r>
      <w:r>
        <w:rPr>
          <w:rFonts w:ascii="Times New Roman" w:hAnsi="Times New Roman" w:cs="Times New Roman" w:eastAsia="Times New Roman" w:hint="default"/>
        </w:rPr>
        <w:t>2019</w:t>
      </w:r>
      <w:r>
        <w:rPr/>
        <w:t>年度及以后期间的财务报表。</w:t>
      </w:r>
    </w:p>
    <w:p>
      <w:pPr>
        <w:pStyle w:val="BodyText"/>
        <w:spacing w:line="240" w:lineRule="auto" w:before="13"/>
        <w:ind w:left="573" w:right="1133"/>
        <w:jc w:val="left"/>
      </w:pPr>
      <w:r>
        <w:rPr/>
        <w:t>本公司执行该通知主要影响如下：</w:t>
      </w:r>
    </w:p>
    <w:p>
      <w:pPr>
        <w:pStyle w:val="BodyText"/>
        <w:spacing w:line="240" w:lineRule="auto" w:before="76"/>
        <w:ind w:left="0" w:right="1131"/>
        <w:jc w:val="right"/>
      </w:pPr>
      <w:r>
        <w:rPr/>
        <w:t>单位：元</w:t>
      </w:r>
    </w:p>
    <w:p>
      <w:pPr>
        <w:spacing w:line="240" w:lineRule="auto" w:before="8"/>
        <w:rPr>
          <w:rFonts w:ascii="宋体" w:hAnsi="宋体" w:cs="宋体" w:eastAsia="宋体" w:hint="default"/>
          <w:sz w:val="5"/>
          <w:szCs w:val="5"/>
        </w:rPr>
      </w:pPr>
    </w:p>
    <w:tbl>
      <w:tblPr>
        <w:tblW w:w="0" w:type="auto"/>
        <w:jc w:val="left"/>
        <w:tblInd w:w="138" w:type="dxa"/>
        <w:tblLayout w:type="fixed"/>
        <w:tblCellMar>
          <w:top w:w="0" w:type="dxa"/>
          <w:left w:w="0" w:type="dxa"/>
          <w:bottom w:w="0" w:type="dxa"/>
          <w:right w:w="0" w:type="dxa"/>
        </w:tblCellMar>
        <w:tblLook w:val="01E0"/>
      </w:tblPr>
      <w:tblGrid>
        <w:gridCol w:w="1745"/>
        <w:gridCol w:w="1337"/>
        <w:gridCol w:w="1930"/>
        <w:gridCol w:w="2110"/>
        <w:gridCol w:w="2537"/>
      </w:tblGrid>
      <w:tr>
        <w:trPr>
          <w:trHeight w:val="648" w:hRule="exact"/>
        </w:trPr>
        <w:tc>
          <w:tcPr>
            <w:tcW w:w="17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3"/>
              <w:ind w:left="686" w:right="57" w:hanging="630"/>
              <w:jc w:val="left"/>
              <w:rPr>
                <w:rFonts w:ascii="宋体" w:hAnsi="宋体" w:cs="宋体" w:eastAsia="宋体" w:hint="default"/>
                <w:sz w:val="18"/>
                <w:szCs w:val="18"/>
              </w:rPr>
            </w:pPr>
            <w:r>
              <w:rPr>
                <w:rFonts w:ascii="宋体" w:hAnsi="宋体" w:cs="宋体" w:eastAsia="宋体" w:hint="default"/>
                <w:sz w:val="18"/>
                <w:szCs w:val="18"/>
              </w:rPr>
              <w:t>会计政策变更内容和 原因</w:t>
            </w:r>
          </w:p>
        </w:tc>
        <w:tc>
          <w:tcPr>
            <w:tcW w:w="1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3"/>
              <w:ind w:left="393" w:right="32" w:hanging="360"/>
              <w:jc w:val="left"/>
              <w:rPr>
                <w:rFonts w:ascii="宋体" w:hAnsi="宋体" w:cs="宋体" w:eastAsia="宋体" w:hint="default"/>
                <w:sz w:val="18"/>
                <w:szCs w:val="18"/>
              </w:rPr>
            </w:pPr>
            <w:r>
              <w:rPr>
                <w:rFonts w:ascii="宋体" w:hAnsi="宋体" w:cs="宋体" w:eastAsia="宋体" w:hint="default"/>
                <w:sz w:val="18"/>
                <w:szCs w:val="18"/>
              </w:rPr>
              <w:t>受影响的报表项 目名称</w:t>
            </w:r>
          </w:p>
        </w:tc>
        <w:tc>
          <w:tcPr>
            <w:tcW w:w="19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3"/>
              <w:ind w:left="779" w:right="59" w:hanging="720"/>
              <w:jc w:val="left"/>
              <w:rPr>
                <w:rFonts w:ascii="宋体" w:hAnsi="宋体" w:cs="宋体" w:eastAsia="宋体" w:hint="default"/>
                <w:sz w:val="18"/>
                <w:szCs w:val="18"/>
              </w:rPr>
            </w:pPr>
            <w:r>
              <w:rPr>
                <w:rFonts w:ascii="宋体" w:hAnsi="宋体" w:cs="宋体" w:eastAsia="宋体" w:hint="default"/>
                <w:sz w:val="18"/>
                <w:szCs w:val="18"/>
              </w:rPr>
              <w:t>本年受影响的报表项目 金额</w:t>
            </w:r>
          </w:p>
        </w:tc>
        <w:tc>
          <w:tcPr>
            <w:tcW w:w="21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509" w:right="0"/>
              <w:jc w:val="left"/>
              <w:rPr>
                <w:rFonts w:ascii="宋体" w:hAnsi="宋体" w:cs="宋体" w:eastAsia="宋体" w:hint="default"/>
                <w:sz w:val="18"/>
                <w:szCs w:val="18"/>
              </w:rPr>
            </w:pPr>
            <w:r>
              <w:rPr>
                <w:rFonts w:ascii="宋体" w:hAnsi="宋体" w:cs="宋体" w:eastAsia="宋体" w:hint="default"/>
                <w:sz w:val="18"/>
                <w:szCs w:val="18"/>
              </w:rPr>
              <w:t>上年重述金额</w:t>
            </w:r>
          </w:p>
        </w:tc>
        <w:tc>
          <w:tcPr>
            <w:tcW w:w="25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84" w:right="0"/>
              <w:jc w:val="left"/>
              <w:rPr>
                <w:rFonts w:ascii="宋体" w:hAnsi="宋体" w:cs="宋体" w:eastAsia="宋体" w:hint="default"/>
                <w:sz w:val="18"/>
                <w:szCs w:val="18"/>
              </w:rPr>
            </w:pPr>
            <w:r>
              <w:rPr>
                <w:rFonts w:ascii="宋体" w:hAnsi="宋体" w:cs="宋体" w:eastAsia="宋体" w:hint="default"/>
                <w:sz w:val="18"/>
                <w:szCs w:val="18"/>
              </w:rPr>
              <w:t>上年列报的报表项目及金额</w:t>
            </w:r>
          </w:p>
        </w:tc>
      </w:tr>
      <w:tr>
        <w:trPr>
          <w:trHeight w:val="422" w:hRule="exact"/>
        </w:trPr>
        <w:tc>
          <w:tcPr>
            <w:tcW w:w="1745" w:type="dxa"/>
            <w:vMerge w:val="restart"/>
            <w:tcBorders>
              <w:top w:val="single" w:sz="4" w:space="0" w:color="000000"/>
              <w:left w:val="single" w:sz="4" w:space="0" w:color="000000"/>
              <w:right w:val="single" w:sz="4" w:space="0" w:color="000000"/>
            </w:tcBorders>
          </w:tcPr>
          <w:p>
            <w:pPr>
              <w:pStyle w:val="TableParagraph"/>
              <w:spacing w:line="300" w:lineRule="auto" w:before="20"/>
              <w:ind w:left="4" w:right="2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应收票据和应收账 款分拆列示，增加</w:t>
            </w:r>
            <w:r>
              <w:rPr>
                <w:rFonts w:ascii="Times New Roman" w:hAnsi="Times New Roman" w:cs="Times New Roman" w:eastAsia="Times New Roman" w:hint="default"/>
                <w:sz w:val="18"/>
                <w:szCs w:val="18"/>
              </w:rPr>
              <w:t>“</w:t>
            </w:r>
            <w:r>
              <w:rPr>
                <w:rFonts w:ascii="宋体" w:hAnsi="宋体" w:cs="宋体" w:eastAsia="宋体" w:hint="default"/>
                <w:sz w:val="18"/>
                <w:szCs w:val="18"/>
              </w:rPr>
              <w:t>应 收款项融资</w:t>
            </w:r>
            <w:r>
              <w:rPr>
                <w:rFonts w:ascii="Times New Roman" w:hAnsi="Times New Roman" w:cs="Times New Roman" w:eastAsia="Times New Roman" w:hint="default"/>
                <w:sz w:val="18"/>
                <w:szCs w:val="18"/>
              </w:rPr>
              <w:t>”</w:t>
            </w:r>
            <w:r>
              <w:rPr>
                <w:rFonts w:ascii="宋体" w:hAnsi="宋体" w:cs="宋体" w:eastAsia="宋体" w:hint="default"/>
                <w:sz w:val="18"/>
                <w:szCs w:val="18"/>
              </w:rPr>
              <w:t>项目</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311,316,015.47</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511,416,550.30</w:t>
            </w:r>
          </w:p>
        </w:tc>
        <w:tc>
          <w:tcPr>
            <w:tcW w:w="2537" w:type="dxa"/>
            <w:vMerge w:val="restart"/>
            <w:tcBorders>
              <w:top w:val="single" w:sz="4" w:space="0" w:color="000000"/>
              <w:left w:val="single" w:sz="4" w:space="0" w:color="000000"/>
              <w:right w:val="single" w:sz="4" w:space="0" w:color="000000"/>
            </w:tcBorders>
          </w:tcPr>
          <w:p>
            <w:pPr>
              <w:pStyle w:val="TableParagraph"/>
              <w:spacing w:line="240" w:lineRule="auto" w:before="20"/>
              <w:ind w:left="7"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p>
            <w:pPr>
              <w:pStyle w:val="TableParagraph"/>
              <w:spacing w:line="240" w:lineRule="auto" w:before="118"/>
              <w:ind w:left="7" w:right="0"/>
              <w:jc w:val="left"/>
              <w:rPr>
                <w:rFonts w:ascii="Times New Roman" w:hAnsi="Times New Roman" w:cs="Times New Roman" w:eastAsia="Times New Roman" w:hint="default"/>
                <w:sz w:val="18"/>
                <w:szCs w:val="18"/>
              </w:rPr>
            </w:pPr>
            <w:r>
              <w:rPr>
                <w:rFonts w:ascii="Times New Roman"/>
                <w:sz w:val="18"/>
              </w:rPr>
              <w:t>2,650,396,966.43</w:t>
            </w:r>
          </w:p>
        </w:tc>
      </w:tr>
      <w:tr>
        <w:trPr>
          <w:trHeight w:val="545" w:hRule="exact"/>
        </w:trPr>
        <w:tc>
          <w:tcPr>
            <w:tcW w:w="1745" w:type="dxa"/>
            <w:vMerge/>
            <w:tcBorders>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3"/>
              <w:jc w:val="right"/>
              <w:rPr>
                <w:rFonts w:ascii="Times New Roman" w:hAnsi="Times New Roman" w:cs="Times New Roman" w:eastAsia="Times New Roman" w:hint="default"/>
                <w:sz w:val="18"/>
                <w:szCs w:val="18"/>
              </w:rPr>
            </w:pPr>
            <w:r>
              <w:rPr>
                <w:rFonts w:ascii="Times New Roman"/>
                <w:spacing w:val="-1"/>
                <w:sz w:val="18"/>
              </w:rPr>
              <w:t>1,974,939,542.74</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3"/>
              <w:jc w:val="right"/>
              <w:rPr>
                <w:rFonts w:ascii="Times New Roman" w:hAnsi="Times New Roman" w:cs="Times New Roman" w:eastAsia="Times New Roman" w:hint="default"/>
                <w:sz w:val="18"/>
                <w:szCs w:val="18"/>
              </w:rPr>
            </w:pPr>
            <w:r>
              <w:rPr>
                <w:rFonts w:ascii="Times New Roman"/>
                <w:spacing w:val="-1"/>
                <w:sz w:val="18"/>
              </w:rPr>
              <w:t>2,138,980,416.13</w:t>
            </w:r>
          </w:p>
        </w:tc>
        <w:tc>
          <w:tcPr>
            <w:tcW w:w="2537" w:type="dxa"/>
            <w:vMerge/>
            <w:tcBorders>
              <w:left w:val="single" w:sz="4" w:space="0" w:color="000000"/>
              <w:bottom w:val="single" w:sz="4" w:space="0" w:color="000000"/>
              <w:right w:val="single" w:sz="4" w:space="0" w:color="000000"/>
            </w:tcBorders>
          </w:tcPr>
          <w:p>
            <w:pPr/>
          </w:p>
        </w:tc>
      </w:tr>
      <w:tr>
        <w:trPr>
          <w:trHeight w:val="420" w:hRule="exact"/>
        </w:trPr>
        <w:tc>
          <w:tcPr>
            <w:tcW w:w="1745" w:type="dxa"/>
            <w:vMerge w:val="restart"/>
            <w:tcBorders>
              <w:top w:val="single" w:sz="4" w:space="0" w:color="000000"/>
              <w:left w:val="single" w:sz="4" w:space="0" w:color="000000"/>
              <w:right w:val="single" w:sz="4" w:space="0" w:color="000000"/>
            </w:tcBorders>
          </w:tcPr>
          <w:p>
            <w:pPr>
              <w:pStyle w:val="TableParagraph"/>
              <w:spacing w:line="300" w:lineRule="auto" w:before="17"/>
              <w:ind w:left="4" w:right="15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应付票据和应付账 款分拆列示</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269,196,594.61</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236,782,228.73</w:t>
            </w:r>
          </w:p>
        </w:tc>
        <w:tc>
          <w:tcPr>
            <w:tcW w:w="2537" w:type="dxa"/>
            <w:vMerge w:val="restart"/>
            <w:tcBorders>
              <w:top w:val="single" w:sz="4" w:space="0" w:color="000000"/>
              <w:left w:val="single" w:sz="4" w:space="0" w:color="000000"/>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p>
            <w:pPr>
              <w:pStyle w:val="TableParagraph"/>
              <w:spacing w:line="240" w:lineRule="auto" w:before="118"/>
              <w:ind w:left="7" w:right="0"/>
              <w:jc w:val="left"/>
              <w:rPr>
                <w:rFonts w:ascii="Times New Roman" w:hAnsi="Times New Roman" w:cs="Times New Roman" w:eastAsia="Times New Roman" w:hint="default"/>
                <w:sz w:val="18"/>
                <w:szCs w:val="18"/>
              </w:rPr>
            </w:pPr>
            <w:r>
              <w:rPr>
                <w:rFonts w:ascii="Times New Roman"/>
                <w:sz w:val="18"/>
              </w:rPr>
              <w:t>1,221,820,566.83</w:t>
            </w:r>
          </w:p>
        </w:tc>
      </w:tr>
      <w:tr>
        <w:trPr>
          <w:trHeight w:val="423" w:hRule="exact"/>
        </w:trPr>
        <w:tc>
          <w:tcPr>
            <w:tcW w:w="1745" w:type="dxa"/>
            <w:vMerge/>
            <w:tcBorders>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right"/>
              <w:rPr>
                <w:rFonts w:ascii="Times New Roman" w:hAnsi="Times New Roman" w:cs="Times New Roman" w:eastAsia="Times New Roman" w:hint="default"/>
                <w:sz w:val="18"/>
                <w:szCs w:val="18"/>
              </w:rPr>
            </w:pPr>
            <w:r>
              <w:rPr>
                <w:rFonts w:ascii="Times New Roman"/>
                <w:spacing w:val="-1"/>
                <w:sz w:val="18"/>
              </w:rPr>
              <w:t>1,024,691,027.50</w:t>
            </w:r>
          </w:p>
        </w:tc>
        <w:tc>
          <w:tcPr>
            <w:tcW w:w="2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985,038,338.10</w:t>
            </w:r>
          </w:p>
        </w:tc>
        <w:tc>
          <w:tcPr>
            <w:tcW w:w="2537" w:type="dxa"/>
            <w:vMerge/>
            <w:tcBorders>
              <w:left w:val="single" w:sz="4" w:space="0" w:color="000000"/>
              <w:bottom w:val="single" w:sz="4" w:space="0" w:color="000000"/>
              <w:right w:val="single" w:sz="4" w:space="0" w:color="000000"/>
            </w:tcBorders>
          </w:tcPr>
          <w:p>
            <w:pPr/>
          </w:p>
        </w:tc>
      </w:tr>
    </w:tbl>
    <w:p>
      <w:pPr>
        <w:pStyle w:val="BodyText"/>
        <w:spacing w:line="300" w:lineRule="auto" w:before="8"/>
        <w:ind w:left="573" w:right="1133"/>
        <w:jc w:val="left"/>
      </w:pPr>
      <w:r>
        <w:rPr/>
        <w:t>②执行《企业会计准则第</w:t>
      </w:r>
      <w:r>
        <w:rPr>
          <w:rFonts w:ascii="Times New Roman" w:hAnsi="Times New Roman" w:cs="Times New Roman" w:eastAsia="Times New Roman" w:hint="default"/>
        </w:rPr>
        <w:t>7</w:t>
      </w:r>
      <w:r>
        <w:rPr/>
        <w:t>号</w:t>
      </w:r>
      <w:r>
        <w:rPr>
          <w:rFonts w:ascii="Times New Roman" w:hAnsi="Times New Roman" w:cs="Times New Roman" w:eastAsia="Times New Roman" w:hint="default"/>
        </w:rPr>
        <w:t>——</w:t>
      </w:r>
      <w:r>
        <w:rPr/>
        <w:t>非货币性资产交换》（</w:t>
      </w:r>
      <w:r>
        <w:rPr>
          <w:rFonts w:ascii="Times New Roman" w:hAnsi="Times New Roman" w:cs="Times New Roman" w:eastAsia="Times New Roman" w:hint="default"/>
        </w:rPr>
        <w:t>2019</w:t>
      </w:r>
      <w:r>
        <w:rPr/>
        <w:t>修订） 财政部于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9</w:t>
      </w:r>
      <w:r>
        <w:rPr/>
        <w:t>日发布了《企业会计准则第</w:t>
      </w:r>
      <w:r>
        <w:rPr>
          <w:rFonts w:ascii="Times New Roman" w:hAnsi="Times New Roman" w:cs="Times New Roman" w:eastAsia="Times New Roman" w:hint="default"/>
        </w:rPr>
        <w:t>7</w:t>
      </w:r>
      <w:r>
        <w:rPr/>
        <w:t>号</w:t>
      </w:r>
      <w:r>
        <w:rPr>
          <w:rFonts w:ascii="Times New Roman" w:hAnsi="Times New Roman" w:cs="Times New Roman" w:eastAsia="Times New Roman" w:hint="default"/>
        </w:rPr>
        <w:t>——</w:t>
      </w:r>
      <w:r>
        <w:rPr/>
        <w:t>非货币性资产交换》（</w:t>
      </w:r>
      <w:r>
        <w:rPr>
          <w:rFonts w:ascii="Times New Roman" w:hAnsi="Times New Roman" w:cs="Times New Roman" w:eastAsia="Times New Roman" w:hint="default"/>
        </w:rPr>
        <w:t>2019</w:t>
      </w:r>
      <w:r>
        <w:rPr/>
        <w:t>修订）（财会〔</w:t>
      </w:r>
      <w:r>
        <w:rPr>
          <w:rFonts w:ascii="Times New Roman" w:hAnsi="Times New Roman" w:cs="Times New Roman" w:eastAsia="Times New Roman" w:hint="default"/>
        </w:rPr>
        <w:t>2019</w:t>
      </w:r>
      <w:r>
        <w:rPr/>
        <w:t>〕</w:t>
      </w:r>
      <w:r>
        <w:rPr>
          <w:rFonts w:ascii="Times New Roman" w:hAnsi="Times New Roman" w:cs="Times New Roman" w:eastAsia="Times New Roman" w:hint="default"/>
        </w:rPr>
        <w:t>8</w:t>
      </w:r>
      <w:r>
        <w:rPr/>
        <w:t>号），修</w:t>
      </w:r>
    </w:p>
    <w:p>
      <w:pPr>
        <w:pStyle w:val="BodyText"/>
        <w:spacing w:line="300" w:lineRule="auto" w:before="13"/>
        <w:ind w:right="1130"/>
        <w:jc w:val="both"/>
      </w:pPr>
      <w:r>
        <w:rPr/>
        <w:t>订后的准则自</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10</w:t>
      </w:r>
      <w:r>
        <w:rPr/>
        <w:t>日起施行，对</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日至本准则施行日之间发生的非货币性资产交换，应根据本准则进行调 </w:t>
      </w:r>
      <w:r>
        <w:rPr>
          <w:spacing w:val="-2"/>
        </w:rPr>
        <w:t>整。对</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1</w:t>
      </w:r>
      <w:r>
        <w:rPr>
          <w:spacing w:val="-2"/>
        </w:rPr>
        <w:t>日之前发生的非货币性资产交换，不需要按照本准则的规定进行追溯调整。本公司执行上述准则在本报告</w:t>
      </w:r>
      <w:r>
        <w:rPr>
          <w:spacing w:val="-60"/>
        </w:rPr>
        <w:t> </w:t>
      </w:r>
      <w:r>
        <w:rPr>
          <w:spacing w:val="-60"/>
        </w:rPr>
      </w:r>
      <w:r>
        <w:rPr/>
        <w:t>期内无重大影响。</w:t>
      </w:r>
    </w:p>
    <w:p>
      <w:pPr>
        <w:pStyle w:val="BodyText"/>
        <w:spacing w:line="300" w:lineRule="auto" w:before="31"/>
        <w:ind w:left="573" w:right="1133"/>
        <w:jc w:val="left"/>
      </w:pPr>
      <w:r>
        <w:rPr/>
        <w:t>③执行《企业会计准则第</w:t>
      </w:r>
      <w:r>
        <w:rPr>
          <w:rFonts w:ascii="Times New Roman" w:hAnsi="Times New Roman" w:cs="Times New Roman" w:eastAsia="Times New Roman" w:hint="default"/>
        </w:rPr>
        <w:t>12</w:t>
      </w:r>
      <w:r>
        <w:rPr/>
        <w:t>号</w:t>
      </w:r>
      <w:r>
        <w:rPr>
          <w:rFonts w:ascii="Times New Roman" w:hAnsi="Times New Roman" w:cs="Times New Roman" w:eastAsia="Times New Roman" w:hint="default"/>
        </w:rPr>
        <w:t>——</w:t>
      </w:r>
      <w:r>
        <w:rPr/>
        <w:t>债务重组》（</w:t>
      </w:r>
      <w:r>
        <w:rPr>
          <w:rFonts w:ascii="Times New Roman" w:hAnsi="Times New Roman" w:cs="Times New Roman" w:eastAsia="Times New Roman" w:hint="default"/>
        </w:rPr>
        <w:t>2019</w:t>
      </w:r>
      <w:r>
        <w:rPr/>
        <w:t>修订） 财政部于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16</w:t>
      </w:r>
      <w:r>
        <w:rPr/>
        <w:t>日发布了《企业会计准则第</w:t>
      </w:r>
      <w:r>
        <w:rPr>
          <w:rFonts w:ascii="Times New Roman" w:hAnsi="Times New Roman" w:cs="Times New Roman" w:eastAsia="Times New Roman" w:hint="default"/>
        </w:rPr>
        <w:t>12</w:t>
      </w:r>
      <w:r>
        <w:rPr/>
        <w:t>号</w:t>
      </w:r>
      <w:r>
        <w:rPr>
          <w:rFonts w:ascii="Times New Roman" w:hAnsi="Times New Roman" w:cs="Times New Roman" w:eastAsia="Times New Roman" w:hint="default"/>
        </w:rPr>
        <w:t>——</w:t>
      </w:r>
      <w:r>
        <w:rPr/>
        <w:t>债务重组》（</w:t>
      </w:r>
      <w:r>
        <w:rPr>
          <w:rFonts w:ascii="Times New Roman" w:hAnsi="Times New Roman" w:cs="Times New Roman" w:eastAsia="Times New Roman" w:hint="default"/>
        </w:rPr>
        <w:t>2019</w:t>
      </w:r>
      <w:r>
        <w:rPr/>
        <w:t>修订）（财会〔</w:t>
      </w:r>
      <w:r>
        <w:rPr>
          <w:rFonts w:ascii="Times New Roman" w:hAnsi="Times New Roman" w:cs="Times New Roman" w:eastAsia="Times New Roman" w:hint="default"/>
        </w:rPr>
        <w:t>2019</w:t>
      </w:r>
      <w:r>
        <w:rPr/>
        <w:t>〕</w:t>
      </w:r>
      <w:r>
        <w:rPr>
          <w:rFonts w:ascii="Times New Roman" w:hAnsi="Times New Roman" w:cs="Times New Roman" w:eastAsia="Times New Roman" w:hint="default"/>
        </w:rPr>
        <w:t>9</w:t>
      </w:r>
      <w:r>
        <w:rPr/>
        <w:t>号），修订后的</w:t>
      </w:r>
    </w:p>
    <w:p>
      <w:pPr>
        <w:pStyle w:val="BodyText"/>
        <w:spacing w:line="300" w:lineRule="auto" w:before="13"/>
        <w:ind w:right="1132"/>
        <w:jc w:val="both"/>
      </w:pPr>
      <w:r>
        <w:rPr/>
        <w:t>准则自</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17</w:t>
      </w:r>
      <w:r>
        <w:rPr/>
        <w:t>日起施行，对</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日至本准则施行日之间发生的债务重组，应根据本准则进行调整。对</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rFonts w:ascii="Times New Roman" w:hAnsi="Times New Roman" w:cs="Times New Roman" w:eastAsia="Times New Roman" w:hint="default"/>
          <w:spacing w:val="37"/>
        </w:rPr>
        <w:t> </w:t>
      </w:r>
      <w:r>
        <w:rPr/>
        <w:t>月</w:t>
      </w:r>
      <w:r>
        <w:rPr>
          <w:rFonts w:ascii="Times New Roman" w:hAnsi="Times New Roman" w:cs="Times New Roman" w:eastAsia="Times New Roman" w:hint="default"/>
        </w:rPr>
        <w:t>1</w:t>
      </w:r>
      <w:r>
        <w:rPr/>
        <w:t>日之前发生的债务重组，不需要按照本准则的规定进行追溯调整。本公司执行上述准则在本报告期内无重大影响。</w:t>
      </w:r>
    </w:p>
    <w:p>
      <w:pPr>
        <w:spacing w:line="240" w:lineRule="auto" w:before="5"/>
        <w:rPr>
          <w:rFonts w:ascii="宋体" w:hAnsi="宋体" w:cs="宋体" w:eastAsia="宋体" w:hint="default"/>
          <w:sz w:val="20"/>
          <w:szCs w:val="20"/>
        </w:rPr>
      </w:pPr>
    </w:p>
    <w:p>
      <w:pPr>
        <w:pStyle w:val="Heading2"/>
        <w:spacing w:line="240" w:lineRule="auto"/>
        <w:ind w:right="0"/>
        <w:jc w:val="both"/>
        <w:rPr>
          <w:b w:val="0"/>
          <w:bCs w:val="0"/>
        </w:rPr>
      </w:pPr>
      <w:bookmarkStart w:name="六、税项" w:id="225"/>
      <w:bookmarkEnd w:id="225"/>
      <w:r>
        <w:rPr>
          <w:b w:val="0"/>
          <w:bCs w:val="0"/>
        </w:rPr>
      </w:r>
      <w:r>
        <w:rPr/>
        <w:t>六、税项</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0"/>
        <w:jc w:val="both"/>
        <w:rPr>
          <w:b w:val="0"/>
          <w:bCs w:val="0"/>
        </w:rPr>
      </w:pPr>
      <w:bookmarkStart w:name="1、主要税种及税率" w:id="226"/>
      <w:bookmarkEnd w:id="226"/>
      <w:r>
        <w:rPr>
          <w:b w:val="0"/>
          <w:bCs w:val="0"/>
        </w:rPr>
      </w:r>
      <w:r>
        <w:rPr>
          <w:rFonts w:ascii="Times New Roman" w:hAnsi="Times New Roman" w:cs="Times New Roman" w:eastAsia="Times New Roman" w:hint="default"/>
        </w:rPr>
        <w:t>1</w:t>
      </w:r>
      <w:r>
        <w:rPr/>
        <w:t>、主要税种及税率</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7"/>
          <w:szCs w:val="17"/>
        </w:rPr>
      </w:pPr>
    </w:p>
    <w:p>
      <w:pPr>
        <w:pStyle w:val="BodyText"/>
        <w:spacing w:line="240" w:lineRule="auto" w:before="44"/>
        <w:ind w:left="0" w:right="1136"/>
        <w:jc w:val="right"/>
      </w:pPr>
      <w:r>
        <w:rPr/>
        <w:pict>
          <v:shape style="position:absolute;margin-left:56.400002pt;margin-top:-20.888298pt;width:479.3pt;height:136.75pt;mso-position-horizontal-relative:page;mso-position-vertical-relative:paragraph;z-index:16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91"/>
                    <w:gridCol w:w="3190"/>
                    <w:gridCol w:w="3190"/>
                  </w:tblGrid>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税种</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161" w:hRule="exact"/>
                    </w:trPr>
                    <w:tc>
                      <w:tcPr>
                        <w:tcW w:w="3191" w:type="dxa"/>
                        <w:tcBorders>
                          <w:top w:val="single" w:sz="4" w:space="0" w:color="000000"/>
                          <w:left w:val="single" w:sz="4" w:space="0" w:color="000000"/>
                          <w:bottom w:val="nil" w:sz="6" w:space="0" w:color="auto"/>
                          <w:right w:val="single" w:sz="4" w:space="0" w:color="000000"/>
                        </w:tcBorders>
                        <w:shd w:val="clear" w:color="auto" w:fill="D2D2D2"/>
                      </w:tcPr>
                      <w:p>
                        <w:pPr/>
                      </w:p>
                    </w:tc>
                    <w:tc>
                      <w:tcPr>
                        <w:tcW w:w="3190" w:type="dxa"/>
                        <w:vMerge w:val="restart"/>
                        <w:tcBorders>
                          <w:top w:val="single" w:sz="4" w:space="0" w:color="000000"/>
                          <w:left w:val="single" w:sz="9" w:space="0" w:color="D2D2D2"/>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7" w:right="0"/>
                          <w:jc w:val="left"/>
                          <w:rPr>
                            <w:rFonts w:ascii="宋体" w:hAnsi="宋体" w:cs="宋体" w:eastAsia="宋体" w:hint="default"/>
                            <w:sz w:val="18"/>
                            <w:szCs w:val="18"/>
                          </w:rPr>
                        </w:pPr>
                        <w:r>
                          <w:rPr>
                            <w:rFonts w:ascii="宋体" w:hAnsi="宋体" w:cs="宋体" w:eastAsia="宋体" w:hint="default"/>
                            <w:sz w:val="18"/>
                            <w:szCs w:val="18"/>
                          </w:rPr>
                          <w:t>应税销售额</w:t>
                        </w:r>
                      </w:p>
                    </w:tc>
                    <w:tc>
                      <w:tcPr>
                        <w:tcW w:w="3190" w:type="dxa"/>
                        <w:vMerge w:val="restart"/>
                        <w:tcBorders>
                          <w:top w:val="single" w:sz="4" w:space="0" w:color="000000"/>
                          <w:left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17%</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16%</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13%</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10%</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9%</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6%</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5%</w:t>
                        </w:r>
                        <w:r>
                          <w:rPr>
                            <w:rFonts w:ascii="Times New Roman" w:hAnsi="Times New Roman" w:cs="Times New Roman" w:eastAsia="Times New Roman" w:hint="default"/>
                            <w:sz w:val="18"/>
                            <w:szCs w:val="18"/>
                          </w:rPr>
                        </w:r>
                      </w:p>
                      <w:p>
                        <w:pPr>
                          <w:pStyle w:val="TableParagraph"/>
                          <w:spacing w:line="240" w:lineRule="auto" w:before="102"/>
                          <w:ind w:left="23" w:right="0"/>
                          <w:jc w:val="left"/>
                          <w:rPr>
                            <w:rFonts w:ascii="Times New Roman" w:hAnsi="Times New Roman" w:cs="Times New Roman" w:eastAsia="Times New Roman" w:hint="default"/>
                            <w:sz w:val="18"/>
                            <w:szCs w:val="18"/>
                          </w:rPr>
                        </w:pPr>
                        <w:r>
                          <w:rPr>
                            <w:rFonts w:ascii="Times New Roman"/>
                            <w:sz w:val="18"/>
                          </w:rPr>
                          <w:t>3%</w:t>
                        </w:r>
                      </w:p>
                    </w:tc>
                  </w:tr>
                  <w:tr>
                    <w:trPr>
                      <w:trHeight w:val="391" w:hRule="exact"/>
                    </w:trPr>
                    <w:tc>
                      <w:tcPr>
                        <w:tcW w:w="319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0" w:type="dxa"/>
                        <w:vMerge/>
                        <w:tcBorders>
                          <w:left w:val="single" w:sz="9" w:space="0" w:color="D2D2D2"/>
                          <w:right w:val="single" w:sz="4" w:space="0" w:color="000000"/>
                        </w:tcBorders>
                      </w:tcPr>
                      <w:p>
                        <w:pPr/>
                      </w:p>
                    </w:tc>
                    <w:tc>
                      <w:tcPr>
                        <w:tcW w:w="3190" w:type="dxa"/>
                        <w:vMerge/>
                        <w:tcBorders>
                          <w:left w:val="single" w:sz="4" w:space="0" w:color="000000"/>
                          <w:right w:val="single" w:sz="4" w:space="0" w:color="000000"/>
                        </w:tcBorders>
                      </w:tcPr>
                      <w:p>
                        <w:pPr/>
                      </w:p>
                    </w:tc>
                  </w:tr>
                  <w:tr>
                    <w:trPr>
                      <w:trHeight w:val="161" w:hRule="exact"/>
                    </w:trPr>
                    <w:tc>
                      <w:tcPr>
                        <w:tcW w:w="3191" w:type="dxa"/>
                        <w:tcBorders>
                          <w:top w:val="nil" w:sz="6" w:space="0" w:color="auto"/>
                          <w:left w:val="single" w:sz="4" w:space="0" w:color="000000"/>
                          <w:bottom w:val="single" w:sz="4" w:space="0" w:color="000000"/>
                          <w:right w:val="single" w:sz="4" w:space="0" w:color="000000"/>
                        </w:tcBorders>
                        <w:shd w:val="clear" w:color="auto" w:fill="D2D2D2"/>
                      </w:tcPr>
                      <w:p>
                        <w:pPr/>
                      </w:p>
                    </w:tc>
                    <w:tc>
                      <w:tcPr>
                        <w:tcW w:w="3190" w:type="dxa"/>
                        <w:vMerge/>
                        <w:tcBorders>
                          <w:left w:val="single" w:sz="9" w:space="0" w:color="D2D2D2"/>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13" w:right="0"/>
                          <w:jc w:val="left"/>
                          <w:rPr>
                            <w:rFonts w:ascii="宋体" w:hAnsi="宋体" w:cs="宋体" w:eastAsia="宋体" w:hint="default"/>
                            <w:sz w:val="18"/>
                            <w:szCs w:val="18"/>
                          </w:rPr>
                        </w:pPr>
                        <w:r>
                          <w:rPr>
                            <w:rFonts w:ascii="宋体" w:hAnsi="宋体" w:cs="宋体" w:eastAsia="宋体" w:hint="default"/>
                            <w:sz w:val="18"/>
                            <w:szCs w:val="18"/>
                          </w:rPr>
                          <w:t>应纳增值税额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r>
                          <w:rPr>
                            <w:rFonts w:ascii="Times New Roman" w:hAnsi="Times New Roman" w:cs="Times New Roman" w:eastAsia="Times New Roman" w:hint="default"/>
                            <w:sz w:val="18"/>
                            <w:szCs w:val="18"/>
                          </w:rPr>
                          <w:t>7%</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13" w:right="0"/>
                          <w:jc w:val="left"/>
                          <w:rPr>
                            <w:rFonts w:ascii="宋体" w:hAnsi="宋体" w:cs="宋体" w:eastAsia="宋体" w:hint="default"/>
                            <w:sz w:val="18"/>
                            <w:szCs w:val="18"/>
                          </w:rPr>
                        </w:pPr>
                        <w:r>
                          <w:rPr>
                            <w:rFonts w:ascii="宋体" w:hAnsi="宋体" w:cs="宋体" w:eastAsia="宋体" w:hint="default"/>
                            <w:sz w:val="18"/>
                            <w:szCs w:val="18"/>
                          </w:rPr>
                          <w:t>应纳税所得额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15%</w:t>
                        </w:r>
                        <w:r>
                          <w:rPr>
                            <w:rFonts w:ascii="宋体" w:hAnsi="宋体" w:cs="宋体" w:eastAsia="宋体" w:hint="default"/>
                            <w:sz w:val="18"/>
                            <w:szCs w:val="18"/>
                          </w:rPr>
                          <w:t>、</w:t>
                        </w:r>
                        <w:r>
                          <w:rPr>
                            <w:rFonts w:ascii="Times New Roman" w:hAnsi="Times New Roman" w:cs="Times New Roman" w:eastAsia="Times New Roman" w:hint="default"/>
                            <w:sz w:val="18"/>
                            <w:szCs w:val="18"/>
                          </w:rPr>
                          <w:t>20%</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应纳增值税额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应纳增值税额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2"/>
          <w:szCs w:val="22"/>
        </w:rPr>
      </w:pPr>
    </w:p>
    <w:p>
      <w:pPr>
        <w:pStyle w:val="BodyText"/>
        <w:spacing w:line="240" w:lineRule="auto" w:before="44"/>
        <w:ind w:right="1133"/>
        <w:jc w:val="left"/>
      </w:pPr>
      <w:r>
        <w:rPr/>
        <w:t>存在不同企业所得税税率纳税主体的，披露情况说明</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784"/>
        <w:gridCol w:w="4787"/>
      </w:tblGrid>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深圳达实智能股份有限公司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江苏达实久信医疗科技有限公司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常州丹迪医疗器械有限公司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江苏达实久信数字医疗科技有限公司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15%</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4784"/>
        <w:gridCol w:w="4787"/>
      </w:tblGrid>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江苏达实久信智慧物流系统有限公司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江苏久信净化设备有限公司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深圳达实信息技术有限公司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深圳达实融资租赁有限公司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昌都市达实投资咨询有限公司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云浮市济天企业管理有限公司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深圳达实智慧医疗有限公司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遵义达实绿色智慧发展有限公司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珠海达实科技发展有限公司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4"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淮南达实智慧城市投资发展有限公司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深圳达实软件有限公司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雄安达实智慧科技有限公司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15%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江苏洪泽湖达实智慧医养有限公司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深圳市小鹿暖暖科技有限公司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湖南桃江达实智慧医养有限公司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合肥达实信息科技有限公司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成都聚雅医信科技有限公司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仁怀达实绿色智慧发展有限公司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达实智能科技（成都）有限公司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汕头达实智慧医疗投资发展有限公司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淮南达实智慧医疗有限公司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青岛达实智慧科技有限公司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深圳达实物联网技术有限公司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平行咨询有限公司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16.5%</w:t>
            </w:r>
          </w:p>
        </w:tc>
      </w:tr>
    </w:tbl>
    <w:p>
      <w:pPr>
        <w:spacing w:line="240" w:lineRule="auto" w:before="3"/>
        <w:rPr>
          <w:rFonts w:ascii="宋体" w:hAnsi="宋体" w:cs="宋体" w:eastAsia="宋体" w:hint="default"/>
          <w:sz w:val="19"/>
          <w:szCs w:val="19"/>
        </w:rPr>
      </w:pPr>
    </w:p>
    <w:p>
      <w:pPr>
        <w:pStyle w:val="Heading4"/>
        <w:spacing w:line="240" w:lineRule="auto" w:before="36"/>
        <w:ind w:right="0"/>
        <w:jc w:val="both"/>
        <w:rPr>
          <w:b w:val="0"/>
          <w:bCs w:val="0"/>
        </w:rPr>
      </w:pPr>
      <w:bookmarkStart w:name="2、税收优惠" w:id="227"/>
      <w:bookmarkEnd w:id="227"/>
      <w:r>
        <w:rPr>
          <w:b w:val="0"/>
          <w:bCs w:val="0"/>
        </w:rPr>
      </w:r>
      <w:r>
        <w:rPr>
          <w:rFonts w:ascii="Times New Roman" w:hAnsi="Times New Roman" w:cs="Times New Roman" w:eastAsia="Times New Roman" w:hint="default"/>
        </w:rPr>
        <w:t>2</w:t>
      </w:r>
      <w:r>
        <w:rPr/>
        <w:t>、税收优惠</w:t>
      </w:r>
      <w:r>
        <w:rPr>
          <w:b w:val="0"/>
          <w:bCs w:val="0"/>
        </w:rPr>
      </w:r>
    </w:p>
    <w:p>
      <w:pPr>
        <w:spacing w:line="240" w:lineRule="auto" w:before="10"/>
        <w:rPr>
          <w:rFonts w:ascii="宋体" w:hAnsi="宋体" w:cs="宋体" w:eastAsia="宋体" w:hint="default"/>
          <w:b/>
          <w:bCs/>
          <w:sz w:val="24"/>
          <w:szCs w:val="24"/>
        </w:rPr>
      </w:pPr>
    </w:p>
    <w:p>
      <w:pPr>
        <w:pStyle w:val="Heading5"/>
        <w:spacing w:line="261" w:lineRule="auto" w:before="0"/>
        <w:ind w:right="1021" w:firstLine="420"/>
        <w:jc w:val="both"/>
      </w:pPr>
      <w:r>
        <w:rPr>
          <w:spacing w:val="-3"/>
        </w:rPr>
        <w:t>（</w:t>
      </w:r>
      <w:r>
        <w:rPr>
          <w:rFonts w:ascii="Times New Roman" w:hAnsi="Times New Roman" w:cs="Times New Roman" w:eastAsia="Times New Roman" w:hint="default"/>
          <w:spacing w:val="-3"/>
        </w:rPr>
        <w:t>1</w:t>
      </w:r>
      <w:r>
        <w:rPr>
          <w:spacing w:val="-3"/>
        </w:rPr>
        <w:t>）根据</w:t>
      </w:r>
      <w:r>
        <w:rPr>
          <w:rFonts w:ascii="Times New Roman" w:hAnsi="Times New Roman" w:cs="Times New Roman" w:eastAsia="Times New Roman" w:hint="default"/>
          <w:spacing w:val="-3"/>
        </w:rPr>
        <w:t>2016</w:t>
      </w:r>
      <w:r>
        <w:rPr>
          <w:spacing w:val="-3"/>
        </w:rPr>
        <w:t>年</w:t>
      </w:r>
      <w:r>
        <w:rPr>
          <w:rFonts w:ascii="Times New Roman" w:hAnsi="Times New Roman" w:cs="Times New Roman" w:eastAsia="Times New Roman" w:hint="default"/>
          <w:spacing w:val="-3"/>
        </w:rPr>
        <w:t>3</w:t>
      </w:r>
      <w:r>
        <w:rPr>
          <w:spacing w:val="-3"/>
        </w:rPr>
        <w:t>月</w:t>
      </w:r>
      <w:r>
        <w:rPr>
          <w:rFonts w:ascii="Times New Roman" w:hAnsi="Times New Roman" w:cs="Times New Roman" w:eastAsia="Times New Roman" w:hint="default"/>
          <w:spacing w:val="-3"/>
        </w:rPr>
        <w:t>23</w:t>
      </w:r>
      <w:r>
        <w:rPr>
          <w:spacing w:val="-3"/>
        </w:rPr>
        <w:t>日发布的财税</w:t>
      </w:r>
      <w:r>
        <w:rPr>
          <w:rFonts w:ascii="Times New Roman" w:hAnsi="Times New Roman" w:cs="Times New Roman" w:eastAsia="Times New Roman" w:hint="default"/>
          <w:spacing w:val="-3"/>
        </w:rPr>
        <w:t>[2016]36</w:t>
      </w:r>
      <w:r>
        <w:rPr>
          <w:spacing w:val="-3"/>
        </w:rPr>
        <w:t>号《财政部国家税务总局</w:t>
      </w:r>
      <w:r>
        <w:rPr>
          <w:spacing w:val="5"/>
        </w:rPr>
        <w:t> </w:t>
      </w:r>
      <w:r>
        <w:rPr/>
        <w:t>关于全面推开营业税改征增值</w:t>
      </w:r>
      <w:r>
        <w:rPr>
          <w:w w:val="100"/>
        </w:rPr>
        <w:t> </w:t>
      </w:r>
      <w:r>
        <w:rPr/>
        <w:t>税 </w:t>
      </w:r>
      <w:r>
        <w:rPr>
          <w:spacing w:val="-4"/>
        </w:rPr>
        <w:t>试点的通知》中附件</w:t>
      </w:r>
      <w:r>
        <w:rPr>
          <w:rFonts w:ascii="Times New Roman" w:hAnsi="Times New Roman" w:cs="Times New Roman" w:eastAsia="Times New Roman" w:hint="default"/>
          <w:spacing w:val="-4"/>
        </w:rPr>
        <w:t>3</w:t>
      </w:r>
      <w:r>
        <w:rPr>
          <w:spacing w:val="-4"/>
        </w:rPr>
        <w:t>《营业税改征增值税试点过渡政策的规定》第一条第二十七款规定</w:t>
      </w:r>
      <w:r>
        <w:rPr>
          <w:rFonts w:ascii="Times New Roman" w:hAnsi="Times New Roman" w:cs="Times New Roman" w:eastAsia="Times New Roman" w:hint="default"/>
          <w:spacing w:val="-4"/>
        </w:rPr>
        <w:t>“</w:t>
      </w:r>
      <w:r>
        <w:rPr>
          <w:spacing w:val="-4"/>
        </w:rPr>
        <w:t>一、下列项目</w:t>
      </w:r>
      <w:r>
        <w:rPr>
          <w:spacing w:val="-48"/>
        </w:rPr>
        <w:t> </w:t>
      </w:r>
      <w:r>
        <w:rPr>
          <w:spacing w:val="-48"/>
        </w:rPr>
      </w:r>
      <w:r>
        <w:rPr>
          <w:spacing w:val="-2"/>
        </w:rPr>
        <w:t>免征增值税：（二十七）同时符合下列条件的合同能源管理服务：①节能服务公司实施合同能源管理项目</w:t>
      </w:r>
      <w:r>
        <w:rPr>
          <w:spacing w:val="-44"/>
        </w:rPr>
        <w:t> </w:t>
      </w:r>
      <w:r>
        <w:rPr>
          <w:spacing w:val="-44"/>
        </w:rPr>
      </w:r>
      <w:r>
        <w:rPr>
          <w:spacing w:val="-5"/>
        </w:rPr>
        <w:t>相关技术，应当符合国家质量监督检验检疫总局和国家标准化管理委员会发布的《合同能源管理技术通则》</w:t>
      </w:r>
    </w:p>
    <w:p>
      <w:pPr>
        <w:pStyle w:val="Heading5"/>
        <w:spacing w:line="256" w:lineRule="auto" w:before="18"/>
        <w:ind w:right="1129"/>
        <w:jc w:val="both"/>
      </w:pPr>
      <w:r>
        <w:rPr>
          <w:spacing w:val="-3"/>
        </w:rPr>
        <w:t>（</w:t>
      </w:r>
      <w:r>
        <w:rPr>
          <w:rFonts w:ascii="Times New Roman" w:hAnsi="Times New Roman" w:cs="Times New Roman" w:eastAsia="Times New Roman" w:hint="default"/>
          <w:spacing w:val="-3"/>
        </w:rPr>
        <w:t>GB/T24915-2010</w:t>
      </w:r>
      <w:r>
        <w:rPr>
          <w:spacing w:val="-3"/>
        </w:rPr>
        <w:t>）规定的技术要求。②节能服务公司与用能企业签订节能效益分享型合同，其合同格式 </w:t>
      </w:r>
      <w:r>
        <w:rPr/>
        <w:t>和内容，符合《中华人民共和国合同法》和《合同能源管理技术通则》（</w:t>
      </w:r>
      <w:r>
        <w:rPr>
          <w:rFonts w:ascii="Times New Roman" w:hAnsi="Times New Roman" w:cs="Times New Roman" w:eastAsia="Times New Roman" w:hint="default"/>
        </w:rPr>
        <w:t>GB/T24915-2010</w:t>
      </w:r>
      <w:r>
        <w:rPr/>
        <w:t>）等规定</w:t>
      </w:r>
      <w:r>
        <w:rPr>
          <w:rFonts w:ascii="Times New Roman" w:hAnsi="Times New Roman" w:cs="Times New Roman" w:eastAsia="Times New Roman" w:hint="default"/>
        </w:rPr>
        <w:t>”</w:t>
      </w:r>
      <w:r>
        <w:rPr>
          <w:rFonts w:ascii="Times New Roman" w:hAnsi="Times New Roman" w:cs="Times New Roman" w:eastAsia="Times New Roman" w:hint="default"/>
          <w:spacing w:val="15"/>
        </w:rPr>
        <w:t> </w:t>
      </w:r>
      <w:r>
        <w:rPr>
          <w:spacing w:val="-5"/>
        </w:rPr>
        <w:t>。本</w:t>
      </w:r>
      <w:r>
        <w:rPr>
          <w:spacing w:val="-5"/>
          <w:w w:val="100"/>
        </w:rPr>
        <w:t> </w:t>
      </w:r>
      <w:r>
        <w:rPr/>
        <w:t>公司提供的节能服务业务符合该政策，享受免征增值税优惠。</w:t>
      </w:r>
    </w:p>
    <w:p>
      <w:pPr>
        <w:pStyle w:val="Heading5"/>
        <w:spacing w:line="256" w:lineRule="auto" w:before="22"/>
        <w:ind w:right="1133" w:firstLine="420"/>
        <w:jc w:val="left"/>
      </w:pPr>
      <w:r>
        <w:rPr/>
        <w:t>（</w:t>
      </w:r>
      <w:r>
        <w:rPr>
          <w:rFonts w:ascii="Times New Roman" w:hAnsi="Times New Roman" w:cs="Times New Roman" w:eastAsia="Times New Roman" w:hint="default"/>
        </w:rPr>
        <w:t>2</w:t>
      </w:r>
      <w:r>
        <w:rPr/>
        <w:t>）本公司及子公司江苏达实久信医疗科技有限公司、雄安达实智慧科技有限公司均系国家级高新</w:t>
      </w:r>
      <w:r>
        <w:rPr>
          <w:w w:val="100"/>
        </w:rPr>
        <w:t> </w:t>
      </w:r>
      <w:r>
        <w:rPr/>
        <w:t>技术企业，依据企业所得税法的规定适用</w:t>
      </w:r>
      <w:r>
        <w:rPr>
          <w:rFonts w:ascii="Times New Roman" w:hAnsi="Times New Roman" w:cs="Times New Roman" w:eastAsia="Times New Roman" w:hint="default"/>
        </w:rPr>
        <w:t>15%</w:t>
      </w:r>
      <w:r>
        <w:rPr/>
        <w:t>的企业所得税税率。</w:t>
      </w:r>
    </w:p>
    <w:p>
      <w:pPr>
        <w:pStyle w:val="Heading5"/>
        <w:spacing w:line="240" w:lineRule="auto" w:before="5"/>
        <w:ind w:left="573" w:right="1133"/>
        <w:jc w:val="left"/>
      </w:pPr>
      <w:r>
        <w:rPr/>
        <w:t>（</w:t>
      </w:r>
      <w:r>
        <w:rPr>
          <w:rFonts w:ascii="Times New Roman" w:hAnsi="Times New Roman" w:cs="Times New Roman" w:eastAsia="Times New Roman" w:hint="default"/>
        </w:rPr>
        <w:t>3</w:t>
      </w:r>
      <w:r>
        <w:rPr/>
        <w:t>）根据常州市经济和信息化委员会、江苏省常州市国家税务局、江苏省常州地产税务局《关于落</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5"/>
        <w:spacing w:line="261" w:lineRule="auto" w:before="36"/>
        <w:ind w:right="1126"/>
        <w:jc w:val="both"/>
      </w:pPr>
      <w:r>
        <w:rPr>
          <w:spacing w:val="2"/>
        </w:rPr>
        <w:t>实全市第七十四批通过双软认定的企业名单和软件产品目录及第三十五批通过延续登记的软件产品目录</w:t>
      </w:r>
      <w:r>
        <w:rPr>
          <w:spacing w:val="-30"/>
        </w:rPr>
        <w:t> </w:t>
      </w:r>
      <w:r>
        <w:rPr>
          <w:spacing w:val="-30"/>
        </w:rPr>
      </w:r>
      <w:r>
        <w:rPr/>
        <w:t>的通知》</w:t>
      </w:r>
      <w:r>
        <w:rPr>
          <w:rFonts w:ascii="Times New Roman" w:hAnsi="Times New Roman" w:cs="Times New Roman" w:eastAsia="Times New Roman" w:hint="default"/>
        </w:rPr>
        <w:t>(</w:t>
      </w:r>
      <w:r>
        <w:rPr/>
        <w:t>常经信软件〔</w:t>
      </w:r>
      <w:r>
        <w:rPr>
          <w:rFonts w:ascii="Times New Roman" w:hAnsi="Times New Roman" w:cs="Times New Roman" w:eastAsia="Times New Roman" w:hint="default"/>
        </w:rPr>
        <w:t>2012</w:t>
      </w:r>
      <w:r>
        <w:rPr/>
        <w:t>〕</w:t>
      </w:r>
      <w:r>
        <w:rPr>
          <w:rFonts w:ascii="Times New Roman" w:hAnsi="Times New Roman" w:cs="Times New Roman" w:eastAsia="Times New Roman" w:hint="default"/>
        </w:rPr>
        <w:t>315</w:t>
      </w:r>
      <w:r>
        <w:rPr/>
        <w:t>号</w:t>
      </w:r>
      <w:r>
        <w:rPr>
          <w:rFonts w:ascii="Times New Roman" w:hAnsi="Times New Roman" w:cs="Times New Roman" w:eastAsia="Times New Roman" w:hint="default"/>
        </w:rPr>
        <w:t>)</w:t>
      </w:r>
      <w:r>
        <w:rPr/>
        <w:t>，江苏达实久信数字医疗科技有限公司通过双软认定</w:t>
      </w:r>
      <w:r>
        <w:rPr>
          <w:rFonts w:ascii="Times New Roman" w:hAnsi="Times New Roman" w:cs="Times New Roman" w:eastAsia="Times New Roman" w:hint="default"/>
        </w:rPr>
        <w:t>(</w:t>
      </w:r>
      <w:r>
        <w:rPr/>
        <w:t>即软件产品认</w:t>
      </w:r>
      <w:r>
        <w:rPr>
          <w:spacing w:val="-25"/>
        </w:rPr>
        <w:t> </w:t>
      </w:r>
      <w:r>
        <w:rPr>
          <w:spacing w:val="-25"/>
        </w:rPr>
      </w:r>
      <w:r>
        <w:rPr>
          <w:spacing w:val="-3"/>
        </w:rPr>
        <w:t>证和软件企业认证</w:t>
      </w:r>
      <w:r>
        <w:rPr>
          <w:rFonts w:ascii="Times New Roman" w:hAnsi="Times New Roman" w:cs="Times New Roman" w:eastAsia="Times New Roman" w:hint="default"/>
          <w:spacing w:val="-3"/>
        </w:rPr>
        <w:t>)</w:t>
      </w:r>
      <w:r>
        <w:rPr>
          <w:spacing w:val="-3"/>
        </w:rPr>
        <w:t>。江苏达实久信数字医疗科技有限公司享受</w:t>
      </w:r>
      <w:r>
        <w:rPr>
          <w:rFonts w:ascii="Times New Roman" w:hAnsi="Times New Roman" w:cs="Times New Roman" w:eastAsia="Times New Roman" w:hint="default"/>
          <w:spacing w:val="-3"/>
        </w:rPr>
        <w:t>“</w:t>
      </w:r>
      <w:r>
        <w:rPr>
          <w:spacing w:val="-3"/>
        </w:rPr>
        <w:t>两免三减半</w:t>
      </w:r>
      <w:r>
        <w:rPr>
          <w:rFonts w:ascii="Times New Roman" w:hAnsi="Times New Roman" w:cs="Times New Roman" w:eastAsia="Times New Roman" w:hint="default"/>
          <w:spacing w:val="-3"/>
        </w:rPr>
        <w:t>”</w:t>
      </w:r>
      <w:r>
        <w:rPr>
          <w:spacing w:val="-3"/>
        </w:rPr>
        <w:t>的税务优惠政策，从开始获利</w:t>
      </w:r>
      <w:r>
        <w:rPr>
          <w:spacing w:val="-42"/>
        </w:rPr>
        <w:t> </w:t>
      </w:r>
      <w:r>
        <w:rPr>
          <w:spacing w:val="-42"/>
        </w:rPr>
      </w:r>
      <w:r>
        <w:rPr>
          <w:spacing w:val="-2"/>
        </w:rPr>
        <w:t>年度起执行</w:t>
      </w:r>
      <w:r>
        <w:rPr>
          <w:rFonts w:ascii="Times New Roman" w:hAnsi="Times New Roman" w:cs="Times New Roman" w:eastAsia="Times New Roman" w:hint="default"/>
          <w:spacing w:val="-2"/>
        </w:rPr>
        <w:t>“</w:t>
      </w:r>
      <w:r>
        <w:rPr>
          <w:spacing w:val="-2"/>
        </w:rPr>
        <w:t>两免三减半</w:t>
      </w:r>
      <w:r>
        <w:rPr>
          <w:rFonts w:ascii="Times New Roman" w:hAnsi="Times New Roman" w:cs="Times New Roman" w:eastAsia="Times New Roman" w:hint="default"/>
          <w:spacing w:val="-2"/>
        </w:rPr>
        <w:t>”</w:t>
      </w:r>
      <w:r>
        <w:rPr>
          <w:spacing w:val="-2"/>
        </w:rPr>
        <w:t>的税收优惠政策，</w:t>
      </w:r>
      <w:r>
        <w:rPr>
          <w:rFonts w:ascii="Times New Roman" w:hAnsi="Times New Roman" w:cs="Times New Roman" w:eastAsia="Times New Roman" w:hint="default"/>
          <w:spacing w:val="-2"/>
        </w:rPr>
        <w:t>2019</w:t>
      </w:r>
      <w:r>
        <w:rPr>
          <w:spacing w:val="-2"/>
        </w:rPr>
        <w:t>年度为江苏达实久信数字医疗科技有限公司的第五个获利</w:t>
      </w:r>
      <w:r>
        <w:rPr>
          <w:spacing w:val="-15"/>
        </w:rPr>
        <w:t> </w:t>
      </w:r>
      <w:r>
        <w:rPr>
          <w:spacing w:val="-15"/>
        </w:rPr>
      </w:r>
      <w:r>
        <w:rPr/>
        <w:t>年度，享受减半征收的税收优惠政策。</w:t>
      </w:r>
    </w:p>
    <w:p>
      <w:pPr>
        <w:pStyle w:val="Heading5"/>
        <w:spacing w:line="256" w:lineRule="auto" w:before="18"/>
        <w:ind w:right="1126" w:firstLine="420"/>
        <w:jc w:val="both"/>
      </w:pPr>
      <w:r>
        <w:rPr>
          <w:spacing w:val="-2"/>
        </w:rPr>
        <w:t>（</w:t>
      </w:r>
      <w:r>
        <w:rPr>
          <w:rFonts w:ascii="Times New Roman" w:hAnsi="Times New Roman" w:cs="Times New Roman" w:eastAsia="Times New Roman" w:hint="default"/>
          <w:spacing w:val="-2"/>
        </w:rPr>
        <w:t>4</w:t>
      </w:r>
      <w:r>
        <w:rPr>
          <w:spacing w:val="-2"/>
        </w:rPr>
        <w:t>）根据《西藏自治区企业所得税政策实施办法》第三条规定</w:t>
      </w:r>
      <w:r>
        <w:rPr>
          <w:rFonts w:ascii="Times New Roman" w:hAnsi="Times New Roman" w:cs="Times New Roman" w:eastAsia="Times New Roman" w:hint="default"/>
          <w:spacing w:val="-2"/>
        </w:rPr>
        <w:t>“</w:t>
      </w:r>
      <w:r>
        <w:rPr>
          <w:spacing w:val="-2"/>
        </w:rPr>
        <w:t>西藏自治区的企业统一执行西部大开</w:t>
      </w:r>
      <w:r>
        <w:rPr>
          <w:w w:val="100"/>
        </w:rPr>
        <w:t> </w:t>
      </w:r>
      <w:r>
        <w:rPr>
          <w:spacing w:val="-3"/>
        </w:rPr>
        <w:t>发战略中企业所得税</w:t>
      </w:r>
      <w:r>
        <w:rPr>
          <w:rFonts w:ascii="Times New Roman" w:hAnsi="Times New Roman" w:cs="Times New Roman" w:eastAsia="Times New Roman" w:hint="default"/>
          <w:spacing w:val="-3"/>
        </w:rPr>
        <w:t>15%</w:t>
      </w:r>
      <w:r>
        <w:rPr>
          <w:spacing w:val="-3"/>
        </w:rPr>
        <w:t>的税率</w:t>
      </w:r>
      <w:r>
        <w:rPr>
          <w:rFonts w:ascii="Times New Roman" w:hAnsi="Times New Roman" w:cs="Times New Roman" w:eastAsia="Times New Roman" w:hint="default"/>
          <w:spacing w:val="-3"/>
        </w:rPr>
        <w:t>”</w:t>
      </w:r>
      <w:r>
        <w:rPr>
          <w:spacing w:val="-3"/>
        </w:rPr>
        <w:t>，子公司深圳达实融资租赁有限公司所属企业昌都市达实投资咨询有限公</w:t>
      </w:r>
      <w:r>
        <w:rPr>
          <w:spacing w:val="-49"/>
        </w:rPr>
        <w:t> </w:t>
      </w:r>
      <w:r>
        <w:rPr>
          <w:spacing w:val="-49"/>
        </w:rPr>
      </w:r>
      <w:r>
        <w:rPr/>
        <w:t>司符合该政策。</w:t>
      </w:r>
    </w:p>
    <w:p>
      <w:pPr>
        <w:pStyle w:val="Heading5"/>
        <w:spacing w:line="256" w:lineRule="auto" w:before="22"/>
        <w:ind w:right="1126" w:firstLine="420"/>
        <w:jc w:val="both"/>
      </w:pPr>
      <w:r>
        <w:rPr/>
        <w:t>（</w:t>
      </w:r>
      <w:r>
        <w:rPr>
          <w:rFonts w:ascii="Times New Roman" w:hAnsi="Times New Roman" w:cs="Times New Roman" w:eastAsia="Times New Roman" w:hint="default"/>
        </w:rPr>
        <w:t>5</w:t>
      </w:r>
      <w:r>
        <w:rPr/>
        <w:t>）自</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日起根据财政部、国家税务总局财税</w:t>
      </w:r>
      <w:r>
        <w:rPr>
          <w:rFonts w:ascii="Times New Roman" w:hAnsi="Times New Roman" w:cs="Times New Roman" w:eastAsia="Times New Roman" w:hint="default"/>
        </w:rPr>
        <w:t>[2011]100</w:t>
      </w:r>
      <w:r>
        <w:rPr/>
        <w:t>号《关于软件产品增值税政策的通</w:t>
      </w:r>
      <w:r>
        <w:rPr>
          <w:w w:val="100"/>
        </w:rPr>
        <w:t> </w:t>
      </w:r>
      <w:r>
        <w:rPr>
          <w:spacing w:val="-2"/>
        </w:rPr>
        <w:t>知》执行软件产品增值税政策，增值税一般纳税人销售其自行开发生产的软件产品，按</w:t>
      </w:r>
      <w:r>
        <w:rPr>
          <w:rFonts w:ascii="Times New Roman" w:hAnsi="Times New Roman" w:cs="Times New Roman" w:eastAsia="Times New Roman" w:hint="default"/>
          <w:spacing w:val="-2"/>
        </w:rPr>
        <w:t>17%/16%/13%</w:t>
      </w:r>
      <w:r>
        <w:rPr>
          <w:spacing w:val="-2"/>
        </w:rPr>
        <w:t>税率</w:t>
      </w:r>
      <w:r>
        <w:rPr>
          <w:spacing w:val="-47"/>
        </w:rPr>
        <w:t> </w:t>
      </w:r>
      <w:r>
        <w:rPr/>
        <w:t>征收增值税后，对其增值税实际税负超过</w:t>
      </w:r>
      <w:r>
        <w:rPr>
          <w:rFonts w:ascii="Times New Roman" w:hAnsi="Times New Roman" w:cs="Times New Roman" w:eastAsia="Times New Roman" w:hint="default"/>
        </w:rPr>
        <w:t>3%</w:t>
      </w:r>
      <w:r>
        <w:rPr/>
        <w:t>的部分实行即征即退政策。</w:t>
      </w:r>
    </w:p>
    <w:p>
      <w:pPr>
        <w:pStyle w:val="Heading5"/>
        <w:spacing w:line="256" w:lineRule="auto" w:before="5"/>
        <w:ind w:right="1126" w:firstLine="420"/>
        <w:jc w:val="both"/>
      </w:pPr>
      <w:r>
        <w:rPr/>
        <w:t>（</w:t>
      </w:r>
      <w:r>
        <w:rPr>
          <w:rFonts w:ascii="Times New Roman" w:hAnsi="Times New Roman" w:cs="Times New Roman" w:eastAsia="Times New Roman" w:hint="default"/>
        </w:rPr>
        <w:t>6</w:t>
      </w:r>
      <w:r>
        <w:rPr/>
        <w:t>）根据财政部 税务总局公告</w:t>
      </w:r>
      <w:r>
        <w:rPr>
          <w:rFonts w:ascii="Times New Roman" w:hAnsi="Times New Roman" w:cs="Times New Roman" w:eastAsia="Times New Roman" w:hint="default"/>
        </w:rPr>
        <w:t>2019</w:t>
      </w:r>
      <w:r>
        <w:rPr/>
        <w:t>年第</w:t>
      </w:r>
      <w:r>
        <w:rPr>
          <w:rFonts w:ascii="Times New Roman" w:hAnsi="Times New Roman" w:cs="Times New Roman" w:eastAsia="Times New Roman" w:hint="default"/>
        </w:rPr>
        <w:t>68</w:t>
      </w:r>
      <w:r>
        <w:rPr/>
        <w:t>号《财政部 税务总局</w:t>
      </w:r>
      <w:r>
        <w:rPr>
          <w:spacing w:val="-25"/>
        </w:rPr>
        <w:t> </w:t>
      </w:r>
      <w:r>
        <w:rPr/>
        <w:t>关于集成电路设计和软件产业企业</w:t>
      </w:r>
      <w:r>
        <w:rPr>
          <w:w w:val="100"/>
        </w:rPr>
        <w:t> </w:t>
      </w:r>
      <w:r>
        <w:rPr/>
        <w:t>所得税政策的公告》</w:t>
      </w:r>
      <w:r>
        <w:rPr>
          <w:rFonts w:ascii="Times New Roman" w:hAnsi="Times New Roman" w:cs="Times New Roman" w:eastAsia="Times New Roman" w:hint="default"/>
        </w:rPr>
        <w:t>“</w:t>
      </w:r>
      <w:r>
        <w:rPr/>
        <w:t>一、依法成立且符合条件的集成电路设计企业和软件企业，在</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日前自</w:t>
      </w:r>
      <w:r>
        <w:rPr>
          <w:spacing w:val="-13"/>
        </w:rPr>
        <w:t> </w:t>
      </w:r>
      <w:r>
        <w:rPr>
          <w:spacing w:val="-13"/>
        </w:rPr>
      </w:r>
      <w:r>
        <w:rPr>
          <w:spacing w:val="-1"/>
        </w:rPr>
        <w:t>获利年度起计算优惠期，第一年至第二年免征企业所得税，第三年至第五年按照</w:t>
      </w:r>
      <w:r>
        <w:rPr>
          <w:rFonts w:ascii="Times New Roman" w:hAnsi="Times New Roman" w:cs="Times New Roman" w:eastAsia="Times New Roman" w:hint="default"/>
          <w:spacing w:val="-1"/>
        </w:rPr>
        <w:t>25%</w:t>
      </w:r>
      <w:r>
        <w:rPr>
          <w:spacing w:val="-1"/>
        </w:rPr>
        <w:t>的法定税率减半征收</w:t>
      </w:r>
      <w:r>
        <w:rPr>
          <w:spacing w:val="-51"/>
        </w:rPr>
        <w:t> </w:t>
      </w:r>
      <w:r>
        <w:rPr>
          <w:spacing w:val="-51"/>
        </w:rPr>
      </w:r>
      <w:r>
        <w:rPr>
          <w:spacing w:val="-9"/>
        </w:rPr>
        <w:t>企业所得税，并享受至期满为止。</w:t>
      </w:r>
      <w:r>
        <w:rPr>
          <w:rFonts w:ascii="Times New Roman" w:hAnsi="Times New Roman" w:cs="Times New Roman" w:eastAsia="Times New Roman" w:hint="default"/>
          <w:spacing w:val="-9"/>
        </w:rPr>
        <w:t>” </w:t>
      </w:r>
      <w:r>
        <w:rPr>
          <w:spacing w:val="-4"/>
        </w:rPr>
        <w:t>深圳达实软件有限公司符合条件，享受从开始获利年度起</w:t>
      </w:r>
      <w:r>
        <w:rPr>
          <w:rFonts w:ascii="Times New Roman" w:hAnsi="Times New Roman" w:cs="Times New Roman" w:eastAsia="Times New Roman" w:hint="default"/>
          <w:spacing w:val="-4"/>
        </w:rPr>
        <w:t>“</w:t>
      </w:r>
      <w:r>
        <w:rPr>
          <w:spacing w:val="-4"/>
        </w:rPr>
        <w:t>两免三减半</w:t>
      </w:r>
      <w:r>
        <w:rPr>
          <w:rFonts w:ascii="Times New Roman" w:hAnsi="Times New Roman" w:cs="Times New Roman" w:eastAsia="Times New Roman" w:hint="default"/>
          <w:spacing w:val="-4"/>
        </w:rPr>
        <w:t>”</w:t>
      </w:r>
      <w:r>
        <w:rPr>
          <w:rFonts w:ascii="Times New Roman" w:hAnsi="Times New Roman" w:cs="Times New Roman" w:eastAsia="Times New Roman" w:hint="default"/>
          <w:spacing w:val="-16"/>
        </w:rPr>
        <w:t> </w:t>
      </w:r>
      <w:r>
        <w:rPr>
          <w:spacing w:val="-2"/>
        </w:rPr>
        <w:t>的税务优惠政策，</w:t>
      </w:r>
      <w:r>
        <w:rPr>
          <w:rFonts w:ascii="Times New Roman" w:hAnsi="Times New Roman" w:cs="Times New Roman" w:eastAsia="Times New Roman" w:hint="default"/>
          <w:spacing w:val="-2"/>
        </w:rPr>
        <w:t>2019</w:t>
      </w:r>
      <w:r>
        <w:rPr>
          <w:spacing w:val="-2"/>
        </w:rPr>
        <w:t>年度为深圳达实软件有限公司的第二个获利年度，享受免征企业所得税的税收优惠</w:t>
      </w:r>
      <w:r>
        <w:rPr>
          <w:spacing w:val="-40"/>
        </w:rPr>
        <w:t> </w:t>
      </w:r>
      <w:r>
        <w:rPr>
          <w:spacing w:val="-40"/>
        </w:rPr>
      </w:r>
      <w:r>
        <w:rPr/>
        <w:t>政策。</w:t>
      </w:r>
    </w:p>
    <w:p>
      <w:pPr>
        <w:pStyle w:val="Heading5"/>
        <w:spacing w:line="261" w:lineRule="auto" w:before="22"/>
        <w:ind w:right="1126" w:firstLine="420"/>
        <w:jc w:val="both"/>
      </w:pPr>
      <w:r>
        <w:rPr>
          <w:spacing w:val="-2"/>
        </w:rPr>
        <w:t>（</w:t>
      </w:r>
      <w:r>
        <w:rPr>
          <w:rFonts w:ascii="Times New Roman" w:hAnsi="Times New Roman" w:cs="Times New Roman" w:eastAsia="Times New Roman" w:hint="default"/>
          <w:spacing w:val="-2"/>
        </w:rPr>
        <w:t>7</w:t>
      </w:r>
      <w:r>
        <w:rPr>
          <w:spacing w:val="-2"/>
        </w:rPr>
        <w:t>）根据国家税务总局公告</w:t>
      </w:r>
      <w:r>
        <w:rPr>
          <w:rFonts w:ascii="Times New Roman" w:hAnsi="Times New Roman" w:cs="Times New Roman" w:eastAsia="Times New Roman" w:hint="default"/>
          <w:spacing w:val="-2"/>
        </w:rPr>
        <w:t>2019</w:t>
      </w:r>
      <w:r>
        <w:rPr>
          <w:spacing w:val="-2"/>
        </w:rPr>
        <w:t>年第</w:t>
      </w:r>
      <w:r>
        <w:rPr>
          <w:rFonts w:ascii="Times New Roman" w:hAnsi="Times New Roman" w:cs="Times New Roman" w:eastAsia="Times New Roman" w:hint="default"/>
          <w:spacing w:val="-2"/>
        </w:rPr>
        <w:t>2</w:t>
      </w:r>
      <w:r>
        <w:rPr>
          <w:spacing w:val="-2"/>
        </w:rPr>
        <w:t>号《国家税务总局关于实施小型微利企业普惠性所得税减免政</w:t>
      </w:r>
      <w:r>
        <w:rPr>
          <w:w w:val="100"/>
        </w:rPr>
        <w:t> </w:t>
      </w:r>
      <w:r>
        <w:rPr>
          <w:spacing w:val="-2"/>
        </w:rPr>
        <w:t>策有关问题的公告》</w:t>
      </w:r>
      <w:r>
        <w:rPr>
          <w:rFonts w:ascii="Times New Roman" w:hAnsi="Times New Roman" w:cs="Times New Roman" w:eastAsia="Times New Roman" w:hint="default"/>
          <w:spacing w:val="-2"/>
        </w:rPr>
        <w:t>“</w:t>
      </w:r>
      <w:r>
        <w:rPr>
          <w:spacing w:val="-2"/>
        </w:rPr>
        <w:t>一、自</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1</w:t>
      </w:r>
      <w:r>
        <w:rPr>
          <w:spacing w:val="-2"/>
        </w:rPr>
        <w:t>日至</w:t>
      </w:r>
      <w:r>
        <w:rPr>
          <w:rFonts w:ascii="Times New Roman" w:hAnsi="Times New Roman" w:cs="Times New Roman" w:eastAsia="Times New Roman" w:hint="default"/>
          <w:spacing w:val="-2"/>
        </w:rPr>
        <w:t>2021</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日，对小型微利企业年应纳税所得额不超过</w:t>
      </w:r>
      <w:r>
        <w:rPr>
          <w:rFonts w:ascii="Times New Roman" w:hAnsi="Times New Roman" w:cs="Times New Roman" w:eastAsia="Times New Roman" w:hint="default"/>
          <w:spacing w:val="-2"/>
        </w:rPr>
        <w:t>100</w:t>
      </w:r>
      <w:r>
        <w:rPr>
          <w:rFonts w:ascii="Times New Roman" w:hAnsi="Times New Roman" w:cs="Times New Roman" w:eastAsia="Times New Roman" w:hint="default"/>
          <w:spacing w:val="35"/>
        </w:rPr>
        <w:t> </w:t>
      </w:r>
      <w:r>
        <w:rPr>
          <w:rFonts w:ascii="Times New Roman" w:hAnsi="Times New Roman" w:cs="Times New Roman" w:eastAsia="Times New Roman" w:hint="default"/>
          <w:spacing w:val="35"/>
        </w:rPr>
      </w:r>
      <w:r>
        <w:rPr>
          <w:spacing w:val="-3"/>
        </w:rPr>
        <w:t>万元的部分，减按</w:t>
      </w:r>
      <w:r>
        <w:rPr>
          <w:rFonts w:ascii="Times New Roman" w:hAnsi="Times New Roman" w:cs="Times New Roman" w:eastAsia="Times New Roman" w:hint="default"/>
          <w:spacing w:val="-3"/>
        </w:rPr>
        <w:t>25%</w:t>
      </w:r>
      <w:r>
        <w:rPr>
          <w:spacing w:val="-3"/>
        </w:rPr>
        <w:t>计入应纳税所得额，按</w:t>
      </w:r>
      <w:r>
        <w:rPr>
          <w:rFonts w:ascii="Times New Roman" w:hAnsi="Times New Roman" w:cs="Times New Roman" w:eastAsia="Times New Roman" w:hint="default"/>
          <w:spacing w:val="-3"/>
        </w:rPr>
        <w:t>20%</w:t>
      </w:r>
      <w:r>
        <w:rPr>
          <w:spacing w:val="-3"/>
        </w:rPr>
        <w:t>的税率缴纳企业所得税；对年应纳税所得额超过</w:t>
      </w:r>
      <w:r>
        <w:rPr>
          <w:rFonts w:ascii="Times New Roman" w:hAnsi="Times New Roman" w:cs="Times New Roman" w:eastAsia="Times New Roman" w:hint="default"/>
          <w:spacing w:val="-3"/>
        </w:rPr>
        <w:t>100</w:t>
      </w:r>
      <w:r>
        <w:rPr>
          <w:spacing w:val="-3"/>
        </w:rPr>
        <w:t>万元</w:t>
      </w:r>
      <w:r>
        <w:rPr>
          <w:spacing w:val="-24"/>
        </w:rPr>
        <w:t> </w:t>
      </w:r>
      <w:r>
        <w:rPr>
          <w:spacing w:val="-3"/>
        </w:rPr>
        <w:t>但不超过</w:t>
      </w:r>
      <w:r>
        <w:rPr>
          <w:rFonts w:ascii="Times New Roman" w:hAnsi="Times New Roman" w:cs="Times New Roman" w:eastAsia="Times New Roman" w:hint="default"/>
          <w:spacing w:val="-3"/>
        </w:rPr>
        <w:t>300</w:t>
      </w:r>
      <w:r>
        <w:rPr>
          <w:spacing w:val="-3"/>
        </w:rPr>
        <w:t>万元的部分，减按</w:t>
      </w:r>
      <w:r>
        <w:rPr>
          <w:rFonts w:ascii="Times New Roman" w:hAnsi="Times New Roman" w:cs="Times New Roman" w:eastAsia="Times New Roman" w:hint="default"/>
          <w:spacing w:val="-3"/>
        </w:rPr>
        <w:t>50%</w:t>
      </w:r>
      <w:r>
        <w:rPr>
          <w:spacing w:val="-3"/>
        </w:rPr>
        <w:t>计入应纳税所得额，按</w:t>
      </w:r>
      <w:r>
        <w:rPr>
          <w:rFonts w:ascii="Times New Roman" w:hAnsi="Times New Roman" w:cs="Times New Roman" w:eastAsia="Times New Roman" w:hint="default"/>
          <w:spacing w:val="-3"/>
        </w:rPr>
        <w:t>20%</w:t>
      </w:r>
      <w:r>
        <w:rPr>
          <w:spacing w:val="-3"/>
        </w:rPr>
        <w:t>的税率缴纳企业所得税。二、本公告所称小</w:t>
      </w:r>
      <w:r>
        <w:rPr>
          <w:spacing w:val="-23"/>
        </w:rPr>
        <w:t> </w:t>
      </w:r>
      <w:r>
        <w:rPr>
          <w:spacing w:val="-23"/>
        </w:rPr>
      </w:r>
      <w:r>
        <w:rPr/>
        <w:t>型微利企业是指从事国家非限制和禁止行业，且同时符合年度应纳税所得额不超过</w:t>
      </w:r>
      <w:r>
        <w:rPr>
          <w:rFonts w:ascii="Times New Roman" w:hAnsi="Times New Roman" w:cs="Times New Roman" w:eastAsia="Times New Roman" w:hint="default"/>
        </w:rPr>
        <w:t>300</w:t>
      </w:r>
      <w:r>
        <w:rPr/>
        <w:t>万元、从业人数不</w:t>
      </w:r>
      <w:r>
        <w:rPr>
          <w:spacing w:val="-24"/>
        </w:rPr>
        <w:t> </w:t>
      </w:r>
      <w:r>
        <w:rPr>
          <w:spacing w:val="-24"/>
        </w:rPr>
      </w:r>
      <w:r>
        <w:rPr>
          <w:spacing w:val="-3"/>
        </w:rPr>
        <w:t>超过</w:t>
      </w:r>
      <w:r>
        <w:rPr>
          <w:rFonts w:ascii="Times New Roman" w:hAnsi="Times New Roman" w:cs="Times New Roman" w:eastAsia="Times New Roman" w:hint="default"/>
          <w:spacing w:val="-3"/>
        </w:rPr>
        <w:t>300</w:t>
      </w:r>
      <w:r>
        <w:rPr>
          <w:spacing w:val="-3"/>
        </w:rPr>
        <w:t>人、资产总额不超过</w:t>
      </w:r>
      <w:r>
        <w:rPr>
          <w:rFonts w:ascii="Times New Roman" w:hAnsi="Times New Roman" w:cs="Times New Roman" w:eastAsia="Times New Roman" w:hint="default"/>
          <w:spacing w:val="-3"/>
        </w:rPr>
        <w:t>5000</w:t>
      </w:r>
      <w:r>
        <w:rPr>
          <w:spacing w:val="-3"/>
        </w:rPr>
        <w:t>万元等三个条件的企业。</w:t>
      </w:r>
      <w:r>
        <w:rPr>
          <w:rFonts w:ascii="Times New Roman" w:hAnsi="Times New Roman" w:cs="Times New Roman" w:eastAsia="Times New Roman" w:hint="default"/>
          <w:spacing w:val="-3"/>
        </w:rPr>
        <w:t>” </w:t>
      </w:r>
      <w:r>
        <w:rPr>
          <w:spacing w:val="-3"/>
        </w:rPr>
        <w:t>常州丹迪医疗器械有限公司、江苏达实久信智</w:t>
      </w:r>
      <w:r>
        <w:rPr>
          <w:spacing w:val="-78"/>
        </w:rPr>
        <w:t> </w:t>
      </w:r>
      <w:r>
        <w:rPr>
          <w:spacing w:val="-78"/>
        </w:rPr>
      </w:r>
      <w:r>
        <w:rPr>
          <w:spacing w:val="-2"/>
        </w:rPr>
        <w:t>慧物流系统有限公司、江苏久信净化设备有限公司、云浮市济天企业管理有限公司、深圳达实智慧医疗有</w:t>
      </w:r>
      <w:r>
        <w:rPr>
          <w:spacing w:val="-44"/>
        </w:rPr>
        <w:t> </w:t>
      </w:r>
      <w:r>
        <w:rPr>
          <w:spacing w:val="-44"/>
        </w:rPr>
      </w:r>
      <w:r>
        <w:rPr>
          <w:spacing w:val="-2"/>
        </w:rPr>
        <w:t>限公司、珠海达实科技发展有限公司、雄安达实智慧科技有限公司、深圳市小鹿暖暖科技有限公司、合肥</w:t>
      </w:r>
      <w:r>
        <w:rPr>
          <w:spacing w:val="-50"/>
        </w:rPr>
        <w:t> </w:t>
      </w:r>
      <w:r>
        <w:rPr>
          <w:spacing w:val="-50"/>
        </w:rPr>
      </w:r>
      <w:r>
        <w:rPr>
          <w:spacing w:val="-2"/>
        </w:rPr>
        <w:t>达实信息科技有限公司、成都聚雅医信科技有限公司、达实智能科技（成都）有限公司、淮南达实智慧医</w:t>
      </w:r>
      <w:r>
        <w:rPr>
          <w:spacing w:val="-43"/>
        </w:rPr>
        <w:t> </w:t>
      </w:r>
      <w:r>
        <w:rPr>
          <w:spacing w:val="-43"/>
        </w:rPr>
      </w:r>
      <w:r>
        <w:rPr/>
        <w:t>疗有限公司、青岛达实智慧科技有限公司符合小型微利企业条件。</w:t>
      </w:r>
    </w:p>
    <w:p>
      <w:pPr>
        <w:spacing w:line="240" w:lineRule="auto" w:before="12"/>
        <w:rPr>
          <w:rFonts w:ascii="宋体" w:hAnsi="宋体" w:cs="宋体" w:eastAsia="宋体" w:hint="default"/>
          <w:sz w:val="29"/>
          <w:szCs w:val="29"/>
        </w:rPr>
      </w:pPr>
    </w:p>
    <w:p>
      <w:pPr>
        <w:pStyle w:val="BodyText"/>
        <w:spacing w:line="240" w:lineRule="auto"/>
        <w:ind w:right="0"/>
        <w:jc w:val="both"/>
      </w:pP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w:t>
      </w:r>
    </w:p>
    <w:p>
      <w:pPr>
        <w:spacing w:line="240" w:lineRule="auto" w:before="13"/>
        <w:rPr>
          <w:rFonts w:ascii="宋体" w:hAnsi="宋体" w:cs="宋体" w:eastAsia="宋体" w:hint="default"/>
          <w:sz w:val="25"/>
          <w:szCs w:val="25"/>
        </w:rPr>
      </w:pPr>
    </w:p>
    <w:p>
      <w:pPr>
        <w:pStyle w:val="Heading4"/>
        <w:spacing w:line="240" w:lineRule="auto"/>
        <w:ind w:right="0"/>
        <w:jc w:val="both"/>
        <w:rPr>
          <w:b w:val="0"/>
          <w:bCs w:val="0"/>
        </w:rPr>
      </w:pPr>
      <w:bookmarkStart w:name="3、其他" w:id="228"/>
      <w:bookmarkEnd w:id="228"/>
      <w:r>
        <w:rPr>
          <w:b w:val="0"/>
          <w:bCs w:val="0"/>
        </w:rPr>
      </w:r>
      <w:r>
        <w:rPr>
          <w:rFonts w:ascii="Times New Roman" w:hAnsi="Times New Roman" w:cs="Times New Roman" w:eastAsia="Times New Roman" w:hint="default"/>
        </w:rPr>
        <w:t>3</w:t>
      </w:r>
      <w:r>
        <w:rPr/>
        <w:t>、其他</w:t>
      </w:r>
      <w:r>
        <w:rPr>
          <w:b w:val="0"/>
          <w:bCs w:val="0"/>
        </w:rPr>
      </w:r>
    </w:p>
    <w:p>
      <w:pPr>
        <w:spacing w:line="240" w:lineRule="auto" w:before="10"/>
        <w:rPr>
          <w:rFonts w:ascii="宋体" w:hAnsi="宋体" w:cs="宋体" w:eastAsia="宋体" w:hint="default"/>
          <w:b/>
          <w:bCs/>
          <w:sz w:val="24"/>
          <w:szCs w:val="24"/>
        </w:rPr>
      </w:pPr>
    </w:p>
    <w:p>
      <w:pPr>
        <w:pStyle w:val="Heading5"/>
        <w:spacing w:line="264" w:lineRule="auto" w:before="0"/>
        <w:ind w:right="1126" w:firstLine="420"/>
        <w:jc w:val="both"/>
      </w:pPr>
      <w:r>
        <w:rPr>
          <w:spacing w:val="-3"/>
        </w:rPr>
        <w:t>根据《财政部 </w:t>
      </w:r>
      <w:r>
        <w:rPr/>
        <w:t>税务总局 海关总署 </w:t>
      </w:r>
      <w:r>
        <w:rPr>
          <w:spacing w:val="-3"/>
        </w:rPr>
        <w:t>关于深化增值税改革有关政策的公告》（财政部 </w:t>
      </w:r>
      <w:r>
        <w:rPr/>
        <w:t>税务总局</w:t>
      </w:r>
      <w:r>
        <w:rPr>
          <w:spacing w:val="-51"/>
        </w:rPr>
        <w:t> </w:t>
      </w:r>
      <w:r>
        <w:rPr/>
        <w:t>海关总</w:t>
      </w:r>
      <w:r>
        <w:rPr>
          <w:w w:val="100"/>
        </w:rPr>
        <w:t> </w:t>
      </w:r>
      <w:r>
        <w:rPr>
          <w:spacing w:val="-2"/>
        </w:rPr>
        <w:t>署公告</w:t>
      </w:r>
      <w:r>
        <w:rPr>
          <w:rFonts w:ascii="Times New Roman" w:hAnsi="Times New Roman" w:cs="Times New Roman" w:eastAsia="Times New Roman" w:hint="default"/>
          <w:spacing w:val="-2"/>
        </w:rPr>
        <w:t>2019</w:t>
      </w:r>
      <w:r>
        <w:rPr>
          <w:spacing w:val="-2"/>
        </w:rPr>
        <w:t>年第</w:t>
      </w:r>
      <w:r>
        <w:rPr>
          <w:rFonts w:ascii="Times New Roman" w:hAnsi="Times New Roman" w:cs="Times New Roman" w:eastAsia="Times New Roman" w:hint="default"/>
          <w:spacing w:val="-2"/>
        </w:rPr>
        <w:t>39</w:t>
      </w:r>
      <w:r>
        <w:rPr>
          <w:spacing w:val="-2"/>
        </w:rPr>
        <w:t>号）规定，自</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1</w:t>
      </w:r>
      <w:r>
        <w:rPr>
          <w:spacing w:val="-2"/>
        </w:rPr>
        <w:t>日起，增值税一般纳税人发生增值税应税销售行为或者进口货</w:t>
      </w:r>
      <w:r>
        <w:rPr>
          <w:spacing w:val="-31"/>
        </w:rPr>
        <w:t> </w:t>
      </w:r>
      <w:r>
        <w:rPr>
          <w:spacing w:val="-31"/>
        </w:rPr>
      </w:r>
      <w:r>
        <w:rPr/>
        <w:t>物，原适用</w:t>
      </w:r>
      <w:r>
        <w:rPr>
          <w:rFonts w:ascii="Times New Roman" w:hAnsi="Times New Roman" w:cs="Times New Roman" w:eastAsia="Times New Roman" w:hint="default"/>
        </w:rPr>
        <w:t>16%</w:t>
      </w:r>
      <w:r>
        <w:rPr/>
        <w:t>税率的，税率调整为</w:t>
      </w:r>
      <w:r>
        <w:rPr>
          <w:rFonts w:ascii="Times New Roman" w:hAnsi="Times New Roman" w:cs="Times New Roman" w:eastAsia="Times New Roman" w:hint="default"/>
        </w:rPr>
        <w:t>13%</w:t>
      </w:r>
      <w:r>
        <w:rPr/>
        <w:t>；原适用</w:t>
      </w:r>
      <w:r>
        <w:rPr>
          <w:rFonts w:ascii="Times New Roman" w:hAnsi="Times New Roman" w:cs="Times New Roman" w:eastAsia="Times New Roman" w:hint="default"/>
        </w:rPr>
        <w:t>10%</w:t>
      </w:r>
      <w:r>
        <w:rPr/>
        <w:t>税率的，税率调整为</w:t>
      </w:r>
      <w:r>
        <w:rPr>
          <w:rFonts w:ascii="Times New Roman" w:hAnsi="Times New Roman" w:cs="Times New Roman" w:eastAsia="Times New Roman" w:hint="default"/>
        </w:rPr>
        <w:t>9%</w:t>
      </w:r>
      <w:r>
        <w:rPr/>
        <w:t>。</w:t>
      </w:r>
    </w:p>
    <w:p>
      <w:pPr>
        <w:spacing w:line="240" w:lineRule="auto" w:before="11"/>
        <w:rPr>
          <w:rFonts w:ascii="宋体" w:hAnsi="宋体" w:cs="宋体" w:eastAsia="宋体" w:hint="default"/>
          <w:sz w:val="20"/>
          <w:szCs w:val="20"/>
        </w:rPr>
      </w:pPr>
    </w:p>
    <w:p>
      <w:pPr>
        <w:pStyle w:val="Heading2"/>
        <w:spacing w:line="240" w:lineRule="auto"/>
        <w:ind w:right="0"/>
        <w:jc w:val="both"/>
        <w:rPr>
          <w:b w:val="0"/>
          <w:bCs w:val="0"/>
        </w:rPr>
      </w:pPr>
      <w:bookmarkStart w:name="七、合并财务报表项目注释" w:id="229"/>
      <w:bookmarkEnd w:id="229"/>
      <w:r>
        <w:rPr>
          <w:b w:val="0"/>
          <w:bCs w:val="0"/>
        </w:rPr>
      </w:r>
      <w:r>
        <w:rPr/>
        <w:t>七、合并财务报表项目注释</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0"/>
        <w:jc w:val="both"/>
        <w:rPr>
          <w:b w:val="0"/>
          <w:bCs w:val="0"/>
        </w:rPr>
      </w:pPr>
      <w:bookmarkStart w:name="1、货币资金" w:id="230"/>
      <w:bookmarkEnd w:id="230"/>
      <w:r>
        <w:rPr>
          <w:b w:val="0"/>
          <w:bCs w:val="0"/>
        </w:rPr>
      </w:r>
      <w:r>
        <w:rPr>
          <w:rFonts w:ascii="Times New Roman" w:hAnsi="Times New Roman" w:cs="Times New Roman" w:eastAsia="Times New Roman" w:hint="default"/>
        </w:rPr>
        <w:t>1</w:t>
      </w:r>
      <w:r>
        <w:rPr/>
        <w:t>、货币资金</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405,267.17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397,235.80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909,008,782.27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836,992,824.40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60,975,778.59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54,987,855.91</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970,389,828.03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892,377,916.11</w:t>
            </w:r>
          </w:p>
        </w:tc>
      </w:tr>
      <w:tr>
        <w:trPr>
          <w:trHeight w:val="715"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94" w:firstLine="720"/>
              <w:jc w:val="left"/>
              <w:rPr>
                <w:rFonts w:ascii="宋体" w:hAnsi="宋体" w:cs="宋体" w:eastAsia="宋体" w:hint="default"/>
                <w:sz w:val="18"/>
                <w:szCs w:val="18"/>
              </w:rPr>
            </w:pPr>
            <w:r>
              <w:rPr>
                <w:rFonts w:ascii="宋体" w:hAnsi="宋体" w:cs="宋体" w:eastAsia="宋体" w:hint="default"/>
                <w:sz w:val="18"/>
                <w:szCs w:val="18"/>
              </w:rPr>
              <w:t>因抵押、质押或冻结等对使用 有限制的款项总额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60,975,778.59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72,315,119.27</w:t>
            </w:r>
          </w:p>
        </w:tc>
      </w:tr>
    </w:tbl>
    <w:p>
      <w:pPr>
        <w:pStyle w:val="BodyText"/>
        <w:spacing w:line="240" w:lineRule="auto" w:before="49"/>
        <w:ind w:left="0" w:right="1131"/>
        <w:jc w:val="right"/>
      </w:pPr>
      <w:r>
        <w:rPr/>
        <w:t>单位：</w:t>
      </w:r>
      <w:r>
        <w:rPr>
          <w:spacing w:val="1"/>
        </w:rPr>
        <w:t> </w:t>
      </w:r>
      <w:r>
        <w:rPr/>
        <w:t>元</w:t>
      </w:r>
    </w:p>
    <w:p>
      <w:pPr>
        <w:spacing w:line="240" w:lineRule="auto" w:before="8"/>
        <w:rPr>
          <w:rFonts w:ascii="宋体" w:hAnsi="宋体" w:cs="宋体" w:eastAsia="宋体" w:hint="default"/>
          <w:sz w:val="8"/>
          <w:szCs w:val="8"/>
        </w:rPr>
      </w:pPr>
    </w:p>
    <w:tbl>
      <w:tblPr>
        <w:tblW w:w="0" w:type="auto"/>
        <w:jc w:val="left"/>
        <w:tblInd w:w="136" w:type="dxa"/>
        <w:tblLayout w:type="fixed"/>
        <w:tblCellMar>
          <w:top w:w="0" w:type="dxa"/>
          <w:left w:w="0" w:type="dxa"/>
          <w:bottom w:w="0" w:type="dxa"/>
          <w:right w:w="0" w:type="dxa"/>
        </w:tblCellMar>
        <w:tblLook w:val="01E0"/>
      </w:tblPr>
      <w:tblGrid>
        <w:gridCol w:w="3222"/>
        <w:gridCol w:w="3219"/>
        <w:gridCol w:w="3219"/>
      </w:tblGrid>
      <w:tr>
        <w:trPr>
          <w:trHeight w:val="421" w:hRule="exact"/>
        </w:trPr>
        <w:tc>
          <w:tcPr>
            <w:tcW w:w="32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60" w:lineRule="exact"/>
              <w:ind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219"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60" w:lineRule="exact"/>
              <w:ind w:left="2" w:right="0"/>
              <w:jc w:val="center"/>
              <w:rPr>
                <w:rFonts w:ascii="宋体" w:hAnsi="宋体" w:cs="宋体" w:eastAsia="宋体" w:hint="default"/>
                <w:sz w:val="20"/>
                <w:szCs w:val="20"/>
              </w:rPr>
            </w:pPr>
            <w:r>
              <w:rPr>
                <w:rFonts w:ascii="宋体" w:hAnsi="宋体" w:cs="宋体" w:eastAsia="宋体" w:hint="default"/>
                <w:b/>
                <w:bCs/>
                <w:sz w:val="20"/>
                <w:szCs w:val="20"/>
              </w:rPr>
              <w:t>期末余额</w:t>
            </w:r>
            <w:r>
              <w:rPr>
                <w:rFonts w:ascii="宋体" w:hAnsi="宋体" w:cs="宋体" w:eastAsia="宋体" w:hint="default"/>
                <w:sz w:val="20"/>
                <w:szCs w:val="20"/>
              </w:rPr>
            </w:r>
          </w:p>
        </w:tc>
        <w:tc>
          <w:tcPr>
            <w:tcW w:w="3219"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425" w:hRule="exact"/>
        </w:trPr>
        <w:tc>
          <w:tcPr>
            <w:tcW w:w="32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保函保证金</w:t>
            </w:r>
          </w:p>
        </w:tc>
        <w:tc>
          <w:tcPr>
            <w:tcW w:w="32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13,749,935.18</w:t>
            </w:r>
          </w:p>
        </w:tc>
        <w:tc>
          <w:tcPr>
            <w:tcW w:w="32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11,460,249.82</w:t>
            </w:r>
          </w:p>
        </w:tc>
      </w:tr>
      <w:tr>
        <w:trPr>
          <w:trHeight w:val="427" w:hRule="exact"/>
        </w:trPr>
        <w:tc>
          <w:tcPr>
            <w:tcW w:w="32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票据保证金</w:t>
            </w:r>
          </w:p>
        </w:tc>
        <w:tc>
          <w:tcPr>
            <w:tcW w:w="32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45,722,094.77</w:t>
            </w:r>
          </w:p>
        </w:tc>
        <w:tc>
          <w:tcPr>
            <w:tcW w:w="32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43,527,606.09</w:t>
            </w:r>
          </w:p>
        </w:tc>
      </w:tr>
      <w:tr>
        <w:trPr>
          <w:trHeight w:val="425" w:hRule="exact"/>
        </w:trPr>
        <w:tc>
          <w:tcPr>
            <w:tcW w:w="32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农民工工资保证金</w:t>
            </w:r>
          </w:p>
        </w:tc>
        <w:tc>
          <w:tcPr>
            <w:tcW w:w="32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1,003,748.64</w:t>
            </w:r>
          </w:p>
        </w:tc>
        <w:tc>
          <w:tcPr>
            <w:tcW w:w="3219" w:type="dxa"/>
            <w:tcBorders>
              <w:top w:val="single" w:sz="6" w:space="0" w:color="000000"/>
              <w:left w:val="single" w:sz="6" w:space="0" w:color="000000"/>
              <w:bottom w:val="single" w:sz="6" w:space="0" w:color="000000"/>
              <w:right w:val="single" w:sz="6" w:space="0" w:color="000000"/>
            </w:tcBorders>
          </w:tcPr>
          <w:p>
            <w:pPr/>
          </w:p>
        </w:tc>
      </w:tr>
      <w:tr>
        <w:trPr>
          <w:trHeight w:val="427" w:hRule="exact"/>
        </w:trPr>
        <w:tc>
          <w:tcPr>
            <w:tcW w:w="32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法院冻结款</w:t>
            </w:r>
          </w:p>
        </w:tc>
        <w:tc>
          <w:tcPr>
            <w:tcW w:w="3219" w:type="dxa"/>
            <w:tcBorders>
              <w:top w:val="single" w:sz="6" w:space="0" w:color="000000"/>
              <w:left w:val="single" w:sz="6" w:space="0" w:color="000000"/>
              <w:bottom w:val="single" w:sz="6" w:space="0" w:color="000000"/>
              <w:right w:val="single" w:sz="6" w:space="0" w:color="000000"/>
            </w:tcBorders>
          </w:tcPr>
          <w:p>
            <w:pPr/>
          </w:p>
        </w:tc>
        <w:tc>
          <w:tcPr>
            <w:tcW w:w="32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7,327,263.36</w:t>
            </w:r>
          </w:p>
        </w:tc>
      </w:tr>
      <w:tr>
        <w:trPr>
          <w:trHeight w:val="425" w:hRule="exact"/>
        </w:trPr>
        <w:tc>
          <w:tcPr>
            <w:tcW w:w="32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银行存款</w:t>
            </w:r>
            <w:r>
              <w:rPr>
                <w:rFonts w:ascii="Times New Roman" w:hAnsi="Times New Roman" w:cs="Times New Roman" w:eastAsia="Times New Roman" w:hint="default"/>
                <w:sz w:val="18"/>
                <w:szCs w:val="18"/>
              </w:rPr>
              <w:t>-</w:t>
            </w:r>
            <w:r>
              <w:rPr>
                <w:rFonts w:ascii="宋体" w:hAnsi="宋体" w:cs="宋体" w:eastAsia="宋体" w:hint="default"/>
                <w:sz w:val="18"/>
                <w:szCs w:val="18"/>
              </w:rPr>
              <w:t>定期存款质押</w:t>
            </w:r>
          </w:p>
        </w:tc>
        <w:tc>
          <w:tcPr>
            <w:tcW w:w="32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500,000.00</w:t>
            </w:r>
          </w:p>
        </w:tc>
        <w:tc>
          <w:tcPr>
            <w:tcW w:w="32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27" w:hRule="exact"/>
        </w:trPr>
        <w:tc>
          <w:tcPr>
            <w:tcW w:w="32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2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right="2"/>
              <w:jc w:val="right"/>
              <w:rPr>
                <w:rFonts w:ascii="Times New Roman" w:hAnsi="Times New Roman" w:cs="Times New Roman" w:eastAsia="Times New Roman" w:hint="default"/>
                <w:sz w:val="18"/>
                <w:szCs w:val="18"/>
              </w:rPr>
            </w:pPr>
            <w:r>
              <w:rPr>
                <w:rFonts w:ascii="Times New Roman"/>
                <w:b/>
                <w:spacing w:val="-1"/>
                <w:sz w:val="18"/>
              </w:rPr>
              <w:t>60,975,778.59</w:t>
            </w:r>
            <w:r>
              <w:rPr>
                <w:rFonts w:ascii="Times New Roman"/>
                <w:spacing w:val="-1"/>
                <w:sz w:val="18"/>
              </w:rPr>
            </w:r>
          </w:p>
        </w:tc>
        <w:tc>
          <w:tcPr>
            <w:tcW w:w="32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right="0"/>
              <w:jc w:val="right"/>
              <w:rPr>
                <w:rFonts w:ascii="Times New Roman" w:hAnsi="Times New Roman" w:cs="Times New Roman" w:eastAsia="Times New Roman" w:hint="default"/>
                <w:sz w:val="18"/>
                <w:szCs w:val="18"/>
              </w:rPr>
            </w:pPr>
            <w:r>
              <w:rPr>
                <w:rFonts w:ascii="Times New Roman"/>
                <w:b/>
                <w:spacing w:val="-1"/>
                <w:sz w:val="18"/>
              </w:rPr>
              <w:t>72,315,119.27</w:t>
            </w:r>
            <w:r>
              <w:rPr>
                <w:rFonts w:ascii="Times New Roman"/>
                <w:spacing w:val="-1"/>
                <w:sz w:val="18"/>
              </w:rPr>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交易性金融资产" w:id="231"/>
      <w:bookmarkEnd w:id="231"/>
      <w:r>
        <w:rPr>
          <w:b w:val="0"/>
          <w:bCs w:val="0"/>
        </w:rPr>
      </w:r>
      <w:r>
        <w:rPr>
          <w:rFonts w:ascii="Times New Roman" w:hAnsi="Times New Roman" w:cs="Times New Roman" w:eastAsia="Times New Roman" w:hint="default"/>
        </w:rPr>
        <w:t>2</w:t>
      </w:r>
      <w:r>
        <w:rPr/>
        <w:t>、交易性金融资产</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112"/>
        <w:gridCol w:w="2835"/>
        <w:gridCol w:w="2624"/>
      </w:tblGrid>
      <w:tr>
        <w:trPr>
          <w:trHeight w:val="403"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以公允价值计量且其变动计入当期损益的金融资产</w:t>
            </w:r>
          </w:p>
        </w:tc>
        <w:tc>
          <w:tcPr>
            <w:tcW w:w="2835" w:type="dxa"/>
            <w:tcBorders>
              <w:top w:val="single" w:sz="4" w:space="0" w:color="000000"/>
              <w:left w:val="single" w:sz="12"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45,000,000.00</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0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理财产品</w:t>
            </w:r>
          </w:p>
        </w:tc>
        <w:tc>
          <w:tcPr>
            <w:tcW w:w="2835" w:type="dxa"/>
            <w:tcBorders>
              <w:top w:val="single" w:sz="4" w:space="0" w:color="000000"/>
              <w:left w:val="single" w:sz="4" w:space="0" w:color="000000"/>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45,000,000.00</w:t>
            </w:r>
          </w:p>
        </w:tc>
      </w:tr>
      <w:tr>
        <w:trPr>
          <w:trHeight w:val="403"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835" w:type="dxa"/>
            <w:tcBorders>
              <w:top w:val="single" w:sz="4" w:space="0" w:color="000000"/>
              <w:left w:val="single" w:sz="12" w:space="0" w:color="D2D2D2"/>
              <w:bottom w:val="single" w:sz="4" w:space="0" w:color="000000"/>
              <w:right w:val="single" w:sz="4" w:space="0" w:color="000000"/>
            </w:tcBorders>
          </w:tcPr>
          <w:p>
            <w:pP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45,000,000.00</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3、应收票据" w:id="232"/>
      <w:bookmarkEnd w:id="232"/>
      <w:r>
        <w:rPr>
          <w:b w:val="0"/>
          <w:bCs w:val="0"/>
        </w:rPr>
      </w:r>
      <w:r>
        <w:rPr>
          <w:rFonts w:ascii="Times New Roman" w:hAnsi="Times New Roman" w:cs="Times New Roman" w:eastAsia="Times New Roman" w:hint="default"/>
        </w:rPr>
        <w:t>3</w:t>
      </w:r>
      <w:r>
        <w:rPr/>
        <w:t>、应收票据</w:t>
      </w:r>
      <w:r>
        <w:rPr>
          <w:b w:val="0"/>
          <w:bCs w:val="0"/>
        </w:rPr>
      </w:r>
    </w:p>
    <w:p>
      <w:pPr>
        <w:spacing w:line="240" w:lineRule="auto" w:before="7"/>
        <w:rPr>
          <w:rFonts w:ascii="宋体" w:hAnsi="宋体" w:cs="宋体" w:eastAsia="宋体" w:hint="default"/>
          <w:b/>
          <w:bCs/>
          <w:sz w:val="24"/>
          <w:szCs w:val="24"/>
        </w:rPr>
      </w:pPr>
    </w:p>
    <w:p>
      <w:pPr>
        <w:pStyle w:val="Heading4"/>
        <w:spacing w:line="240" w:lineRule="auto"/>
        <w:ind w:right="1133"/>
        <w:jc w:val="left"/>
        <w:rPr>
          <w:b w:val="0"/>
          <w:bCs w:val="0"/>
        </w:rPr>
      </w:pPr>
      <w:bookmarkStart w:name="（1）应收票据分类列示" w:id="233"/>
      <w:bookmarkEnd w:id="233"/>
      <w:r>
        <w:rPr>
          <w:b w:val="0"/>
          <w:bCs w:val="0"/>
        </w:rPr>
      </w:r>
      <w:r>
        <w:rPr/>
        <w:t>（</w:t>
      </w:r>
      <w:r>
        <w:rPr>
          <w:rFonts w:ascii="Times New Roman" w:hAnsi="Times New Roman" w:cs="Times New Roman" w:eastAsia="Times New Roman" w:hint="default"/>
        </w:rPr>
        <w:t>1</w:t>
      </w:r>
      <w:r>
        <w:rPr/>
        <w:t>）应收票据分类列示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4"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7,841,587.98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59,876,197.88</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303,474,427.49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451,540,352.42</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311,316,015.47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511,416,550.30</w:t>
            </w:r>
          </w:p>
        </w:tc>
      </w:tr>
    </w:tbl>
    <w:p>
      <w:pPr>
        <w:pStyle w:val="BodyText"/>
        <w:spacing w:line="240" w:lineRule="auto" w:before="49"/>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199"/>
        <w:gridCol w:w="1882"/>
        <w:gridCol w:w="1613"/>
        <w:gridCol w:w="1181"/>
        <w:gridCol w:w="1885"/>
        <w:gridCol w:w="732"/>
        <w:gridCol w:w="1176"/>
      </w:tblGrid>
      <w:tr>
        <w:trPr>
          <w:trHeight w:val="402" w:hRule="exact"/>
        </w:trPr>
        <w:tc>
          <w:tcPr>
            <w:tcW w:w="119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467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79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199" w:type="dxa"/>
            <w:vMerge/>
            <w:tcBorders>
              <w:left w:val="single" w:sz="4" w:space="0" w:color="000000"/>
              <w:bottom w:val="single" w:sz="4" w:space="0" w:color="000000"/>
              <w:right w:val="single" w:sz="4" w:space="0" w:color="000000"/>
            </w:tcBorders>
            <w:shd w:val="clear" w:color="auto" w:fill="D2D2D2"/>
          </w:tcPr>
          <w:p>
            <w:pPr/>
          </w:p>
        </w:tc>
        <w:tc>
          <w:tcPr>
            <w:tcW w:w="18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7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6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4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8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7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9"/>
              <w:ind w:left="91" w:right="0"/>
              <w:jc w:val="left"/>
              <w:rPr>
                <w:rFonts w:ascii="宋体" w:hAnsi="宋体" w:cs="宋体" w:eastAsia="宋体" w:hint="default"/>
                <w:sz w:val="18"/>
                <w:szCs w:val="18"/>
              </w:rPr>
            </w:pPr>
            <w:r>
              <w:rPr>
                <w:rFonts w:ascii="宋体" w:hAnsi="宋体" w:cs="宋体" w:eastAsia="宋体" w:hint="default"/>
                <w:sz w:val="18"/>
                <w:szCs w:val="18"/>
              </w:rPr>
              <w:t>坏账准</w:t>
            </w:r>
          </w:p>
        </w:tc>
        <w:tc>
          <w:tcPr>
            <w:tcW w:w="11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3"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r>
        <w:rPr/>
        <w:pict>
          <v:shape style="position:absolute;margin-left:444.940002pt;margin-top:125.659981pt;width:38.017241pt;height:21pt;mso-position-horizontal-relative:page;mso-position-vertical-relative:page;z-index:-1094536" type="#_x0000_t75" stroked="false">
            <v:imagedata r:id="rId23" o:title=""/>
          </v:shape>
        </w:pict>
      </w:r>
    </w:p>
    <w:tbl>
      <w:tblPr>
        <w:tblW w:w="0" w:type="auto"/>
        <w:jc w:val="left"/>
        <w:tblInd w:w="148" w:type="dxa"/>
        <w:tblLayout w:type="fixed"/>
        <w:tblCellMar>
          <w:top w:w="0" w:type="dxa"/>
          <w:left w:w="0" w:type="dxa"/>
          <w:bottom w:w="0" w:type="dxa"/>
          <w:right w:w="0" w:type="dxa"/>
        </w:tblCellMar>
        <w:tblLook w:val="01E0"/>
      </w:tblPr>
      <w:tblGrid>
        <w:gridCol w:w="1188"/>
        <w:gridCol w:w="1193"/>
        <w:gridCol w:w="701"/>
        <w:gridCol w:w="1001"/>
        <w:gridCol w:w="612"/>
        <w:gridCol w:w="1181"/>
        <w:gridCol w:w="1181"/>
        <w:gridCol w:w="704"/>
        <w:gridCol w:w="300"/>
        <w:gridCol w:w="432"/>
        <w:gridCol w:w="1176"/>
      </w:tblGrid>
      <w:tr>
        <w:trPr>
          <w:trHeight w:val="358" w:hRule="exact"/>
        </w:trPr>
        <w:tc>
          <w:tcPr>
            <w:tcW w:w="1188" w:type="dxa"/>
            <w:tcBorders>
              <w:top w:val="single" w:sz="4" w:space="0" w:color="000000"/>
              <w:left w:val="single" w:sz="4" w:space="0" w:color="000000"/>
              <w:bottom w:val="nil" w:sz="6" w:space="0" w:color="auto"/>
              <w:right w:val="single" w:sz="4" w:space="0" w:color="000000"/>
            </w:tcBorders>
            <w:shd w:val="clear" w:color="auto" w:fill="D2D2D2"/>
          </w:tcPr>
          <w:p>
            <w:pPr/>
          </w:p>
        </w:tc>
        <w:tc>
          <w:tcPr>
            <w:tcW w:w="1894" w:type="dxa"/>
            <w:gridSpan w:val="2"/>
            <w:tcBorders>
              <w:top w:val="single" w:sz="4" w:space="0" w:color="000000"/>
              <w:left w:val="single" w:sz="4" w:space="0" w:color="000000"/>
              <w:bottom w:val="single" w:sz="4" w:space="0" w:color="000000"/>
              <w:right w:val="single" w:sz="4" w:space="0" w:color="000000"/>
            </w:tcBorders>
            <w:shd w:val="clear" w:color="auto" w:fill="D2D2D2"/>
          </w:tcPr>
          <w:p>
            <w:pPr/>
          </w:p>
        </w:tc>
        <w:tc>
          <w:tcPr>
            <w:tcW w:w="1613" w:type="dxa"/>
            <w:gridSpan w:val="2"/>
            <w:tcBorders>
              <w:top w:val="single" w:sz="4" w:space="0" w:color="000000"/>
              <w:left w:val="single" w:sz="4" w:space="0" w:color="000000"/>
              <w:bottom w:val="single" w:sz="4" w:space="0" w:color="000000"/>
              <w:right w:val="single" w:sz="4" w:space="0" w:color="000000"/>
            </w:tcBorders>
            <w:shd w:val="clear" w:color="auto" w:fill="D2D2D2"/>
          </w:tcPr>
          <w:p>
            <w:pPr/>
          </w:p>
        </w:tc>
        <w:tc>
          <w:tcPr>
            <w:tcW w:w="1181" w:type="dxa"/>
            <w:tcBorders>
              <w:top w:val="single" w:sz="4" w:space="0" w:color="000000"/>
              <w:left w:val="single" w:sz="4" w:space="0" w:color="000000"/>
              <w:bottom w:val="nil" w:sz="6" w:space="0" w:color="auto"/>
              <w:right w:val="single" w:sz="4" w:space="0" w:color="000000"/>
            </w:tcBorders>
            <w:shd w:val="clear" w:color="auto" w:fill="D2D2D2"/>
          </w:tcPr>
          <w:p>
            <w:pPr/>
          </w:p>
        </w:tc>
        <w:tc>
          <w:tcPr>
            <w:tcW w:w="1885" w:type="dxa"/>
            <w:gridSpan w:val="2"/>
            <w:tcBorders>
              <w:top w:val="single" w:sz="4" w:space="0" w:color="000000"/>
              <w:left w:val="single" w:sz="4" w:space="0" w:color="000000"/>
              <w:bottom w:val="single" w:sz="4" w:space="0" w:color="000000"/>
              <w:right w:val="single" w:sz="4" w:space="0" w:color="000000"/>
            </w:tcBorders>
            <w:shd w:val="clear" w:color="auto" w:fill="D2D2D2"/>
          </w:tcPr>
          <w:p>
            <w:pPr/>
          </w:p>
        </w:tc>
        <w:tc>
          <w:tcPr>
            <w:tcW w:w="7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备</w:t>
            </w:r>
          </w:p>
        </w:tc>
        <w:tc>
          <w:tcPr>
            <w:tcW w:w="1176" w:type="dxa"/>
            <w:vMerge w:val="restart"/>
            <w:tcBorders>
              <w:top w:val="single" w:sz="4" w:space="0" w:color="000000"/>
              <w:left w:val="single" w:sz="4" w:space="0" w:color="000000"/>
              <w:right w:val="single" w:sz="4" w:space="0" w:color="000000"/>
            </w:tcBorders>
            <w:shd w:val="clear" w:color="auto" w:fill="D2D2D2"/>
          </w:tcPr>
          <w:p>
            <w:pPr/>
          </w:p>
        </w:tc>
      </w:tr>
      <w:tr>
        <w:trPr>
          <w:trHeight w:val="166" w:hRule="exact"/>
        </w:trPr>
        <w:tc>
          <w:tcPr>
            <w:tcW w:w="1188" w:type="dxa"/>
            <w:vMerge w:val="restart"/>
            <w:tcBorders>
              <w:top w:val="nil" w:sz="6" w:space="0" w:color="auto"/>
              <w:left w:val="single" w:sz="4" w:space="0" w:color="000000"/>
              <w:right w:val="single" w:sz="4" w:space="0" w:color="000000"/>
            </w:tcBorders>
            <w:shd w:val="clear" w:color="auto" w:fill="D2D2D2"/>
          </w:tcPr>
          <w:p>
            <w:pPr/>
          </w:p>
        </w:tc>
        <w:tc>
          <w:tcPr>
            <w:tcW w:w="1193" w:type="dxa"/>
            <w:tcBorders>
              <w:top w:val="single" w:sz="4" w:space="0" w:color="000000"/>
              <w:left w:val="single" w:sz="4" w:space="0" w:color="000000"/>
              <w:bottom w:val="nil" w:sz="6" w:space="0" w:color="auto"/>
              <w:right w:val="single" w:sz="4" w:space="0" w:color="000000"/>
            </w:tcBorders>
            <w:shd w:val="clear" w:color="auto" w:fill="D2D2D2"/>
          </w:tcPr>
          <w:p>
            <w:pPr/>
          </w:p>
        </w:tc>
        <w:tc>
          <w:tcPr>
            <w:tcW w:w="701" w:type="dxa"/>
            <w:tcBorders>
              <w:top w:val="single" w:sz="4" w:space="0" w:color="000000"/>
              <w:left w:val="single" w:sz="4" w:space="0" w:color="000000"/>
              <w:bottom w:val="nil" w:sz="6" w:space="0" w:color="auto"/>
              <w:right w:val="single" w:sz="4" w:space="0" w:color="000000"/>
            </w:tcBorders>
            <w:shd w:val="clear" w:color="auto" w:fill="D2D2D2"/>
          </w:tcPr>
          <w:p>
            <w:pPr/>
          </w:p>
        </w:tc>
        <w:tc>
          <w:tcPr>
            <w:tcW w:w="1001" w:type="dxa"/>
            <w:tcBorders>
              <w:top w:val="single" w:sz="4" w:space="0" w:color="000000"/>
              <w:left w:val="single" w:sz="4" w:space="0" w:color="000000"/>
              <w:bottom w:val="nil" w:sz="6" w:space="0" w:color="auto"/>
              <w:right w:val="single" w:sz="4" w:space="0" w:color="000000"/>
            </w:tcBorders>
            <w:shd w:val="clear" w:color="auto" w:fill="D2D2D2"/>
          </w:tcPr>
          <w:p>
            <w:pPr/>
          </w:p>
        </w:tc>
        <w:tc>
          <w:tcPr>
            <w:tcW w:w="61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211" w:right="29"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1181" w:type="dxa"/>
            <w:vMerge w:val="restart"/>
            <w:tcBorders>
              <w:top w:val="nil" w:sz="6" w:space="0" w:color="auto"/>
              <w:left w:val="single" w:sz="4" w:space="0" w:color="000000"/>
              <w:right w:val="single" w:sz="4" w:space="0" w:color="000000"/>
            </w:tcBorders>
            <w:shd w:val="clear" w:color="auto" w:fill="D2D2D2"/>
          </w:tcPr>
          <w:p>
            <w:pPr/>
          </w:p>
        </w:tc>
        <w:tc>
          <w:tcPr>
            <w:tcW w:w="1181" w:type="dxa"/>
            <w:tcBorders>
              <w:top w:val="single" w:sz="4" w:space="0" w:color="000000"/>
              <w:left w:val="single" w:sz="4" w:space="0" w:color="000000"/>
              <w:bottom w:val="nil" w:sz="6" w:space="0" w:color="auto"/>
              <w:right w:val="single" w:sz="4" w:space="0" w:color="000000"/>
            </w:tcBorders>
            <w:shd w:val="clear" w:color="auto" w:fill="D2D2D2"/>
          </w:tcPr>
          <w:p>
            <w:pPr/>
          </w:p>
        </w:tc>
        <w:tc>
          <w:tcPr>
            <w:tcW w:w="704" w:type="dxa"/>
            <w:tcBorders>
              <w:top w:val="single" w:sz="4" w:space="0" w:color="000000"/>
              <w:left w:val="single" w:sz="4" w:space="0" w:color="000000"/>
              <w:bottom w:val="nil" w:sz="6" w:space="0" w:color="auto"/>
              <w:right w:val="single" w:sz="4" w:space="0" w:color="000000"/>
            </w:tcBorders>
            <w:shd w:val="clear" w:color="auto" w:fill="D2D2D2"/>
          </w:tcPr>
          <w:p>
            <w:pPr/>
          </w:p>
        </w:tc>
        <w:tc>
          <w:tcPr>
            <w:tcW w:w="30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55" w:right="53"/>
              <w:jc w:val="left"/>
              <w:rPr>
                <w:rFonts w:ascii="宋体" w:hAnsi="宋体" w:cs="宋体" w:eastAsia="宋体" w:hint="default"/>
                <w:sz w:val="18"/>
                <w:szCs w:val="18"/>
              </w:rPr>
            </w:pPr>
            <w:r>
              <w:rPr>
                <w:rFonts w:ascii="宋体" w:hAnsi="宋体" w:cs="宋体" w:eastAsia="宋体" w:hint="default"/>
                <w:sz w:val="18"/>
                <w:szCs w:val="18"/>
              </w:rPr>
              <w:t>金 额</w:t>
            </w:r>
          </w:p>
        </w:tc>
        <w:tc>
          <w:tcPr>
            <w:tcW w:w="43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31" w:right="29"/>
              <w:jc w:val="left"/>
              <w:rPr>
                <w:rFonts w:ascii="宋体" w:hAnsi="宋体" w:cs="宋体" w:eastAsia="宋体" w:hint="default"/>
                <w:sz w:val="18"/>
                <w:szCs w:val="18"/>
              </w:rPr>
            </w:pPr>
            <w:r>
              <w:rPr>
                <w:rFonts w:ascii="宋体" w:hAnsi="宋体" w:cs="宋体" w:eastAsia="宋体" w:hint="default"/>
                <w:sz w:val="18"/>
                <w:szCs w:val="18"/>
              </w:rPr>
              <w:t>计提 比例</w:t>
            </w:r>
          </w:p>
        </w:tc>
        <w:tc>
          <w:tcPr>
            <w:tcW w:w="1176" w:type="dxa"/>
            <w:vMerge/>
            <w:tcBorders>
              <w:left w:val="single" w:sz="4" w:space="0" w:color="000000"/>
              <w:right w:val="single" w:sz="4" w:space="0" w:color="000000"/>
            </w:tcBorders>
            <w:shd w:val="clear" w:color="auto" w:fill="D2D2D2"/>
          </w:tcPr>
          <w:p>
            <w:pPr/>
          </w:p>
        </w:tc>
      </w:tr>
      <w:tr>
        <w:trPr>
          <w:trHeight w:val="391" w:hRule="exact"/>
        </w:trPr>
        <w:tc>
          <w:tcPr>
            <w:tcW w:w="1188" w:type="dxa"/>
            <w:vMerge/>
            <w:tcBorders>
              <w:left w:val="single" w:sz="4" w:space="0" w:color="000000"/>
              <w:right w:val="single" w:sz="4" w:space="0" w:color="000000"/>
            </w:tcBorders>
            <w:shd w:val="clear" w:color="auto" w:fill="D2D2D2"/>
          </w:tcPr>
          <w:p>
            <w:pPr/>
          </w:p>
        </w:tc>
        <w:tc>
          <w:tcPr>
            <w:tcW w:w="119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70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6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00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612" w:type="dxa"/>
            <w:vMerge/>
            <w:tcBorders>
              <w:left w:val="single" w:sz="4" w:space="0" w:color="000000"/>
              <w:right w:val="single" w:sz="4" w:space="0" w:color="000000"/>
            </w:tcBorders>
            <w:shd w:val="clear" w:color="auto" w:fill="D2D2D2"/>
          </w:tcPr>
          <w:p>
            <w:pPr/>
          </w:p>
        </w:tc>
        <w:tc>
          <w:tcPr>
            <w:tcW w:w="1181" w:type="dxa"/>
            <w:vMerge/>
            <w:tcBorders>
              <w:left w:val="single" w:sz="4" w:space="0" w:color="000000"/>
              <w:right w:val="single" w:sz="4" w:space="0" w:color="000000"/>
            </w:tcBorders>
            <w:shd w:val="clear" w:color="auto" w:fill="D2D2D2"/>
          </w:tcPr>
          <w:p>
            <w:pPr/>
          </w:p>
        </w:tc>
        <w:tc>
          <w:tcPr>
            <w:tcW w:w="118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70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67"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300" w:type="dxa"/>
            <w:vMerge/>
            <w:tcBorders>
              <w:left w:val="single" w:sz="4" w:space="0" w:color="000000"/>
              <w:right w:val="single" w:sz="4" w:space="0" w:color="000000"/>
            </w:tcBorders>
            <w:shd w:val="clear" w:color="auto" w:fill="D2D2D2"/>
          </w:tcPr>
          <w:p>
            <w:pPr/>
          </w:p>
        </w:tc>
        <w:tc>
          <w:tcPr>
            <w:tcW w:w="432" w:type="dxa"/>
            <w:vMerge/>
            <w:tcBorders>
              <w:left w:val="single" w:sz="4" w:space="0" w:color="000000"/>
              <w:right w:val="single" w:sz="4" w:space="0" w:color="000000"/>
            </w:tcBorders>
            <w:shd w:val="clear" w:color="auto" w:fill="D2D2D2"/>
          </w:tcPr>
          <w:p>
            <w:pPr/>
          </w:p>
        </w:tc>
        <w:tc>
          <w:tcPr>
            <w:tcW w:w="1176" w:type="dxa"/>
            <w:vMerge/>
            <w:tcBorders>
              <w:left w:val="single" w:sz="4" w:space="0" w:color="000000"/>
              <w:right w:val="single" w:sz="4" w:space="0" w:color="000000"/>
            </w:tcBorders>
            <w:shd w:val="clear" w:color="auto" w:fill="D2D2D2"/>
          </w:tcPr>
          <w:p>
            <w:pPr/>
          </w:p>
        </w:tc>
      </w:tr>
      <w:tr>
        <w:trPr>
          <w:trHeight w:val="161" w:hRule="exact"/>
        </w:trPr>
        <w:tc>
          <w:tcPr>
            <w:tcW w:w="1188" w:type="dxa"/>
            <w:vMerge/>
            <w:tcBorders>
              <w:left w:val="single" w:sz="4" w:space="0" w:color="000000"/>
              <w:bottom w:val="single" w:sz="4" w:space="0" w:color="000000"/>
              <w:right w:val="single" w:sz="4" w:space="0" w:color="000000"/>
            </w:tcBorders>
            <w:shd w:val="clear" w:color="auto" w:fill="D2D2D2"/>
          </w:tcPr>
          <w:p>
            <w:pPr/>
          </w:p>
        </w:tc>
        <w:tc>
          <w:tcPr>
            <w:tcW w:w="1193" w:type="dxa"/>
            <w:tcBorders>
              <w:top w:val="nil" w:sz="6" w:space="0" w:color="auto"/>
              <w:left w:val="single" w:sz="4" w:space="0" w:color="000000"/>
              <w:bottom w:val="single" w:sz="4" w:space="0" w:color="000000"/>
              <w:right w:val="single" w:sz="4" w:space="0" w:color="000000"/>
            </w:tcBorders>
            <w:shd w:val="clear" w:color="auto" w:fill="D2D2D2"/>
          </w:tcPr>
          <w:p>
            <w:pPr/>
          </w:p>
        </w:tc>
        <w:tc>
          <w:tcPr>
            <w:tcW w:w="7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001" w:type="dxa"/>
            <w:tcBorders>
              <w:top w:val="nil" w:sz="6" w:space="0" w:color="auto"/>
              <w:left w:val="single" w:sz="4" w:space="0" w:color="000000"/>
              <w:bottom w:val="single" w:sz="4" w:space="0" w:color="000000"/>
              <w:right w:val="single" w:sz="4" w:space="0" w:color="000000"/>
            </w:tcBorders>
            <w:shd w:val="clear" w:color="auto" w:fill="D2D2D2"/>
          </w:tcPr>
          <w:p>
            <w:pPr/>
          </w:p>
        </w:tc>
        <w:tc>
          <w:tcPr>
            <w:tcW w:w="612" w:type="dxa"/>
            <w:vMerge/>
            <w:tcBorders>
              <w:left w:val="single" w:sz="4" w:space="0" w:color="000000"/>
              <w:bottom w:val="single" w:sz="4" w:space="0" w:color="000000"/>
              <w:right w:val="single" w:sz="4" w:space="0" w:color="000000"/>
            </w:tcBorders>
            <w:shd w:val="clear" w:color="auto" w:fill="D2D2D2"/>
          </w:tcPr>
          <w:p>
            <w:pPr/>
          </w:p>
        </w:tc>
        <w:tc>
          <w:tcPr>
            <w:tcW w:w="1181" w:type="dxa"/>
            <w:vMerge/>
            <w:tcBorders>
              <w:left w:val="single" w:sz="4" w:space="0" w:color="000000"/>
              <w:bottom w:val="single" w:sz="4" w:space="0" w:color="000000"/>
              <w:right w:val="single" w:sz="4" w:space="0" w:color="000000"/>
            </w:tcBorders>
            <w:shd w:val="clear" w:color="auto" w:fill="D2D2D2"/>
          </w:tcPr>
          <w:p>
            <w:pPr/>
          </w:p>
        </w:tc>
        <w:tc>
          <w:tcPr>
            <w:tcW w:w="1181" w:type="dxa"/>
            <w:tcBorders>
              <w:top w:val="nil" w:sz="6" w:space="0" w:color="auto"/>
              <w:left w:val="single" w:sz="4" w:space="0" w:color="000000"/>
              <w:bottom w:val="single" w:sz="4" w:space="0" w:color="000000"/>
              <w:right w:val="single" w:sz="4" w:space="0" w:color="000000"/>
            </w:tcBorders>
            <w:shd w:val="clear" w:color="auto" w:fill="D2D2D2"/>
          </w:tcPr>
          <w:p>
            <w:pPr/>
          </w:p>
        </w:tc>
        <w:tc>
          <w:tcPr>
            <w:tcW w:w="704" w:type="dxa"/>
            <w:tcBorders>
              <w:top w:val="nil" w:sz="6" w:space="0" w:color="auto"/>
              <w:left w:val="single" w:sz="4" w:space="0" w:color="000000"/>
              <w:bottom w:val="single" w:sz="4" w:space="0" w:color="000000"/>
              <w:right w:val="single" w:sz="4" w:space="0" w:color="000000"/>
            </w:tcBorders>
            <w:shd w:val="clear" w:color="auto" w:fill="D2D2D2"/>
          </w:tcPr>
          <w:p>
            <w:pPr/>
          </w:p>
        </w:tc>
        <w:tc>
          <w:tcPr>
            <w:tcW w:w="300" w:type="dxa"/>
            <w:vMerge/>
            <w:tcBorders>
              <w:left w:val="single" w:sz="4" w:space="0" w:color="000000"/>
              <w:bottom w:val="single" w:sz="4" w:space="0" w:color="000000"/>
              <w:right w:val="single" w:sz="4" w:space="0" w:color="000000"/>
            </w:tcBorders>
            <w:shd w:val="clear" w:color="auto" w:fill="D2D2D2"/>
          </w:tcPr>
          <w:p>
            <w:pPr/>
          </w:p>
        </w:tc>
        <w:tc>
          <w:tcPr>
            <w:tcW w:w="432" w:type="dxa"/>
            <w:vMerge/>
            <w:tcBorders>
              <w:left w:val="single" w:sz="4" w:space="0" w:color="000000"/>
              <w:bottom w:val="single" w:sz="4" w:space="0" w:color="000000"/>
              <w:right w:val="single" w:sz="4" w:space="0" w:color="000000"/>
            </w:tcBorders>
            <w:shd w:val="clear" w:color="auto" w:fill="D2D2D2"/>
          </w:tcPr>
          <w:p>
            <w:pPr/>
          </w:p>
        </w:tc>
        <w:tc>
          <w:tcPr>
            <w:tcW w:w="1176"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119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0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00" w:type="dxa"/>
            <w:tcBorders>
              <w:top w:val="single" w:sz="4" w:space="0" w:color="000000"/>
              <w:left w:val="single" w:sz="10" w:space="0" w:color="D2D2D2"/>
              <w:bottom w:val="single" w:sz="4" w:space="0" w:color="000000"/>
              <w:right w:val="single" w:sz="4" w:space="0" w:color="000000"/>
            </w:tcBorders>
          </w:tcPr>
          <w:p>
            <w:pPr/>
          </w:p>
        </w:tc>
        <w:tc>
          <w:tcPr>
            <w:tcW w:w="432"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5"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72"/>
              <w:jc w:val="both"/>
              <w:rPr>
                <w:rFonts w:ascii="宋体" w:hAnsi="宋体" w:cs="宋体" w:eastAsia="宋体" w:hint="default"/>
                <w:sz w:val="18"/>
                <w:szCs w:val="18"/>
              </w:rPr>
            </w:pPr>
            <w:r>
              <w:rPr>
                <w:rFonts w:ascii="宋体" w:hAnsi="宋体" w:cs="宋体" w:eastAsia="宋体" w:hint="default"/>
                <w:sz w:val="18"/>
                <w:szCs w:val="18"/>
              </w:rPr>
              <w:t>按组合计提坏 账准备的应收 票据</w:t>
            </w:r>
          </w:p>
        </w:tc>
        <w:tc>
          <w:tcPr>
            <w:tcW w:w="11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320,701,822.51</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9,385,807.04</w:t>
            </w:r>
          </w:p>
        </w:tc>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2.93%</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311,316,015.47</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9" w:right="0"/>
              <w:jc w:val="center"/>
              <w:rPr>
                <w:rFonts w:ascii="Times New Roman" w:hAnsi="Times New Roman" w:cs="Times New Roman" w:eastAsia="Times New Roman" w:hint="default"/>
                <w:sz w:val="18"/>
                <w:szCs w:val="18"/>
              </w:rPr>
            </w:pPr>
            <w:r>
              <w:rPr>
                <w:rFonts w:ascii="Times New Roman"/>
                <w:sz w:val="18"/>
              </w:rPr>
              <w:t>511,416,550.30</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300" w:type="dxa"/>
            <w:tcBorders>
              <w:top w:val="single" w:sz="4" w:space="0" w:color="000000"/>
              <w:left w:val="single" w:sz="4" w:space="0" w:color="000000"/>
              <w:bottom w:val="single" w:sz="4" w:space="0" w:color="000000"/>
              <w:right w:val="single" w:sz="4" w:space="0" w:color="000000"/>
            </w:tcBorders>
          </w:tcPr>
          <w:p>
            <w:pPr/>
          </w:p>
        </w:tc>
        <w:tc>
          <w:tcPr>
            <w:tcW w:w="432"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511,416,550.30</w:t>
            </w:r>
          </w:p>
        </w:tc>
      </w:tr>
      <w:tr>
        <w:trPr>
          <w:trHeight w:val="403"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119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0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00" w:type="dxa"/>
            <w:tcBorders>
              <w:top w:val="single" w:sz="4" w:space="0" w:color="000000"/>
              <w:left w:val="single" w:sz="10" w:space="0" w:color="D2D2D2"/>
              <w:bottom w:val="single" w:sz="4" w:space="0" w:color="000000"/>
              <w:right w:val="single" w:sz="4" w:space="0" w:color="000000"/>
            </w:tcBorders>
          </w:tcPr>
          <w:p>
            <w:pPr/>
          </w:p>
        </w:tc>
        <w:tc>
          <w:tcPr>
            <w:tcW w:w="432"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7,841,587.98</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2.45%</w:t>
            </w:r>
          </w:p>
        </w:tc>
        <w:tc>
          <w:tcPr>
            <w:tcW w:w="1001"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7,841,587.98</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3" w:right="0"/>
              <w:jc w:val="center"/>
              <w:rPr>
                <w:rFonts w:ascii="Times New Roman" w:hAnsi="Times New Roman" w:cs="Times New Roman" w:eastAsia="Times New Roman" w:hint="default"/>
                <w:sz w:val="18"/>
                <w:szCs w:val="18"/>
              </w:rPr>
            </w:pPr>
            <w:r>
              <w:rPr>
                <w:rFonts w:ascii="Times New Roman"/>
                <w:sz w:val="18"/>
              </w:rPr>
              <w:t>59,876,197.88</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11.71%</w:t>
            </w:r>
          </w:p>
        </w:tc>
        <w:tc>
          <w:tcPr>
            <w:tcW w:w="300" w:type="dxa"/>
            <w:tcBorders>
              <w:top w:val="single" w:sz="4" w:space="0" w:color="000000"/>
              <w:left w:val="single" w:sz="4" w:space="0" w:color="000000"/>
              <w:bottom w:val="single" w:sz="4" w:space="0" w:color="000000"/>
              <w:right w:val="single" w:sz="4" w:space="0" w:color="000000"/>
            </w:tcBorders>
          </w:tcPr>
          <w:p>
            <w:pPr/>
          </w:p>
        </w:tc>
        <w:tc>
          <w:tcPr>
            <w:tcW w:w="432"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312,860,234.53</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97.55%</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9,385,807.04</w:t>
            </w:r>
          </w:p>
        </w:tc>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3.00%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303,474,427.49</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451,540,352.42</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88.29%</w:t>
            </w:r>
          </w:p>
        </w:tc>
        <w:tc>
          <w:tcPr>
            <w:tcW w:w="300" w:type="dxa"/>
            <w:tcBorders>
              <w:top w:val="single" w:sz="4" w:space="0" w:color="000000"/>
              <w:left w:val="single" w:sz="4" w:space="0" w:color="000000"/>
              <w:bottom w:val="single" w:sz="4" w:space="0" w:color="000000"/>
              <w:right w:val="single" w:sz="4" w:space="0" w:color="000000"/>
            </w:tcBorders>
          </w:tcPr>
          <w:p>
            <w:pPr/>
          </w:p>
        </w:tc>
        <w:tc>
          <w:tcPr>
            <w:tcW w:w="432"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320,701,822.51</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9,385,807.04</w:t>
            </w:r>
          </w:p>
        </w:tc>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2.93%</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311,316,015.47</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511,416,550.30</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300" w:type="dxa"/>
            <w:tcBorders>
              <w:top w:val="single" w:sz="4" w:space="0" w:color="000000"/>
              <w:left w:val="single" w:sz="4" w:space="0" w:color="000000"/>
              <w:bottom w:val="single" w:sz="4" w:space="0" w:color="000000"/>
              <w:right w:val="single" w:sz="4" w:space="0" w:color="000000"/>
            </w:tcBorders>
          </w:tcPr>
          <w:p>
            <w:pPr/>
          </w:p>
        </w:tc>
        <w:tc>
          <w:tcPr>
            <w:tcW w:w="432"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511,416,550.30</w:t>
            </w:r>
          </w:p>
        </w:tc>
      </w:tr>
    </w:tbl>
    <w:p>
      <w:pPr>
        <w:pStyle w:val="BodyText"/>
        <w:spacing w:line="240" w:lineRule="auto" w:before="49"/>
        <w:ind w:right="1133"/>
        <w:jc w:val="left"/>
        <w:rPr>
          <w:rFonts w:ascii="Times New Roman" w:hAnsi="Times New Roman" w:cs="Times New Roman" w:eastAsia="Times New Roman" w:hint="default"/>
        </w:rPr>
      </w:pPr>
      <w:r>
        <w:rPr/>
        <w:pict>
          <v:shape style="position:absolute;margin-left:444.940002pt;margin-top:-81.02829pt;width:38.017241pt;height:21pt;mso-position-horizontal-relative:page;mso-position-vertical-relative:paragraph;z-index:-1094512" type="#_x0000_t75" stroked="false">
            <v:imagedata r:id="rId23" o:title=""/>
          </v:shape>
        </w:pict>
      </w:r>
      <w:r>
        <w:rPr/>
        <w:t>按组合计提坏账准备：</w:t>
      </w:r>
      <w:r>
        <w:rPr>
          <w:rFonts w:ascii="Times New Roman" w:hAnsi="Times New Roman" w:cs="Times New Roman" w:eastAsia="Times New Roman" w:hint="default"/>
        </w:rPr>
        <w:t>9,385,807.04</w:t>
      </w:r>
    </w:p>
    <w:p>
      <w:pPr>
        <w:pStyle w:val="BodyText"/>
        <w:spacing w:line="240" w:lineRule="auto" w:before="103"/>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3"/>
        <w:gridCol w:w="2391"/>
        <w:gridCol w:w="2393"/>
        <w:gridCol w:w="2393"/>
      </w:tblGrid>
      <w:tr>
        <w:trPr>
          <w:trHeight w:val="402" w:hRule="exact"/>
        </w:trPr>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名称</w:t>
            </w:r>
          </w:p>
        </w:tc>
        <w:tc>
          <w:tcPr>
            <w:tcW w:w="717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2393" w:type="dxa"/>
            <w:vMerge/>
            <w:tcBorders>
              <w:left w:val="single" w:sz="4" w:space="0" w:color="000000"/>
              <w:bottom w:val="single" w:sz="4" w:space="0" w:color="000000"/>
              <w:right w:val="single" w:sz="4" w:space="0" w:color="000000"/>
            </w:tcBorders>
            <w:shd w:val="clear" w:color="auto" w:fill="D2D2D2"/>
          </w:tcPr>
          <w:p>
            <w:pP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312,860,234.53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9,385,807.04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3.00%</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7,841,587.98</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320,701,822.51</w:t>
            </w:r>
          </w:p>
        </w:tc>
        <w:tc>
          <w:tcPr>
            <w:tcW w:w="2393"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3"/>
              <w:ind w:right="9"/>
              <w:jc w:val="right"/>
              <w:rPr>
                <w:rFonts w:ascii="Times New Roman" w:hAnsi="Times New Roman" w:cs="Times New Roman" w:eastAsia="Times New Roman" w:hint="default"/>
                <w:sz w:val="18"/>
                <w:szCs w:val="18"/>
              </w:rPr>
            </w:pPr>
            <w:r>
              <w:rPr>
                <w:rFonts w:ascii="Times New Roman"/>
                <w:spacing w:val="-1"/>
                <w:sz w:val="18"/>
              </w:rPr>
              <w:t>9,385,807.04</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1133"/>
        <w:jc w:val="left"/>
      </w:pPr>
      <w:r>
        <w:rPr/>
        <w:t>如是按照预期信用损失一般模型计提应收票据坏账准备，请参照其他应收款的披露方式披露坏账准备的相关信息：</w:t>
      </w:r>
    </w:p>
    <w:p>
      <w:pPr>
        <w:pStyle w:val="BodyText"/>
        <w:spacing w:line="240" w:lineRule="auto" w:before="115"/>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4"/>
        <w:spacing w:line="240" w:lineRule="auto"/>
        <w:ind w:right="1133"/>
        <w:jc w:val="left"/>
        <w:rPr>
          <w:b w:val="0"/>
          <w:bCs w:val="0"/>
        </w:rPr>
      </w:pPr>
      <w:bookmarkStart w:name="（2）本期计提、收回或转回的坏账准备情况" w:id="234"/>
      <w:bookmarkEnd w:id="234"/>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1133"/>
        <w:jc w:val="left"/>
      </w:pPr>
      <w:r>
        <w:rPr/>
        <w:t>本期计提坏账准备情况：</w:t>
      </w:r>
    </w:p>
    <w:p>
      <w:pPr>
        <w:pStyle w:val="BodyText"/>
        <w:spacing w:line="240" w:lineRule="auto" w:before="117"/>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2393"/>
        <w:gridCol w:w="1241"/>
        <w:gridCol w:w="1601"/>
        <w:gridCol w:w="1531"/>
        <w:gridCol w:w="665"/>
        <w:gridCol w:w="665"/>
        <w:gridCol w:w="1601"/>
      </w:tblGrid>
      <w:tr>
        <w:trPr>
          <w:trHeight w:val="402" w:hRule="exact"/>
        </w:trPr>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24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463"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60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3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2393" w:type="dxa"/>
            <w:vMerge/>
            <w:tcBorders>
              <w:left w:val="single" w:sz="4" w:space="0" w:color="000000"/>
              <w:bottom w:val="single" w:sz="4" w:space="0" w:color="000000"/>
              <w:right w:val="single" w:sz="4" w:space="0" w:color="000000"/>
            </w:tcBorders>
            <w:shd w:val="clear" w:color="auto" w:fill="D2D2D2"/>
          </w:tcPr>
          <w:p>
            <w:pPr/>
          </w:p>
        </w:tc>
        <w:tc>
          <w:tcPr>
            <w:tcW w:w="1241" w:type="dxa"/>
            <w:vMerge/>
            <w:tcBorders>
              <w:left w:val="single" w:sz="4" w:space="0" w:color="000000"/>
              <w:bottom w:val="single" w:sz="4" w:space="0" w:color="000000"/>
              <w:right w:val="single" w:sz="4" w:space="0" w:color="000000"/>
            </w:tcBorders>
            <w:shd w:val="clear" w:color="auto" w:fill="D2D2D2"/>
          </w:tcPr>
          <w:p>
            <w:pPr/>
          </w:p>
        </w:tc>
        <w:tc>
          <w:tcPr>
            <w:tcW w:w="16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16" w:right="0"/>
              <w:jc w:val="left"/>
              <w:rPr>
                <w:rFonts w:ascii="宋体" w:hAnsi="宋体" w:cs="宋体" w:eastAsia="宋体" w:hint="default"/>
                <w:sz w:val="18"/>
                <w:szCs w:val="18"/>
              </w:rPr>
            </w:pPr>
            <w:r>
              <w:rPr>
                <w:rFonts w:ascii="宋体" w:hAnsi="宋体" w:cs="宋体" w:eastAsia="宋体" w:hint="default"/>
                <w:sz w:val="18"/>
                <w:szCs w:val="18"/>
              </w:rPr>
              <w:t>计提</w:t>
            </w:r>
          </w:p>
        </w:tc>
        <w:tc>
          <w:tcPr>
            <w:tcW w:w="1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09"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8" w:right="0"/>
              <w:jc w:val="left"/>
              <w:rPr>
                <w:rFonts w:ascii="宋体" w:hAnsi="宋体" w:cs="宋体" w:eastAsia="宋体" w:hint="default"/>
                <w:sz w:val="18"/>
                <w:szCs w:val="18"/>
              </w:rPr>
            </w:pPr>
            <w:r>
              <w:rPr>
                <w:rFonts w:ascii="宋体" w:hAnsi="宋体" w:cs="宋体" w:eastAsia="宋体" w:hint="default"/>
                <w:sz w:val="18"/>
                <w:szCs w:val="18"/>
              </w:rPr>
              <w:t>核销</w:t>
            </w: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601"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应收票据坏账准备</w:t>
            </w:r>
          </w:p>
        </w:tc>
        <w:tc>
          <w:tcPr>
            <w:tcW w:w="1241" w:type="dxa"/>
            <w:tcBorders>
              <w:top w:val="single" w:sz="4" w:space="0" w:color="000000"/>
              <w:left w:val="single" w:sz="4" w:space="0" w:color="000000"/>
              <w:bottom w:val="single" w:sz="4" w:space="0" w:color="000000"/>
              <w:right w:val="single" w:sz="4" w:space="0" w:color="000000"/>
            </w:tcBorders>
          </w:tcPr>
          <w:p>
            <w:pP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23" w:right="0"/>
              <w:jc w:val="left"/>
              <w:rPr>
                <w:rFonts w:ascii="Times New Roman" w:hAnsi="Times New Roman" w:cs="Times New Roman" w:eastAsia="Times New Roman" w:hint="default"/>
                <w:sz w:val="18"/>
                <w:szCs w:val="18"/>
              </w:rPr>
            </w:pPr>
            <w:r>
              <w:rPr>
                <w:rFonts w:ascii="Times New Roman"/>
                <w:sz w:val="18"/>
              </w:rPr>
              <w:t>9,385,807.04</w:t>
            </w:r>
          </w:p>
        </w:tc>
        <w:tc>
          <w:tcPr>
            <w:tcW w:w="153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9,385,807.04</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41" w:type="dxa"/>
            <w:tcBorders>
              <w:top w:val="single" w:sz="4" w:space="0" w:color="000000"/>
              <w:left w:val="single" w:sz="4" w:space="0" w:color="000000"/>
              <w:bottom w:val="single" w:sz="4" w:space="0" w:color="000000"/>
              <w:right w:val="single" w:sz="4" w:space="0" w:color="000000"/>
            </w:tcBorders>
          </w:tcPr>
          <w:p>
            <w:pP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23" w:right="0"/>
              <w:jc w:val="left"/>
              <w:rPr>
                <w:rFonts w:ascii="Times New Roman" w:hAnsi="Times New Roman" w:cs="Times New Roman" w:eastAsia="Times New Roman" w:hint="default"/>
                <w:sz w:val="18"/>
                <w:szCs w:val="18"/>
              </w:rPr>
            </w:pPr>
            <w:r>
              <w:rPr>
                <w:rFonts w:ascii="Times New Roman"/>
                <w:sz w:val="18"/>
              </w:rPr>
              <w:t>9,385,807.04</w:t>
            </w:r>
          </w:p>
        </w:tc>
        <w:tc>
          <w:tcPr>
            <w:tcW w:w="153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9,385,807.04</w:t>
            </w:r>
          </w:p>
        </w:tc>
      </w:tr>
    </w:tbl>
    <w:p>
      <w:pPr>
        <w:pStyle w:val="BodyText"/>
        <w:spacing w:line="240" w:lineRule="auto" w:before="49"/>
        <w:ind w:right="1133"/>
        <w:jc w:val="left"/>
      </w:pPr>
      <w:r>
        <w:rPr/>
        <w:t>其中本期坏账准备收回或转回金额重要的：</w:t>
      </w:r>
    </w:p>
    <w:p>
      <w:pPr>
        <w:pStyle w:val="BodyText"/>
        <w:spacing w:line="240" w:lineRule="auto" w:before="115"/>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4"/>
        <w:spacing w:line="240" w:lineRule="auto"/>
        <w:ind w:right="1133"/>
        <w:jc w:val="left"/>
        <w:rPr>
          <w:b w:val="0"/>
          <w:bCs w:val="0"/>
        </w:rPr>
      </w:pPr>
      <w:bookmarkStart w:name="（3）期末公司已背书或贴现且在资产负债表日尚未到期的应收票据" w:id="235"/>
      <w:bookmarkEnd w:id="235"/>
      <w:r>
        <w:rPr>
          <w:b w:val="0"/>
          <w:bCs w:val="0"/>
        </w:rPr>
      </w:r>
      <w:r>
        <w:rPr/>
        <w:t>（</w:t>
      </w:r>
      <w:r>
        <w:rPr>
          <w:rFonts w:ascii="Times New Roman" w:hAnsi="Times New Roman" w:cs="Times New Roman" w:eastAsia="Times New Roman" w:hint="default"/>
        </w:rPr>
        <w:t>3</w:t>
      </w:r>
      <w:r>
        <w:rPr/>
        <w:t>）期末公司已背书或贴现且在资产负债表日尚未到期的应收票据</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82"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18,494,158.24</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62,594,968.00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81,089,126.24</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4）期末公司因出票人未履约而将其转应收账款的票据" w:id="236"/>
      <w:bookmarkEnd w:id="236"/>
      <w:r>
        <w:rPr>
          <w:b w:val="0"/>
          <w:bCs w:val="0"/>
        </w:rPr>
      </w:r>
      <w:r>
        <w:rPr/>
        <w:t>（</w:t>
      </w:r>
      <w:r>
        <w:rPr>
          <w:rFonts w:ascii="Times New Roman" w:hAnsi="Times New Roman" w:cs="Times New Roman" w:eastAsia="Times New Roman" w:hint="default"/>
        </w:rPr>
        <w:t>4</w:t>
      </w:r>
      <w:r>
        <w:rPr/>
        <w:t>）期末公司因出票人未履约而将其转应收账款的票据</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1133"/>
        <w:jc w:val="left"/>
        <w:rPr>
          <w:b w:val="0"/>
          <w:bCs w:val="0"/>
        </w:rPr>
      </w:pPr>
      <w:bookmarkStart w:name="4、应收账款" w:id="237"/>
      <w:bookmarkEnd w:id="237"/>
      <w:r>
        <w:rPr>
          <w:b w:val="0"/>
          <w:bCs w:val="0"/>
        </w:rPr>
      </w:r>
      <w:r>
        <w:rPr>
          <w:rFonts w:ascii="Times New Roman" w:hAnsi="Times New Roman" w:cs="Times New Roman" w:eastAsia="Times New Roman" w:hint="default"/>
        </w:rPr>
        <w:t>4</w:t>
      </w:r>
      <w:r>
        <w:rPr/>
        <w:t>、应收账款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33"/>
        <w:jc w:val="left"/>
        <w:rPr>
          <w:b w:val="0"/>
          <w:bCs w:val="0"/>
        </w:rPr>
      </w:pPr>
      <w:bookmarkStart w:name="（1）应收账款分类披露" w:id="238"/>
      <w:bookmarkEnd w:id="238"/>
      <w:r>
        <w:rPr>
          <w:b w:val="0"/>
          <w:bCs w:val="0"/>
        </w:rPr>
      </w:r>
      <w:r>
        <w:rPr/>
        <w:t>（</w:t>
      </w:r>
      <w:r>
        <w:rPr>
          <w:rFonts w:ascii="Times New Roman" w:hAnsi="Times New Roman" w:cs="Times New Roman" w:eastAsia="Times New Roman" w:hint="default"/>
        </w:rPr>
        <w:t>1</w:t>
      </w:r>
      <w:r>
        <w:rPr/>
        <w:t>）应收账款分类披露</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635"/>
        <w:gridCol w:w="763"/>
        <w:gridCol w:w="764"/>
        <w:gridCol w:w="761"/>
        <w:gridCol w:w="763"/>
        <w:gridCol w:w="790"/>
        <w:gridCol w:w="775"/>
        <w:gridCol w:w="797"/>
        <w:gridCol w:w="800"/>
        <w:gridCol w:w="790"/>
        <w:gridCol w:w="931"/>
      </w:tblGrid>
      <w:tr>
        <w:trPr>
          <w:trHeight w:val="398" w:hRule="exact"/>
        </w:trPr>
        <w:tc>
          <w:tcPr>
            <w:tcW w:w="1635" w:type="dxa"/>
            <w:vMerge w:val="restart"/>
            <w:tcBorders>
              <w:top w:val="single" w:sz="4" w:space="0" w:color="000000"/>
              <w:left w:val="single" w:sz="4" w:space="0" w:color="000000"/>
              <w:right w:val="single" w:sz="4" w:space="0" w:color="000000"/>
            </w:tcBorders>
            <w:shd w:val="clear" w:color="auto" w:fill="D2D2D2"/>
          </w:tcPr>
          <w:p>
            <w:pPr/>
          </w:p>
        </w:tc>
        <w:tc>
          <w:tcPr>
            <w:tcW w:w="3841"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3"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35" w:type="dxa"/>
            <w:vMerge/>
            <w:tcBorders>
              <w:left w:val="single" w:sz="4" w:space="0" w:color="000000"/>
              <w:bottom w:val="nil" w:sz="6" w:space="0" w:color="auto"/>
              <w:right w:val="single" w:sz="4" w:space="0" w:color="000000"/>
            </w:tcBorders>
            <w:shd w:val="clear" w:color="auto" w:fill="D2D2D2"/>
          </w:tcPr>
          <w:p>
            <w:pPr/>
          </w:p>
        </w:tc>
        <w:tc>
          <w:tcPr>
            <w:tcW w:w="152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57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2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8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2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3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527"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572" w:type="dxa"/>
            <w:gridSpan w:val="2"/>
            <w:vMerge/>
            <w:tcBorders>
              <w:left w:val="single" w:sz="4" w:space="0" w:color="000000"/>
              <w:bottom w:val="single" w:sz="4" w:space="0" w:color="000000"/>
              <w:right w:val="single" w:sz="4" w:space="0" w:color="000000"/>
            </w:tcBorders>
            <w:shd w:val="clear" w:color="auto" w:fill="D2D2D2"/>
          </w:tcPr>
          <w:p>
            <w:pPr/>
          </w:p>
        </w:tc>
        <w:tc>
          <w:tcPr>
            <w:tcW w:w="1589" w:type="dxa"/>
            <w:gridSpan w:val="2"/>
            <w:vMerge/>
            <w:tcBorders>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159" w:hRule="exact"/>
        </w:trPr>
        <w:tc>
          <w:tcPr>
            <w:tcW w:w="1635" w:type="dxa"/>
            <w:vMerge/>
            <w:tcBorders>
              <w:left w:val="single" w:sz="4" w:space="0" w:color="000000"/>
              <w:bottom w:val="single" w:sz="5"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5" w:space="0" w:color="FFFFFF"/>
              <w:right w:val="single" w:sz="4" w:space="0" w:color="000000"/>
            </w:tcBorders>
            <w:shd w:val="clear" w:color="auto" w:fill="D2D2D2"/>
          </w:tcPr>
          <w:p>
            <w:pPr/>
          </w:p>
        </w:tc>
        <w:tc>
          <w:tcPr>
            <w:tcW w:w="764" w:type="dxa"/>
            <w:tcBorders>
              <w:top w:val="single" w:sz="4" w:space="0" w:color="000000"/>
              <w:left w:val="single" w:sz="4" w:space="0" w:color="000000"/>
              <w:bottom w:val="single" w:sz="5" w:space="0" w:color="FFFFFF"/>
              <w:right w:val="single" w:sz="4" w:space="0" w:color="000000"/>
            </w:tcBorders>
            <w:shd w:val="clear" w:color="auto" w:fill="D2D2D2"/>
          </w:tcPr>
          <w:p>
            <w:pPr/>
          </w:p>
        </w:tc>
        <w:tc>
          <w:tcPr>
            <w:tcW w:w="761" w:type="dxa"/>
            <w:tcBorders>
              <w:top w:val="single" w:sz="4" w:space="0" w:color="000000"/>
              <w:left w:val="single" w:sz="4" w:space="0" w:color="000000"/>
              <w:bottom w:val="single" w:sz="5" w:space="0" w:color="FFFFFF"/>
              <w:right w:val="single" w:sz="4" w:space="0" w:color="000000"/>
            </w:tcBorders>
            <w:shd w:val="clear" w:color="auto" w:fill="D2D2D2"/>
          </w:tcPr>
          <w:p>
            <w:pPr/>
          </w:p>
        </w:tc>
        <w:tc>
          <w:tcPr>
            <w:tcW w:w="763"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50"/>
              <w:ind w:left="288" w:right="10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9"/>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775"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800" w:type="dxa"/>
            <w:tcBorders>
              <w:top w:val="single" w:sz="4" w:space="0" w:color="000000"/>
              <w:left w:val="single" w:sz="4" w:space="0" w:color="000000"/>
              <w:bottom w:val="nil" w:sz="6" w:space="0" w:color="auto"/>
              <w:right w:val="single" w:sz="4" w:space="0" w:color="000000"/>
            </w:tcBorders>
            <w:shd w:val="clear" w:color="auto" w:fill="D2D2D2"/>
          </w:tcPr>
          <w:p>
            <w:pPr/>
          </w:p>
        </w:tc>
        <w:tc>
          <w:tcPr>
            <w:tcW w:w="790" w:type="dxa"/>
            <w:tcBorders>
              <w:top w:val="single" w:sz="4" w:space="0" w:color="000000"/>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9"/>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3" w:hRule="exact"/>
        </w:trPr>
        <w:tc>
          <w:tcPr>
            <w:tcW w:w="1635" w:type="dxa"/>
            <w:vMerge w:val="restart"/>
            <w:tcBorders>
              <w:top w:val="single" w:sz="5" w:space="0" w:color="FFFFFF"/>
              <w:left w:val="single" w:sz="4" w:space="0" w:color="000000"/>
              <w:right w:val="single" w:sz="4" w:space="0" w:color="000000"/>
            </w:tcBorders>
            <w:shd w:val="clear" w:color="auto" w:fill="D2D2D2"/>
          </w:tcPr>
          <w:p>
            <w:pPr/>
          </w:p>
        </w:tc>
        <w:tc>
          <w:tcPr>
            <w:tcW w:w="763" w:type="dxa"/>
            <w:vMerge w:val="restart"/>
            <w:tcBorders>
              <w:top w:val="single" w:sz="5"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4" w:type="dxa"/>
            <w:vMerge w:val="restart"/>
            <w:tcBorders>
              <w:top w:val="single" w:sz="5"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1" w:type="dxa"/>
            <w:vMerge w:val="restart"/>
            <w:tcBorders>
              <w:top w:val="single" w:sz="5"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77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2"/>
              <w:ind w:left="20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2"/>
              <w:ind w:left="213"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0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2"/>
              <w:ind w:left="21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2"/>
              <w:ind w:left="3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35" w:type="dxa"/>
            <w:vMerge/>
            <w:tcBorders>
              <w:left w:val="single" w:sz="4" w:space="0" w:color="000000"/>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4"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775"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800" w:type="dxa"/>
            <w:vMerge/>
            <w:tcBorders>
              <w:left w:val="single" w:sz="4" w:space="0" w:color="000000"/>
              <w:bottom w:val="nil" w:sz="6" w:space="0" w:color="auto"/>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775"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800" w:type="dxa"/>
            <w:tcBorders>
              <w:top w:val="nil" w:sz="6" w:space="0" w:color="auto"/>
              <w:left w:val="single" w:sz="4" w:space="0" w:color="000000"/>
              <w:bottom w:val="single" w:sz="4" w:space="0" w:color="000000"/>
              <w:right w:val="single" w:sz="4" w:space="0" w:color="000000"/>
            </w:tcBorders>
            <w:shd w:val="clear" w:color="auto" w:fill="D2D2D2"/>
          </w:tcPr>
          <w:p>
            <w:pPr/>
          </w:p>
        </w:tc>
        <w:tc>
          <w:tcPr>
            <w:tcW w:w="790" w:type="dxa"/>
            <w:tcBorders>
              <w:top w:val="nil" w:sz="6" w:space="0" w:color="auto"/>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713"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59"/>
              <w:jc w:val="left"/>
              <w:rPr>
                <w:rFonts w:ascii="宋体" w:hAnsi="宋体" w:cs="宋体" w:eastAsia="宋体" w:hint="default"/>
                <w:sz w:val="18"/>
                <w:szCs w:val="18"/>
              </w:rPr>
            </w:pPr>
            <w:r>
              <w:rPr>
                <w:rFonts w:ascii="宋体" w:hAnsi="宋体" w:cs="宋体" w:eastAsia="宋体" w:hint="default"/>
                <w:sz w:val="18"/>
                <w:szCs w:val="18"/>
              </w:rPr>
              <w:t>按单项计提坏账准 备的应收账款</w:t>
            </w:r>
          </w:p>
        </w:tc>
        <w:tc>
          <w:tcPr>
            <w:tcW w:w="76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80" w:right="0"/>
              <w:jc w:val="center"/>
              <w:rPr>
                <w:rFonts w:ascii="Times New Roman" w:hAnsi="Times New Roman" w:cs="Times New Roman" w:eastAsia="Times New Roman" w:hint="default"/>
                <w:sz w:val="18"/>
                <w:szCs w:val="18"/>
              </w:rPr>
            </w:pPr>
            <w:r>
              <w:rPr>
                <w:rFonts w:ascii="Times New Roman"/>
                <w:sz w:val="18"/>
              </w:rPr>
              <w:t>118,697,</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981.11</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5.42%</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68,697,9</w:t>
            </w:r>
          </w:p>
          <w:p>
            <w:pPr>
              <w:pStyle w:val="TableParagraph"/>
              <w:spacing w:line="240" w:lineRule="auto" w:before="105"/>
              <w:ind w:left="331" w:right="0"/>
              <w:jc w:val="left"/>
              <w:rPr>
                <w:rFonts w:ascii="Times New Roman" w:hAnsi="Times New Roman" w:cs="Times New Roman" w:eastAsia="Times New Roman" w:hint="default"/>
                <w:sz w:val="18"/>
                <w:szCs w:val="18"/>
              </w:rPr>
            </w:pPr>
            <w:r>
              <w:rPr>
                <w:rFonts w:ascii="Times New Roman"/>
                <w:sz w:val="18"/>
              </w:rPr>
              <w:t>81.11</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57.88%</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50,000,00</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0.00</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1" w:right="0"/>
              <w:jc w:val="left"/>
              <w:rPr>
                <w:rFonts w:ascii="Times New Roman" w:hAnsi="Times New Roman" w:cs="Times New Roman" w:eastAsia="Times New Roman" w:hint="default"/>
                <w:sz w:val="18"/>
                <w:szCs w:val="18"/>
              </w:rPr>
            </w:pPr>
            <w:r>
              <w:rPr>
                <w:rFonts w:ascii="Times New Roman"/>
                <w:sz w:val="18"/>
              </w:rPr>
              <w:t>115,447,3</w:t>
            </w:r>
          </w:p>
          <w:p>
            <w:pPr>
              <w:pStyle w:val="TableParagraph"/>
              <w:spacing w:line="240" w:lineRule="auto" w:before="105"/>
              <w:ind w:left="338" w:right="0"/>
              <w:jc w:val="left"/>
              <w:rPr>
                <w:rFonts w:ascii="Times New Roman" w:hAnsi="Times New Roman" w:cs="Times New Roman" w:eastAsia="Times New Roman" w:hint="default"/>
                <w:sz w:val="18"/>
                <w:szCs w:val="18"/>
              </w:rPr>
            </w:pPr>
            <w:r>
              <w:rPr>
                <w:rFonts w:ascii="Times New Roman"/>
                <w:sz w:val="18"/>
              </w:rPr>
              <w:t>68.37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4.93%</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65,447,36</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8.37</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56.69%</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50,000,000.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r>
      <w:tr>
        <w:trPr>
          <w:trHeight w:val="403"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5" w:hRule="exact"/>
        </w:trPr>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9"/>
              <w:jc w:val="both"/>
              <w:rPr>
                <w:rFonts w:ascii="宋体" w:hAnsi="宋体" w:cs="宋体" w:eastAsia="宋体" w:hint="default"/>
                <w:sz w:val="18"/>
                <w:szCs w:val="18"/>
              </w:rPr>
            </w:pPr>
            <w:r>
              <w:rPr>
                <w:rFonts w:ascii="宋体" w:hAnsi="宋体" w:cs="宋体" w:eastAsia="宋体" w:hint="default"/>
                <w:sz w:val="18"/>
                <w:szCs w:val="18"/>
              </w:rPr>
              <w:t>单项金额重大单独 计提坏账准备的应 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7" w:right="0"/>
              <w:jc w:val="center"/>
              <w:rPr>
                <w:rFonts w:ascii="Times New Roman" w:hAnsi="Times New Roman" w:cs="Times New Roman" w:eastAsia="Times New Roman" w:hint="default"/>
                <w:sz w:val="18"/>
                <w:szCs w:val="18"/>
              </w:rPr>
            </w:pPr>
            <w:r>
              <w:rPr>
                <w:rFonts w:ascii="Times New Roman"/>
                <w:sz w:val="18"/>
              </w:rPr>
              <w:t>113,850,</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987.04</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5.20%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63,850,9</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87.04</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56.08%</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50,000,00</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0.00</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 w:right="0"/>
              <w:jc w:val="left"/>
              <w:rPr>
                <w:rFonts w:ascii="Times New Roman" w:hAnsi="Times New Roman" w:cs="Times New Roman" w:eastAsia="Times New Roman" w:hint="default"/>
                <w:sz w:val="18"/>
                <w:szCs w:val="18"/>
              </w:rPr>
            </w:pPr>
            <w:r>
              <w:rPr>
                <w:rFonts w:ascii="Times New Roman"/>
                <w:sz w:val="18"/>
              </w:rPr>
              <w:t>110,227,4</w:t>
            </w:r>
          </w:p>
          <w:p>
            <w:pPr>
              <w:pStyle w:val="TableParagraph"/>
              <w:spacing w:line="240" w:lineRule="auto" w:before="105"/>
              <w:ind w:left="338" w:right="0"/>
              <w:jc w:val="left"/>
              <w:rPr>
                <w:rFonts w:ascii="Times New Roman" w:hAnsi="Times New Roman" w:cs="Times New Roman" w:eastAsia="Times New Roman" w:hint="default"/>
                <w:sz w:val="18"/>
                <w:szCs w:val="18"/>
              </w:rPr>
            </w:pPr>
            <w:r>
              <w:rPr>
                <w:rFonts w:ascii="Times New Roman"/>
                <w:sz w:val="18"/>
              </w:rPr>
              <w:t>19.80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4.71%</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60,227,41</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9.80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54.64%</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50,000,000.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r>
      <w:tr>
        <w:trPr>
          <w:trHeight w:val="1027" w:hRule="exact"/>
        </w:trPr>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59"/>
              <w:jc w:val="both"/>
              <w:rPr>
                <w:rFonts w:ascii="宋体" w:hAnsi="宋体" w:cs="宋体" w:eastAsia="宋体" w:hint="default"/>
                <w:sz w:val="18"/>
                <w:szCs w:val="18"/>
              </w:rPr>
            </w:pPr>
            <w:r>
              <w:rPr>
                <w:rFonts w:ascii="宋体" w:hAnsi="宋体" w:cs="宋体" w:eastAsia="宋体" w:hint="default"/>
                <w:sz w:val="18"/>
                <w:szCs w:val="18"/>
              </w:rPr>
              <w:t>单项金额不重大但 单独计提坏账准备 的应收账款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4,846,99</w:t>
            </w:r>
          </w:p>
          <w:p>
            <w:pPr>
              <w:pStyle w:val="TableParagraph"/>
              <w:spacing w:line="240" w:lineRule="auto" w:before="102"/>
              <w:ind w:left="417" w:right="0"/>
              <w:jc w:val="left"/>
              <w:rPr>
                <w:rFonts w:ascii="Times New Roman" w:hAnsi="Times New Roman" w:cs="Times New Roman" w:eastAsia="Times New Roman" w:hint="default"/>
                <w:sz w:val="18"/>
                <w:szCs w:val="18"/>
              </w:rPr>
            </w:pPr>
            <w:r>
              <w:rPr>
                <w:rFonts w:ascii="Times New Roman"/>
                <w:sz w:val="18"/>
              </w:rPr>
              <w:t>4.07</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0.22%</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4,846,99</w:t>
            </w:r>
          </w:p>
          <w:p>
            <w:pPr>
              <w:pStyle w:val="TableParagraph"/>
              <w:spacing w:line="240" w:lineRule="auto" w:before="102"/>
              <w:ind w:left="415" w:right="0"/>
              <w:jc w:val="left"/>
              <w:rPr>
                <w:rFonts w:ascii="Times New Roman" w:hAnsi="Times New Roman" w:cs="Times New Roman" w:eastAsia="Times New Roman" w:hint="default"/>
                <w:sz w:val="18"/>
                <w:szCs w:val="18"/>
              </w:rPr>
            </w:pPr>
            <w:r>
              <w:rPr>
                <w:rFonts w:ascii="Times New Roman"/>
                <w:sz w:val="18"/>
              </w:rPr>
              <w:t>4.07</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90"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5,219,948</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.57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0.22%</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5,219,948</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.57</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59"/>
              <w:jc w:val="left"/>
              <w:rPr>
                <w:rFonts w:ascii="宋体" w:hAnsi="宋体" w:cs="宋体" w:eastAsia="宋体" w:hint="default"/>
                <w:sz w:val="18"/>
                <w:szCs w:val="18"/>
              </w:rPr>
            </w:pPr>
            <w:r>
              <w:rPr>
                <w:rFonts w:ascii="宋体" w:hAnsi="宋体" w:cs="宋体" w:eastAsia="宋体" w:hint="default"/>
                <w:sz w:val="18"/>
                <w:szCs w:val="18"/>
              </w:rPr>
              <w:t>按组合计提坏账准 备的应收账款</w:t>
            </w:r>
          </w:p>
        </w:tc>
        <w:tc>
          <w:tcPr>
            <w:tcW w:w="76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93" w:right="0"/>
              <w:jc w:val="left"/>
              <w:rPr>
                <w:rFonts w:ascii="Times New Roman" w:hAnsi="Times New Roman" w:cs="Times New Roman" w:eastAsia="Times New Roman" w:hint="default"/>
                <w:sz w:val="18"/>
                <w:szCs w:val="18"/>
              </w:rPr>
            </w:pPr>
            <w:r>
              <w:rPr>
                <w:rFonts w:ascii="Times New Roman"/>
                <w:sz w:val="18"/>
              </w:rPr>
              <w:t>2,073,26</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1,373.16</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94.58%</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7" w:right="0"/>
              <w:jc w:val="center"/>
              <w:rPr>
                <w:rFonts w:ascii="Times New Roman" w:hAnsi="Times New Roman" w:cs="Times New Roman" w:eastAsia="Times New Roman" w:hint="default"/>
                <w:sz w:val="18"/>
                <w:szCs w:val="18"/>
              </w:rPr>
            </w:pPr>
            <w:r>
              <w:rPr>
                <w:rFonts w:ascii="Times New Roman"/>
                <w:sz w:val="18"/>
              </w:rPr>
              <w:t>148,321,</w:t>
            </w:r>
          </w:p>
          <w:p>
            <w:pPr>
              <w:pStyle w:val="TableParagraph"/>
              <w:spacing w:line="240" w:lineRule="auto" w:before="105"/>
              <w:ind w:left="214" w:right="0"/>
              <w:jc w:val="center"/>
              <w:rPr>
                <w:rFonts w:ascii="Times New Roman" w:hAnsi="Times New Roman" w:cs="Times New Roman" w:eastAsia="Times New Roman" w:hint="default"/>
                <w:sz w:val="18"/>
                <w:szCs w:val="18"/>
              </w:rPr>
            </w:pPr>
            <w:r>
              <w:rPr>
                <w:rFonts w:ascii="Times New Roman"/>
                <w:sz w:val="18"/>
              </w:rPr>
              <w:t>830.42</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7.15%</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1,924,939</w:t>
            </w:r>
          </w:p>
          <w:p>
            <w:pPr>
              <w:pStyle w:val="TableParagraph"/>
              <w:spacing w:line="240" w:lineRule="auto" w:before="105"/>
              <w:ind w:left="191" w:right="0"/>
              <w:jc w:val="center"/>
              <w:rPr>
                <w:rFonts w:ascii="Times New Roman" w:hAnsi="Times New Roman" w:cs="Times New Roman" w:eastAsia="Times New Roman" w:hint="default"/>
                <w:sz w:val="18"/>
                <w:szCs w:val="18"/>
              </w:rPr>
            </w:pPr>
            <w:r>
              <w:rPr>
                <w:rFonts w:ascii="Times New Roman"/>
                <w:sz w:val="18"/>
              </w:rPr>
              <w:t>,542.74</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2,225,225</w:t>
            </w:r>
          </w:p>
          <w:p>
            <w:pPr>
              <w:pStyle w:val="TableParagraph"/>
              <w:spacing w:line="240" w:lineRule="auto" w:before="105"/>
              <w:ind w:left="182" w:right="0"/>
              <w:jc w:val="center"/>
              <w:rPr>
                <w:rFonts w:ascii="Times New Roman" w:hAnsi="Times New Roman" w:cs="Times New Roman" w:eastAsia="Times New Roman" w:hint="default"/>
                <w:sz w:val="18"/>
                <w:szCs w:val="18"/>
              </w:rPr>
            </w:pPr>
            <w:r>
              <w:rPr>
                <w:rFonts w:ascii="Times New Roman"/>
                <w:sz w:val="18"/>
              </w:rPr>
              <w:t>,953.62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95.07%</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136,245,5</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37.49</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6.12%</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2,088,980,4</w:t>
            </w:r>
          </w:p>
          <w:p>
            <w:pPr>
              <w:pStyle w:val="TableParagraph"/>
              <w:spacing w:line="240" w:lineRule="auto" w:before="105"/>
              <w:ind w:left="494" w:right="0"/>
              <w:jc w:val="left"/>
              <w:rPr>
                <w:rFonts w:ascii="Times New Roman" w:hAnsi="Times New Roman" w:cs="Times New Roman" w:eastAsia="Times New Roman" w:hint="default"/>
                <w:sz w:val="18"/>
                <w:szCs w:val="18"/>
              </w:rPr>
            </w:pPr>
            <w:r>
              <w:rPr>
                <w:rFonts w:ascii="Times New Roman"/>
                <w:sz w:val="18"/>
              </w:rPr>
              <w:t>16.13</w:t>
            </w:r>
          </w:p>
        </w:tc>
      </w:tr>
      <w:tr>
        <w:trPr>
          <w:trHeight w:val="403"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3" w:hRule="exact"/>
        </w:trPr>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 w:right="0"/>
              <w:jc w:val="left"/>
              <w:rPr>
                <w:rFonts w:ascii="Times New Roman" w:hAnsi="Times New Roman" w:cs="Times New Roman" w:eastAsia="Times New Roman" w:hint="default"/>
                <w:sz w:val="18"/>
                <w:szCs w:val="18"/>
              </w:rPr>
            </w:pPr>
            <w:r>
              <w:rPr>
                <w:rFonts w:ascii="Times New Roman"/>
                <w:sz w:val="18"/>
              </w:rPr>
              <w:t>2,073,26</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1,373.16</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94.58%</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7" w:right="0"/>
              <w:jc w:val="center"/>
              <w:rPr>
                <w:rFonts w:ascii="Times New Roman" w:hAnsi="Times New Roman" w:cs="Times New Roman" w:eastAsia="Times New Roman" w:hint="default"/>
                <w:sz w:val="18"/>
                <w:szCs w:val="18"/>
              </w:rPr>
            </w:pPr>
            <w:r>
              <w:rPr>
                <w:rFonts w:ascii="Times New Roman"/>
                <w:sz w:val="18"/>
              </w:rPr>
              <w:t>148,321,</w:t>
            </w:r>
          </w:p>
          <w:p>
            <w:pPr>
              <w:pStyle w:val="TableParagraph"/>
              <w:spacing w:line="240" w:lineRule="auto" w:before="105"/>
              <w:ind w:left="214" w:right="0"/>
              <w:jc w:val="center"/>
              <w:rPr>
                <w:rFonts w:ascii="Times New Roman" w:hAnsi="Times New Roman" w:cs="Times New Roman" w:eastAsia="Times New Roman" w:hint="default"/>
                <w:sz w:val="18"/>
                <w:szCs w:val="18"/>
              </w:rPr>
            </w:pPr>
            <w:r>
              <w:rPr>
                <w:rFonts w:ascii="Times New Roman"/>
                <w:sz w:val="18"/>
              </w:rPr>
              <w:t>830.42</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7.15%</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1,924,939</w:t>
            </w:r>
          </w:p>
          <w:p>
            <w:pPr>
              <w:pStyle w:val="TableParagraph"/>
              <w:spacing w:line="240" w:lineRule="auto" w:before="105"/>
              <w:ind w:left="191" w:right="0"/>
              <w:jc w:val="center"/>
              <w:rPr>
                <w:rFonts w:ascii="Times New Roman" w:hAnsi="Times New Roman" w:cs="Times New Roman" w:eastAsia="Times New Roman" w:hint="default"/>
                <w:sz w:val="18"/>
                <w:szCs w:val="18"/>
              </w:rPr>
            </w:pPr>
            <w:r>
              <w:rPr>
                <w:rFonts w:ascii="Times New Roman"/>
                <w:sz w:val="18"/>
              </w:rPr>
              <w:t>,542.74</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2,225,225</w:t>
            </w:r>
          </w:p>
          <w:p>
            <w:pPr>
              <w:pStyle w:val="TableParagraph"/>
              <w:spacing w:line="240" w:lineRule="auto" w:before="105"/>
              <w:ind w:left="182" w:right="0"/>
              <w:jc w:val="center"/>
              <w:rPr>
                <w:rFonts w:ascii="Times New Roman" w:hAnsi="Times New Roman" w:cs="Times New Roman" w:eastAsia="Times New Roman" w:hint="default"/>
                <w:sz w:val="18"/>
                <w:szCs w:val="18"/>
              </w:rPr>
            </w:pPr>
            <w:r>
              <w:rPr>
                <w:rFonts w:ascii="Times New Roman"/>
                <w:sz w:val="18"/>
              </w:rPr>
              <w:t>,953.62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95.07%</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136,245,5</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37.49</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6.12%</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2,088,980,4</w:t>
            </w:r>
          </w:p>
          <w:p>
            <w:pPr>
              <w:pStyle w:val="TableParagraph"/>
              <w:spacing w:line="240" w:lineRule="auto" w:before="105"/>
              <w:ind w:left="494" w:right="0"/>
              <w:jc w:val="left"/>
              <w:rPr>
                <w:rFonts w:ascii="Times New Roman" w:hAnsi="Times New Roman" w:cs="Times New Roman" w:eastAsia="Times New Roman" w:hint="default"/>
                <w:sz w:val="18"/>
                <w:szCs w:val="18"/>
              </w:rPr>
            </w:pPr>
            <w:r>
              <w:rPr>
                <w:rFonts w:ascii="Times New Roman"/>
                <w:sz w:val="18"/>
              </w:rPr>
              <w:t>16.13</w:t>
            </w:r>
          </w:p>
        </w:tc>
      </w:tr>
      <w:tr>
        <w:trPr>
          <w:trHeight w:val="71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0" w:right="0"/>
              <w:jc w:val="left"/>
              <w:rPr>
                <w:rFonts w:ascii="Times New Roman" w:hAnsi="Times New Roman" w:cs="Times New Roman" w:eastAsia="Times New Roman" w:hint="default"/>
                <w:sz w:val="18"/>
                <w:szCs w:val="18"/>
              </w:rPr>
            </w:pPr>
            <w:r>
              <w:rPr>
                <w:rFonts w:ascii="Times New Roman"/>
                <w:sz w:val="18"/>
              </w:rPr>
              <w:t>2,191,95</w:t>
            </w:r>
          </w:p>
          <w:p>
            <w:pPr>
              <w:pStyle w:val="TableParagraph"/>
              <w:spacing w:line="240" w:lineRule="auto" w:before="102"/>
              <w:ind w:left="100" w:right="0"/>
              <w:jc w:val="left"/>
              <w:rPr>
                <w:rFonts w:ascii="Times New Roman" w:hAnsi="Times New Roman" w:cs="Times New Roman" w:eastAsia="Times New Roman" w:hint="default"/>
                <w:sz w:val="18"/>
                <w:szCs w:val="18"/>
              </w:rPr>
            </w:pPr>
            <w:r>
              <w:rPr>
                <w:rFonts w:ascii="Times New Roman"/>
                <w:sz w:val="18"/>
              </w:rPr>
              <w:t>9,354.27</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7" w:right="0"/>
              <w:jc w:val="center"/>
              <w:rPr>
                <w:rFonts w:ascii="Times New Roman" w:hAnsi="Times New Roman" w:cs="Times New Roman" w:eastAsia="Times New Roman" w:hint="default"/>
                <w:sz w:val="18"/>
                <w:szCs w:val="18"/>
              </w:rPr>
            </w:pPr>
            <w:r>
              <w:rPr>
                <w:rFonts w:ascii="Times New Roman"/>
                <w:sz w:val="18"/>
              </w:rPr>
              <w:t>217,019,</w:t>
            </w:r>
          </w:p>
          <w:p>
            <w:pPr>
              <w:pStyle w:val="TableParagraph"/>
              <w:spacing w:line="240" w:lineRule="auto" w:before="102"/>
              <w:ind w:left="221" w:right="0"/>
              <w:jc w:val="center"/>
              <w:rPr>
                <w:rFonts w:ascii="Times New Roman" w:hAnsi="Times New Roman" w:cs="Times New Roman" w:eastAsia="Times New Roman" w:hint="default"/>
                <w:sz w:val="18"/>
                <w:szCs w:val="18"/>
              </w:rPr>
            </w:pPr>
            <w:r>
              <w:rPr>
                <w:rFonts w:ascii="Times New Roman"/>
                <w:sz w:val="18"/>
              </w:rPr>
              <w:t>811.53</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9.90%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1" w:right="0"/>
              <w:jc w:val="center"/>
              <w:rPr>
                <w:rFonts w:ascii="Times New Roman" w:hAnsi="Times New Roman" w:cs="Times New Roman" w:eastAsia="Times New Roman" w:hint="default"/>
                <w:sz w:val="18"/>
                <w:szCs w:val="18"/>
              </w:rPr>
            </w:pPr>
            <w:r>
              <w:rPr>
                <w:rFonts w:ascii="Times New Roman"/>
                <w:sz w:val="18"/>
              </w:rPr>
              <w:t>1,974,939</w:t>
            </w:r>
          </w:p>
          <w:p>
            <w:pPr>
              <w:pStyle w:val="TableParagraph"/>
              <w:spacing w:line="240" w:lineRule="auto" w:before="102"/>
              <w:ind w:left="191" w:right="0"/>
              <w:jc w:val="center"/>
              <w:rPr>
                <w:rFonts w:ascii="Times New Roman" w:hAnsi="Times New Roman" w:cs="Times New Roman" w:eastAsia="Times New Roman" w:hint="default"/>
                <w:sz w:val="18"/>
                <w:szCs w:val="18"/>
              </w:rPr>
            </w:pPr>
            <w:r>
              <w:rPr>
                <w:rFonts w:ascii="Times New Roman"/>
                <w:sz w:val="18"/>
              </w:rPr>
              <w:t>,542.74</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 w:right="0"/>
              <w:jc w:val="center"/>
              <w:rPr>
                <w:rFonts w:ascii="Times New Roman" w:hAnsi="Times New Roman" w:cs="Times New Roman" w:eastAsia="Times New Roman" w:hint="default"/>
                <w:sz w:val="18"/>
                <w:szCs w:val="18"/>
              </w:rPr>
            </w:pPr>
            <w:r>
              <w:rPr>
                <w:rFonts w:ascii="Times New Roman"/>
                <w:sz w:val="18"/>
              </w:rPr>
              <w:t>2,340,673</w:t>
            </w:r>
          </w:p>
          <w:p>
            <w:pPr>
              <w:pStyle w:val="TableParagraph"/>
              <w:spacing w:line="240" w:lineRule="auto" w:before="102"/>
              <w:ind w:left="182" w:right="0"/>
              <w:jc w:val="center"/>
              <w:rPr>
                <w:rFonts w:ascii="Times New Roman" w:hAnsi="Times New Roman" w:cs="Times New Roman" w:eastAsia="Times New Roman" w:hint="default"/>
                <w:sz w:val="18"/>
                <w:szCs w:val="18"/>
              </w:rPr>
            </w:pPr>
            <w:r>
              <w:rPr>
                <w:rFonts w:ascii="Times New Roman"/>
                <w:sz w:val="18"/>
              </w:rPr>
              <w:t>,321.99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201,692,9</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05.86</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8.62%</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2,138,980,4</w:t>
            </w:r>
          </w:p>
          <w:p>
            <w:pPr>
              <w:pStyle w:val="TableParagraph"/>
              <w:spacing w:line="240" w:lineRule="auto" w:before="102"/>
              <w:ind w:left="494" w:right="0"/>
              <w:jc w:val="left"/>
              <w:rPr>
                <w:rFonts w:ascii="Times New Roman" w:hAnsi="Times New Roman" w:cs="Times New Roman" w:eastAsia="Times New Roman" w:hint="default"/>
                <w:sz w:val="18"/>
                <w:szCs w:val="18"/>
              </w:rPr>
            </w:pPr>
            <w:r>
              <w:rPr>
                <w:rFonts w:ascii="Times New Roman"/>
                <w:sz w:val="18"/>
              </w:rPr>
              <w:t>16.13</w:t>
            </w:r>
          </w:p>
        </w:tc>
      </w:tr>
    </w:tbl>
    <w:p>
      <w:pPr>
        <w:pStyle w:val="BodyText"/>
        <w:spacing w:line="240" w:lineRule="auto" w:before="49"/>
        <w:ind w:right="1133"/>
        <w:jc w:val="left"/>
        <w:rPr>
          <w:rFonts w:ascii="Times New Roman" w:hAnsi="Times New Roman" w:cs="Times New Roman" w:eastAsia="Times New Roman" w:hint="default"/>
        </w:rPr>
      </w:pPr>
      <w:r>
        <w:rPr/>
        <w:t>按单项计提坏账准备：</w:t>
      </w:r>
      <w:r>
        <w:rPr>
          <w:rFonts w:ascii="Times New Roman" w:hAnsi="Times New Roman" w:cs="Times New Roman" w:eastAsia="Times New Roman" w:hint="default"/>
        </w:rPr>
        <w:t>68,697,981.11</w:t>
      </w:r>
    </w:p>
    <w:p>
      <w:pPr>
        <w:pStyle w:val="BodyText"/>
        <w:spacing w:line="240" w:lineRule="auto" w:before="101"/>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4347"/>
        <w:gridCol w:w="1337"/>
        <w:gridCol w:w="1236"/>
        <w:gridCol w:w="879"/>
        <w:gridCol w:w="1898"/>
      </w:tblGrid>
      <w:tr>
        <w:trPr>
          <w:trHeight w:val="403" w:hRule="exact"/>
        </w:trPr>
        <w:tc>
          <w:tcPr>
            <w:tcW w:w="434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5351"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4347" w:type="dxa"/>
            <w:vMerge/>
            <w:tcBorders>
              <w:left w:val="single" w:sz="4" w:space="0" w:color="000000"/>
              <w:bottom w:val="single" w:sz="4" w:space="0" w:color="000000"/>
              <w:right w:val="single" w:sz="4" w:space="0" w:color="000000"/>
            </w:tcBorders>
            <w:shd w:val="clear" w:color="auto" w:fill="D2D2D2"/>
          </w:tcPr>
          <w:p>
            <w:pPr/>
          </w:p>
        </w:tc>
        <w:tc>
          <w:tcPr>
            <w:tcW w:w="1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0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8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74"/>
              <w:jc w:val="right"/>
              <w:rPr>
                <w:rFonts w:ascii="宋体" w:hAnsi="宋体" w:cs="宋体" w:eastAsia="宋体" w:hint="default"/>
                <w:sz w:val="18"/>
                <w:szCs w:val="18"/>
              </w:rPr>
            </w:pPr>
            <w:r>
              <w:rPr>
                <w:rFonts w:ascii="宋体" w:hAnsi="宋体" w:cs="宋体" w:eastAsia="宋体" w:hint="default"/>
                <w:sz w:val="18"/>
                <w:szCs w:val="18"/>
              </w:rPr>
              <w:t>计提比例</w:t>
            </w:r>
          </w:p>
        </w:tc>
        <w:tc>
          <w:tcPr>
            <w:tcW w:w="18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85" w:right="0"/>
              <w:jc w:val="left"/>
              <w:rPr>
                <w:rFonts w:ascii="宋体" w:hAnsi="宋体" w:cs="宋体" w:eastAsia="宋体" w:hint="default"/>
                <w:sz w:val="18"/>
                <w:szCs w:val="18"/>
              </w:rPr>
            </w:pPr>
            <w:r>
              <w:rPr>
                <w:rFonts w:ascii="宋体" w:hAnsi="宋体" w:cs="宋体" w:eastAsia="宋体" w:hint="default"/>
                <w:sz w:val="18"/>
                <w:szCs w:val="18"/>
              </w:rPr>
              <w:t>计提理由</w:t>
            </w:r>
          </w:p>
        </w:tc>
      </w:tr>
      <w:tr>
        <w:trPr>
          <w:trHeight w:val="403" w:hRule="exact"/>
        </w:trPr>
        <w:tc>
          <w:tcPr>
            <w:tcW w:w="4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安徽盛运重工机械有限责任公司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100,000,000.00</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50,000,000.00</w:t>
            </w:r>
          </w:p>
        </w:tc>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50.00%</w:t>
            </w:r>
          </w:p>
        </w:tc>
        <w:tc>
          <w:tcPr>
            <w:tcW w:w="1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已进入债务重组</w:t>
            </w:r>
          </w:p>
        </w:tc>
      </w:tr>
      <w:tr>
        <w:trPr>
          <w:trHeight w:val="401" w:hRule="exact"/>
        </w:trPr>
        <w:tc>
          <w:tcPr>
            <w:tcW w:w="4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大连飞通房地产开发有限公司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6,358,905.64</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6,358,905.64</w:t>
            </w:r>
          </w:p>
        </w:tc>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期限长，回收有风险</w:t>
            </w:r>
          </w:p>
        </w:tc>
      </w:tr>
      <w:tr>
        <w:trPr>
          <w:trHeight w:val="403" w:hRule="exact"/>
        </w:trPr>
        <w:tc>
          <w:tcPr>
            <w:tcW w:w="4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中国人民解放军第九十一中心医院</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2"/>
                <w:sz w:val="18"/>
              </w:rPr>
              <w:t>4,111,935.00</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4,111,935.00</w:t>
            </w:r>
          </w:p>
        </w:tc>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期限长，无法收回</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19" w:type="dxa"/>
        <w:tblLayout w:type="fixed"/>
        <w:tblCellMar>
          <w:top w:w="0" w:type="dxa"/>
          <w:left w:w="0" w:type="dxa"/>
          <w:bottom w:w="0" w:type="dxa"/>
          <w:right w:w="0" w:type="dxa"/>
        </w:tblCellMar>
        <w:tblLook w:val="01E0"/>
      </w:tblPr>
      <w:tblGrid>
        <w:gridCol w:w="4347"/>
        <w:gridCol w:w="1337"/>
        <w:gridCol w:w="1236"/>
        <w:gridCol w:w="879"/>
        <w:gridCol w:w="1898"/>
      </w:tblGrid>
      <w:tr>
        <w:trPr>
          <w:trHeight w:val="401" w:hRule="exact"/>
        </w:trPr>
        <w:tc>
          <w:tcPr>
            <w:tcW w:w="4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黑龙江省建工集团有限公司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2,030,146.40</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2,030,146.40</w:t>
            </w:r>
          </w:p>
        </w:tc>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期限长，无法收回</w:t>
            </w:r>
          </w:p>
        </w:tc>
      </w:tr>
      <w:tr>
        <w:trPr>
          <w:trHeight w:val="403" w:hRule="exact"/>
        </w:trPr>
        <w:tc>
          <w:tcPr>
            <w:tcW w:w="4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中国人民解放军第二军医大学东方肝胆外科医院</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1,350,000.00</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1,350,000.00</w:t>
            </w:r>
          </w:p>
        </w:tc>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期限长，无法收回</w:t>
            </w:r>
          </w:p>
        </w:tc>
      </w:tr>
      <w:tr>
        <w:trPr>
          <w:trHeight w:val="401" w:hRule="exact"/>
        </w:trPr>
        <w:tc>
          <w:tcPr>
            <w:tcW w:w="4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不重大应收款合计</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4,846,994.07</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4,846,994.07</w:t>
            </w:r>
          </w:p>
        </w:tc>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期限长，回收有风险</w:t>
            </w:r>
          </w:p>
        </w:tc>
      </w:tr>
      <w:tr>
        <w:trPr>
          <w:trHeight w:val="403" w:hRule="exact"/>
        </w:trPr>
        <w:tc>
          <w:tcPr>
            <w:tcW w:w="43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2"/>
                <w:sz w:val="18"/>
              </w:rPr>
              <w:t>118,697,981.11</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pacing w:val="-1"/>
                <w:sz w:val="18"/>
              </w:rPr>
              <w:t>68,697,981.11</w:t>
            </w:r>
          </w:p>
        </w:tc>
        <w:tc>
          <w:tcPr>
            <w:tcW w:w="8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18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1133"/>
        <w:jc w:val="left"/>
        <w:rPr>
          <w:rFonts w:ascii="Times New Roman" w:hAnsi="Times New Roman" w:cs="Times New Roman" w:eastAsia="Times New Roman" w:hint="default"/>
        </w:rPr>
      </w:pPr>
      <w:r>
        <w:rPr/>
        <w:t>按组合计提坏账准备：</w:t>
      </w:r>
      <w:r>
        <w:rPr>
          <w:rFonts w:ascii="Times New Roman" w:hAnsi="Times New Roman" w:cs="Times New Roman" w:eastAsia="Times New Roman" w:hint="default"/>
        </w:rPr>
        <w:t>148,321,830.42</w:t>
      </w:r>
    </w:p>
    <w:p>
      <w:pPr>
        <w:pStyle w:val="BodyText"/>
        <w:spacing w:line="240" w:lineRule="auto" w:before="101"/>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3"/>
        <w:gridCol w:w="2391"/>
        <w:gridCol w:w="2393"/>
        <w:gridCol w:w="2393"/>
      </w:tblGrid>
      <w:tr>
        <w:trPr>
          <w:trHeight w:val="403" w:hRule="exact"/>
        </w:trPr>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名称</w:t>
            </w:r>
          </w:p>
        </w:tc>
        <w:tc>
          <w:tcPr>
            <w:tcW w:w="717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2393" w:type="dxa"/>
            <w:vMerge/>
            <w:tcBorders>
              <w:left w:val="single" w:sz="4" w:space="0" w:color="000000"/>
              <w:bottom w:val="single" w:sz="4" w:space="0" w:color="000000"/>
              <w:right w:val="single" w:sz="4" w:space="0" w:color="000000"/>
            </w:tcBorders>
            <w:shd w:val="clear" w:color="auto" w:fill="D2D2D2"/>
          </w:tcPr>
          <w:p>
            <w:pP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2,073,261,373.16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148,321,830.42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7.15%</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2,073,261,373.16</w:t>
            </w:r>
          </w:p>
        </w:tc>
        <w:tc>
          <w:tcPr>
            <w:tcW w:w="2393"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pacing w:val="-1"/>
                <w:sz w:val="18"/>
              </w:rPr>
              <w:t>148,321,830.42</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1133"/>
        <w:jc w:val="left"/>
      </w:pPr>
      <w:r>
        <w:rPr/>
        <w:t>如是按照预期信用损失一般模型计提应收账款坏账准备，请参照其他应收款的披露方式披露坏账准备的相关信息：</w:t>
      </w:r>
    </w:p>
    <w:p>
      <w:pPr>
        <w:pStyle w:val="BodyText"/>
        <w:spacing w:line="338" w:lineRule="auto" w:before="117"/>
        <w:ind w:right="9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按账龄披露</w:t>
      </w:r>
    </w:p>
    <w:p>
      <w:pPr>
        <w:pStyle w:val="BodyText"/>
        <w:spacing w:line="240" w:lineRule="auto" w:before="43"/>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761"/>
        <w:gridCol w:w="4797"/>
      </w:tblGrid>
      <w:tr>
        <w:trPr>
          <w:trHeight w:val="401"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1,259,267,303.23</w:t>
            </w:r>
          </w:p>
        </w:tc>
      </w:tr>
      <w:tr>
        <w:trPr>
          <w:trHeight w:val="401"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453,902,027.10</w:t>
            </w:r>
          </w:p>
        </w:tc>
      </w:tr>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335,502,849.46</w:t>
            </w:r>
          </w:p>
        </w:tc>
      </w:tr>
      <w:tr>
        <w:trPr>
          <w:trHeight w:val="401"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143,287,174.48</w:t>
            </w:r>
          </w:p>
        </w:tc>
      </w:tr>
      <w:tr>
        <w:trPr>
          <w:trHeight w:val="404"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75,776,685.79</w:t>
            </w:r>
          </w:p>
        </w:tc>
      </w:tr>
      <w:tr>
        <w:trPr>
          <w:trHeight w:val="401"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30,443,942.80</w:t>
            </w:r>
          </w:p>
        </w:tc>
      </w:tr>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37,066,545.89</w:t>
            </w:r>
          </w:p>
        </w:tc>
      </w:tr>
      <w:tr>
        <w:trPr>
          <w:trHeight w:val="401"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2,191,959,354.27</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本期计提、收回或转回的坏账准备情况" w:id="239"/>
      <w:bookmarkEnd w:id="239"/>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1133"/>
        <w:jc w:val="left"/>
      </w:pPr>
      <w:r>
        <w:rPr/>
        <w:t>本期计提坏账准备情况：</w:t>
      </w:r>
    </w:p>
    <w:p>
      <w:pPr>
        <w:pStyle w:val="BodyText"/>
        <w:spacing w:line="240" w:lineRule="auto" w:before="117"/>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60"/>
        <w:gridCol w:w="1275"/>
        <w:gridCol w:w="1270"/>
        <w:gridCol w:w="1366"/>
        <w:gridCol w:w="1368"/>
        <w:gridCol w:w="1366"/>
        <w:gridCol w:w="1368"/>
      </w:tblGrid>
      <w:tr>
        <w:trPr>
          <w:trHeight w:val="404" w:hRule="exact"/>
        </w:trPr>
        <w:tc>
          <w:tcPr>
            <w:tcW w:w="156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27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37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560" w:type="dxa"/>
            <w:vMerge/>
            <w:tcBorders>
              <w:left w:val="single" w:sz="4" w:space="0" w:color="000000"/>
              <w:bottom w:val="single" w:sz="4" w:space="0" w:color="000000"/>
              <w:right w:val="single" w:sz="4" w:space="0" w:color="000000"/>
            </w:tcBorders>
            <w:shd w:val="clear" w:color="auto" w:fill="D2D2D2"/>
          </w:tcPr>
          <w:p>
            <w:pPr/>
          </w:p>
        </w:tc>
        <w:tc>
          <w:tcPr>
            <w:tcW w:w="1275" w:type="dxa"/>
            <w:vMerge/>
            <w:tcBorders>
              <w:left w:val="single" w:sz="4" w:space="0" w:color="000000"/>
              <w:bottom w:val="single" w:sz="4" w:space="0" w:color="000000"/>
              <w:right w:val="single" w:sz="4" w:space="0" w:color="000000"/>
            </w:tcBorders>
            <w:shd w:val="clear" w:color="auto" w:fill="D2D2D2"/>
          </w:tcPr>
          <w:p>
            <w:pPr/>
          </w:p>
        </w:tc>
        <w:tc>
          <w:tcPr>
            <w:tcW w:w="12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8"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99" w:right="0"/>
              <w:jc w:val="left"/>
              <w:rPr>
                <w:rFonts w:ascii="宋体" w:hAnsi="宋体" w:cs="宋体" w:eastAsia="宋体" w:hint="default"/>
                <w:sz w:val="18"/>
                <w:szCs w:val="18"/>
              </w:rPr>
            </w:pPr>
            <w:r>
              <w:rPr>
                <w:rFonts w:ascii="宋体" w:hAnsi="宋体" w:cs="宋体" w:eastAsia="宋体" w:hint="default"/>
                <w:sz w:val="18"/>
                <w:szCs w:val="18"/>
              </w:rPr>
              <w:t>核销</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单项计提</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6" w:right="0"/>
              <w:jc w:val="center"/>
              <w:rPr>
                <w:rFonts w:ascii="Times New Roman" w:hAnsi="Times New Roman" w:cs="Times New Roman" w:eastAsia="Times New Roman" w:hint="default"/>
                <w:sz w:val="18"/>
                <w:szCs w:val="18"/>
              </w:rPr>
            </w:pPr>
            <w:r>
              <w:rPr>
                <w:rFonts w:ascii="Times New Roman"/>
                <w:sz w:val="18"/>
              </w:rPr>
              <w:t>65,447,368.37</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7,069,961.41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3,819,348.67</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68,697,981.11</w:t>
            </w:r>
          </w:p>
        </w:tc>
      </w:tr>
      <w:tr>
        <w:trPr>
          <w:trHeight w:val="401"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信用风险组合计提</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5" w:right="0"/>
              <w:jc w:val="center"/>
              <w:rPr>
                <w:rFonts w:ascii="Times New Roman" w:hAnsi="Times New Roman" w:cs="Times New Roman" w:eastAsia="Times New Roman" w:hint="default"/>
                <w:sz w:val="18"/>
                <w:szCs w:val="18"/>
              </w:rPr>
            </w:pPr>
            <w:r>
              <w:rPr>
                <w:rFonts w:ascii="Times New Roman"/>
                <w:sz w:val="18"/>
              </w:rPr>
              <w:t>136,245,537.49</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12,640,756.52</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3" w:right="0"/>
              <w:jc w:val="left"/>
              <w:rPr>
                <w:rFonts w:ascii="Times New Roman" w:hAnsi="Times New Roman" w:cs="Times New Roman" w:eastAsia="Times New Roman" w:hint="default"/>
                <w:sz w:val="18"/>
                <w:szCs w:val="18"/>
              </w:rPr>
            </w:pPr>
            <w:r>
              <w:rPr>
                <w:rFonts w:ascii="Times New Roman"/>
                <w:sz w:val="18"/>
              </w:rPr>
              <w:t>564,463.59</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148,321,830.42</w:t>
            </w:r>
          </w:p>
        </w:tc>
      </w:tr>
      <w:tr>
        <w:trPr>
          <w:trHeight w:val="403"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5" w:right="0"/>
              <w:jc w:val="center"/>
              <w:rPr>
                <w:rFonts w:ascii="Times New Roman" w:hAnsi="Times New Roman" w:cs="Times New Roman" w:eastAsia="Times New Roman" w:hint="default"/>
                <w:sz w:val="18"/>
                <w:szCs w:val="18"/>
              </w:rPr>
            </w:pPr>
            <w:r>
              <w:rPr>
                <w:rFonts w:ascii="Times New Roman"/>
                <w:sz w:val="18"/>
              </w:rPr>
              <w:t>201,692,905.86</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19,710,717.93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3,819,348.67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3" w:right="0"/>
              <w:jc w:val="left"/>
              <w:rPr>
                <w:rFonts w:ascii="Times New Roman" w:hAnsi="Times New Roman" w:cs="Times New Roman" w:eastAsia="Times New Roman" w:hint="default"/>
                <w:sz w:val="18"/>
                <w:szCs w:val="18"/>
              </w:rPr>
            </w:pPr>
            <w:r>
              <w:rPr>
                <w:rFonts w:ascii="Times New Roman"/>
                <w:sz w:val="18"/>
              </w:rPr>
              <w:t>564,463.59</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217,019,811.53</w:t>
            </w:r>
          </w:p>
        </w:tc>
      </w:tr>
    </w:tbl>
    <w:p>
      <w:pPr>
        <w:pStyle w:val="BodyText"/>
        <w:spacing w:line="240" w:lineRule="auto" w:before="49"/>
        <w:ind w:right="1133"/>
        <w:jc w:val="left"/>
      </w:pPr>
      <w:r>
        <w:rPr/>
        <w:t>其中本期坏账准备收回或转回金额重要的：</w:t>
      </w:r>
    </w:p>
    <w:p>
      <w:pPr>
        <w:pStyle w:val="BodyText"/>
        <w:spacing w:line="240" w:lineRule="auto" w:before="115"/>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79"/>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60" w:right="0"/>
              <w:jc w:val="left"/>
              <w:rPr>
                <w:rFonts w:ascii="宋体" w:hAnsi="宋体" w:cs="宋体" w:eastAsia="宋体" w:hint="default"/>
                <w:sz w:val="18"/>
                <w:szCs w:val="18"/>
              </w:rPr>
            </w:pPr>
            <w:r>
              <w:rPr>
                <w:rFonts w:ascii="宋体" w:hAnsi="宋体" w:cs="宋体" w:eastAsia="宋体" w:hint="default"/>
                <w:sz w:val="18"/>
                <w:szCs w:val="18"/>
              </w:rPr>
              <w:t>收回或转回金额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after="0" w:line="240" w:lineRule="auto"/>
        <w:jc w:val="center"/>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镇江华龙广场置业有限公司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2,735,338.40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货币回款</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2,735,338.40</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3）本期实际核销的应收账款情况" w:id="240"/>
      <w:bookmarkEnd w:id="240"/>
      <w:r>
        <w:rPr>
          <w:b w:val="0"/>
          <w:bCs w:val="0"/>
        </w:rPr>
      </w:r>
      <w:r>
        <w:rPr/>
        <w:t>（</w:t>
      </w:r>
      <w:r>
        <w:rPr>
          <w:rFonts w:ascii="Times New Roman" w:hAnsi="Times New Roman" w:cs="Times New Roman" w:eastAsia="Times New Roman" w:hint="default"/>
        </w:rPr>
        <w:t>3</w:t>
      </w:r>
      <w:r>
        <w:rPr/>
        <w:t>）本期实际核销的应收账款情况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784"/>
        <w:gridCol w:w="4787"/>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实际核销的应收账款</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564,463.59</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4）按欠款方归集的期末余额前五名的应收账款情况" w:id="241"/>
      <w:bookmarkEnd w:id="241"/>
      <w:r>
        <w:rPr>
          <w:b w:val="0"/>
          <w:bCs w:val="0"/>
        </w:rPr>
      </w: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3001"/>
        <w:gridCol w:w="1742"/>
        <w:gridCol w:w="3210"/>
        <w:gridCol w:w="1745"/>
      </w:tblGrid>
      <w:tr>
        <w:trPr>
          <w:trHeight w:val="401" w:hRule="exact"/>
        </w:trPr>
        <w:tc>
          <w:tcPr>
            <w:tcW w:w="3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6" w:right="0"/>
              <w:jc w:val="left"/>
              <w:rPr>
                <w:rFonts w:ascii="宋体" w:hAnsi="宋体" w:cs="宋体" w:eastAsia="宋体" w:hint="default"/>
                <w:sz w:val="18"/>
                <w:szCs w:val="18"/>
              </w:rPr>
            </w:pPr>
            <w:r>
              <w:rPr>
                <w:rFonts w:ascii="宋体" w:hAnsi="宋体" w:cs="宋体" w:eastAsia="宋体" w:hint="default"/>
                <w:sz w:val="18"/>
                <w:szCs w:val="18"/>
              </w:rPr>
              <w:t>应收账款期末余额</w:t>
            </w:r>
          </w:p>
        </w:tc>
        <w:tc>
          <w:tcPr>
            <w:tcW w:w="32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9" w:right="0"/>
              <w:jc w:val="left"/>
              <w:rPr>
                <w:rFonts w:ascii="宋体" w:hAnsi="宋体" w:cs="宋体" w:eastAsia="宋体" w:hint="default"/>
                <w:sz w:val="18"/>
                <w:szCs w:val="18"/>
              </w:rPr>
            </w:pPr>
            <w:r>
              <w:rPr>
                <w:rFonts w:ascii="宋体" w:hAnsi="宋体" w:cs="宋体" w:eastAsia="宋体" w:hint="default"/>
                <w:sz w:val="18"/>
                <w:szCs w:val="18"/>
              </w:rPr>
              <w:t>占应收账款期末余额合计数的比例</w:t>
            </w:r>
          </w:p>
        </w:tc>
        <w:tc>
          <w:tcPr>
            <w:tcW w:w="17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6"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3"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128,463,889.21</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5.86%</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3,853,916.68</w:t>
            </w:r>
          </w:p>
        </w:tc>
      </w:tr>
      <w:tr>
        <w:trPr>
          <w:trHeight w:val="401"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100,000,000.00</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4.56%</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50,000,000.00</w:t>
            </w:r>
          </w:p>
        </w:tc>
      </w:tr>
      <w:tr>
        <w:trPr>
          <w:trHeight w:val="403"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77,569,520.00</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3.54%</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2,327,085.60</w:t>
            </w:r>
          </w:p>
        </w:tc>
      </w:tr>
      <w:tr>
        <w:trPr>
          <w:trHeight w:val="401"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68,259,728.56</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3.12%</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2,507,609.26</w:t>
            </w:r>
          </w:p>
        </w:tc>
      </w:tr>
      <w:tr>
        <w:trPr>
          <w:trHeight w:val="403"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66,861,740.81</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3.05%</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2,005,852.22</w:t>
            </w:r>
          </w:p>
        </w:tc>
      </w:tr>
      <w:tr>
        <w:trPr>
          <w:trHeight w:val="401" w:hRule="exact"/>
        </w:trPr>
        <w:tc>
          <w:tcPr>
            <w:tcW w:w="3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441,154,878.58</w:t>
            </w:r>
          </w:p>
        </w:tc>
        <w:tc>
          <w:tcPr>
            <w:tcW w:w="3210"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5"/>
              <w:jc w:val="right"/>
              <w:rPr>
                <w:rFonts w:ascii="Times New Roman" w:hAnsi="Times New Roman" w:cs="Times New Roman" w:eastAsia="Times New Roman" w:hint="default"/>
                <w:sz w:val="18"/>
                <w:szCs w:val="18"/>
              </w:rPr>
            </w:pPr>
            <w:r>
              <w:rPr>
                <w:rFonts w:ascii="Times New Roman"/>
                <w:sz w:val="18"/>
              </w:rPr>
              <w:t>20.13%</w:t>
            </w:r>
          </w:p>
        </w:tc>
        <w:tc>
          <w:tcPr>
            <w:tcW w:w="1745"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5、预付款项" w:id="242"/>
      <w:bookmarkEnd w:id="242"/>
      <w:r>
        <w:rPr>
          <w:b w:val="0"/>
          <w:bCs w:val="0"/>
        </w:rPr>
      </w:r>
      <w:r>
        <w:rPr>
          <w:rFonts w:ascii="Times New Roman" w:hAnsi="Times New Roman" w:cs="Times New Roman" w:eastAsia="Times New Roman" w:hint="default"/>
        </w:rPr>
        <w:t>5</w:t>
      </w:r>
      <w:r>
        <w:rPr/>
        <w:t>、预付款项</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33"/>
        <w:jc w:val="left"/>
        <w:rPr>
          <w:b w:val="0"/>
          <w:bCs w:val="0"/>
        </w:rPr>
      </w:pPr>
      <w:bookmarkStart w:name="（1）预付款项按账龄列示" w:id="243"/>
      <w:bookmarkEnd w:id="243"/>
      <w:r>
        <w:rPr>
          <w:b w:val="0"/>
          <w:bCs w:val="0"/>
        </w:rPr>
      </w:r>
      <w:r>
        <w:rPr/>
        <w:t>（</w:t>
      </w:r>
      <w:r>
        <w:rPr>
          <w:rFonts w:ascii="Times New Roman" w:hAnsi="Times New Roman" w:cs="Times New Roman" w:eastAsia="Times New Roman" w:hint="default"/>
        </w:rPr>
        <w:t>1</w:t>
      </w:r>
      <w:r>
        <w:rPr/>
        <w:t>）预付款项按账龄列示</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3"/>
        <w:gridCol w:w="1915"/>
        <w:gridCol w:w="1916"/>
      </w:tblGrid>
      <w:tr>
        <w:trPr>
          <w:trHeight w:val="206" w:hRule="exact"/>
        </w:trPr>
        <w:tc>
          <w:tcPr>
            <w:tcW w:w="18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84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18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3841" w:type="dxa"/>
            <w:gridSpan w:val="2"/>
            <w:vMerge/>
            <w:tcBorders>
              <w:left w:val="single" w:sz="4" w:space="0" w:color="000000"/>
              <w:bottom w:val="single" w:sz="4" w:space="0" w:color="000000"/>
              <w:right w:val="single" w:sz="4" w:space="0" w:color="000000"/>
            </w:tcBorders>
            <w:shd w:val="clear" w:color="auto" w:fill="D2D2D2"/>
          </w:tcPr>
          <w:p>
            <w:pPr/>
          </w:p>
        </w:tc>
        <w:tc>
          <w:tcPr>
            <w:tcW w:w="3831" w:type="dxa"/>
            <w:gridSpan w:val="2"/>
            <w:vMerge/>
            <w:tcBorders>
              <w:left w:val="single" w:sz="4" w:space="0" w:color="000000"/>
              <w:bottom w:val="single" w:sz="4" w:space="0" w:color="000000"/>
              <w:right w:val="single" w:sz="4" w:space="0" w:color="000000"/>
            </w:tcBorders>
            <w:shd w:val="clear" w:color="auto" w:fill="D2D2D2"/>
          </w:tcPr>
          <w:p>
            <w:pPr/>
          </w:p>
        </w:tc>
      </w:tr>
      <w:tr>
        <w:trPr>
          <w:trHeight w:val="199" w:hRule="exact"/>
        </w:trPr>
        <w:tc>
          <w:tcPr>
            <w:tcW w:w="1889" w:type="dxa"/>
            <w:vMerge/>
            <w:tcBorders>
              <w:left w:val="single" w:sz="4" w:space="0" w:color="000000"/>
              <w:bottom w:val="nil" w:sz="6" w:space="0" w:color="auto"/>
              <w:right w:val="single" w:sz="4" w:space="0" w:color="000000"/>
            </w:tcBorders>
            <w:shd w:val="clear" w:color="auto" w:fill="D2D2D2"/>
          </w:tcPr>
          <w:p>
            <w:pPr/>
          </w:p>
        </w:tc>
        <w:tc>
          <w:tcPr>
            <w:tcW w:w="192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206" w:hRule="exact"/>
        </w:trPr>
        <w:tc>
          <w:tcPr>
            <w:tcW w:w="18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8"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109,426,982.12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94.27%</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109,116,995.17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58.61%</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2,405,454.05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2.07%</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66,285,821.17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35.61%</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2,533,259.60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2.18%</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3,493,652.27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1.88%</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1,722,330.70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1.48%</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7,261,401.04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3.90%</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pacing w:val="-1"/>
                <w:sz w:val="18"/>
              </w:rPr>
              <w:t>116,088,026.47</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1915" w:type="dxa"/>
            <w:tcBorders>
              <w:top w:val="single" w:sz="4" w:space="0" w:color="000000"/>
              <w:left w:val="single" w:sz="10" w:space="0" w:color="D2D2D2"/>
              <w:bottom w:val="single" w:sz="4" w:space="0" w:color="000000"/>
              <w:right w:val="single" w:sz="10" w:space="0" w:color="D2D2D2"/>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186,157,869.65</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按预付对象归集的期末余额前五名的预付款情况" w:id="244"/>
      <w:bookmarkEnd w:id="244"/>
      <w:r>
        <w:rPr>
          <w:b w:val="0"/>
          <w:bCs w:val="0"/>
        </w:rPr>
      </w:r>
      <w:r>
        <w:rPr/>
        <w:t>（</w:t>
      </w:r>
      <w:r>
        <w:rPr>
          <w:rFonts w:ascii="Times New Roman" w:hAnsi="Times New Roman" w:cs="Times New Roman" w:eastAsia="Times New Roman" w:hint="default"/>
        </w:rPr>
        <w:t>2</w:t>
      </w:r>
      <w:r>
        <w:rPr/>
        <w:t>）按预付对象归集的期末余额前五名的预付款情况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单位：元</w:t>
      </w:r>
    </w:p>
    <w:p>
      <w:pPr>
        <w:spacing w:line="240" w:lineRule="auto" w:before="9"/>
        <w:rPr>
          <w:rFonts w:ascii="宋体" w:hAnsi="宋体" w:cs="宋体" w:eastAsia="宋体" w:hint="default"/>
          <w:sz w:val="8"/>
          <w:szCs w:val="8"/>
        </w:rPr>
      </w:pPr>
    </w:p>
    <w:tbl>
      <w:tblPr>
        <w:tblW w:w="0" w:type="auto"/>
        <w:jc w:val="left"/>
        <w:tblInd w:w="136" w:type="dxa"/>
        <w:tblLayout w:type="fixed"/>
        <w:tblCellMar>
          <w:top w:w="0" w:type="dxa"/>
          <w:left w:w="0" w:type="dxa"/>
          <w:bottom w:w="0" w:type="dxa"/>
          <w:right w:w="0" w:type="dxa"/>
        </w:tblCellMar>
        <w:tblLook w:val="01E0"/>
      </w:tblPr>
      <w:tblGrid>
        <w:gridCol w:w="3901"/>
        <w:gridCol w:w="991"/>
        <w:gridCol w:w="1136"/>
        <w:gridCol w:w="701"/>
        <w:gridCol w:w="2931"/>
      </w:tblGrid>
      <w:tr>
        <w:trPr>
          <w:trHeight w:val="421" w:hRule="exact"/>
        </w:trPr>
        <w:tc>
          <w:tcPr>
            <w:tcW w:w="39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99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款项的性质</w:t>
            </w:r>
          </w:p>
        </w:tc>
        <w:tc>
          <w:tcPr>
            <w:tcW w:w="113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7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3"/>
              <w:ind w:left="4"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293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3"/>
              <w:ind w:left="110" w:right="0"/>
              <w:jc w:val="left"/>
              <w:rPr>
                <w:rFonts w:ascii="宋体" w:hAnsi="宋体" w:cs="宋体" w:eastAsia="宋体" w:hint="default"/>
                <w:sz w:val="18"/>
                <w:szCs w:val="18"/>
              </w:rPr>
            </w:pPr>
            <w:r>
              <w:rPr>
                <w:rFonts w:ascii="宋体" w:hAnsi="宋体" w:cs="宋体" w:eastAsia="宋体" w:hint="default"/>
                <w:sz w:val="18"/>
                <w:szCs w:val="18"/>
              </w:rPr>
              <w:t>占预付款项期末余额合计数的比例</w:t>
            </w:r>
          </w:p>
        </w:tc>
      </w:tr>
      <w:tr>
        <w:trPr>
          <w:trHeight w:val="428" w:hRule="exact"/>
        </w:trPr>
        <w:tc>
          <w:tcPr>
            <w:tcW w:w="3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0"/>
              <w:jc w:val="center"/>
              <w:rPr>
                <w:rFonts w:ascii="宋体" w:hAnsi="宋体" w:cs="宋体" w:eastAsia="宋体" w:hint="default"/>
                <w:sz w:val="18"/>
                <w:szCs w:val="18"/>
              </w:rPr>
            </w:pPr>
            <w:r>
              <w:rPr>
                <w:rFonts w:ascii="宋体" w:hAnsi="宋体" w:cs="宋体" w:eastAsia="宋体" w:hint="default"/>
                <w:sz w:val="18"/>
                <w:szCs w:val="18"/>
              </w:rPr>
              <w:t>工程款</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81" w:right="0"/>
              <w:jc w:val="center"/>
              <w:rPr>
                <w:rFonts w:ascii="Times New Roman" w:hAnsi="Times New Roman" w:cs="Times New Roman" w:eastAsia="Times New Roman" w:hint="default"/>
                <w:sz w:val="18"/>
                <w:szCs w:val="18"/>
              </w:rPr>
            </w:pPr>
            <w:r>
              <w:rPr>
                <w:rFonts w:ascii="Times New Roman"/>
                <w:sz w:val="18"/>
              </w:rPr>
              <w:t>60,000,000.00</w:t>
            </w:r>
          </w:p>
        </w:tc>
        <w:tc>
          <w:tcPr>
            <w:tcW w:w="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29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4"/>
              <w:jc w:val="right"/>
              <w:rPr>
                <w:rFonts w:ascii="Times New Roman" w:hAnsi="Times New Roman" w:cs="Times New Roman" w:eastAsia="Times New Roman" w:hint="default"/>
                <w:sz w:val="18"/>
                <w:szCs w:val="18"/>
              </w:rPr>
            </w:pPr>
            <w:r>
              <w:rPr>
                <w:rFonts w:ascii="Times New Roman"/>
                <w:sz w:val="18"/>
              </w:rPr>
              <w:t>51.68%</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36" w:type="dxa"/>
        <w:tblLayout w:type="fixed"/>
        <w:tblCellMar>
          <w:top w:w="0" w:type="dxa"/>
          <w:left w:w="0" w:type="dxa"/>
          <w:bottom w:w="0" w:type="dxa"/>
          <w:right w:w="0" w:type="dxa"/>
        </w:tblCellMar>
        <w:tblLook w:val="01E0"/>
      </w:tblPr>
      <w:tblGrid>
        <w:gridCol w:w="3901"/>
        <w:gridCol w:w="991"/>
        <w:gridCol w:w="1136"/>
        <w:gridCol w:w="701"/>
        <w:gridCol w:w="2931"/>
      </w:tblGrid>
      <w:tr>
        <w:trPr>
          <w:trHeight w:val="428" w:hRule="exact"/>
        </w:trPr>
        <w:tc>
          <w:tcPr>
            <w:tcW w:w="3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27"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2,730,980.56</w:t>
            </w:r>
          </w:p>
        </w:tc>
        <w:tc>
          <w:tcPr>
            <w:tcW w:w="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24"/>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29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z w:val="18"/>
              </w:rPr>
              <w:t>2.35%</w:t>
            </w:r>
          </w:p>
        </w:tc>
      </w:tr>
      <w:tr>
        <w:trPr>
          <w:trHeight w:val="427" w:hRule="exact"/>
        </w:trPr>
        <w:tc>
          <w:tcPr>
            <w:tcW w:w="3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27"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2,179,527.15</w:t>
            </w:r>
          </w:p>
        </w:tc>
        <w:tc>
          <w:tcPr>
            <w:tcW w:w="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24"/>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29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z w:val="18"/>
              </w:rPr>
              <w:t>1.88%</w:t>
            </w:r>
          </w:p>
        </w:tc>
      </w:tr>
      <w:tr>
        <w:trPr>
          <w:trHeight w:val="427" w:hRule="exact"/>
        </w:trPr>
        <w:tc>
          <w:tcPr>
            <w:tcW w:w="3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27"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1,924,770.06</w:t>
            </w:r>
          </w:p>
        </w:tc>
        <w:tc>
          <w:tcPr>
            <w:tcW w:w="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24"/>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29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z w:val="18"/>
              </w:rPr>
              <w:t>1.66%</w:t>
            </w:r>
          </w:p>
        </w:tc>
      </w:tr>
      <w:tr>
        <w:trPr>
          <w:trHeight w:val="432" w:hRule="exact"/>
        </w:trPr>
        <w:tc>
          <w:tcPr>
            <w:tcW w:w="3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27"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1,780,944.45</w:t>
            </w:r>
          </w:p>
        </w:tc>
        <w:tc>
          <w:tcPr>
            <w:tcW w:w="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24"/>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29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z w:val="18"/>
              </w:rPr>
              <w:t>1.53%</w:t>
            </w:r>
          </w:p>
        </w:tc>
      </w:tr>
      <w:tr>
        <w:trPr>
          <w:trHeight w:val="420" w:hRule="exact"/>
        </w:trPr>
        <w:tc>
          <w:tcPr>
            <w:tcW w:w="390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991" w:type="dxa"/>
            <w:tcBorders>
              <w:top w:val="single" w:sz="6" w:space="0" w:color="000000"/>
              <w:left w:val="single" w:sz="6" w:space="0" w:color="000000"/>
              <w:bottom w:val="single" w:sz="6" w:space="0" w:color="000000"/>
              <w:right w:val="single" w:sz="6" w:space="0" w:color="000000"/>
            </w:tcBorders>
            <w:shd w:val="clear" w:color="auto" w:fill="C0C0C0"/>
          </w:tcPr>
          <w:p>
            <w:pPr/>
          </w:p>
        </w:tc>
        <w:tc>
          <w:tcPr>
            <w:tcW w:w="113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55"/>
              <w:ind w:right="3"/>
              <w:jc w:val="right"/>
              <w:rPr>
                <w:rFonts w:ascii="Times New Roman" w:hAnsi="Times New Roman" w:cs="Times New Roman" w:eastAsia="Times New Roman" w:hint="default"/>
                <w:sz w:val="18"/>
                <w:szCs w:val="18"/>
              </w:rPr>
            </w:pPr>
            <w:r>
              <w:rPr>
                <w:rFonts w:ascii="Times New Roman"/>
                <w:spacing w:val="-1"/>
                <w:sz w:val="18"/>
              </w:rPr>
              <w:t>68,616,222.22</w:t>
            </w:r>
          </w:p>
        </w:tc>
        <w:tc>
          <w:tcPr>
            <w:tcW w:w="701" w:type="dxa"/>
            <w:tcBorders>
              <w:top w:val="single" w:sz="6" w:space="0" w:color="000000"/>
              <w:left w:val="single" w:sz="6" w:space="0" w:color="000000"/>
              <w:bottom w:val="single" w:sz="6" w:space="0" w:color="000000"/>
              <w:right w:val="single" w:sz="6" w:space="0" w:color="000000"/>
            </w:tcBorders>
            <w:shd w:val="clear" w:color="auto" w:fill="C0C0C0"/>
          </w:tcPr>
          <w:p>
            <w:pPr/>
          </w:p>
        </w:tc>
        <w:tc>
          <w:tcPr>
            <w:tcW w:w="293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55"/>
              <w:ind w:right="-4"/>
              <w:jc w:val="right"/>
              <w:rPr>
                <w:rFonts w:ascii="Times New Roman" w:hAnsi="Times New Roman" w:cs="Times New Roman" w:eastAsia="Times New Roman" w:hint="default"/>
                <w:sz w:val="18"/>
                <w:szCs w:val="18"/>
              </w:rPr>
            </w:pPr>
            <w:r>
              <w:rPr>
                <w:rFonts w:ascii="Times New Roman"/>
                <w:sz w:val="18"/>
              </w:rPr>
              <w:t>59.10%</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6、其他应收款" w:id="245"/>
      <w:bookmarkEnd w:id="245"/>
      <w:r>
        <w:rPr>
          <w:b w:val="0"/>
          <w:bCs w:val="0"/>
        </w:rPr>
      </w:r>
      <w:r>
        <w:rPr>
          <w:rFonts w:ascii="Times New Roman" w:hAnsi="Times New Roman" w:cs="Times New Roman" w:eastAsia="Times New Roman" w:hint="default"/>
        </w:rPr>
        <w:t>6</w:t>
      </w:r>
      <w:r>
        <w:rPr/>
        <w:t>、其他应收款</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4"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201" w:type="dxa"/>
            <w:tcBorders>
              <w:top w:val="single" w:sz="4" w:space="0" w:color="000000"/>
              <w:left w:val="single" w:sz="12"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613,333.33</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255,091,972.16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220,513,728.95</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255,091,972.16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221,127,062.28</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1）应收利息" w:id="246"/>
      <w:bookmarkEnd w:id="246"/>
      <w:r>
        <w:rPr>
          <w:b w:val="0"/>
          <w:bCs w:val="0"/>
        </w:rPr>
      </w:r>
      <w:r>
        <w:rPr/>
        <w:t>（</w:t>
      </w:r>
      <w:r>
        <w:rPr>
          <w:rFonts w:ascii="Times New Roman" w:hAnsi="Times New Roman" w:cs="Times New Roman" w:eastAsia="Times New Roman" w:hint="default"/>
        </w:rPr>
        <w:t>1</w:t>
      </w:r>
      <w:r>
        <w:rPr/>
        <w:t>）应收利息</w:t>
      </w:r>
      <w:r>
        <w:rPr>
          <w:b w:val="0"/>
          <w:bCs w:val="0"/>
        </w:rPr>
      </w:r>
    </w:p>
    <w:p>
      <w:pPr>
        <w:spacing w:line="240" w:lineRule="auto" w:before="7"/>
        <w:rPr>
          <w:rFonts w:ascii="宋体" w:hAnsi="宋体" w:cs="宋体" w:eastAsia="宋体" w:hint="default"/>
          <w:b/>
          <w:bCs/>
          <w:sz w:val="24"/>
          <w:szCs w:val="24"/>
        </w:rPr>
      </w:pPr>
    </w:p>
    <w:p>
      <w:pPr>
        <w:pStyle w:val="Heading4"/>
        <w:spacing w:line="240" w:lineRule="auto"/>
        <w:ind w:right="1133"/>
        <w:jc w:val="left"/>
        <w:rPr>
          <w:b w:val="0"/>
          <w:bCs w:val="0"/>
        </w:rPr>
      </w:pPr>
      <w:bookmarkStart w:name="1）应收利息分类" w:id="247"/>
      <w:bookmarkEnd w:id="247"/>
      <w:r>
        <w:rPr>
          <w:b w:val="0"/>
          <w:bCs w:val="0"/>
        </w:rPr>
      </w:r>
      <w:r>
        <w:rPr>
          <w:rFonts w:ascii="Times New Roman" w:hAnsi="Times New Roman" w:cs="Times New Roman" w:eastAsia="Times New Roman" w:hint="default"/>
        </w:rPr>
        <w:t>1</w:t>
      </w:r>
      <w:r>
        <w:rPr/>
        <w:t>）应收利息分类</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融资保理利息</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613,333.33</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613,333.33</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坏账准备计提情况" w:id="248"/>
      <w:bookmarkEnd w:id="248"/>
      <w:r>
        <w:rPr>
          <w:b w:val="0"/>
          <w:bCs w:val="0"/>
        </w:rPr>
      </w:r>
      <w:r>
        <w:rPr>
          <w:rFonts w:ascii="Times New Roman" w:hAnsi="Times New Roman" w:cs="Times New Roman" w:eastAsia="Times New Roman" w:hint="default"/>
        </w:rPr>
        <w:t>2</w:t>
      </w:r>
      <w:r>
        <w:rPr/>
        <w:t>）坏账准备计提情况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4"/>
        <w:spacing w:line="240" w:lineRule="auto"/>
        <w:ind w:right="1133"/>
        <w:jc w:val="left"/>
        <w:rPr>
          <w:b w:val="0"/>
          <w:bCs w:val="0"/>
        </w:rPr>
      </w:pPr>
      <w:bookmarkStart w:name="（2）其他应收款" w:id="249"/>
      <w:bookmarkEnd w:id="249"/>
      <w:r>
        <w:rPr>
          <w:b w:val="0"/>
          <w:bCs w:val="0"/>
        </w:rPr>
      </w:r>
      <w:r>
        <w:rPr/>
        <w:t>（</w:t>
      </w:r>
      <w:r>
        <w:rPr>
          <w:rFonts w:ascii="Times New Roman" w:hAnsi="Times New Roman" w:cs="Times New Roman" w:eastAsia="Times New Roman" w:hint="default"/>
        </w:rPr>
        <w:t>2</w:t>
      </w:r>
      <w:r>
        <w:rPr/>
        <w:t>）其他应收款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33"/>
        <w:jc w:val="left"/>
        <w:rPr>
          <w:b w:val="0"/>
          <w:bCs w:val="0"/>
        </w:rPr>
      </w:pPr>
      <w:bookmarkStart w:name="1）其他应收款按款项性质分类情况" w:id="250"/>
      <w:bookmarkEnd w:id="250"/>
      <w:r>
        <w:rPr>
          <w:b w:val="0"/>
          <w:bCs w:val="0"/>
        </w:rPr>
      </w:r>
      <w:r>
        <w:rPr>
          <w:rFonts w:ascii="Times New Roman" w:hAnsi="Times New Roman" w:cs="Times New Roman" w:eastAsia="Times New Roman" w:hint="default"/>
        </w:rPr>
        <w:t>1</w:t>
      </w:r>
      <w:r>
        <w:rPr/>
        <w:t>）其他应收款按款项性质分类情况</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51"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51"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3,496,082.50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3,529,759.45</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押金保证金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75,713,091.76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97,810,421.81</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租金</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80,897.18</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2,424,941.95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870,131.34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应收长期股权投资处置款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80,000,000.00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122,400,000.00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企业资金拆借款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110,547,000.00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9,000,000.00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2,578,106.49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2,103,682.99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274,759,222.70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235,794,892.77</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坏账准备计提情况" w:id="251"/>
      <w:bookmarkEnd w:id="251"/>
      <w:r>
        <w:rPr>
          <w:b w:val="0"/>
          <w:bCs w:val="0"/>
        </w:rPr>
      </w:r>
      <w:r>
        <w:rPr>
          <w:rFonts w:ascii="Times New Roman" w:hAnsi="Times New Roman" w:cs="Times New Roman" w:eastAsia="Times New Roman" w:hint="default"/>
        </w:rPr>
        <w:t>2</w:t>
      </w:r>
      <w:r>
        <w:rPr/>
        <w:t>）坏账准备计提情况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93"/>
        <w:gridCol w:w="1663"/>
        <w:gridCol w:w="2098"/>
        <w:gridCol w:w="2101"/>
        <w:gridCol w:w="1805"/>
      </w:tblGrid>
      <w:tr>
        <w:trPr>
          <w:trHeight w:val="402" w:hRule="exact"/>
        </w:trPr>
        <w:tc>
          <w:tcPr>
            <w:tcW w:w="1893" w:type="dxa"/>
            <w:tcBorders>
              <w:top w:val="single" w:sz="4" w:space="0" w:color="000000"/>
              <w:left w:val="single" w:sz="4" w:space="0" w:color="000000"/>
              <w:bottom w:val="nil" w:sz="6" w:space="0" w:color="auto"/>
              <w:right w:val="single" w:sz="4" w:space="0" w:color="000000"/>
            </w:tcBorders>
            <w:shd w:val="clear" w:color="auto" w:fill="D2D2D2"/>
          </w:tcPr>
          <w:p>
            <w:pPr/>
          </w:p>
        </w:tc>
        <w:tc>
          <w:tcPr>
            <w:tcW w:w="16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1" w:right="0"/>
              <w:jc w:val="left"/>
              <w:rPr>
                <w:rFonts w:ascii="宋体" w:hAnsi="宋体" w:cs="宋体" w:eastAsia="宋体" w:hint="default"/>
                <w:sz w:val="18"/>
                <w:szCs w:val="18"/>
              </w:rPr>
            </w:pPr>
            <w:r>
              <w:rPr>
                <w:rFonts w:ascii="宋体" w:hAnsi="宋体" w:cs="宋体" w:eastAsia="宋体" w:hint="default"/>
                <w:sz w:val="18"/>
                <w:szCs w:val="18"/>
              </w:rPr>
              <w:t>第一阶段</w:t>
            </w:r>
          </w:p>
        </w:tc>
        <w:tc>
          <w:tcPr>
            <w:tcW w:w="20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83" w:right="0"/>
              <w:jc w:val="left"/>
              <w:rPr>
                <w:rFonts w:ascii="宋体" w:hAnsi="宋体" w:cs="宋体" w:eastAsia="宋体" w:hint="default"/>
                <w:sz w:val="18"/>
                <w:szCs w:val="18"/>
              </w:rPr>
            </w:pPr>
            <w:r>
              <w:rPr>
                <w:rFonts w:ascii="宋体" w:hAnsi="宋体" w:cs="宋体" w:eastAsia="宋体" w:hint="default"/>
                <w:sz w:val="18"/>
                <w:szCs w:val="18"/>
              </w:rPr>
              <w:t>第二阶段</w:t>
            </w:r>
          </w:p>
        </w:tc>
        <w:tc>
          <w:tcPr>
            <w:tcW w:w="21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86" w:right="0"/>
              <w:jc w:val="left"/>
              <w:rPr>
                <w:rFonts w:ascii="宋体" w:hAnsi="宋体" w:cs="宋体" w:eastAsia="宋体" w:hint="default"/>
                <w:sz w:val="18"/>
                <w:szCs w:val="18"/>
              </w:rPr>
            </w:pPr>
            <w:r>
              <w:rPr>
                <w:rFonts w:ascii="宋体" w:hAnsi="宋体" w:cs="宋体" w:eastAsia="宋体" w:hint="default"/>
                <w:sz w:val="18"/>
                <w:szCs w:val="18"/>
              </w:rPr>
              <w:t>第三阶段</w:t>
            </w:r>
          </w:p>
        </w:tc>
        <w:tc>
          <w:tcPr>
            <w:tcW w:w="180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52" w:hRule="exact"/>
        </w:trPr>
        <w:tc>
          <w:tcPr>
            <w:tcW w:w="189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left="58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63" w:type="dxa"/>
            <w:vMerge w:val="restart"/>
            <w:tcBorders>
              <w:top w:val="single" w:sz="4" w:space="0" w:color="000000"/>
              <w:left w:val="single" w:sz="4" w:space="0" w:color="000000"/>
              <w:right w:val="single" w:sz="4" w:space="0" w:color="000000"/>
            </w:tcBorders>
            <w:shd w:val="clear" w:color="auto" w:fill="D2D2D2"/>
          </w:tcPr>
          <w:p>
            <w:pPr>
              <w:pStyle w:val="TableParagraph"/>
              <w:spacing w:line="297" w:lineRule="auto" w:before="50"/>
              <w:ind w:left="560" w:right="51" w:hanging="495"/>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个月预期信 用损失</w:t>
            </w:r>
          </w:p>
        </w:tc>
        <w:tc>
          <w:tcPr>
            <w:tcW w:w="20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整个存续期预期信用损失</w:t>
            </w:r>
          </w:p>
          <w:p>
            <w:pPr>
              <w:pStyle w:val="TableParagraph"/>
              <w:spacing w:line="240" w:lineRule="auto" w:before="74"/>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未发生信用减值</w:t>
            </w:r>
            <w:r>
              <w:rPr>
                <w:rFonts w:ascii="Times New Roman" w:hAnsi="Times New Roman" w:cs="Times New Roman" w:eastAsia="Times New Roman" w:hint="default"/>
                <w:sz w:val="18"/>
                <w:szCs w:val="18"/>
              </w:rPr>
              <w:t>)</w:t>
            </w:r>
          </w:p>
        </w:tc>
        <w:tc>
          <w:tcPr>
            <w:tcW w:w="210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4" w:right="0"/>
              <w:jc w:val="center"/>
              <w:rPr>
                <w:rFonts w:ascii="宋体" w:hAnsi="宋体" w:cs="宋体" w:eastAsia="宋体" w:hint="default"/>
                <w:sz w:val="18"/>
                <w:szCs w:val="18"/>
              </w:rPr>
            </w:pPr>
            <w:r>
              <w:rPr>
                <w:rFonts w:ascii="宋体" w:hAnsi="宋体" w:cs="宋体" w:eastAsia="宋体" w:hint="default"/>
                <w:sz w:val="18"/>
                <w:szCs w:val="18"/>
              </w:rPr>
              <w:t>整个存续期预期信用损失</w:t>
            </w:r>
          </w:p>
          <w:p>
            <w:pPr>
              <w:pStyle w:val="TableParagraph"/>
              <w:spacing w:line="240" w:lineRule="auto" w:before="74"/>
              <w:ind w:left="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已发生信用减值</w:t>
            </w:r>
            <w:r>
              <w:rPr>
                <w:rFonts w:ascii="Times New Roman" w:hAnsi="Times New Roman" w:cs="Times New Roman" w:eastAsia="Times New Roman" w:hint="default"/>
                <w:sz w:val="18"/>
                <w:szCs w:val="18"/>
              </w:rPr>
              <w:t>)</w:t>
            </w:r>
          </w:p>
        </w:tc>
        <w:tc>
          <w:tcPr>
            <w:tcW w:w="180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left="717" w:right="0"/>
              <w:jc w:val="left"/>
              <w:rPr>
                <w:rFonts w:ascii="宋体" w:hAnsi="宋体" w:cs="宋体" w:eastAsia="宋体" w:hint="default"/>
                <w:sz w:val="18"/>
                <w:szCs w:val="18"/>
              </w:rPr>
            </w:pPr>
            <w:r>
              <w:rPr>
                <w:rFonts w:ascii="宋体" w:hAnsi="宋体" w:cs="宋体" w:eastAsia="宋体" w:hint="default"/>
                <w:sz w:val="18"/>
                <w:szCs w:val="18"/>
              </w:rPr>
              <w:t>合计</w:t>
            </w:r>
          </w:p>
        </w:tc>
      </w:tr>
      <w:tr>
        <w:trPr>
          <w:trHeight w:val="362" w:hRule="exact"/>
        </w:trPr>
        <w:tc>
          <w:tcPr>
            <w:tcW w:w="1893" w:type="dxa"/>
            <w:tcBorders>
              <w:top w:val="nil" w:sz="6" w:space="0" w:color="auto"/>
              <w:left w:val="single" w:sz="4" w:space="0" w:color="000000"/>
              <w:bottom w:val="single" w:sz="4" w:space="0" w:color="000000"/>
              <w:right w:val="single" w:sz="4" w:space="0" w:color="000000"/>
            </w:tcBorders>
            <w:shd w:val="clear" w:color="auto" w:fill="D2D2D2"/>
          </w:tcPr>
          <w:p>
            <w:pPr/>
          </w:p>
        </w:tc>
        <w:tc>
          <w:tcPr>
            <w:tcW w:w="1663" w:type="dxa"/>
            <w:vMerge/>
            <w:tcBorders>
              <w:left w:val="single" w:sz="4" w:space="0" w:color="000000"/>
              <w:bottom w:val="single" w:sz="4" w:space="0" w:color="000000"/>
              <w:right w:val="single" w:sz="4" w:space="0" w:color="000000"/>
            </w:tcBorders>
            <w:shd w:val="clear" w:color="auto" w:fill="D2D2D2"/>
          </w:tcPr>
          <w:p>
            <w:pPr/>
          </w:p>
        </w:tc>
        <w:tc>
          <w:tcPr>
            <w:tcW w:w="2098" w:type="dxa"/>
            <w:vMerge/>
            <w:tcBorders>
              <w:left w:val="single" w:sz="4" w:space="0" w:color="000000"/>
              <w:bottom w:val="single" w:sz="4" w:space="0" w:color="000000"/>
              <w:right w:val="single" w:sz="4" w:space="0" w:color="000000"/>
            </w:tcBorders>
            <w:shd w:val="clear" w:color="auto" w:fill="D2D2D2"/>
          </w:tcPr>
          <w:p>
            <w:pPr/>
          </w:p>
        </w:tc>
        <w:tc>
          <w:tcPr>
            <w:tcW w:w="2101" w:type="dxa"/>
            <w:vMerge/>
            <w:tcBorders>
              <w:left w:val="single" w:sz="4" w:space="0" w:color="000000"/>
              <w:bottom w:val="single" w:sz="4" w:space="0" w:color="000000"/>
              <w:right w:val="single" w:sz="4" w:space="0" w:color="000000"/>
            </w:tcBorders>
            <w:shd w:val="clear" w:color="auto" w:fill="D2D2D2"/>
          </w:tcPr>
          <w:p>
            <w:pPr/>
          </w:p>
        </w:tc>
        <w:tc>
          <w:tcPr>
            <w:tcW w:w="180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3" w:hRule="exact"/>
        </w:trPr>
        <w:tc>
          <w:tcPr>
            <w:tcW w:w="1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w:t>
            </w:r>
          </w:p>
        </w:tc>
        <w:tc>
          <w:tcPr>
            <w:tcW w:w="166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15,057,163.82</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224,000.00</w:t>
            </w:r>
          </w:p>
        </w:tc>
        <w:tc>
          <w:tcPr>
            <w:tcW w:w="2101"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15,281,163.82</w:t>
            </w:r>
          </w:p>
        </w:tc>
      </w:tr>
      <w:tr>
        <w:trPr>
          <w:trHeight w:val="162" w:hRule="exact"/>
        </w:trPr>
        <w:tc>
          <w:tcPr>
            <w:tcW w:w="1893" w:type="dxa"/>
            <w:vMerge w:val="restart"/>
            <w:tcBorders>
              <w:top w:val="single" w:sz="4" w:space="0" w:color="000000"/>
              <w:left w:val="single" w:sz="4" w:space="0" w:color="000000"/>
              <w:right w:val="single" w:sz="4" w:space="0" w:color="000000"/>
            </w:tcBorders>
            <w:shd w:val="clear" w:color="auto" w:fill="D2D2D2"/>
          </w:tcPr>
          <w:p>
            <w:pPr>
              <w:pStyle w:val="TableParagraph"/>
              <w:spacing w:line="297" w:lineRule="auto" w:before="50"/>
              <w:ind w:left="12"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日余额在 本期</w:t>
            </w:r>
          </w:p>
        </w:tc>
        <w:tc>
          <w:tcPr>
            <w:tcW w:w="1663" w:type="dxa"/>
            <w:tcBorders>
              <w:top w:val="single" w:sz="4" w:space="0" w:color="000000"/>
              <w:left w:val="single" w:sz="4" w:space="0" w:color="000000"/>
              <w:bottom w:val="nil" w:sz="6" w:space="0" w:color="auto"/>
              <w:right w:val="single" w:sz="4" w:space="0" w:color="000000"/>
            </w:tcBorders>
            <w:shd w:val="clear" w:color="auto" w:fill="D2D2D2"/>
          </w:tcPr>
          <w:p>
            <w:pPr/>
          </w:p>
        </w:tc>
        <w:tc>
          <w:tcPr>
            <w:tcW w:w="2098" w:type="dxa"/>
            <w:tcBorders>
              <w:top w:val="single" w:sz="4" w:space="0" w:color="000000"/>
              <w:left w:val="single" w:sz="4" w:space="0" w:color="000000"/>
              <w:bottom w:val="nil" w:sz="6" w:space="0" w:color="auto"/>
              <w:right w:val="single" w:sz="4" w:space="0" w:color="000000"/>
            </w:tcBorders>
            <w:shd w:val="clear" w:color="auto" w:fill="D2D2D2"/>
          </w:tcPr>
          <w:p>
            <w:pPr/>
          </w:p>
        </w:tc>
        <w:tc>
          <w:tcPr>
            <w:tcW w:w="2101" w:type="dxa"/>
            <w:tcBorders>
              <w:top w:val="single" w:sz="4" w:space="0" w:color="000000"/>
              <w:left w:val="single" w:sz="4" w:space="0" w:color="000000"/>
              <w:bottom w:val="nil" w:sz="6" w:space="0" w:color="auto"/>
              <w:right w:val="single" w:sz="4" w:space="0" w:color="000000"/>
            </w:tcBorders>
            <w:shd w:val="clear" w:color="auto" w:fill="D2D2D2"/>
          </w:tcPr>
          <w:p>
            <w:pPr/>
          </w:p>
        </w:tc>
        <w:tc>
          <w:tcPr>
            <w:tcW w:w="180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1" w:hRule="exact"/>
        </w:trPr>
        <w:tc>
          <w:tcPr>
            <w:tcW w:w="1893" w:type="dxa"/>
            <w:vMerge/>
            <w:tcBorders>
              <w:left w:val="single" w:sz="4" w:space="0" w:color="000000"/>
              <w:right w:val="single" w:sz="4" w:space="0" w:color="000000"/>
            </w:tcBorders>
            <w:shd w:val="clear" w:color="auto" w:fill="D2D2D2"/>
          </w:tcPr>
          <w:p>
            <w:pPr/>
          </w:p>
        </w:tc>
        <w:tc>
          <w:tcPr>
            <w:tcW w:w="166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209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210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80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71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161" w:hRule="exact"/>
        </w:trPr>
        <w:tc>
          <w:tcPr>
            <w:tcW w:w="1893" w:type="dxa"/>
            <w:vMerge/>
            <w:tcBorders>
              <w:left w:val="single" w:sz="4" w:space="0" w:color="000000"/>
              <w:bottom w:val="single" w:sz="4" w:space="0" w:color="000000"/>
              <w:right w:val="single" w:sz="4" w:space="0" w:color="000000"/>
            </w:tcBorders>
            <w:shd w:val="clear" w:color="auto" w:fill="D2D2D2"/>
          </w:tcPr>
          <w:p>
            <w:pPr/>
          </w:p>
        </w:tc>
        <w:tc>
          <w:tcPr>
            <w:tcW w:w="1663" w:type="dxa"/>
            <w:tcBorders>
              <w:top w:val="nil" w:sz="6" w:space="0" w:color="auto"/>
              <w:left w:val="single" w:sz="4" w:space="0" w:color="000000"/>
              <w:bottom w:val="single" w:sz="4" w:space="0" w:color="000000"/>
              <w:right w:val="single" w:sz="4" w:space="0" w:color="000000"/>
            </w:tcBorders>
            <w:shd w:val="clear" w:color="auto" w:fill="D2D2D2"/>
          </w:tcPr>
          <w:p>
            <w:pPr/>
          </w:p>
        </w:tc>
        <w:tc>
          <w:tcPr>
            <w:tcW w:w="2098" w:type="dxa"/>
            <w:tcBorders>
              <w:top w:val="nil" w:sz="6" w:space="0" w:color="auto"/>
              <w:left w:val="single" w:sz="4" w:space="0" w:color="000000"/>
              <w:bottom w:val="single" w:sz="4" w:space="0" w:color="000000"/>
              <w:right w:val="single" w:sz="4" w:space="0" w:color="000000"/>
            </w:tcBorders>
            <w:shd w:val="clear" w:color="auto" w:fill="D2D2D2"/>
          </w:tcPr>
          <w:p>
            <w:pPr/>
          </w:p>
        </w:tc>
        <w:tc>
          <w:tcPr>
            <w:tcW w:w="21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80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1" w:hRule="exact"/>
        </w:trPr>
        <w:tc>
          <w:tcPr>
            <w:tcW w:w="1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转入第三阶段</w:t>
            </w:r>
          </w:p>
        </w:tc>
        <w:tc>
          <w:tcPr>
            <w:tcW w:w="166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-202,509.00</w:t>
            </w:r>
          </w:p>
        </w:tc>
        <w:tc>
          <w:tcPr>
            <w:tcW w:w="2098" w:type="dxa"/>
            <w:tcBorders>
              <w:top w:val="single" w:sz="4" w:space="0" w:color="000000"/>
              <w:left w:val="single" w:sz="4" w:space="0" w:color="000000"/>
              <w:bottom w:val="single" w:sz="4" w:space="0" w:color="000000"/>
              <w:right w:val="single" w:sz="4" w:space="0" w:color="000000"/>
            </w:tcBorders>
          </w:tcPr>
          <w:p>
            <w:pP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202,509.00</w:t>
            </w:r>
          </w:p>
        </w:tc>
        <w:tc>
          <w:tcPr>
            <w:tcW w:w="180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166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4,459,095.72</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158,500.00</w:t>
            </w:r>
          </w:p>
        </w:tc>
        <w:tc>
          <w:tcPr>
            <w:tcW w:w="2101"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4,617,595.72</w:t>
            </w:r>
          </w:p>
        </w:tc>
      </w:tr>
      <w:tr>
        <w:trPr>
          <w:trHeight w:val="401" w:hRule="exact"/>
        </w:trPr>
        <w:tc>
          <w:tcPr>
            <w:tcW w:w="1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本期转回</w:t>
            </w:r>
          </w:p>
        </w:tc>
        <w:tc>
          <w:tcPr>
            <w:tcW w:w="1663" w:type="dxa"/>
            <w:tcBorders>
              <w:top w:val="single" w:sz="4" w:space="0" w:color="000000"/>
              <w:left w:val="single" w:sz="10" w:space="0" w:color="D2D2D2"/>
              <w:bottom w:val="single" w:sz="4" w:space="0" w:color="000000"/>
              <w:right w:val="single" w:sz="4" w:space="0" w:color="000000"/>
            </w:tcBorders>
          </w:tcPr>
          <w:p>
            <w:pP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29,000.00</w:t>
            </w:r>
          </w:p>
        </w:tc>
        <w:tc>
          <w:tcPr>
            <w:tcW w:w="2101"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29,000.00</w:t>
            </w:r>
          </w:p>
        </w:tc>
      </w:tr>
      <w:tr>
        <w:trPr>
          <w:trHeight w:val="403" w:hRule="exact"/>
        </w:trPr>
        <w:tc>
          <w:tcPr>
            <w:tcW w:w="1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本期核销</w:t>
            </w:r>
          </w:p>
        </w:tc>
        <w:tc>
          <w:tcPr>
            <w:tcW w:w="1663" w:type="dxa"/>
            <w:tcBorders>
              <w:top w:val="single" w:sz="4" w:space="0" w:color="000000"/>
              <w:left w:val="single" w:sz="10" w:space="0" w:color="D2D2D2"/>
              <w:bottom w:val="single" w:sz="4" w:space="0" w:color="000000"/>
              <w:right w:val="single" w:sz="4" w:space="0" w:color="000000"/>
            </w:tcBorders>
          </w:tcPr>
          <w:p>
            <w:pPr/>
          </w:p>
        </w:tc>
        <w:tc>
          <w:tcPr>
            <w:tcW w:w="2098" w:type="dxa"/>
            <w:tcBorders>
              <w:top w:val="single" w:sz="4" w:space="0" w:color="000000"/>
              <w:left w:val="single" w:sz="4" w:space="0" w:color="000000"/>
              <w:bottom w:val="single" w:sz="4" w:space="0" w:color="000000"/>
              <w:right w:val="single" w:sz="4" w:space="0" w:color="000000"/>
            </w:tcBorders>
          </w:tcPr>
          <w:p>
            <w:pP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202,509.00</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202,509.00</w:t>
            </w:r>
          </w:p>
        </w:tc>
      </w:tr>
      <w:tr>
        <w:trPr>
          <w:trHeight w:val="403" w:hRule="exact"/>
        </w:trPr>
        <w:tc>
          <w:tcPr>
            <w:tcW w:w="1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日余额</w:t>
            </w:r>
          </w:p>
        </w:tc>
        <w:tc>
          <w:tcPr>
            <w:tcW w:w="166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19,313,750.54</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353,500.00</w:t>
            </w:r>
          </w:p>
        </w:tc>
        <w:tc>
          <w:tcPr>
            <w:tcW w:w="2101"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19,667,250.54</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pStyle w:val="BodyText"/>
        <w:spacing w:line="240" w:lineRule="auto" w:before="49"/>
        <w:ind w:right="-19"/>
        <w:jc w:val="left"/>
      </w:pPr>
      <w:r>
        <w:rPr/>
        <w:t>损失准备本期变动金额重大的账面余额变动情况</w:t>
      </w:r>
    </w:p>
    <w:p>
      <w:pPr>
        <w:pStyle w:val="BodyText"/>
        <w:spacing w:line="340" w:lineRule="auto" w:before="115"/>
        <w:ind w:right="16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按账龄披露</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60"/>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3934" w:space="4895"/>
            <w:col w:w="2101"/>
          </w:cols>
        </w:sectPr>
      </w:pP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761"/>
        <w:gridCol w:w="4797"/>
      </w:tblGrid>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126,827,059.52</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122,408,750.27</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7,991,138.05</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17,532,274.86</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6,965,376.53</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6,988,256.69</w:t>
            </w:r>
          </w:p>
        </w:tc>
      </w:tr>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3,578,641.64</w:t>
            </w:r>
          </w:p>
        </w:tc>
      </w:tr>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274,759,222.70</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3）本期计提、收回或转回的坏账准备情况" w:id="252"/>
      <w:bookmarkEnd w:id="252"/>
      <w:r>
        <w:rPr>
          <w:b w:val="0"/>
          <w:bCs w:val="0"/>
        </w:rPr>
      </w:r>
      <w:r>
        <w:rPr>
          <w:rFonts w:ascii="Times New Roman" w:hAnsi="Times New Roman" w:cs="Times New Roman" w:eastAsia="Times New Roman" w:hint="default"/>
        </w:rPr>
        <w:t>3</w:t>
      </w:r>
      <w:r>
        <w:rPr/>
        <w:t>）本期计提、收回或转回的坏账准备情况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right="1133"/>
        <w:jc w:val="left"/>
      </w:pPr>
      <w:r>
        <w:rPr/>
        <w:t>本期计提坏账准备情况：</w:t>
      </w:r>
    </w:p>
    <w:p>
      <w:pPr>
        <w:pStyle w:val="BodyText"/>
        <w:spacing w:line="240" w:lineRule="auto" w:before="117"/>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415"/>
        <w:gridCol w:w="1097"/>
        <w:gridCol w:w="5327"/>
        <w:gridCol w:w="1730"/>
      </w:tblGrid>
      <w:tr>
        <w:trPr>
          <w:trHeight w:val="402"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0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8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7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99"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after="0" w:line="240" w:lineRule="auto"/>
        <w:jc w:val="left"/>
        <w:rPr>
          <w:rFonts w:ascii="宋体" w:hAnsi="宋体" w:cs="宋体" w:eastAsia="宋体"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416"/>
        <w:gridCol w:w="1097"/>
        <w:gridCol w:w="1196"/>
        <w:gridCol w:w="1303"/>
        <w:gridCol w:w="1092"/>
        <w:gridCol w:w="1736"/>
        <w:gridCol w:w="1730"/>
      </w:tblGrid>
      <w:tr>
        <w:trPr>
          <w:trHeight w:val="401" w:hRule="exact"/>
        </w:trPr>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6"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0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62" w:right="0"/>
              <w:jc w:val="left"/>
              <w:rPr>
                <w:rFonts w:ascii="宋体" w:hAnsi="宋体" w:cs="宋体" w:eastAsia="宋体" w:hint="default"/>
                <w:sz w:val="18"/>
                <w:szCs w:val="18"/>
              </w:rPr>
            </w:pPr>
            <w:r>
              <w:rPr>
                <w:rFonts w:ascii="宋体" w:hAnsi="宋体" w:cs="宋体" w:eastAsia="宋体" w:hint="default"/>
                <w:sz w:val="18"/>
                <w:szCs w:val="18"/>
              </w:rPr>
              <w:t>核销</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73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单项计提</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224,000.00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158,500.00</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29,000.00</w:t>
            </w:r>
          </w:p>
        </w:tc>
        <w:tc>
          <w:tcPr>
            <w:tcW w:w="1092" w:type="dxa"/>
            <w:tcBorders>
              <w:top w:val="single" w:sz="4" w:space="0" w:color="000000"/>
              <w:left w:val="single" w:sz="4" w:space="0" w:color="000000"/>
              <w:bottom w:val="single" w:sz="4" w:space="0" w:color="000000"/>
              <w:right w:val="single" w:sz="4" w:space="0" w:color="000000"/>
            </w:tcBorders>
          </w:tcPr>
          <w:p>
            <w:pPr/>
          </w:p>
        </w:tc>
        <w:tc>
          <w:tcPr>
            <w:tcW w:w="1736"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353,500.00</w:t>
            </w:r>
          </w:p>
        </w:tc>
      </w:tr>
      <w:tr>
        <w:trPr>
          <w:trHeight w:val="713" w:hRule="exact"/>
        </w:trPr>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0"/>
              <w:jc w:val="left"/>
              <w:rPr>
                <w:rFonts w:ascii="宋体" w:hAnsi="宋体" w:cs="宋体" w:eastAsia="宋体" w:hint="default"/>
                <w:sz w:val="18"/>
                <w:szCs w:val="18"/>
              </w:rPr>
            </w:pPr>
            <w:r>
              <w:rPr>
                <w:rFonts w:ascii="宋体" w:hAnsi="宋体" w:cs="宋体" w:eastAsia="宋体" w:hint="default"/>
                <w:sz w:val="18"/>
                <w:szCs w:val="18"/>
              </w:rPr>
              <w:t>信用风险特征组 合计提</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15,057,163.82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4,459,127.35</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31.63</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202,509.00</w:t>
            </w:r>
          </w:p>
        </w:tc>
        <w:tc>
          <w:tcPr>
            <w:tcW w:w="1736"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19,313,750.54</w:t>
            </w:r>
          </w:p>
        </w:tc>
      </w:tr>
      <w:tr>
        <w:trPr>
          <w:trHeight w:val="403" w:hRule="exact"/>
        </w:trPr>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15,281,163.82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4,617,627.35</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29,031.63</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202,509.00</w:t>
            </w:r>
          </w:p>
        </w:tc>
        <w:tc>
          <w:tcPr>
            <w:tcW w:w="1736"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19,667,250.54</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4）本期实际核销的其他应收款情况" w:id="253"/>
      <w:bookmarkEnd w:id="253"/>
      <w:r>
        <w:rPr>
          <w:b w:val="0"/>
          <w:bCs w:val="0"/>
        </w:rPr>
      </w:r>
      <w:r>
        <w:rPr>
          <w:rFonts w:ascii="Times New Roman" w:hAnsi="Times New Roman" w:cs="Times New Roman" w:eastAsia="Times New Roman" w:hint="default"/>
        </w:rPr>
        <w:t>4</w:t>
      </w:r>
      <w:r>
        <w:rPr/>
        <w:t>）本期实际核销的其他应收款情况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782"/>
        <w:gridCol w:w="4789"/>
      </w:tblGrid>
      <w:tr>
        <w:trPr>
          <w:trHeight w:val="402" w:hRule="exact"/>
        </w:trPr>
        <w:tc>
          <w:tcPr>
            <w:tcW w:w="4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4"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实际核销的其他应收款</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202,509.00</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5）按欠款方归集的期末余额前五名的其他应收款情况" w:id="254"/>
      <w:bookmarkEnd w:id="254"/>
      <w:r>
        <w:rPr>
          <w:b w:val="0"/>
          <w:bCs w:val="0"/>
        </w:rPr>
      </w: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94"/>
        <w:gridCol w:w="1594"/>
        <w:gridCol w:w="1596"/>
        <w:gridCol w:w="1594"/>
        <w:gridCol w:w="1594"/>
        <w:gridCol w:w="1596"/>
      </w:tblGrid>
      <w:tr>
        <w:trPr>
          <w:trHeight w:val="71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72" w:right="70"/>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72"/>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短期拆借款</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36.40%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3,000,000.00</w:t>
            </w:r>
          </w:p>
        </w:tc>
      </w:tr>
      <w:tr>
        <w:trPr>
          <w:trHeight w:val="401"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股权转让款</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80,000,000.00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29.12%</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4,000,000.00</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19,392,380.00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7.06%</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969,619.00</w:t>
            </w:r>
          </w:p>
        </w:tc>
      </w:tr>
      <w:tr>
        <w:trPr>
          <w:trHeight w:val="401"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拆借款及利息</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10,547,000.00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/1-2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3.84%</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496,410.00</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质保金</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5,823,010.58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2.12%</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2,911,505.29</w:t>
            </w:r>
          </w:p>
        </w:tc>
      </w:tr>
      <w:tr>
        <w:trPr>
          <w:trHeight w:val="401"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96" w:type="dxa"/>
            <w:tcBorders>
              <w:top w:val="single" w:sz="4" w:space="0" w:color="000000"/>
              <w:left w:val="single" w:sz="10" w:space="0" w:color="D2D2D2"/>
              <w:bottom w:val="single" w:sz="4" w:space="0" w:color="000000"/>
              <w:right w:val="single" w:sz="10" w:space="0" w:color="D2D2D2"/>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215,762,390.58</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78.54%</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11,377,534.29</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7、存货" w:id="255"/>
      <w:bookmarkEnd w:id="255"/>
      <w:r>
        <w:rPr>
          <w:b w:val="0"/>
          <w:bCs w:val="0"/>
        </w:rPr>
      </w:r>
      <w:r>
        <w:rPr>
          <w:rFonts w:ascii="Times New Roman" w:hAnsi="Times New Roman" w:cs="Times New Roman" w:eastAsia="Times New Roman" w:hint="default"/>
        </w:rPr>
        <w:t>7</w:t>
      </w:r>
      <w:r>
        <w:rPr/>
        <w:t>、存货</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t>是否已执行新收入准则</w:t>
      </w:r>
    </w:p>
    <w:p>
      <w:pPr>
        <w:pStyle w:val="BodyText"/>
        <w:spacing w:line="240" w:lineRule="auto" w:before="117"/>
        <w:ind w:right="1133"/>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13"/>
        <w:rPr>
          <w:rFonts w:ascii="宋体" w:hAnsi="宋体" w:cs="宋体" w:eastAsia="宋体" w:hint="default"/>
          <w:sz w:val="25"/>
          <w:szCs w:val="25"/>
        </w:rPr>
      </w:pPr>
    </w:p>
    <w:p>
      <w:pPr>
        <w:pStyle w:val="Heading4"/>
        <w:spacing w:line="240" w:lineRule="auto"/>
        <w:ind w:right="1133"/>
        <w:jc w:val="left"/>
        <w:rPr>
          <w:b w:val="0"/>
          <w:bCs w:val="0"/>
        </w:rPr>
      </w:pPr>
      <w:bookmarkStart w:name="（1）存货分类" w:id="256"/>
      <w:bookmarkEnd w:id="256"/>
      <w:r>
        <w:rPr>
          <w:b w:val="0"/>
          <w:bCs w:val="0"/>
        </w:rPr>
      </w:r>
      <w:r>
        <w:rPr/>
        <w:t>（</w:t>
      </w:r>
      <w:r>
        <w:rPr>
          <w:rFonts w:ascii="Times New Roman" w:hAnsi="Times New Roman" w:cs="Times New Roman" w:eastAsia="Times New Roman" w:hint="default"/>
        </w:rPr>
        <w:t>1</w:t>
      </w:r>
      <w:r>
        <w:rPr/>
        <w:t>）存货分类</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538"/>
        <w:gridCol w:w="1286"/>
        <w:gridCol w:w="1270"/>
        <w:gridCol w:w="1366"/>
        <w:gridCol w:w="1368"/>
        <w:gridCol w:w="1366"/>
        <w:gridCol w:w="1368"/>
      </w:tblGrid>
      <w:tr>
        <w:trPr>
          <w:trHeight w:val="206" w:hRule="exact"/>
        </w:trPr>
        <w:tc>
          <w:tcPr>
            <w:tcW w:w="1538" w:type="dxa"/>
            <w:tcBorders>
              <w:top w:val="single" w:sz="4" w:space="0" w:color="000000"/>
              <w:left w:val="single" w:sz="4" w:space="0" w:color="000000"/>
              <w:bottom w:val="nil" w:sz="6" w:space="0" w:color="auto"/>
              <w:right w:val="single" w:sz="4" w:space="0" w:color="000000"/>
            </w:tcBorders>
            <w:shd w:val="clear" w:color="auto" w:fill="D2D2D2"/>
          </w:tcPr>
          <w:p>
            <w:pPr/>
          </w:p>
        </w:tc>
        <w:tc>
          <w:tcPr>
            <w:tcW w:w="3921"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0" w:hRule="exact"/>
        </w:trPr>
        <w:tc>
          <w:tcPr>
            <w:tcW w:w="153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921" w:type="dxa"/>
            <w:gridSpan w:val="3"/>
            <w:vMerge/>
            <w:tcBorders>
              <w:left w:val="single" w:sz="4" w:space="0" w:color="000000"/>
              <w:bottom w:val="single" w:sz="4" w:space="0" w:color="000000"/>
              <w:right w:val="single" w:sz="4" w:space="0" w:color="000000"/>
            </w:tcBorders>
            <w:shd w:val="clear" w:color="auto" w:fill="D2D2D2"/>
          </w:tcPr>
          <w:p>
            <w:pPr/>
          </w:p>
        </w:tc>
        <w:tc>
          <w:tcPr>
            <w:tcW w:w="4102" w:type="dxa"/>
            <w:gridSpan w:val="3"/>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538" w:type="dxa"/>
            <w:vMerge/>
            <w:tcBorders>
              <w:left w:val="single" w:sz="4" w:space="0" w:color="000000"/>
              <w:bottom w:val="nil" w:sz="6" w:space="0" w:color="auto"/>
              <w:right w:val="single" w:sz="4" w:space="0" w:color="000000"/>
            </w:tcBorders>
            <w:shd w:val="clear" w:color="auto" w:fill="D2D2D2"/>
          </w:tcPr>
          <w:p>
            <w:pPr/>
          </w:p>
        </w:tc>
        <w:tc>
          <w:tcPr>
            <w:tcW w:w="128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8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6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6" w:hRule="exact"/>
        </w:trPr>
        <w:tc>
          <w:tcPr>
            <w:tcW w:w="1538" w:type="dxa"/>
            <w:tcBorders>
              <w:top w:val="nil" w:sz="6" w:space="0" w:color="auto"/>
              <w:left w:val="single" w:sz="4" w:space="0" w:color="000000"/>
              <w:bottom w:val="single" w:sz="4" w:space="0" w:color="000000"/>
              <w:right w:val="single" w:sz="4" w:space="0" w:color="000000"/>
            </w:tcBorders>
            <w:shd w:val="clear" w:color="auto" w:fill="D2D2D2"/>
          </w:tcPr>
          <w:p>
            <w:pPr/>
          </w:p>
        </w:tc>
        <w:tc>
          <w:tcPr>
            <w:tcW w:w="1286" w:type="dxa"/>
            <w:vMerge/>
            <w:tcBorders>
              <w:left w:val="single" w:sz="4" w:space="0" w:color="000000"/>
              <w:bottom w:val="single" w:sz="4" w:space="0" w:color="000000"/>
              <w:right w:val="single" w:sz="4" w:space="0" w:color="000000"/>
            </w:tcBorders>
            <w:shd w:val="clear" w:color="auto" w:fill="D2D2D2"/>
          </w:tcPr>
          <w:p>
            <w:pPr/>
          </w:p>
        </w:tc>
        <w:tc>
          <w:tcPr>
            <w:tcW w:w="1270"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5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28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13,780,106.71</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604,836.30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13,175,270.41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19,027,674.10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19,027,674.10</w:t>
            </w:r>
          </w:p>
        </w:tc>
      </w:tr>
      <w:tr>
        <w:trPr>
          <w:trHeight w:val="403" w:hRule="exact"/>
        </w:trPr>
        <w:tc>
          <w:tcPr>
            <w:tcW w:w="15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28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3,829,244.77</w:t>
            </w:r>
          </w:p>
        </w:tc>
        <w:tc>
          <w:tcPr>
            <w:tcW w:w="1270"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3,829,244.77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3,312,097.63</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3,312,097.63</w:t>
            </w:r>
          </w:p>
        </w:tc>
      </w:tr>
      <w:tr>
        <w:trPr>
          <w:trHeight w:val="401" w:hRule="exact"/>
        </w:trPr>
        <w:tc>
          <w:tcPr>
            <w:tcW w:w="15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28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8,752,283.85</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30,347.69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8,721,936.16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7,323,314.07</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7,323,314.07</w:t>
            </w:r>
          </w:p>
        </w:tc>
      </w:tr>
      <w:tr>
        <w:trPr>
          <w:trHeight w:val="403" w:hRule="exact"/>
        </w:trPr>
        <w:tc>
          <w:tcPr>
            <w:tcW w:w="15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0"/>
              <w:ind w:left="12" w:right="0"/>
              <w:jc w:val="left"/>
              <w:rPr>
                <w:rFonts w:ascii="宋体" w:hAnsi="宋体" w:cs="宋体" w:eastAsia="宋体" w:hint="default"/>
                <w:sz w:val="18"/>
                <w:szCs w:val="18"/>
              </w:rPr>
            </w:pPr>
            <w:r>
              <w:rPr>
                <w:rFonts w:ascii="宋体" w:hAnsi="宋体" w:cs="宋体" w:eastAsia="宋体" w:hint="default"/>
                <w:sz w:val="18"/>
                <w:szCs w:val="18"/>
              </w:rPr>
              <w:t>建造合同形成的已</w:t>
            </w:r>
          </w:p>
        </w:tc>
        <w:tc>
          <w:tcPr>
            <w:tcW w:w="128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475,694,021.71</w:t>
            </w:r>
          </w:p>
        </w:tc>
        <w:tc>
          <w:tcPr>
            <w:tcW w:w="1270"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475,694,021.71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292,649,116.76</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292,649,116.76</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559"/>
        <w:gridCol w:w="1275"/>
        <w:gridCol w:w="1270"/>
        <w:gridCol w:w="1366"/>
        <w:gridCol w:w="1368"/>
        <w:gridCol w:w="1366"/>
        <w:gridCol w:w="1368"/>
      </w:tblGrid>
      <w:tr>
        <w:trPr>
          <w:trHeight w:val="363"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完工未结算资产</w:t>
            </w:r>
          </w:p>
        </w:tc>
        <w:tc>
          <w:tcPr>
            <w:tcW w:w="1275"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6,577,877.06</w:t>
            </w:r>
          </w:p>
        </w:tc>
        <w:tc>
          <w:tcPr>
            <w:tcW w:w="1270"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6,577,877.06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9,742,157.06</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9,742,157.06</w:t>
            </w:r>
          </w:p>
        </w:tc>
      </w:tr>
      <w:tr>
        <w:trPr>
          <w:trHeight w:val="403"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508,633,534.10</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24" w:right="0"/>
              <w:jc w:val="left"/>
              <w:rPr>
                <w:rFonts w:ascii="Times New Roman" w:hAnsi="Times New Roman" w:cs="Times New Roman" w:eastAsia="Times New Roman" w:hint="default"/>
                <w:sz w:val="18"/>
                <w:szCs w:val="18"/>
              </w:rPr>
            </w:pPr>
            <w:r>
              <w:rPr>
                <w:rFonts w:ascii="Times New Roman"/>
                <w:sz w:val="18"/>
              </w:rPr>
              <w:t>635,183.99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507,998,350.11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332,054,359.62</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332,054,359.62</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存货跌价准备" w:id="257"/>
      <w:bookmarkEnd w:id="257"/>
      <w:r>
        <w:rPr>
          <w:b w:val="0"/>
          <w:bCs w:val="0"/>
        </w:rPr>
      </w:r>
      <w:r>
        <w:rPr/>
        <w:t>（</w:t>
      </w:r>
      <w:r>
        <w:rPr>
          <w:rFonts w:ascii="Times New Roman" w:hAnsi="Times New Roman" w:cs="Times New Roman" w:eastAsia="Times New Roman" w:hint="default"/>
        </w:rPr>
        <w:t>2</w:t>
      </w:r>
      <w:r>
        <w:rPr/>
        <w:t>）存货跌价准备</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9"/>
        <w:gridCol w:w="1368"/>
        <w:gridCol w:w="1366"/>
        <w:gridCol w:w="1368"/>
        <w:gridCol w:w="1366"/>
        <w:gridCol w:w="1368"/>
      </w:tblGrid>
      <w:tr>
        <w:trPr>
          <w:trHeight w:val="206" w:hRule="exact"/>
        </w:trPr>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9" w:type="dxa"/>
            <w:tcBorders>
              <w:top w:val="single" w:sz="4" w:space="0" w:color="000000"/>
              <w:left w:val="single" w:sz="4" w:space="0" w:color="000000"/>
              <w:bottom w:val="nil" w:sz="6" w:space="0" w:color="auto"/>
              <w:right w:val="single" w:sz="4" w:space="0" w:color="000000"/>
            </w:tcBorders>
            <w:shd w:val="clear" w:color="auto" w:fill="D2D2D2"/>
          </w:tcPr>
          <w:p>
            <w:pPr/>
          </w:p>
        </w:tc>
        <w:tc>
          <w:tcPr>
            <w:tcW w:w="273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823"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3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823"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2" w:hRule="exact"/>
        </w:trPr>
        <w:tc>
          <w:tcPr>
            <w:tcW w:w="13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vMerge/>
            <w:tcBorders>
              <w:left w:val="single" w:sz="4" w:space="0" w:color="000000"/>
              <w:bottom w:val="single" w:sz="4" w:space="0" w:color="000000"/>
              <w:right w:val="single" w:sz="4" w:space="0" w:color="000000"/>
            </w:tcBorders>
            <w:shd w:val="clear" w:color="auto" w:fill="D2D2D2"/>
          </w:tcPr>
          <w:p>
            <w:pPr/>
          </w:p>
        </w:tc>
        <w:tc>
          <w:tcPr>
            <w:tcW w:w="2734" w:type="dxa"/>
            <w:gridSpan w:val="2"/>
            <w:vMerge/>
            <w:tcBorders>
              <w:left w:val="single" w:sz="4" w:space="0" w:color="000000"/>
              <w:bottom w:val="single" w:sz="4" w:space="0" w:color="000000"/>
              <w:right w:val="single" w:sz="4" w:space="0" w:color="000000"/>
            </w:tcBorders>
            <w:shd w:val="clear" w:color="auto" w:fill="D2D2D2"/>
          </w:tcPr>
          <w:p>
            <w:pPr/>
          </w:p>
        </w:tc>
        <w:tc>
          <w:tcPr>
            <w:tcW w:w="13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9" w:hRule="exact"/>
        </w:trPr>
        <w:tc>
          <w:tcPr>
            <w:tcW w:w="1368" w:type="dxa"/>
            <w:vMerge/>
            <w:tcBorders>
              <w:left w:val="single" w:sz="4" w:space="0" w:color="000000"/>
              <w:bottom w:val="nil" w:sz="6" w:space="0" w:color="auto"/>
              <w:right w:val="single" w:sz="4" w:space="0" w:color="000000"/>
            </w:tcBorders>
            <w:shd w:val="clear" w:color="auto" w:fill="D2D2D2"/>
          </w:tcPr>
          <w:p>
            <w:pPr/>
          </w:p>
        </w:tc>
        <w:tc>
          <w:tcPr>
            <w:tcW w:w="1369" w:type="dxa"/>
            <w:vMerge/>
            <w:tcBorders>
              <w:left w:val="single" w:sz="4" w:space="0" w:color="000000"/>
              <w:bottom w:val="nil" w:sz="6" w:space="0" w:color="auto"/>
              <w:right w:val="single" w:sz="4" w:space="0" w:color="000000"/>
            </w:tcBorders>
            <w:shd w:val="clear" w:color="auto" w:fill="D2D2D2"/>
          </w:tcPr>
          <w:p>
            <w:pP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27"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9"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9" w:type="dxa"/>
            <w:tcBorders>
              <w:top w:val="single" w:sz="4" w:space="0" w:color="000000"/>
              <w:left w:val="single" w:sz="12"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604,836.30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604,836.30</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9" w:type="dxa"/>
            <w:tcBorders>
              <w:top w:val="single" w:sz="4" w:space="0" w:color="000000"/>
              <w:left w:val="single" w:sz="12"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30,347.69</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30,347.69</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9" w:type="dxa"/>
            <w:tcBorders>
              <w:top w:val="single" w:sz="4" w:space="0" w:color="000000"/>
              <w:left w:val="single" w:sz="12"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635,183.99</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635,183.99</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3）期末建造合同形成的已完工未结算资产情况" w:id="258"/>
      <w:bookmarkEnd w:id="258"/>
      <w:r>
        <w:rPr>
          <w:b w:val="0"/>
          <w:bCs w:val="0"/>
        </w:rPr>
      </w:r>
      <w:r>
        <w:rPr/>
        <w:t>（</w:t>
      </w:r>
      <w:r>
        <w:rPr>
          <w:rFonts w:ascii="Times New Roman" w:hAnsi="Times New Roman" w:cs="Times New Roman" w:eastAsia="Times New Roman" w:hint="default"/>
        </w:rPr>
        <w:t>3</w:t>
      </w:r>
      <w:r>
        <w:rPr/>
        <w:t>）期末建造合同形成的已完工未结算资产情况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761"/>
        <w:gridCol w:w="4797"/>
      </w:tblGrid>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1"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累计已发生成本</w:t>
            </w:r>
          </w:p>
        </w:tc>
        <w:tc>
          <w:tcPr>
            <w:tcW w:w="479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5,028,625,015.12</w:t>
            </w:r>
          </w:p>
        </w:tc>
      </w:tr>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累计已确认毛利</w:t>
            </w:r>
          </w:p>
        </w:tc>
        <w:tc>
          <w:tcPr>
            <w:tcW w:w="479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1,495,474,741.89</w:t>
            </w:r>
          </w:p>
        </w:tc>
      </w:tr>
      <w:tr>
        <w:trPr>
          <w:trHeight w:val="401"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已办理结算的金额</w:t>
            </w:r>
          </w:p>
        </w:tc>
        <w:tc>
          <w:tcPr>
            <w:tcW w:w="479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6,048,405,735.30</w:t>
            </w:r>
          </w:p>
        </w:tc>
      </w:tr>
      <w:tr>
        <w:trPr>
          <w:trHeight w:val="404"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建造合同形成的已完工未结算资产</w:t>
            </w:r>
          </w:p>
        </w:tc>
        <w:tc>
          <w:tcPr>
            <w:tcW w:w="479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475,694,021.71</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8、一年内到期的非流动资产" w:id="259"/>
      <w:bookmarkEnd w:id="259"/>
      <w:r>
        <w:rPr>
          <w:b w:val="0"/>
          <w:bCs w:val="0"/>
        </w:rPr>
      </w:r>
      <w:r>
        <w:rPr>
          <w:rFonts w:ascii="Times New Roman" w:hAnsi="Times New Roman" w:cs="Times New Roman" w:eastAsia="Times New Roman" w:hint="default"/>
        </w:rPr>
        <w:t>8</w:t>
      </w:r>
      <w:r>
        <w:rPr/>
        <w:t>、一年内到期的非流动资产</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一年内到期的长期应收款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124,445,275.32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177,889,773.87</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124,445,275.32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177,889,773.87</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9、其他流动资产" w:id="260"/>
      <w:bookmarkEnd w:id="260"/>
      <w:r>
        <w:rPr>
          <w:b w:val="0"/>
          <w:bCs w:val="0"/>
        </w:rPr>
      </w:r>
      <w:r>
        <w:rPr>
          <w:rFonts w:ascii="Times New Roman" w:hAnsi="Times New Roman" w:cs="Times New Roman" w:eastAsia="Times New Roman" w:hint="default"/>
        </w:rPr>
        <w:t>9</w:t>
      </w:r>
      <w:r>
        <w:rPr/>
        <w:t>、其他流动资产</w:t>
      </w:r>
      <w:r>
        <w:rPr>
          <w:b w:val="0"/>
          <w:bCs w:val="0"/>
        </w:rPr>
      </w:r>
    </w:p>
    <w:p>
      <w:pPr>
        <w:spacing w:line="240" w:lineRule="auto" w:before="10"/>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80" w:top="1060" w:bottom="1160" w:left="980" w:right="0"/>
        </w:sectPr>
      </w:pPr>
    </w:p>
    <w:p>
      <w:pPr>
        <w:pStyle w:val="BodyText"/>
        <w:spacing w:line="240" w:lineRule="auto" w:before="44"/>
        <w:ind w:right="-20"/>
        <w:jc w:val="left"/>
      </w:pPr>
      <w:r>
        <w:rPr/>
        <w:t>是否已执行新收入准则</w:t>
      </w:r>
    </w:p>
    <w:p>
      <w:pPr>
        <w:pStyle w:val="BodyText"/>
        <w:spacing w:line="240" w:lineRule="auto" w:before="117"/>
        <w:ind w:right="-2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1953" w:space="6876"/>
            <w:col w:w="2101"/>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待抵扣进项税额</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86,269,520.55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60,527,674.67</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预缴税款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689,279.27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1,999,161.74</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房租</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166,549.04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252,098.79</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726,621.79</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87,851,970.65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62,778,935.20</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10、长期应收款" w:id="261"/>
      <w:bookmarkEnd w:id="261"/>
      <w:r>
        <w:rPr>
          <w:b w:val="0"/>
          <w:bCs w:val="0"/>
        </w:rPr>
      </w:r>
      <w:r>
        <w:rPr>
          <w:rFonts w:ascii="Times New Roman" w:hAnsi="Times New Roman" w:cs="Times New Roman" w:eastAsia="Times New Roman" w:hint="default"/>
        </w:rPr>
        <w:t>10</w:t>
      </w:r>
      <w:r>
        <w:rPr/>
        <w:t>、长期应收款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33"/>
        <w:jc w:val="left"/>
        <w:rPr>
          <w:b w:val="0"/>
          <w:bCs w:val="0"/>
        </w:rPr>
      </w:pPr>
      <w:bookmarkStart w:name="（1）长期应收款情况" w:id="262"/>
      <w:bookmarkEnd w:id="262"/>
      <w:r>
        <w:rPr>
          <w:b w:val="0"/>
          <w:bCs w:val="0"/>
        </w:rPr>
      </w:r>
      <w:r>
        <w:rPr/>
        <w:t>（</w:t>
      </w:r>
      <w:r>
        <w:rPr>
          <w:rFonts w:ascii="Times New Roman" w:hAnsi="Times New Roman" w:cs="Times New Roman" w:eastAsia="Times New Roman" w:hint="default"/>
        </w:rPr>
        <w:t>1</w:t>
      </w:r>
      <w:r>
        <w:rPr/>
        <w:t>）长期应收款情况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039"/>
        <w:gridCol w:w="1192"/>
        <w:gridCol w:w="1001"/>
        <w:gridCol w:w="1181"/>
        <w:gridCol w:w="1183"/>
        <w:gridCol w:w="1001"/>
        <w:gridCol w:w="1181"/>
        <w:gridCol w:w="890"/>
      </w:tblGrid>
      <w:tr>
        <w:trPr>
          <w:trHeight w:val="206" w:hRule="exact"/>
        </w:trPr>
        <w:tc>
          <w:tcPr>
            <w:tcW w:w="2039" w:type="dxa"/>
            <w:tcBorders>
              <w:top w:val="single" w:sz="4" w:space="0" w:color="000000"/>
              <w:left w:val="single" w:sz="4" w:space="0" w:color="000000"/>
              <w:bottom w:val="nil" w:sz="6" w:space="0" w:color="auto"/>
              <w:right w:val="single" w:sz="4" w:space="0" w:color="000000"/>
            </w:tcBorders>
            <w:shd w:val="clear" w:color="auto" w:fill="D2D2D2"/>
          </w:tcPr>
          <w:p>
            <w:pPr/>
          </w:p>
        </w:tc>
        <w:tc>
          <w:tcPr>
            <w:tcW w:w="3374"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365"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890"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94"/>
              <w:ind w:left="350" w:right="79" w:hanging="272"/>
              <w:jc w:val="left"/>
              <w:rPr>
                <w:rFonts w:ascii="宋体" w:hAnsi="宋体" w:cs="宋体" w:eastAsia="宋体" w:hint="default"/>
                <w:sz w:val="18"/>
                <w:szCs w:val="18"/>
              </w:rPr>
            </w:pPr>
            <w:r>
              <w:rPr>
                <w:rFonts w:ascii="宋体" w:hAnsi="宋体" w:cs="宋体" w:eastAsia="宋体" w:hint="default"/>
                <w:sz w:val="18"/>
                <w:szCs w:val="18"/>
              </w:rPr>
              <w:t>折现率区 间</w:t>
            </w:r>
          </w:p>
        </w:tc>
      </w:tr>
      <w:tr>
        <w:trPr>
          <w:trHeight w:val="196" w:hRule="exact"/>
        </w:trPr>
        <w:tc>
          <w:tcPr>
            <w:tcW w:w="203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74" w:type="dxa"/>
            <w:gridSpan w:val="3"/>
            <w:vMerge/>
            <w:tcBorders>
              <w:left w:val="single" w:sz="4" w:space="0" w:color="000000"/>
              <w:bottom w:val="single" w:sz="4" w:space="0" w:color="000000"/>
              <w:right w:val="single" w:sz="4" w:space="0" w:color="000000"/>
            </w:tcBorders>
            <w:shd w:val="clear" w:color="auto" w:fill="D2D2D2"/>
          </w:tcPr>
          <w:p>
            <w:pPr/>
          </w:p>
        </w:tc>
        <w:tc>
          <w:tcPr>
            <w:tcW w:w="3365" w:type="dxa"/>
            <w:gridSpan w:val="3"/>
            <w:vMerge/>
            <w:tcBorders>
              <w:left w:val="single" w:sz="4" w:space="0" w:color="000000"/>
              <w:bottom w:val="single" w:sz="4" w:space="0" w:color="000000"/>
              <w:right w:val="single" w:sz="4" w:space="0" w:color="000000"/>
            </w:tcBorders>
            <w:shd w:val="clear" w:color="auto" w:fill="D2D2D2"/>
          </w:tcPr>
          <w:p>
            <w:pPr/>
          </w:p>
        </w:tc>
        <w:tc>
          <w:tcPr>
            <w:tcW w:w="890" w:type="dxa"/>
            <w:vMerge/>
            <w:tcBorders>
              <w:left w:val="single" w:sz="4" w:space="0" w:color="000000"/>
              <w:right w:val="single" w:sz="4" w:space="0" w:color="000000"/>
            </w:tcBorders>
            <w:shd w:val="clear" w:color="auto" w:fill="D2D2D2"/>
          </w:tcPr>
          <w:p>
            <w:pPr/>
          </w:p>
        </w:tc>
      </w:tr>
      <w:tr>
        <w:trPr>
          <w:trHeight w:val="196" w:hRule="exact"/>
        </w:trPr>
        <w:tc>
          <w:tcPr>
            <w:tcW w:w="2039" w:type="dxa"/>
            <w:vMerge/>
            <w:tcBorders>
              <w:left w:val="single" w:sz="4" w:space="0" w:color="000000"/>
              <w:bottom w:val="nil" w:sz="6" w:space="0" w:color="auto"/>
              <w:right w:val="single" w:sz="4" w:space="0" w:color="000000"/>
            </w:tcBorders>
            <w:shd w:val="clear" w:color="auto" w:fill="D2D2D2"/>
          </w:tcPr>
          <w:p>
            <w:pPr/>
          </w:p>
        </w:tc>
        <w:tc>
          <w:tcPr>
            <w:tcW w:w="11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23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0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13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8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22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8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22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0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13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8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22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890" w:type="dxa"/>
            <w:vMerge/>
            <w:tcBorders>
              <w:left w:val="single" w:sz="4" w:space="0" w:color="000000"/>
              <w:right w:val="single" w:sz="4" w:space="0" w:color="000000"/>
            </w:tcBorders>
            <w:shd w:val="clear" w:color="auto" w:fill="D2D2D2"/>
          </w:tcPr>
          <w:p>
            <w:pPr/>
          </w:p>
        </w:tc>
      </w:tr>
      <w:tr>
        <w:trPr>
          <w:trHeight w:val="206" w:hRule="exact"/>
        </w:trPr>
        <w:tc>
          <w:tcPr>
            <w:tcW w:w="2039"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2" w:type="dxa"/>
            <w:vMerge/>
            <w:tcBorders>
              <w:left w:val="single" w:sz="4" w:space="0" w:color="000000"/>
              <w:bottom w:val="single" w:sz="4" w:space="0" w:color="000000"/>
              <w:right w:val="single" w:sz="4" w:space="0" w:color="000000"/>
            </w:tcBorders>
            <w:shd w:val="clear" w:color="auto" w:fill="D2D2D2"/>
          </w:tcPr>
          <w:p>
            <w:pPr/>
          </w:p>
        </w:tc>
        <w:tc>
          <w:tcPr>
            <w:tcW w:w="1001" w:type="dxa"/>
            <w:vMerge/>
            <w:tcBorders>
              <w:left w:val="single" w:sz="4" w:space="0" w:color="000000"/>
              <w:bottom w:val="single" w:sz="4" w:space="0" w:color="000000"/>
              <w:right w:val="single" w:sz="4" w:space="0" w:color="000000"/>
            </w:tcBorders>
            <w:shd w:val="clear" w:color="auto" w:fill="D2D2D2"/>
          </w:tcPr>
          <w:p>
            <w:pPr/>
          </w:p>
        </w:tc>
        <w:tc>
          <w:tcPr>
            <w:tcW w:w="1181" w:type="dxa"/>
            <w:vMerge/>
            <w:tcBorders>
              <w:left w:val="single" w:sz="4" w:space="0" w:color="000000"/>
              <w:bottom w:val="single" w:sz="4" w:space="0" w:color="000000"/>
              <w:right w:val="single" w:sz="4" w:space="0" w:color="000000"/>
            </w:tcBorders>
            <w:shd w:val="clear" w:color="auto" w:fill="D2D2D2"/>
          </w:tcPr>
          <w:p>
            <w:pPr/>
          </w:p>
        </w:tc>
        <w:tc>
          <w:tcPr>
            <w:tcW w:w="1183" w:type="dxa"/>
            <w:vMerge/>
            <w:tcBorders>
              <w:left w:val="single" w:sz="4" w:space="0" w:color="000000"/>
              <w:bottom w:val="single" w:sz="4" w:space="0" w:color="000000"/>
              <w:right w:val="single" w:sz="4" w:space="0" w:color="000000"/>
            </w:tcBorders>
            <w:shd w:val="clear" w:color="auto" w:fill="D2D2D2"/>
          </w:tcPr>
          <w:p>
            <w:pPr/>
          </w:p>
        </w:tc>
        <w:tc>
          <w:tcPr>
            <w:tcW w:w="1001" w:type="dxa"/>
            <w:vMerge/>
            <w:tcBorders>
              <w:left w:val="single" w:sz="4" w:space="0" w:color="000000"/>
              <w:bottom w:val="single" w:sz="4" w:space="0" w:color="000000"/>
              <w:right w:val="single" w:sz="4" w:space="0" w:color="000000"/>
            </w:tcBorders>
            <w:shd w:val="clear" w:color="auto" w:fill="D2D2D2"/>
          </w:tcPr>
          <w:p>
            <w:pPr/>
          </w:p>
        </w:tc>
        <w:tc>
          <w:tcPr>
            <w:tcW w:w="1181" w:type="dxa"/>
            <w:vMerge/>
            <w:tcBorders>
              <w:left w:val="single" w:sz="4" w:space="0" w:color="000000"/>
              <w:bottom w:val="single" w:sz="4" w:space="0" w:color="000000"/>
              <w:right w:val="single" w:sz="4" w:space="0" w:color="000000"/>
            </w:tcBorders>
            <w:shd w:val="clear" w:color="auto" w:fill="D2D2D2"/>
          </w:tcPr>
          <w:p>
            <w:pPr/>
          </w:p>
        </w:tc>
        <w:tc>
          <w:tcPr>
            <w:tcW w:w="890"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20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融资租赁款</w:t>
            </w:r>
          </w:p>
        </w:tc>
        <w:tc>
          <w:tcPr>
            <w:tcW w:w="119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39,431,993.22</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1,266,275.86</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38,165,717.36</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103,547,811.04</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1,266,275.86</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102,281,535.18</w:t>
            </w:r>
          </w:p>
        </w:tc>
        <w:tc>
          <w:tcPr>
            <w:tcW w:w="890" w:type="dxa"/>
            <w:tcBorders>
              <w:top w:val="single" w:sz="18" w:space="0" w:color="D2D2D2"/>
              <w:left w:val="single" w:sz="4" w:space="0" w:color="000000"/>
              <w:bottom w:val="single" w:sz="4" w:space="0" w:color="000000"/>
              <w:right w:val="single" w:sz="4" w:space="0" w:color="000000"/>
            </w:tcBorders>
          </w:tcPr>
          <w:p>
            <w:pPr/>
          </w:p>
        </w:tc>
      </w:tr>
      <w:tr>
        <w:trPr>
          <w:trHeight w:val="715" w:hRule="exact"/>
        </w:trPr>
        <w:tc>
          <w:tcPr>
            <w:tcW w:w="20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其中：未实现融资收</w:t>
            </w:r>
          </w:p>
          <w:p>
            <w:pPr>
              <w:pStyle w:val="TableParagraph"/>
              <w:spacing w:line="240" w:lineRule="auto" w:before="74"/>
              <w:ind w:left="24" w:right="0"/>
              <w:jc w:val="left"/>
              <w:rPr>
                <w:rFonts w:ascii="宋体" w:hAnsi="宋体" w:cs="宋体" w:eastAsia="宋体" w:hint="default"/>
                <w:sz w:val="18"/>
                <w:szCs w:val="18"/>
              </w:rPr>
            </w:pPr>
            <w:r>
              <w:rPr>
                <w:rFonts w:ascii="宋体" w:hAnsi="宋体" w:cs="宋体" w:eastAsia="宋体" w:hint="default"/>
                <w:sz w:val="18"/>
                <w:szCs w:val="18"/>
              </w:rPr>
              <w:t>益</w:t>
            </w:r>
          </w:p>
        </w:tc>
        <w:tc>
          <w:tcPr>
            <w:tcW w:w="119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7,645,065.21</w:t>
            </w:r>
          </w:p>
        </w:tc>
        <w:tc>
          <w:tcPr>
            <w:tcW w:w="100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7,645,065.21</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10,839,304.40</w:t>
            </w:r>
          </w:p>
        </w:tc>
        <w:tc>
          <w:tcPr>
            <w:tcW w:w="100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4" w:right="0"/>
              <w:jc w:val="center"/>
              <w:rPr>
                <w:rFonts w:ascii="Times New Roman" w:hAnsi="Times New Roman" w:cs="Times New Roman" w:eastAsia="Times New Roman" w:hint="default"/>
                <w:sz w:val="18"/>
                <w:szCs w:val="18"/>
              </w:rPr>
            </w:pPr>
            <w:r>
              <w:rPr>
                <w:rFonts w:ascii="Times New Roman"/>
                <w:sz w:val="18"/>
              </w:rPr>
              <w:t>10,839,304.40</w:t>
            </w:r>
          </w:p>
        </w:tc>
        <w:tc>
          <w:tcPr>
            <w:tcW w:w="8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0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分期收款提供劳务</w:t>
            </w:r>
          </w:p>
        </w:tc>
        <w:tc>
          <w:tcPr>
            <w:tcW w:w="119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169,905,774.79</w:t>
            </w:r>
          </w:p>
        </w:tc>
        <w:tc>
          <w:tcPr>
            <w:tcW w:w="100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169,905,774.79</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212,635,116.13</w:t>
            </w:r>
          </w:p>
        </w:tc>
        <w:tc>
          <w:tcPr>
            <w:tcW w:w="100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212,635,116.13</w:t>
            </w:r>
          </w:p>
        </w:tc>
        <w:tc>
          <w:tcPr>
            <w:tcW w:w="8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0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9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209,337,768.01</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1,266,275.86</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208,071,492.15</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316,182,927.17</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1,266,275.86</w:t>
            </w:r>
          </w:p>
        </w:tc>
        <w:tc>
          <w:tcPr>
            <w:tcW w:w="1181"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93"/>
              <w:ind w:left="8" w:right="0"/>
              <w:jc w:val="center"/>
              <w:rPr>
                <w:rFonts w:ascii="Times New Roman" w:hAnsi="Times New Roman" w:cs="Times New Roman" w:eastAsia="Times New Roman" w:hint="default"/>
                <w:sz w:val="18"/>
                <w:szCs w:val="18"/>
              </w:rPr>
            </w:pPr>
            <w:r>
              <w:rPr>
                <w:rFonts w:ascii="Times New Roman"/>
                <w:sz w:val="18"/>
              </w:rPr>
              <w:t>314,916,651.31</w:t>
            </w:r>
          </w:p>
        </w:tc>
        <w:tc>
          <w:tcPr>
            <w:tcW w:w="8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1133"/>
        <w:jc w:val="left"/>
      </w:pPr>
      <w:r>
        <w:rPr/>
        <w:t>坏账准备减值情况</w:t>
      </w:r>
    </w:p>
    <w:p>
      <w:pPr>
        <w:pStyle w:val="BodyText"/>
        <w:spacing w:line="240" w:lineRule="auto" w:before="115"/>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905"/>
        <w:gridCol w:w="1651"/>
        <w:gridCol w:w="2098"/>
        <w:gridCol w:w="2101"/>
        <w:gridCol w:w="1805"/>
      </w:tblGrid>
      <w:tr>
        <w:trPr>
          <w:trHeight w:val="403" w:hRule="exact"/>
        </w:trPr>
        <w:tc>
          <w:tcPr>
            <w:tcW w:w="1905" w:type="dxa"/>
            <w:tcBorders>
              <w:top w:val="single" w:sz="4" w:space="0" w:color="000000"/>
              <w:left w:val="single" w:sz="4" w:space="0" w:color="000000"/>
              <w:bottom w:val="nil" w:sz="6" w:space="0" w:color="auto"/>
              <w:right w:val="single" w:sz="4" w:space="0" w:color="000000"/>
            </w:tcBorders>
            <w:shd w:val="clear" w:color="auto" w:fill="D2D2D2"/>
          </w:tcPr>
          <w:p>
            <w:pPr/>
          </w:p>
        </w:tc>
        <w:tc>
          <w:tcPr>
            <w:tcW w:w="16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59" w:right="0"/>
              <w:jc w:val="left"/>
              <w:rPr>
                <w:rFonts w:ascii="宋体" w:hAnsi="宋体" w:cs="宋体" w:eastAsia="宋体" w:hint="default"/>
                <w:sz w:val="18"/>
                <w:szCs w:val="18"/>
              </w:rPr>
            </w:pPr>
            <w:r>
              <w:rPr>
                <w:rFonts w:ascii="宋体" w:hAnsi="宋体" w:cs="宋体" w:eastAsia="宋体" w:hint="default"/>
                <w:sz w:val="18"/>
                <w:szCs w:val="18"/>
              </w:rPr>
              <w:t>第一阶段</w:t>
            </w:r>
          </w:p>
        </w:tc>
        <w:tc>
          <w:tcPr>
            <w:tcW w:w="20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第二阶段</w:t>
            </w:r>
          </w:p>
        </w:tc>
        <w:tc>
          <w:tcPr>
            <w:tcW w:w="21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第三阶段</w:t>
            </w:r>
          </w:p>
        </w:tc>
        <w:tc>
          <w:tcPr>
            <w:tcW w:w="180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50" w:hRule="exact"/>
        </w:trPr>
        <w:tc>
          <w:tcPr>
            <w:tcW w:w="190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8"/>
              <w:ind w:left="58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51" w:type="dxa"/>
            <w:vMerge w:val="restart"/>
            <w:tcBorders>
              <w:top w:val="single" w:sz="4" w:space="0" w:color="000000"/>
              <w:left w:val="single" w:sz="4" w:space="0" w:color="000000"/>
              <w:right w:val="single" w:sz="4" w:space="0" w:color="000000"/>
            </w:tcBorders>
            <w:shd w:val="clear" w:color="auto" w:fill="D2D2D2"/>
          </w:tcPr>
          <w:p>
            <w:pPr>
              <w:pStyle w:val="TableParagraph"/>
              <w:spacing w:line="297" w:lineRule="auto" w:before="49"/>
              <w:ind w:left="548" w:right="51" w:hanging="495"/>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个月预期信 用损失</w:t>
            </w:r>
          </w:p>
        </w:tc>
        <w:tc>
          <w:tcPr>
            <w:tcW w:w="20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整个存续期预期信用损失</w:t>
            </w:r>
          </w:p>
          <w:p>
            <w:pPr>
              <w:pStyle w:val="TableParagraph"/>
              <w:spacing w:line="240" w:lineRule="auto" w:before="74"/>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未发生信用减值</w:t>
            </w:r>
            <w:r>
              <w:rPr>
                <w:rFonts w:ascii="Times New Roman" w:hAnsi="Times New Roman" w:cs="Times New Roman" w:eastAsia="Times New Roman" w:hint="default"/>
                <w:sz w:val="18"/>
                <w:szCs w:val="18"/>
              </w:rPr>
              <w:t>)</w:t>
            </w:r>
          </w:p>
        </w:tc>
        <w:tc>
          <w:tcPr>
            <w:tcW w:w="210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整个存续期预期信用损失</w:t>
            </w:r>
          </w:p>
          <w:p>
            <w:pPr>
              <w:pStyle w:val="TableParagraph"/>
              <w:spacing w:line="240" w:lineRule="auto" w:before="74"/>
              <w:ind w:left="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已发生信用减值</w:t>
            </w:r>
            <w:r>
              <w:rPr>
                <w:rFonts w:ascii="Times New Roman" w:hAnsi="Times New Roman" w:cs="Times New Roman" w:eastAsia="Times New Roman" w:hint="default"/>
                <w:sz w:val="18"/>
                <w:szCs w:val="18"/>
              </w:rPr>
              <w:t>)</w:t>
            </w:r>
          </w:p>
        </w:tc>
        <w:tc>
          <w:tcPr>
            <w:tcW w:w="180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8"/>
              <w:ind w:left="717" w:right="0"/>
              <w:jc w:val="left"/>
              <w:rPr>
                <w:rFonts w:ascii="宋体" w:hAnsi="宋体" w:cs="宋体" w:eastAsia="宋体" w:hint="default"/>
                <w:sz w:val="18"/>
                <w:szCs w:val="18"/>
              </w:rPr>
            </w:pPr>
            <w:r>
              <w:rPr>
                <w:rFonts w:ascii="宋体" w:hAnsi="宋体" w:cs="宋体" w:eastAsia="宋体" w:hint="default"/>
                <w:sz w:val="18"/>
                <w:szCs w:val="18"/>
              </w:rPr>
              <w:t>合计</w:t>
            </w:r>
          </w:p>
        </w:tc>
      </w:tr>
      <w:tr>
        <w:trPr>
          <w:trHeight w:val="362" w:hRule="exact"/>
        </w:trPr>
        <w:tc>
          <w:tcPr>
            <w:tcW w:w="1905" w:type="dxa"/>
            <w:tcBorders>
              <w:top w:val="nil" w:sz="6" w:space="0" w:color="auto"/>
              <w:left w:val="single" w:sz="4" w:space="0" w:color="000000"/>
              <w:bottom w:val="single" w:sz="4" w:space="0" w:color="000000"/>
              <w:right w:val="single" w:sz="4" w:space="0" w:color="000000"/>
            </w:tcBorders>
            <w:shd w:val="clear" w:color="auto" w:fill="D2D2D2"/>
          </w:tcPr>
          <w:p>
            <w:pPr/>
          </w:p>
        </w:tc>
        <w:tc>
          <w:tcPr>
            <w:tcW w:w="1651" w:type="dxa"/>
            <w:vMerge/>
            <w:tcBorders>
              <w:left w:val="single" w:sz="4" w:space="0" w:color="000000"/>
              <w:bottom w:val="single" w:sz="4" w:space="0" w:color="000000"/>
              <w:right w:val="single" w:sz="4" w:space="0" w:color="000000"/>
            </w:tcBorders>
            <w:shd w:val="clear" w:color="auto" w:fill="D2D2D2"/>
          </w:tcPr>
          <w:p>
            <w:pPr/>
          </w:p>
        </w:tc>
        <w:tc>
          <w:tcPr>
            <w:tcW w:w="2098" w:type="dxa"/>
            <w:vMerge/>
            <w:tcBorders>
              <w:left w:val="single" w:sz="4" w:space="0" w:color="000000"/>
              <w:bottom w:val="single" w:sz="4" w:space="0" w:color="000000"/>
              <w:right w:val="single" w:sz="4" w:space="0" w:color="000000"/>
            </w:tcBorders>
            <w:shd w:val="clear" w:color="auto" w:fill="D2D2D2"/>
          </w:tcPr>
          <w:p>
            <w:pPr/>
          </w:p>
        </w:tc>
        <w:tc>
          <w:tcPr>
            <w:tcW w:w="2101" w:type="dxa"/>
            <w:vMerge/>
            <w:tcBorders>
              <w:left w:val="single" w:sz="4" w:space="0" w:color="000000"/>
              <w:bottom w:val="single" w:sz="4" w:space="0" w:color="000000"/>
              <w:right w:val="single" w:sz="4" w:space="0" w:color="000000"/>
            </w:tcBorders>
            <w:shd w:val="clear" w:color="auto" w:fill="D2D2D2"/>
          </w:tcPr>
          <w:p>
            <w:pPr/>
          </w:p>
        </w:tc>
        <w:tc>
          <w:tcPr>
            <w:tcW w:w="180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4" w:hRule="exact"/>
        </w:trPr>
        <w:tc>
          <w:tcPr>
            <w:tcW w:w="19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w:t>
            </w:r>
          </w:p>
        </w:tc>
        <w:tc>
          <w:tcPr>
            <w:tcW w:w="165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1,266,275.86</w:t>
            </w:r>
          </w:p>
        </w:tc>
        <w:tc>
          <w:tcPr>
            <w:tcW w:w="2098" w:type="dxa"/>
            <w:tcBorders>
              <w:top w:val="single" w:sz="4" w:space="0" w:color="000000"/>
              <w:left w:val="single" w:sz="4" w:space="0" w:color="000000"/>
              <w:bottom w:val="single" w:sz="4" w:space="0" w:color="000000"/>
              <w:right w:val="single" w:sz="4" w:space="0" w:color="000000"/>
            </w:tcBorders>
          </w:tcPr>
          <w:p>
            <w:pPr/>
          </w:p>
        </w:tc>
        <w:tc>
          <w:tcPr>
            <w:tcW w:w="2101"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1,266,275.86</w:t>
            </w:r>
          </w:p>
        </w:tc>
      </w:tr>
      <w:tr>
        <w:trPr>
          <w:trHeight w:val="161" w:hRule="exact"/>
        </w:trPr>
        <w:tc>
          <w:tcPr>
            <w:tcW w:w="1905" w:type="dxa"/>
            <w:vMerge w:val="restart"/>
            <w:tcBorders>
              <w:top w:val="single" w:sz="4" w:space="0" w:color="000000"/>
              <w:left w:val="single" w:sz="4" w:space="0" w:color="000000"/>
              <w:right w:val="single" w:sz="4" w:space="0" w:color="000000"/>
            </w:tcBorders>
            <w:shd w:val="clear" w:color="auto" w:fill="D2D2D2"/>
          </w:tcPr>
          <w:p>
            <w:pPr>
              <w:pStyle w:val="TableParagraph"/>
              <w:spacing w:line="297" w:lineRule="auto" w:before="49"/>
              <w:ind w:left="12" w:right="32"/>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日余额在 本期</w:t>
            </w:r>
          </w:p>
        </w:tc>
        <w:tc>
          <w:tcPr>
            <w:tcW w:w="1651" w:type="dxa"/>
            <w:tcBorders>
              <w:top w:val="single" w:sz="4" w:space="0" w:color="000000"/>
              <w:left w:val="single" w:sz="4" w:space="0" w:color="000000"/>
              <w:bottom w:val="nil" w:sz="6" w:space="0" w:color="auto"/>
              <w:right w:val="single" w:sz="4" w:space="0" w:color="000000"/>
            </w:tcBorders>
            <w:shd w:val="clear" w:color="auto" w:fill="D2D2D2"/>
          </w:tcPr>
          <w:p>
            <w:pPr/>
          </w:p>
        </w:tc>
        <w:tc>
          <w:tcPr>
            <w:tcW w:w="2098" w:type="dxa"/>
            <w:tcBorders>
              <w:top w:val="single" w:sz="4" w:space="0" w:color="000000"/>
              <w:left w:val="single" w:sz="4" w:space="0" w:color="000000"/>
              <w:bottom w:val="nil" w:sz="6" w:space="0" w:color="auto"/>
              <w:right w:val="single" w:sz="4" w:space="0" w:color="000000"/>
            </w:tcBorders>
            <w:shd w:val="clear" w:color="auto" w:fill="D2D2D2"/>
          </w:tcPr>
          <w:p>
            <w:pPr/>
          </w:p>
        </w:tc>
        <w:tc>
          <w:tcPr>
            <w:tcW w:w="2101" w:type="dxa"/>
            <w:tcBorders>
              <w:top w:val="single" w:sz="4" w:space="0" w:color="000000"/>
              <w:left w:val="single" w:sz="4" w:space="0" w:color="000000"/>
              <w:bottom w:val="nil" w:sz="6" w:space="0" w:color="auto"/>
              <w:right w:val="single" w:sz="4" w:space="0" w:color="000000"/>
            </w:tcBorders>
            <w:shd w:val="clear" w:color="auto" w:fill="D2D2D2"/>
          </w:tcPr>
          <w:p>
            <w:pPr/>
          </w:p>
        </w:tc>
        <w:tc>
          <w:tcPr>
            <w:tcW w:w="180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1" w:hRule="exact"/>
        </w:trPr>
        <w:tc>
          <w:tcPr>
            <w:tcW w:w="1905" w:type="dxa"/>
            <w:vMerge/>
            <w:tcBorders>
              <w:left w:val="single" w:sz="4" w:space="0" w:color="000000"/>
              <w:right w:val="single" w:sz="4" w:space="0" w:color="000000"/>
            </w:tcBorders>
            <w:shd w:val="clear" w:color="auto" w:fill="D2D2D2"/>
          </w:tcPr>
          <w:p>
            <w:pPr/>
          </w:p>
        </w:tc>
        <w:tc>
          <w:tcPr>
            <w:tcW w:w="165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209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210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80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71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161" w:hRule="exact"/>
        </w:trPr>
        <w:tc>
          <w:tcPr>
            <w:tcW w:w="1905" w:type="dxa"/>
            <w:vMerge/>
            <w:tcBorders>
              <w:left w:val="single" w:sz="4" w:space="0" w:color="000000"/>
              <w:bottom w:val="single" w:sz="4" w:space="0" w:color="000000"/>
              <w:right w:val="single" w:sz="4" w:space="0" w:color="000000"/>
            </w:tcBorders>
            <w:shd w:val="clear" w:color="auto" w:fill="D2D2D2"/>
          </w:tcPr>
          <w:p>
            <w:pPr/>
          </w:p>
        </w:tc>
        <w:tc>
          <w:tcPr>
            <w:tcW w:w="1651" w:type="dxa"/>
            <w:tcBorders>
              <w:top w:val="nil" w:sz="6" w:space="0" w:color="auto"/>
              <w:left w:val="single" w:sz="4" w:space="0" w:color="000000"/>
              <w:bottom w:val="single" w:sz="4" w:space="0" w:color="000000"/>
              <w:right w:val="single" w:sz="4" w:space="0" w:color="000000"/>
            </w:tcBorders>
            <w:shd w:val="clear" w:color="auto" w:fill="D2D2D2"/>
          </w:tcPr>
          <w:p>
            <w:pPr/>
          </w:p>
        </w:tc>
        <w:tc>
          <w:tcPr>
            <w:tcW w:w="2098" w:type="dxa"/>
            <w:tcBorders>
              <w:top w:val="nil" w:sz="6" w:space="0" w:color="auto"/>
              <w:left w:val="single" w:sz="4" w:space="0" w:color="000000"/>
              <w:bottom w:val="single" w:sz="4" w:space="0" w:color="000000"/>
              <w:right w:val="single" w:sz="4" w:space="0" w:color="000000"/>
            </w:tcBorders>
            <w:shd w:val="clear" w:color="auto" w:fill="D2D2D2"/>
          </w:tcPr>
          <w:p>
            <w:pPr/>
          </w:p>
        </w:tc>
        <w:tc>
          <w:tcPr>
            <w:tcW w:w="21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80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3" w:hRule="exact"/>
        </w:trPr>
        <w:tc>
          <w:tcPr>
            <w:tcW w:w="19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日余额</w:t>
            </w:r>
          </w:p>
        </w:tc>
        <w:tc>
          <w:tcPr>
            <w:tcW w:w="165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1,266,275.86</w:t>
            </w:r>
          </w:p>
        </w:tc>
        <w:tc>
          <w:tcPr>
            <w:tcW w:w="2098" w:type="dxa"/>
            <w:tcBorders>
              <w:top w:val="single" w:sz="4" w:space="0" w:color="000000"/>
              <w:left w:val="single" w:sz="4" w:space="0" w:color="000000"/>
              <w:bottom w:val="single" w:sz="4" w:space="0" w:color="000000"/>
              <w:right w:val="single" w:sz="4" w:space="0" w:color="000000"/>
            </w:tcBorders>
          </w:tcPr>
          <w:p>
            <w:pPr/>
          </w:p>
        </w:tc>
        <w:tc>
          <w:tcPr>
            <w:tcW w:w="2101"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1,266,275.86</w:t>
            </w:r>
          </w:p>
        </w:tc>
      </w:tr>
    </w:tbl>
    <w:p>
      <w:pPr>
        <w:pStyle w:val="BodyText"/>
        <w:spacing w:line="240" w:lineRule="auto" w:before="49"/>
        <w:ind w:right="1133"/>
        <w:jc w:val="left"/>
      </w:pPr>
      <w:r>
        <w:rPr/>
        <w:t>损失准备本期变动金额重大的账面余额变动情况</w:t>
      </w:r>
    </w:p>
    <w:p>
      <w:pPr>
        <w:pStyle w:val="BodyText"/>
        <w:spacing w:line="240" w:lineRule="auto" w:before="115"/>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4"/>
        <w:spacing w:line="240" w:lineRule="auto"/>
        <w:ind w:right="1133"/>
        <w:jc w:val="left"/>
        <w:rPr>
          <w:b w:val="0"/>
          <w:bCs w:val="0"/>
        </w:rPr>
      </w:pPr>
      <w:bookmarkStart w:name="11、长期股权投资" w:id="263"/>
      <w:bookmarkEnd w:id="263"/>
      <w:r>
        <w:rPr>
          <w:b w:val="0"/>
          <w:bCs w:val="0"/>
        </w:rPr>
      </w:r>
      <w:r>
        <w:rPr>
          <w:rFonts w:ascii="Times New Roman" w:hAnsi="Times New Roman" w:cs="Times New Roman" w:eastAsia="Times New Roman" w:hint="default"/>
        </w:rPr>
        <w:t>11</w:t>
      </w:r>
      <w:r>
        <w:rPr/>
        <w:t>、长期股权投资</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190"/>
        <w:gridCol w:w="1282"/>
        <w:gridCol w:w="430"/>
        <w:gridCol w:w="430"/>
        <w:gridCol w:w="1373"/>
        <w:gridCol w:w="689"/>
        <w:gridCol w:w="559"/>
        <w:gridCol w:w="883"/>
        <w:gridCol w:w="562"/>
        <w:gridCol w:w="301"/>
        <w:gridCol w:w="1279"/>
        <w:gridCol w:w="691"/>
      </w:tblGrid>
      <w:tr>
        <w:trPr>
          <w:trHeight w:val="404" w:hRule="exact"/>
        </w:trPr>
        <w:tc>
          <w:tcPr>
            <w:tcW w:w="11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140"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28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00" w:lineRule="auto"/>
              <w:ind w:left="424" w:right="65" w:hanging="360"/>
              <w:jc w:val="left"/>
              <w:rPr>
                <w:rFonts w:ascii="Times New Roman" w:hAnsi="Times New Roman" w:cs="Times New Roman" w:eastAsia="Times New Roman"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账面 价值</w:t>
            </w:r>
            <w:r>
              <w:rPr>
                <w:rFonts w:ascii="Times New Roman" w:hAnsi="Times New Roman" w:cs="Times New Roman" w:eastAsia="Times New Roman" w:hint="default"/>
                <w:sz w:val="18"/>
                <w:szCs w:val="18"/>
              </w:rPr>
              <w:t>)</w:t>
            </w:r>
          </w:p>
        </w:tc>
        <w:tc>
          <w:tcPr>
            <w:tcW w:w="5226"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127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00" w:lineRule="auto"/>
              <w:ind w:left="424" w:right="62" w:hanging="360"/>
              <w:jc w:val="left"/>
              <w:rPr>
                <w:rFonts w:ascii="Times New Roman" w:hAnsi="Times New Roman" w:cs="Times New Roman" w:eastAsia="Times New Roman"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账面 价值</w:t>
            </w:r>
            <w:r>
              <w:rPr>
                <w:rFonts w:ascii="Times New Roman" w:hAnsi="Times New Roman" w:cs="Times New Roman" w:eastAsia="Times New Roman" w:hint="default"/>
                <w:sz w:val="18"/>
                <w:szCs w:val="18"/>
              </w:rPr>
              <w:t>)</w:t>
            </w:r>
          </w:p>
        </w:tc>
        <w:tc>
          <w:tcPr>
            <w:tcW w:w="6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71" w:right="67"/>
              <w:jc w:val="both"/>
              <w:rPr>
                <w:rFonts w:ascii="宋体" w:hAnsi="宋体" w:cs="宋体" w:eastAsia="宋体" w:hint="default"/>
                <w:sz w:val="18"/>
                <w:szCs w:val="18"/>
              </w:rPr>
            </w:pPr>
            <w:r>
              <w:rPr>
                <w:rFonts w:ascii="宋体" w:hAnsi="宋体" w:cs="宋体" w:eastAsia="宋体" w:hint="default"/>
                <w:sz w:val="18"/>
                <w:szCs w:val="18"/>
              </w:rPr>
              <w:t>减值准 备期末 余额</w:t>
            </w:r>
          </w:p>
        </w:tc>
      </w:tr>
      <w:tr>
        <w:trPr>
          <w:trHeight w:val="1025" w:hRule="exact"/>
        </w:trPr>
        <w:tc>
          <w:tcPr>
            <w:tcW w:w="1190" w:type="dxa"/>
            <w:vMerge/>
            <w:tcBorders>
              <w:left w:val="single" w:sz="4" w:space="0" w:color="000000"/>
              <w:bottom w:val="single" w:sz="4" w:space="0" w:color="000000"/>
              <w:right w:val="single" w:sz="4" w:space="0" w:color="000000"/>
            </w:tcBorders>
            <w:shd w:val="clear" w:color="auto" w:fill="D2D2D2"/>
          </w:tcPr>
          <w:p>
            <w:pPr/>
          </w:p>
        </w:tc>
        <w:tc>
          <w:tcPr>
            <w:tcW w:w="1282" w:type="dxa"/>
            <w:vMerge/>
            <w:tcBorders>
              <w:left w:val="single" w:sz="4" w:space="0" w:color="000000"/>
              <w:bottom w:val="single" w:sz="4" w:space="0" w:color="000000"/>
              <w:right w:val="single" w:sz="4" w:space="0" w:color="000000"/>
            </w:tcBorders>
            <w:shd w:val="clear" w:color="auto" w:fill="D2D2D2"/>
          </w:tcPr>
          <w:p>
            <w:pPr/>
          </w:p>
        </w:tc>
        <w:tc>
          <w:tcPr>
            <w:tcW w:w="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1" w:right="27"/>
              <w:jc w:val="left"/>
              <w:rPr>
                <w:rFonts w:ascii="宋体" w:hAnsi="宋体" w:cs="宋体" w:eastAsia="宋体" w:hint="default"/>
                <w:sz w:val="18"/>
                <w:szCs w:val="18"/>
              </w:rPr>
            </w:pPr>
            <w:r>
              <w:rPr>
                <w:rFonts w:ascii="宋体" w:hAnsi="宋体" w:cs="宋体" w:eastAsia="宋体" w:hint="default"/>
                <w:sz w:val="18"/>
                <w:szCs w:val="18"/>
              </w:rPr>
              <w:t>追加 投资</w:t>
            </w:r>
          </w:p>
        </w:tc>
        <w:tc>
          <w:tcPr>
            <w:tcW w:w="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1" w:right="26"/>
              <w:jc w:val="left"/>
              <w:rPr>
                <w:rFonts w:ascii="宋体" w:hAnsi="宋体" w:cs="宋体" w:eastAsia="宋体" w:hint="default"/>
                <w:sz w:val="18"/>
                <w:szCs w:val="18"/>
              </w:rPr>
            </w:pPr>
            <w:r>
              <w:rPr>
                <w:rFonts w:ascii="宋体" w:hAnsi="宋体" w:cs="宋体" w:eastAsia="宋体" w:hint="default"/>
                <w:sz w:val="18"/>
                <w:szCs w:val="18"/>
              </w:rPr>
              <w:t>减少 投资</w:t>
            </w:r>
          </w:p>
        </w:tc>
        <w:tc>
          <w:tcPr>
            <w:tcW w:w="1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21" w:right="48" w:hanging="269"/>
              <w:jc w:val="left"/>
              <w:rPr>
                <w:rFonts w:ascii="宋体" w:hAnsi="宋体" w:cs="宋体" w:eastAsia="宋体" w:hint="default"/>
                <w:sz w:val="18"/>
                <w:szCs w:val="18"/>
              </w:rPr>
            </w:pPr>
            <w:r>
              <w:rPr>
                <w:rFonts w:ascii="宋体" w:hAnsi="宋体" w:cs="宋体" w:eastAsia="宋体" w:hint="default"/>
                <w:sz w:val="18"/>
                <w:szCs w:val="18"/>
              </w:rPr>
              <w:t>权益法下确认的 投资损益</w:t>
            </w:r>
          </w:p>
        </w:tc>
        <w:tc>
          <w:tcPr>
            <w:tcW w:w="6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69" w:right="69"/>
              <w:jc w:val="both"/>
              <w:rPr>
                <w:rFonts w:ascii="宋体" w:hAnsi="宋体" w:cs="宋体" w:eastAsia="宋体" w:hint="default"/>
                <w:sz w:val="18"/>
                <w:szCs w:val="18"/>
              </w:rPr>
            </w:pPr>
            <w:r>
              <w:rPr>
                <w:rFonts w:ascii="宋体" w:hAnsi="宋体" w:cs="宋体" w:eastAsia="宋体" w:hint="default"/>
                <w:sz w:val="18"/>
                <w:szCs w:val="18"/>
              </w:rPr>
              <w:t>其他综 合收益 调整</w:t>
            </w:r>
          </w:p>
        </w:tc>
        <w:tc>
          <w:tcPr>
            <w:tcW w:w="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95" w:right="91"/>
              <w:jc w:val="both"/>
              <w:rPr>
                <w:rFonts w:ascii="宋体" w:hAnsi="宋体" w:cs="宋体" w:eastAsia="宋体" w:hint="default"/>
                <w:sz w:val="18"/>
                <w:szCs w:val="18"/>
              </w:rPr>
            </w:pPr>
            <w:r>
              <w:rPr>
                <w:rFonts w:ascii="宋体" w:hAnsi="宋体" w:cs="宋体" w:eastAsia="宋体" w:hint="default"/>
                <w:sz w:val="18"/>
                <w:szCs w:val="18"/>
              </w:rPr>
              <w:t>其他 权益 变动</w:t>
            </w:r>
          </w:p>
        </w:tc>
        <w:tc>
          <w:tcPr>
            <w:tcW w:w="8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79" w:right="72"/>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95" w:right="95"/>
              <w:jc w:val="both"/>
              <w:rPr>
                <w:rFonts w:ascii="宋体" w:hAnsi="宋体" w:cs="宋体" w:eastAsia="宋体" w:hint="default"/>
                <w:sz w:val="18"/>
                <w:szCs w:val="18"/>
              </w:rPr>
            </w:pPr>
            <w:r>
              <w:rPr>
                <w:rFonts w:ascii="宋体" w:hAnsi="宋体" w:cs="宋体" w:eastAsia="宋体" w:hint="default"/>
                <w:sz w:val="18"/>
                <w:szCs w:val="18"/>
              </w:rPr>
              <w:t>计提 减值 准备</w:t>
            </w:r>
          </w:p>
        </w:tc>
        <w:tc>
          <w:tcPr>
            <w:tcW w:w="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55" w:right="53"/>
              <w:jc w:val="left"/>
              <w:rPr>
                <w:rFonts w:ascii="宋体" w:hAnsi="宋体" w:cs="宋体" w:eastAsia="宋体" w:hint="default"/>
                <w:sz w:val="18"/>
                <w:szCs w:val="18"/>
              </w:rPr>
            </w:pPr>
            <w:r>
              <w:rPr>
                <w:rFonts w:ascii="宋体" w:hAnsi="宋体" w:cs="宋体" w:eastAsia="宋体" w:hint="default"/>
                <w:sz w:val="18"/>
                <w:szCs w:val="18"/>
              </w:rPr>
              <w:t>其 他</w:t>
            </w:r>
          </w:p>
        </w:tc>
        <w:tc>
          <w:tcPr>
            <w:tcW w:w="1279" w:type="dxa"/>
            <w:vMerge/>
            <w:tcBorders>
              <w:left w:val="single" w:sz="4" w:space="0" w:color="000000"/>
              <w:bottom w:val="single" w:sz="4" w:space="0" w:color="000000"/>
              <w:right w:val="single" w:sz="4" w:space="0" w:color="000000"/>
            </w:tcBorders>
            <w:shd w:val="clear" w:color="auto" w:fill="D2D2D2"/>
          </w:tcPr>
          <w:p>
            <w:pPr/>
          </w:p>
        </w:tc>
        <w:tc>
          <w:tcPr>
            <w:tcW w:w="691"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9668"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713" w:hRule="exact"/>
        </w:trPr>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2" w:right="75"/>
              <w:jc w:val="left"/>
              <w:rPr>
                <w:rFonts w:ascii="宋体" w:hAnsi="宋体" w:cs="宋体" w:eastAsia="宋体" w:hint="default"/>
                <w:sz w:val="18"/>
                <w:szCs w:val="18"/>
              </w:rPr>
            </w:pPr>
            <w:r>
              <w:rPr>
                <w:rFonts w:ascii="宋体" w:hAnsi="宋体" w:cs="宋体" w:eastAsia="宋体" w:hint="default"/>
                <w:sz w:val="18"/>
                <w:szCs w:val="18"/>
              </w:rPr>
              <w:t>上海沧洱实业 有限公司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9,288,617.20</w:t>
            </w:r>
          </w:p>
        </w:tc>
        <w:tc>
          <w:tcPr>
            <w:tcW w:w="430" w:type="dxa"/>
            <w:tcBorders>
              <w:top w:val="single" w:sz="4" w:space="0" w:color="000000"/>
              <w:left w:val="single" w:sz="4" w:space="0" w:color="000000"/>
              <w:bottom w:val="single" w:sz="4" w:space="0" w:color="000000"/>
              <w:right w:val="single" w:sz="4" w:space="0" w:color="000000"/>
            </w:tcBorders>
          </w:tcPr>
          <w:p>
            <w:pPr/>
          </w:p>
        </w:tc>
        <w:tc>
          <w:tcPr>
            <w:tcW w:w="430"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3,431,940.36</w:t>
            </w:r>
          </w:p>
        </w:tc>
        <w:tc>
          <w:tcPr>
            <w:tcW w:w="689" w:type="dxa"/>
            <w:tcBorders>
              <w:top w:val="single" w:sz="4" w:space="0" w:color="000000"/>
              <w:left w:val="single" w:sz="4" w:space="0" w:color="000000"/>
              <w:bottom w:val="single" w:sz="4" w:space="0" w:color="000000"/>
              <w:right w:val="single" w:sz="4" w:space="0" w:color="000000"/>
            </w:tcBorders>
          </w:tcPr>
          <w:p>
            <w:pPr/>
          </w:p>
        </w:tc>
        <w:tc>
          <w:tcPr>
            <w:tcW w:w="559"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301"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12,720,557.56</w:t>
            </w:r>
          </w:p>
        </w:tc>
        <w:tc>
          <w:tcPr>
            <w:tcW w:w="69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9,288,617.20</w:t>
            </w:r>
          </w:p>
        </w:tc>
        <w:tc>
          <w:tcPr>
            <w:tcW w:w="430" w:type="dxa"/>
            <w:tcBorders>
              <w:top w:val="single" w:sz="4" w:space="0" w:color="000000"/>
              <w:left w:val="single" w:sz="4" w:space="0" w:color="000000"/>
              <w:bottom w:val="single" w:sz="4" w:space="0" w:color="000000"/>
              <w:right w:val="single" w:sz="4" w:space="0" w:color="000000"/>
            </w:tcBorders>
          </w:tcPr>
          <w:p>
            <w:pPr/>
          </w:p>
        </w:tc>
        <w:tc>
          <w:tcPr>
            <w:tcW w:w="430"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3,431,940.36</w:t>
            </w:r>
          </w:p>
        </w:tc>
        <w:tc>
          <w:tcPr>
            <w:tcW w:w="689" w:type="dxa"/>
            <w:tcBorders>
              <w:top w:val="single" w:sz="4" w:space="0" w:color="000000"/>
              <w:left w:val="single" w:sz="4" w:space="0" w:color="000000"/>
              <w:bottom w:val="single" w:sz="4" w:space="0" w:color="000000"/>
              <w:right w:val="single" w:sz="4" w:space="0" w:color="000000"/>
            </w:tcBorders>
          </w:tcPr>
          <w:p>
            <w:pPr/>
          </w:p>
        </w:tc>
        <w:tc>
          <w:tcPr>
            <w:tcW w:w="559"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301"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12,720,557.56</w:t>
            </w:r>
          </w:p>
        </w:tc>
        <w:tc>
          <w:tcPr>
            <w:tcW w:w="69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191"/>
        <w:gridCol w:w="1282"/>
        <w:gridCol w:w="430"/>
        <w:gridCol w:w="430"/>
        <w:gridCol w:w="1373"/>
        <w:gridCol w:w="689"/>
        <w:gridCol w:w="559"/>
        <w:gridCol w:w="883"/>
        <w:gridCol w:w="562"/>
        <w:gridCol w:w="301"/>
        <w:gridCol w:w="1279"/>
        <w:gridCol w:w="691"/>
      </w:tblGrid>
      <w:tr>
        <w:trPr>
          <w:trHeight w:val="401" w:hRule="exact"/>
        </w:trPr>
        <w:tc>
          <w:tcPr>
            <w:tcW w:w="9669"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027" w:hRule="exact"/>
        </w:trPr>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融智节能环保</w:t>
            </w:r>
          </w:p>
          <w:p>
            <w:pPr>
              <w:pStyle w:val="TableParagraph"/>
              <w:spacing w:line="316" w:lineRule="auto" w:before="74"/>
              <w:ind w:left="24" w:right="75"/>
              <w:jc w:val="left"/>
              <w:rPr>
                <w:rFonts w:ascii="宋体" w:hAnsi="宋体" w:cs="宋体" w:eastAsia="宋体" w:hint="default"/>
                <w:sz w:val="18"/>
                <w:szCs w:val="18"/>
              </w:rPr>
            </w:pPr>
            <w:r>
              <w:rPr>
                <w:rFonts w:ascii="宋体" w:hAnsi="宋体" w:cs="宋体" w:eastAsia="宋体" w:hint="default"/>
                <w:sz w:val="18"/>
                <w:szCs w:val="18"/>
              </w:rPr>
              <w:t>（深圳）有限 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8,260,702.69</w:t>
            </w:r>
          </w:p>
        </w:tc>
        <w:tc>
          <w:tcPr>
            <w:tcW w:w="430" w:type="dxa"/>
            <w:tcBorders>
              <w:top w:val="single" w:sz="4" w:space="0" w:color="000000"/>
              <w:left w:val="single" w:sz="4" w:space="0" w:color="000000"/>
              <w:bottom w:val="single" w:sz="4" w:space="0" w:color="000000"/>
              <w:right w:val="single" w:sz="4" w:space="0" w:color="000000"/>
            </w:tcBorders>
          </w:tcPr>
          <w:p>
            <w:pPr/>
          </w:p>
        </w:tc>
        <w:tc>
          <w:tcPr>
            <w:tcW w:w="430"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505,498.27</w:t>
            </w:r>
          </w:p>
        </w:tc>
        <w:tc>
          <w:tcPr>
            <w:tcW w:w="689" w:type="dxa"/>
            <w:tcBorders>
              <w:top w:val="single" w:sz="4" w:space="0" w:color="000000"/>
              <w:left w:val="single" w:sz="4" w:space="0" w:color="000000"/>
              <w:bottom w:val="single" w:sz="4" w:space="0" w:color="000000"/>
              <w:right w:val="single" w:sz="4" w:space="0" w:color="000000"/>
            </w:tcBorders>
          </w:tcPr>
          <w:p>
            <w:pPr/>
          </w:p>
        </w:tc>
        <w:tc>
          <w:tcPr>
            <w:tcW w:w="559"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301"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8,766,200.96</w:t>
            </w:r>
          </w:p>
        </w:tc>
        <w:tc>
          <w:tcPr>
            <w:tcW w:w="691"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5"/>
              <w:jc w:val="both"/>
              <w:rPr>
                <w:rFonts w:ascii="宋体" w:hAnsi="宋体" w:cs="宋体" w:eastAsia="宋体" w:hint="default"/>
                <w:sz w:val="18"/>
                <w:szCs w:val="18"/>
              </w:rPr>
            </w:pPr>
            <w:r>
              <w:rPr>
                <w:rFonts w:ascii="宋体" w:hAnsi="宋体" w:cs="宋体" w:eastAsia="宋体" w:hint="default"/>
                <w:sz w:val="18"/>
                <w:szCs w:val="18"/>
              </w:rPr>
              <w:t>山东茗信股权 投资管理有限 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10,626,247.95</w:t>
            </w:r>
          </w:p>
        </w:tc>
        <w:tc>
          <w:tcPr>
            <w:tcW w:w="430" w:type="dxa"/>
            <w:tcBorders>
              <w:top w:val="single" w:sz="4" w:space="0" w:color="000000"/>
              <w:left w:val="single" w:sz="4" w:space="0" w:color="000000"/>
              <w:bottom w:val="single" w:sz="4" w:space="0" w:color="000000"/>
              <w:right w:val="single" w:sz="4" w:space="0" w:color="000000"/>
            </w:tcBorders>
          </w:tcPr>
          <w:p>
            <w:pPr/>
          </w:p>
        </w:tc>
        <w:tc>
          <w:tcPr>
            <w:tcW w:w="430"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417,562.60</w:t>
            </w:r>
          </w:p>
        </w:tc>
        <w:tc>
          <w:tcPr>
            <w:tcW w:w="689" w:type="dxa"/>
            <w:tcBorders>
              <w:top w:val="single" w:sz="4" w:space="0" w:color="000000"/>
              <w:left w:val="single" w:sz="4" w:space="0" w:color="000000"/>
              <w:bottom w:val="single" w:sz="4" w:space="0" w:color="000000"/>
              <w:right w:val="single" w:sz="4" w:space="0" w:color="000000"/>
            </w:tcBorders>
          </w:tcPr>
          <w:p>
            <w:pPr/>
          </w:p>
        </w:tc>
        <w:tc>
          <w:tcPr>
            <w:tcW w:w="559"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301"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11,043,810.55</w:t>
            </w:r>
          </w:p>
        </w:tc>
        <w:tc>
          <w:tcPr>
            <w:tcW w:w="691"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75"/>
              <w:jc w:val="left"/>
              <w:rPr>
                <w:rFonts w:ascii="宋体" w:hAnsi="宋体" w:cs="宋体" w:eastAsia="宋体" w:hint="default"/>
                <w:sz w:val="18"/>
                <w:szCs w:val="18"/>
              </w:rPr>
            </w:pPr>
            <w:r>
              <w:rPr>
                <w:rFonts w:ascii="宋体" w:hAnsi="宋体" w:cs="宋体" w:eastAsia="宋体" w:hint="default"/>
                <w:sz w:val="18"/>
                <w:szCs w:val="18"/>
              </w:rPr>
              <w:t>泰山健康保险 股份有限公司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1,280,000.00</w:t>
            </w:r>
          </w:p>
        </w:tc>
        <w:tc>
          <w:tcPr>
            <w:tcW w:w="430" w:type="dxa"/>
            <w:tcBorders>
              <w:top w:val="single" w:sz="4" w:space="0" w:color="000000"/>
              <w:left w:val="single" w:sz="4" w:space="0" w:color="000000"/>
              <w:bottom w:val="single" w:sz="4" w:space="0" w:color="000000"/>
              <w:right w:val="single" w:sz="4" w:space="0" w:color="000000"/>
            </w:tcBorders>
          </w:tcPr>
          <w:p>
            <w:pPr/>
          </w:p>
        </w:tc>
        <w:tc>
          <w:tcPr>
            <w:tcW w:w="430"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559"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301"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1,280,000.00</w:t>
            </w:r>
          </w:p>
        </w:tc>
        <w:tc>
          <w:tcPr>
            <w:tcW w:w="69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20,166,950.64</w:t>
            </w:r>
          </w:p>
        </w:tc>
        <w:tc>
          <w:tcPr>
            <w:tcW w:w="430" w:type="dxa"/>
            <w:tcBorders>
              <w:top w:val="single" w:sz="4" w:space="0" w:color="000000"/>
              <w:left w:val="single" w:sz="4" w:space="0" w:color="000000"/>
              <w:bottom w:val="single" w:sz="4" w:space="0" w:color="000000"/>
              <w:right w:val="single" w:sz="4" w:space="0" w:color="000000"/>
            </w:tcBorders>
          </w:tcPr>
          <w:p>
            <w:pPr/>
          </w:p>
        </w:tc>
        <w:tc>
          <w:tcPr>
            <w:tcW w:w="430"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923,060.87</w:t>
            </w:r>
          </w:p>
        </w:tc>
        <w:tc>
          <w:tcPr>
            <w:tcW w:w="689" w:type="dxa"/>
            <w:tcBorders>
              <w:top w:val="single" w:sz="4" w:space="0" w:color="000000"/>
              <w:left w:val="single" w:sz="4" w:space="0" w:color="000000"/>
              <w:bottom w:val="single" w:sz="4" w:space="0" w:color="000000"/>
              <w:right w:val="single" w:sz="4" w:space="0" w:color="000000"/>
            </w:tcBorders>
          </w:tcPr>
          <w:p>
            <w:pPr/>
          </w:p>
        </w:tc>
        <w:tc>
          <w:tcPr>
            <w:tcW w:w="559"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301"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21,090,011.51</w:t>
            </w:r>
          </w:p>
        </w:tc>
        <w:tc>
          <w:tcPr>
            <w:tcW w:w="691"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29,455,567.84</w:t>
            </w:r>
          </w:p>
        </w:tc>
        <w:tc>
          <w:tcPr>
            <w:tcW w:w="430" w:type="dxa"/>
            <w:tcBorders>
              <w:top w:val="single" w:sz="4" w:space="0" w:color="000000"/>
              <w:left w:val="single" w:sz="4" w:space="0" w:color="000000"/>
              <w:bottom w:val="single" w:sz="4" w:space="0" w:color="000000"/>
              <w:right w:val="single" w:sz="4" w:space="0" w:color="000000"/>
            </w:tcBorders>
          </w:tcPr>
          <w:p>
            <w:pPr/>
          </w:p>
        </w:tc>
        <w:tc>
          <w:tcPr>
            <w:tcW w:w="430"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4,355,001.23</w:t>
            </w:r>
          </w:p>
        </w:tc>
        <w:tc>
          <w:tcPr>
            <w:tcW w:w="689" w:type="dxa"/>
            <w:tcBorders>
              <w:top w:val="single" w:sz="4" w:space="0" w:color="000000"/>
              <w:left w:val="single" w:sz="4" w:space="0" w:color="000000"/>
              <w:bottom w:val="single" w:sz="4" w:space="0" w:color="000000"/>
              <w:right w:val="single" w:sz="4" w:space="0" w:color="000000"/>
            </w:tcBorders>
          </w:tcPr>
          <w:p>
            <w:pPr/>
          </w:p>
        </w:tc>
        <w:tc>
          <w:tcPr>
            <w:tcW w:w="559"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301"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33,810,569.07</w:t>
            </w:r>
          </w:p>
        </w:tc>
        <w:tc>
          <w:tcPr>
            <w:tcW w:w="69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12、其他权益工具投资" w:id="264"/>
      <w:bookmarkEnd w:id="264"/>
      <w:r>
        <w:rPr>
          <w:b w:val="0"/>
          <w:bCs w:val="0"/>
        </w:rPr>
      </w:r>
      <w:r>
        <w:rPr>
          <w:rFonts w:ascii="Times New Roman" w:hAnsi="Times New Roman" w:cs="Times New Roman" w:eastAsia="Times New Roman" w:hint="default"/>
        </w:rPr>
        <w:t>12</w:t>
      </w:r>
      <w:r>
        <w:rPr/>
        <w:t>、其他权益工具投资</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pict>
          <v:group style="position:absolute;margin-left:241.25pt;margin-top:59.511742pt;width:154.35pt;height:20.8pt;mso-position-horizontal-relative:page;mso-position-vertical-relative:paragraph;z-index:-1094488" coordorigin="4825,1190" coordsize="3087,416">
            <v:group style="position:absolute;left:4837;top:1202;width:2;height:392" coordorigin="4837,1202" coordsize="2,392">
              <v:shape style="position:absolute;left:4837;top:1202;width:2;height:392" coordorigin="4837,1202" coordsize="0,392" path="m4837,1202l4837,1593e" filled="false" stroked="true" strokeweight="1.2pt" strokecolor="#ffffff">
                <v:path arrowok="t"/>
              </v:shape>
            </v:group>
            <v:group style="position:absolute;left:4849;top:1202;width:3063;height:392" coordorigin="4849,1202" coordsize="3063,392">
              <v:shape style="position:absolute;left:4849;top:1202;width:3063;height:392" coordorigin="4849,1202" coordsize="3063,392" path="m4849,1593l7912,1593,7912,1202,4849,1202,4849,1593xe" filled="true" fillcolor="#ffffff" stroked="false">
                <v:path arrowok="t"/>
                <v:fill type="solid"/>
              </v:shape>
            </v:group>
            <w10:wrap type="none"/>
          </v:group>
        </w:pict>
      </w: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687"/>
        <w:gridCol w:w="3118"/>
        <w:gridCol w:w="2765"/>
      </w:tblGrid>
      <w:tr>
        <w:trPr>
          <w:trHeight w:val="40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北京中轨股权投资中心（有限合伙）</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5,000,000.00</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5,000,000.00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3"/>
                <w:sz w:val="18"/>
                <w:szCs w:val="18"/>
              </w:rPr>
              <w:t>深圳市嘉诚富通基金管理合伙企业（有限合伙</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tabs>
                <w:tab w:pos="2052" w:val="left" w:leader="none"/>
              </w:tabs>
              <w:spacing w:line="240" w:lineRule="auto" w:before="51"/>
              <w:ind w:left="-124" w:right="19"/>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pacing w:val="-1"/>
                <w:sz w:val="18"/>
                <w:szCs w:val="18"/>
              </w:rPr>
              <w:t>25,552,246.03</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19,200,000.00</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北京达实德润能源科技有限公司</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575,000.00</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575,000.00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上海达实联欣科技发展有限公司</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31,456,573.46</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61,200,000.00</w:t>
            </w:r>
          </w:p>
        </w:tc>
      </w:tr>
      <w:tr>
        <w:trPr>
          <w:trHeight w:val="404"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62,583,819.49</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85,975,000.00</w:t>
            </w:r>
          </w:p>
        </w:tc>
      </w:tr>
    </w:tbl>
    <w:p>
      <w:pPr>
        <w:pStyle w:val="BodyText"/>
        <w:spacing w:line="240" w:lineRule="auto" w:before="49"/>
        <w:ind w:right="1133"/>
        <w:jc w:val="left"/>
      </w:pPr>
      <w:r>
        <w:rPr/>
        <w:t>分项披露本期非交易性权益工具投资</w:t>
      </w:r>
    </w:p>
    <w:p>
      <w:pPr>
        <w:pStyle w:val="BodyText"/>
        <w:spacing w:line="240" w:lineRule="auto" w:before="115"/>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87"/>
        <w:gridCol w:w="605"/>
        <w:gridCol w:w="1001"/>
        <w:gridCol w:w="1092"/>
        <w:gridCol w:w="1097"/>
        <w:gridCol w:w="3188"/>
        <w:gridCol w:w="1099"/>
      </w:tblGrid>
      <w:tr>
        <w:trPr>
          <w:trHeight w:val="1025" w:hRule="exact"/>
        </w:trPr>
        <w:tc>
          <w:tcPr>
            <w:tcW w:w="15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430"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6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8" w:right="24"/>
              <w:jc w:val="center"/>
              <w:rPr>
                <w:rFonts w:ascii="宋体" w:hAnsi="宋体" w:cs="宋体" w:eastAsia="宋体" w:hint="default"/>
                <w:sz w:val="18"/>
                <w:szCs w:val="18"/>
              </w:rPr>
            </w:pPr>
            <w:r>
              <w:rPr>
                <w:rFonts w:ascii="宋体" w:hAnsi="宋体" w:cs="宋体" w:eastAsia="宋体" w:hint="default"/>
                <w:sz w:val="18"/>
                <w:szCs w:val="18"/>
              </w:rPr>
              <w:t>确认的 股利收 入</w:t>
            </w:r>
          </w:p>
        </w:tc>
        <w:tc>
          <w:tcPr>
            <w:tcW w:w="1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 w:right="0"/>
              <w:jc w:val="center"/>
              <w:rPr>
                <w:rFonts w:ascii="宋体" w:hAnsi="宋体" w:cs="宋体" w:eastAsia="宋体" w:hint="default"/>
                <w:sz w:val="18"/>
                <w:szCs w:val="18"/>
              </w:rPr>
            </w:pPr>
            <w:r>
              <w:rPr>
                <w:rFonts w:ascii="宋体" w:hAnsi="宋体" w:cs="宋体" w:eastAsia="宋体" w:hint="default"/>
                <w:sz w:val="18"/>
                <w:szCs w:val="18"/>
              </w:rPr>
              <w:t>累计利得</w:t>
            </w:r>
          </w:p>
        </w:tc>
        <w:tc>
          <w:tcPr>
            <w:tcW w:w="10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累计损失</w:t>
            </w:r>
          </w:p>
        </w:tc>
        <w:tc>
          <w:tcPr>
            <w:tcW w:w="10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93" w:right="93"/>
              <w:jc w:val="both"/>
              <w:rPr>
                <w:rFonts w:ascii="宋体" w:hAnsi="宋体" w:cs="宋体" w:eastAsia="宋体" w:hint="default"/>
                <w:sz w:val="18"/>
                <w:szCs w:val="18"/>
              </w:rPr>
            </w:pPr>
            <w:r>
              <w:rPr>
                <w:rFonts w:ascii="宋体" w:hAnsi="宋体" w:cs="宋体" w:eastAsia="宋体" w:hint="default"/>
                <w:sz w:val="18"/>
                <w:szCs w:val="18"/>
              </w:rPr>
              <w:t>其他综合收 益转入留存 收益的金额</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4" w:lineRule="auto"/>
              <w:ind w:left="868" w:right="56" w:hanging="809"/>
              <w:jc w:val="left"/>
              <w:rPr>
                <w:rFonts w:ascii="宋体" w:hAnsi="宋体" w:cs="宋体" w:eastAsia="宋体" w:hint="default"/>
                <w:sz w:val="18"/>
                <w:szCs w:val="18"/>
              </w:rPr>
            </w:pPr>
            <w:r>
              <w:rPr>
                <w:rFonts w:ascii="宋体" w:hAnsi="宋体" w:cs="宋体" w:eastAsia="宋体" w:hint="default"/>
                <w:sz w:val="18"/>
                <w:szCs w:val="18"/>
              </w:rPr>
              <w:t>指定为以公允价值计量且其变动计入其 他综合收益的原因</w:t>
            </w:r>
          </w:p>
        </w:tc>
        <w:tc>
          <w:tcPr>
            <w:tcW w:w="10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93" w:right="95"/>
              <w:jc w:val="both"/>
              <w:rPr>
                <w:rFonts w:ascii="宋体" w:hAnsi="宋体" w:cs="宋体" w:eastAsia="宋体" w:hint="default"/>
                <w:sz w:val="18"/>
                <w:szCs w:val="18"/>
              </w:rPr>
            </w:pPr>
            <w:r>
              <w:rPr>
                <w:rFonts w:ascii="宋体" w:hAnsi="宋体" w:cs="宋体" w:eastAsia="宋体" w:hint="default"/>
                <w:sz w:val="18"/>
                <w:szCs w:val="18"/>
              </w:rPr>
              <w:t>其他综合收 益转入留存 收益的原因</w:t>
            </w:r>
          </w:p>
        </w:tc>
      </w:tr>
      <w:tr>
        <w:trPr>
          <w:trHeight w:val="1027"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4" w:right="111"/>
              <w:jc w:val="left"/>
              <w:rPr>
                <w:rFonts w:ascii="宋体" w:hAnsi="宋体" w:cs="宋体" w:eastAsia="宋体" w:hint="default"/>
                <w:sz w:val="18"/>
                <w:szCs w:val="18"/>
              </w:rPr>
            </w:pPr>
            <w:r>
              <w:rPr>
                <w:rFonts w:ascii="宋体" w:hAnsi="宋体" w:cs="宋体" w:eastAsia="宋体" w:hint="default"/>
                <w:sz w:val="18"/>
                <w:szCs w:val="18"/>
              </w:rPr>
              <w:t>北京中轨股权投资 中心（有限合伙）</w:t>
            </w:r>
          </w:p>
        </w:tc>
        <w:tc>
          <w:tcPr>
            <w:tcW w:w="60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92"/>
              <w:jc w:val="both"/>
              <w:rPr>
                <w:rFonts w:ascii="宋体" w:hAnsi="宋体" w:cs="宋体" w:eastAsia="宋体" w:hint="default"/>
                <w:sz w:val="18"/>
                <w:szCs w:val="18"/>
              </w:rPr>
            </w:pPr>
            <w:r>
              <w:rPr>
                <w:rFonts w:ascii="宋体" w:hAnsi="宋体" w:cs="宋体" w:eastAsia="宋体" w:hint="default"/>
                <w:sz w:val="18"/>
                <w:szCs w:val="18"/>
              </w:rPr>
              <w:t>公司持有股份既以收取合同现金流量为 目标又以出售该项金融资产为目标，且 持有目的并非为了短期内出售</w:t>
            </w:r>
          </w:p>
        </w:tc>
        <w:tc>
          <w:tcPr>
            <w:tcW w:w="1099"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3"/>
              <w:jc w:val="left"/>
              <w:rPr>
                <w:rFonts w:ascii="宋体" w:hAnsi="宋体" w:cs="宋体" w:eastAsia="宋体" w:hint="default"/>
                <w:sz w:val="18"/>
                <w:szCs w:val="18"/>
              </w:rPr>
            </w:pPr>
            <w:r>
              <w:rPr>
                <w:rFonts w:ascii="宋体" w:hAnsi="宋体" w:cs="宋体" w:eastAsia="宋体" w:hint="default"/>
                <w:sz w:val="18"/>
                <w:szCs w:val="18"/>
              </w:rPr>
              <w:t>深圳市嘉诚富通基 </w:t>
            </w:r>
            <w:r>
              <w:rPr>
                <w:rFonts w:ascii="宋体" w:hAnsi="宋体" w:cs="宋体" w:eastAsia="宋体" w:hint="default"/>
                <w:spacing w:val="-11"/>
                <w:sz w:val="18"/>
                <w:szCs w:val="18"/>
              </w:rPr>
              <w:t>金管理合伙企业（有</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限合伙）</w:t>
            </w:r>
          </w:p>
        </w:tc>
        <w:tc>
          <w:tcPr>
            <w:tcW w:w="60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1,352,246.03</w:t>
            </w:r>
          </w:p>
        </w:tc>
        <w:tc>
          <w:tcPr>
            <w:tcW w:w="1092"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92"/>
              <w:jc w:val="both"/>
              <w:rPr>
                <w:rFonts w:ascii="宋体" w:hAnsi="宋体" w:cs="宋体" w:eastAsia="宋体" w:hint="default"/>
                <w:sz w:val="18"/>
                <w:szCs w:val="18"/>
              </w:rPr>
            </w:pPr>
            <w:r>
              <w:rPr>
                <w:rFonts w:ascii="宋体" w:hAnsi="宋体" w:cs="宋体" w:eastAsia="宋体" w:hint="default"/>
                <w:sz w:val="18"/>
                <w:szCs w:val="18"/>
              </w:rPr>
              <w:t>公司持有股份既以收取合同现金流量为 目标又以出售该项金融资产为目标，且 持有目的并非为了短期内出售</w:t>
            </w:r>
          </w:p>
        </w:tc>
        <w:tc>
          <w:tcPr>
            <w:tcW w:w="1099"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4" w:right="111"/>
              <w:jc w:val="left"/>
              <w:rPr>
                <w:rFonts w:ascii="宋体" w:hAnsi="宋体" w:cs="宋体" w:eastAsia="宋体" w:hint="default"/>
                <w:sz w:val="18"/>
                <w:szCs w:val="18"/>
              </w:rPr>
            </w:pPr>
            <w:r>
              <w:rPr>
                <w:rFonts w:ascii="宋体" w:hAnsi="宋体" w:cs="宋体" w:eastAsia="宋体" w:hint="default"/>
                <w:sz w:val="18"/>
                <w:szCs w:val="18"/>
              </w:rPr>
              <w:t>北京达实德润能源 科技有限公司</w:t>
            </w:r>
          </w:p>
        </w:tc>
        <w:tc>
          <w:tcPr>
            <w:tcW w:w="60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92"/>
              <w:jc w:val="both"/>
              <w:rPr>
                <w:rFonts w:ascii="宋体" w:hAnsi="宋体" w:cs="宋体" w:eastAsia="宋体" w:hint="default"/>
                <w:sz w:val="18"/>
                <w:szCs w:val="18"/>
              </w:rPr>
            </w:pPr>
            <w:r>
              <w:rPr>
                <w:rFonts w:ascii="宋体" w:hAnsi="宋体" w:cs="宋体" w:eastAsia="宋体" w:hint="default"/>
                <w:sz w:val="18"/>
                <w:szCs w:val="18"/>
              </w:rPr>
              <w:t>公司持有股份既以收取合同现金流量为 目标又以出售该项金融资产为目标，且 持有目的并非为了短期内出售</w:t>
            </w:r>
          </w:p>
        </w:tc>
        <w:tc>
          <w:tcPr>
            <w:tcW w:w="1099"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4" w:lineRule="auto"/>
              <w:ind w:left="24" w:right="111"/>
              <w:jc w:val="left"/>
              <w:rPr>
                <w:rFonts w:ascii="宋体" w:hAnsi="宋体" w:cs="宋体" w:eastAsia="宋体" w:hint="default"/>
                <w:sz w:val="18"/>
                <w:szCs w:val="18"/>
              </w:rPr>
            </w:pPr>
            <w:r>
              <w:rPr>
                <w:rFonts w:ascii="宋体" w:hAnsi="宋体" w:cs="宋体" w:eastAsia="宋体" w:hint="default"/>
                <w:sz w:val="18"/>
                <w:szCs w:val="18"/>
              </w:rPr>
              <w:t>上海达实联欣科技 发展有限公司</w:t>
            </w:r>
          </w:p>
        </w:tc>
        <w:tc>
          <w:tcPr>
            <w:tcW w:w="605"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29,743,426.54</w:t>
            </w:r>
          </w:p>
        </w:tc>
        <w:tc>
          <w:tcPr>
            <w:tcW w:w="1097" w:type="dxa"/>
            <w:tcBorders>
              <w:top w:val="single" w:sz="4" w:space="0" w:color="000000"/>
              <w:left w:val="single" w:sz="4" w:space="0" w:color="000000"/>
              <w:bottom w:val="single" w:sz="4" w:space="0" w:color="000000"/>
              <w:right w:val="single" w:sz="4" w:space="0" w:color="000000"/>
            </w:tcBorders>
          </w:tcPr>
          <w:p>
            <w:pP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92"/>
              <w:jc w:val="both"/>
              <w:rPr>
                <w:rFonts w:ascii="宋体" w:hAnsi="宋体" w:cs="宋体" w:eastAsia="宋体" w:hint="default"/>
                <w:sz w:val="18"/>
                <w:szCs w:val="18"/>
              </w:rPr>
            </w:pPr>
            <w:r>
              <w:rPr>
                <w:rFonts w:ascii="宋体" w:hAnsi="宋体" w:cs="宋体" w:eastAsia="宋体" w:hint="default"/>
                <w:sz w:val="18"/>
                <w:szCs w:val="18"/>
              </w:rPr>
              <w:t>公司持有股份既以收取合同现金流量为 目标又以出售该项金融资产为目标，且 持有目的并非为了短期内出售</w:t>
            </w:r>
          </w:p>
        </w:tc>
        <w:tc>
          <w:tcPr>
            <w:tcW w:w="109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1133"/>
        <w:jc w:val="left"/>
        <w:rPr>
          <w:b w:val="0"/>
          <w:bCs w:val="0"/>
        </w:rPr>
      </w:pPr>
      <w:bookmarkStart w:name="13、投资性房地产" w:id="265"/>
      <w:bookmarkEnd w:id="265"/>
      <w:r>
        <w:rPr>
          <w:b w:val="0"/>
          <w:bCs w:val="0"/>
        </w:rPr>
      </w:r>
      <w:r>
        <w:rPr>
          <w:rFonts w:ascii="Times New Roman" w:hAnsi="Times New Roman" w:cs="Times New Roman" w:eastAsia="Times New Roman" w:hint="default"/>
        </w:rPr>
        <w:t>13</w:t>
      </w:r>
      <w:r>
        <w:rPr/>
        <w:t>、投资性房地产</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33"/>
        <w:jc w:val="left"/>
        <w:rPr>
          <w:b w:val="0"/>
          <w:bCs w:val="0"/>
        </w:rPr>
      </w:pPr>
      <w:bookmarkStart w:name="（1）采用成本计量模式的投资性房地产" w:id="266"/>
      <w:bookmarkEnd w:id="266"/>
      <w:r>
        <w:rPr>
          <w:b w:val="0"/>
          <w:bCs w:val="0"/>
        </w:rPr>
      </w:r>
      <w:r>
        <w:rPr/>
        <w:t>（</w:t>
      </w:r>
      <w:r>
        <w:rPr>
          <w:rFonts w:ascii="Times New Roman" w:hAnsi="Times New Roman" w:cs="Times New Roman" w:eastAsia="Times New Roman" w:hint="default"/>
        </w:rPr>
        <w:t>1</w:t>
      </w:r>
      <w:r>
        <w:rPr/>
        <w:t>）采用成本计量模式的投资性房地产</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31" w:type="dxa"/>
        <w:tblLayout w:type="fixed"/>
        <w:tblCellMar>
          <w:top w:w="0" w:type="dxa"/>
          <w:left w:w="0" w:type="dxa"/>
          <w:bottom w:w="0" w:type="dxa"/>
          <w:right w:w="0" w:type="dxa"/>
        </w:tblCellMar>
        <w:tblLook w:val="01E0"/>
      </w:tblPr>
      <w:tblGrid>
        <w:gridCol w:w="4177"/>
        <w:gridCol w:w="1596"/>
        <w:gridCol w:w="1284"/>
        <w:gridCol w:w="1042"/>
        <w:gridCol w:w="1586"/>
      </w:tblGrid>
      <w:tr>
        <w:trPr>
          <w:trHeight w:val="403"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87"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0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5"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5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596" w:type="dxa"/>
            <w:tcBorders>
              <w:top w:val="single" w:sz="4" w:space="0" w:color="000000"/>
              <w:left w:val="single" w:sz="13" w:space="0" w:color="D2D2D2"/>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101,948,730.35</w:t>
            </w: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101,948,730.35</w:t>
            </w: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5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403,333,858.95</w:t>
            </w: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403,333,858.95</w:t>
            </w:r>
          </w:p>
        </w:tc>
      </w:tr>
      <w:tr>
        <w:trPr>
          <w:trHeight w:val="403"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）外购</w:t>
            </w:r>
          </w:p>
        </w:tc>
        <w:tc>
          <w:tcPr>
            <w:tcW w:w="1596" w:type="dxa"/>
            <w:tcBorders>
              <w:top w:val="single" w:sz="4" w:space="0" w:color="000000"/>
              <w:left w:val="single" w:sz="13" w:space="0" w:color="D2D2D2"/>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）存货</w:t>
            </w:r>
            <w:r>
              <w:rPr>
                <w:rFonts w:ascii="Times New Roman" w:hAnsi="Times New Roman" w:cs="Times New Roman" w:eastAsia="Times New Roman" w:hint="default"/>
                <w:sz w:val="18"/>
                <w:szCs w:val="18"/>
              </w:rPr>
              <w:t>\</w:t>
            </w:r>
            <w:r>
              <w:rPr>
                <w:rFonts w:ascii="宋体" w:hAnsi="宋体" w:cs="宋体" w:eastAsia="宋体" w:hint="default"/>
                <w:sz w:val="18"/>
                <w:szCs w:val="18"/>
              </w:rPr>
              <w:t>固定资产</w:t>
            </w:r>
            <w:r>
              <w:rPr>
                <w:rFonts w:ascii="Times New Roman" w:hAnsi="Times New Roman" w:cs="Times New Roman" w:eastAsia="Times New Roman" w:hint="default"/>
                <w:sz w:val="18"/>
                <w:szCs w:val="18"/>
              </w:rPr>
              <w:t>\</w:t>
            </w:r>
            <w:r>
              <w:rPr>
                <w:rFonts w:ascii="宋体" w:hAnsi="宋体" w:cs="宋体" w:eastAsia="宋体" w:hint="default"/>
                <w:sz w:val="18"/>
                <w:szCs w:val="18"/>
              </w:rPr>
              <w:t>在建工程转入</w:t>
            </w:r>
          </w:p>
        </w:tc>
        <w:tc>
          <w:tcPr>
            <w:tcW w:w="15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403,333,858.95</w:t>
            </w: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403,333,858.95</w:t>
            </w: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）企业合并增加</w:t>
            </w:r>
          </w:p>
        </w:tc>
        <w:tc>
          <w:tcPr>
            <w:tcW w:w="1596" w:type="dxa"/>
            <w:tcBorders>
              <w:top w:val="single" w:sz="4" w:space="0" w:color="000000"/>
              <w:left w:val="single" w:sz="13" w:space="0" w:color="D2D2D2"/>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5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92,445,765.46</w:t>
            </w: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92,445,765.46</w:t>
            </w: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596" w:type="dxa"/>
            <w:tcBorders>
              <w:top w:val="single" w:sz="4" w:space="0" w:color="000000"/>
              <w:left w:val="single" w:sz="13" w:space="0" w:color="D2D2D2"/>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5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92,445,765.46</w:t>
            </w: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92,445,765.46</w:t>
            </w: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412,836,823.84</w:t>
            </w: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412,836,823.84</w:t>
            </w: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二、累计折旧和累计摊销</w:t>
            </w:r>
          </w:p>
        </w:tc>
        <w:tc>
          <w:tcPr>
            <w:tcW w:w="1596" w:type="dxa"/>
            <w:tcBorders>
              <w:top w:val="single" w:sz="4" w:space="0" w:color="000000"/>
              <w:left w:val="single" w:sz="13" w:space="0" w:color="D2D2D2"/>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57,321,707.69</w:t>
            </w: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57,321,707.69</w:t>
            </w: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5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9,506,995.12</w:t>
            </w: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9,506,995.12</w:t>
            </w: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）计提或摊销</w:t>
            </w:r>
          </w:p>
        </w:tc>
        <w:tc>
          <w:tcPr>
            <w:tcW w:w="15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9,506,995.12</w:t>
            </w: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9,506,995.12</w:t>
            </w: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5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50,394,226.51</w:t>
            </w: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50,394,226.51</w:t>
            </w: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596" w:type="dxa"/>
            <w:tcBorders>
              <w:top w:val="single" w:sz="4" w:space="0" w:color="000000"/>
              <w:left w:val="single" w:sz="13" w:space="0" w:color="D2D2D2"/>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5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50,394,226.51</w:t>
            </w: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50,394,226.51</w:t>
            </w: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16,434,476.30</w:t>
            </w: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16,434,476.30</w:t>
            </w: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596" w:type="dxa"/>
            <w:tcBorders>
              <w:top w:val="single" w:sz="4" w:space="0" w:color="000000"/>
              <w:left w:val="single" w:sz="13" w:space="0" w:color="D2D2D2"/>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6" w:type="dxa"/>
            <w:tcBorders>
              <w:top w:val="single" w:sz="4" w:space="0" w:color="000000"/>
              <w:left w:val="single" w:sz="13" w:space="0" w:color="D2D2D2"/>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596" w:type="dxa"/>
            <w:tcBorders>
              <w:top w:val="single" w:sz="4" w:space="0" w:color="000000"/>
              <w:left w:val="single" w:sz="13" w:space="0" w:color="D2D2D2"/>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596" w:type="dxa"/>
            <w:tcBorders>
              <w:top w:val="single" w:sz="4" w:space="0" w:color="000000"/>
              <w:left w:val="single" w:sz="13" w:space="0" w:color="D2D2D2"/>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596" w:type="dxa"/>
            <w:tcBorders>
              <w:top w:val="single" w:sz="4" w:space="0" w:color="000000"/>
              <w:left w:val="single" w:sz="13" w:space="0" w:color="D2D2D2"/>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596" w:type="dxa"/>
            <w:tcBorders>
              <w:top w:val="single" w:sz="4" w:space="0" w:color="000000"/>
              <w:left w:val="single" w:sz="13" w:space="0" w:color="D2D2D2"/>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596" w:type="dxa"/>
            <w:tcBorders>
              <w:top w:val="single" w:sz="4" w:space="0" w:color="000000"/>
              <w:left w:val="single" w:sz="13" w:space="0" w:color="D2D2D2"/>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6" w:type="dxa"/>
            <w:tcBorders>
              <w:top w:val="single" w:sz="4" w:space="0" w:color="000000"/>
              <w:left w:val="single" w:sz="13" w:space="0" w:color="D2D2D2"/>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596" w:type="dxa"/>
            <w:tcBorders>
              <w:top w:val="single" w:sz="4" w:space="0" w:color="000000"/>
              <w:left w:val="single" w:sz="13" w:space="0" w:color="D2D2D2"/>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5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396,402,347.54</w:t>
            </w: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396,402,347.54</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20" w:type="dxa"/>
        <w:tblLayout w:type="fixed"/>
        <w:tblCellMar>
          <w:top w:w="0" w:type="dxa"/>
          <w:left w:w="0" w:type="dxa"/>
          <w:bottom w:w="0" w:type="dxa"/>
          <w:right w:w="0" w:type="dxa"/>
        </w:tblCellMar>
        <w:tblLook w:val="01E0"/>
      </w:tblPr>
      <w:tblGrid>
        <w:gridCol w:w="4200"/>
        <w:gridCol w:w="1584"/>
        <w:gridCol w:w="1284"/>
        <w:gridCol w:w="1042"/>
        <w:gridCol w:w="1586"/>
      </w:tblGrid>
      <w:tr>
        <w:trPr>
          <w:trHeight w:val="404" w:hRule="exact"/>
        </w:trPr>
        <w:tc>
          <w:tcPr>
            <w:tcW w:w="4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0" w:right="0"/>
              <w:jc w:val="left"/>
              <w:rPr>
                <w:rFonts w:ascii="Times New Roman" w:hAnsi="Times New Roman" w:cs="Times New Roman" w:eastAsia="Times New Roman" w:hint="default"/>
                <w:sz w:val="18"/>
                <w:szCs w:val="18"/>
              </w:rPr>
            </w:pPr>
            <w:r>
              <w:rPr>
                <w:rFonts w:ascii="Times New Roman"/>
                <w:sz w:val="18"/>
              </w:rPr>
              <w:t>44,627,022.66</w:t>
            </w:r>
          </w:p>
        </w:tc>
        <w:tc>
          <w:tcPr>
            <w:tcW w:w="1284"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0" w:right="0"/>
              <w:jc w:val="left"/>
              <w:rPr>
                <w:rFonts w:ascii="Times New Roman" w:hAnsi="Times New Roman" w:cs="Times New Roman" w:eastAsia="Times New Roman" w:hint="default"/>
                <w:sz w:val="18"/>
                <w:szCs w:val="18"/>
              </w:rPr>
            </w:pPr>
            <w:r>
              <w:rPr>
                <w:rFonts w:ascii="Times New Roman"/>
                <w:sz w:val="18"/>
              </w:rPr>
              <w:t>44,627,022.66</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采用公允价值计量模式的投资性房地产" w:id="267"/>
      <w:bookmarkEnd w:id="267"/>
      <w:r>
        <w:rPr>
          <w:b w:val="0"/>
          <w:bCs w:val="0"/>
        </w:rPr>
      </w:r>
      <w:r>
        <w:rPr/>
        <w:t>（</w:t>
      </w:r>
      <w:r>
        <w:rPr>
          <w:rFonts w:ascii="Times New Roman" w:hAnsi="Times New Roman" w:cs="Times New Roman" w:eastAsia="Times New Roman" w:hint="default"/>
        </w:rPr>
        <w:t>2</w:t>
      </w:r>
      <w:r>
        <w:rPr/>
        <w:t>）采用公允价值计量模式的投资性房地产</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4"/>
        <w:spacing w:line="240" w:lineRule="auto"/>
        <w:ind w:right="1133"/>
        <w:jc w:val="left"/>
        <w:rPr>
          <w:b w:val="0"/>
          <w:bCs w:val="0"/>
        </w:rPr>
      </w:pPr>
      <w:bookmarkStart w:name="（3）未办妥产权证书的投资性房地产情况" w:id="268"/>
      <w:bookmarkEnd w:id="268"/>
      <w:r>
        <w:rPr>
          <w:b w:val="0"/>
          <w:bCs w:val="0"/>
        </w:rPr>
      </w:r>
      <w:r>
        <w:rPr/>
        <w:t>（</w:t>
      </w:r>
      <w:r>
        <w:rPr>
          <w:rFonts w:ascii="Times New Roman" w:hAnsi="Times New Roman" w:cs="Times New Roman" w:eastAsia="Times New Roman" w:hint="default"/>
        </w:rPr>
        <w:t>3</w:t>
      </w:r>
      <w:r>
        <w:rPr/>
        <w:t>）未办妥产权证书的投资性房地产情况</w:t>
      </w:r>
      <w:r>
        <w:rPr>
          <w:b w:val="0"/>
          <w:bCs w:val="0"/>
        </w:rPr>
      </w:r>
    </w:p>
    <w:p>
      <w:pPr>
        <w:spacing w:line="240" w:lineRule="auto" w:before="4"/>
        <w:rPr>
          <w:rFonts w:ascii="宋体" w:hAnsi="宋体" w:cs="宋体" w:eastAsia="宋体" w:hint="default"/>
          <w:b/>
          <w:bCs/>
          <w:sz w:val="26"/>
          <w:szCs w:val="26"/>
        </w:rPr>
      </w:pPr>
    </w:p>
    <w:p>
      <w:pPr>
        <w:pStyle w:val="BodyText"/>
        <w:spacing w:line="357" w:lineRule="auto"/>
        <w:ind w:right="5849"/>
        <w:jc w:val="left"/>
      </w:pPr>
      <w:r>
        <w:rPr/>
        <w:t>其他说明 期末用于抵押借款的投资性房地产账面价值</w:t>
      </w:r>
      <w:r>
        <w:rPr>
          <w:rFonts w:ascii="Times New Roman" w:hAnsi="Times New Roman" w:cs="Times New Roman" w:eastAsia="Times New Roman" w:hint="default"/>
        </w:rPr>
        <w:t>395,948,291.42</w:t>
      </w:r>
      <w:r>
        <w:rPr/>
        <w:t>元。</w:t>
      </w:r>
    </w:p>
    <w:p>
      <w:pPr>
        <w:spacing w:line="240" w:lineRule="auto" w:before="9"/>
        <w:rPr>
          <w:rFonts w:ascii="宋体" w:hAnsi="宋体" w:cs="宋体" w:eastAsia="宋体" w:hint="default"/>
          <w:sz w:val="18"/>
          <w:szCs w:val="18"/>
        </w:rPr>
      </w:pPr>
    </w:p>
    <w:p>
      <w:pPr>
        <w:pStyle w:val="Heading4"/>
        <w:spacing w:line="240" w:lineRule="auto"/>
        <w:ind w:right="1133"/>
        <w:jc w:val="left"/>
        <w:rPr>
          <w:b w:val="0"/>
          <w:bCs w:val="0"/>
        </w:rPr>
      </w:pPr>
      <w:bookmarkStart w:name="14、固定资产" w:id="269"/>
      <w:bookmarkEnd w:id="269"/>
      <w:r>
        <w:rPr>
          <w:b w:val="0"/>
          <w:bCs w:val="0"/>
        </w:rPr>
      </w:r>
      <w:r>
        <w:rPr>
          <w:rFonts w:ascii="Times New Roman" w:hAnsi="Times New Roman" w:cs="Times New Roman" w:eastAsia="Times New Roman" w:hint="default"/>
        </w:rPr>
        <w:t>14</w:t>
      </w:r>
      <w:r>
        <w:rPr/>
        <w:t>、固定资产</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473,645,008.29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162,304,668.60</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473,645,008.29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162,304,668.60</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1）固定资产情况" w:id="270"/>
      <w:bookmarkEnd w:id="270"/>
      <w:r>
        <w:rPr>
          <w:b w:val="0"/>
          <w:bCs w:val="0"/>
        </w:rPr>
      </w:r>
      <w:r>
        <w:rPr/>
        <w:t>（</w:t>
      </w:r>
      <w:r>
        <w:rPr>
          <w:rFonts w:ascii="Times New Roman" w:hAnsi="Times New Roman" w:cs="Times New Roman" w:eastAsia="Times New Roman" w:hint="default"/>
        </w:rPr>
        <w:t>1</w:t>
      </w:r>
      <w:r>
        <w:rPr/>
        <w:t>）固定资产情况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31" w:type="dxa"/>
        <w:tblLayout w:type="fixed"/>
        <w:tblCellMar>
          <w:top w:w="0" w:type="dxa"/>
          <w:left w:w="0" w:type="dxa"/>
          <w:bottom w:w="0" w:type="dxa"/>
          <w:right w:w="0" w:type="dxa"/>
        </w:tblCellMar>
        <w:tblLook w:val="01E0"/>
      </w:tblPr>
      <w:tblGrid>
        <w:gridCol w:w="2610"/>
        <w:gridCol w:w="1415"/>
        <w:gridCol w:w="1296"/>
        <w:gridCol w:w="1565"/>
        <w:gridCol w:w="1395"/>
        <w:gridCol w:w="1404"/>
      </w:tblGrid>
      <w:tr>
        <w:trPr>
          <w:trHeight w:val="403" w:hRule="exact"/>
        </w:trPr>
        <w:tc>
          <w:tcPr>
            <w:tcW w:w="2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9"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5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48" w:right="0"/>
              <w:jc w:val="left"/>
              <w:rPr>
                <w:rFonts w:ascii="宋体" w:hAnsi="宋体" w:cs="宋体" w:eastAsia="宋体" w:hint="default"/>
                <w:sz w:val="18"/>
                <w:szCs w:val="18"/>
              </w:rPr>
            </w:pPr>
            <w:r>
              <w:rPr>
                <w:rFonts w:ascii="宋体" w:hAnsi="宋体" w:cs="宋体" w:eastAsia="宋体" w:hint="default"/>
                <w:sz w:val="18"/>
                <w:szCs w:val="18"/>
              </w:rPr>
              <w:t>电子及其他设备</w:t>
            </w:r>
          </w:p>
        </w:tc>
        <w:tc>
          <w:tcPr>
            <w:tcW w:w="1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3" w:right="0"/>
              <w:jc w:val="left"/>
              <w:rPr>
                <w:rFonts w:ascii="宋体" w:hAnsi="宋体" w:cs="宋体" w:eastAsia="宋体" w:hint="default"/>
                <w:sz w:val="18"/>
                <w:szCs w:val="18"/>
              </w:rPr>
            </w:pPr>
            <w:r>
              <w:rPr>
                <w:rFonts w:ascii="宋体" w:hAnsi="宋体" w:cs="宋体" w:eastAsia="宋体" w:hint="default"/>
                <w:sz w:val="18"/>
                <w:szCs w:val="18"/>
              </w:rPr>
              <w:t>节能专用设备</w:t>
            </w:r>
          </w:p>
        </w:tc>
        <w:tc>
          <w:tcPr>
            <w:tcW w:w="14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1" w:hRule="exact"/>
        </w:trPr>
        <w:tc>
          <w:tcPr>
            <w:tcW w:w="2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415" w:type="dxa"/>
            <w:tcBorders>
              <w:top w:val="single" w:sz="4" w:space="0" w:color="000000"/>
              <w:left w:val="single" w:sz="12" w:space="0" w:color="D2D2D2"/>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65" w:type="dxa"/>
            <w:tcBorders>
              <w:top w:val="single" w:sz="4" w:space="0" w:color="000000"/>
              <w:left w:val="single" w:sz="4" w:space="0" w:color="000000"/>
              <w:bottom w:val="single" w:sz="4" w:space="0" w:color="000000"/>
              <w:right w:val="single" w:sz="4" w:space="0" w:color="000000"/>
            </w:tcBorders>
          </w:tcPr>
          <w:p>
            <w:pPr/>
          </w:p>
        </w:tc>
        <w:tc>
          <w:tcPr>
            <w:tcW w:w="1395"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41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127,719,192.17</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9,981,819.34</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28,363,833.66</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173,511,842.84</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339,576,688.01</w:t>
            </w:r>
          </w:p>
        </w:tc>
      </w:tr>
      <w:tr>
        <w:trPr>
          <w:trHeight w:val="401" w:hRule="exact"/>
        </w:trPr>
        <w:tc>
          <w:tcPr>
            <w:tcW w:w="2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41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386,531,459.57</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477,714.65</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6,583,648.14</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8,852,535.86</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402,445,358.22</w:t>
            </w:r>
          </w:p>
        </w:tc>
      </w:tr>
      <w:tr>
        <w:trPr>
          <w:trHeight w:val="403" w:hRule="exact"/>
        </w:trPr>
        <w:tc>
          <w:tcPr>
            <w:tcW w:w="2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415" w:type="dxa"/>
            <w:tcBorders>
              <w:top w:val="single" w:sz="4" w:space="0" w:color="000000"/>
              <w:left w:val="single" w:sz="12" w:space="0" w:color="D2D2D2"/>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477,714.65</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2,168,448.92</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23,252.62</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2,669,416.19</w:t>
            </w:r>
          </w:p>
        </w:tc>
      </w:tr>
      <w:tr>
        <w:trPr>
          <w:trHeight w:val="401" w:hRule="exact"/>
        </w:trPr>
        <w:tc>
          <w:tcPr>
            <w:tcW w:w="2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695"/>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）在建工程转入</w:t>
            </w:r>
          </w:p>
        </w:tc>
        <w:tc>
          <w:tcPr>
            <w:tcW w:w="141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386,531,459.57</w:t>
            </w:r>
          </w:p>
        </w:tc>
        <w:tc>
          <w:tcPr>
            <w:tcW w:w="1296" w:type="dxa"/>
            <w:tcBorders>
              <w:top w:val="single" w:sz="4" w:space="0" w:color="000000"/>
              <w:left w:val="single" w:sz="4" w:space="0" w:color="000000"/>
              <w:bottom w:val="single" w:sz="4" w:space="0" w:color="000000"/>
              <w:right w:val="single" w:sz="4" w:space="0" w:color="000000"/>
            </w:tcBorders>
          </w:tcPr>
          <w:p>
            <w:pP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4,415,199.22</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8,829,283.24</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399,775,942.03</w:t>
            </w:r>
          </w:p>
        </w:tc>
      </w:tr>
      <w:tr>
        <w:trPr>
          <w:trHeight w:val="403" w:hRule="exact"/>
        </w:trPr>
        <w:tc>
          <w:tcPr>
            <w:tcW w:w="2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695"/>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）企业合并增加</w:t>
            </w:r>
          </w:p>
        </w:tc>
        <w:tc>
          <w:tcPr>
            <w:tcW w:w="1415" w:type="dxa"/>
            <w:tcBorders>
              <w:top w:val="single" w:sz="4" w:space="0" w:color="000000"/>
              <w:left w:val="single" w:sz="12" w:space="0" w:color="D2D2D2"/>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65" w:type="dxa"/>
            <w:tcBorders>
              <w:top w:val="single" w:sz="4" w:space="0" w:color="000000"/>
              <w:left w:val="single" w:sz="4" w:space="0" w:color="000000"/>
              <w:bottom w:val="single" w:sz="4" w:space="0" w:color="000000"/>
              <w:right w:val="single" w:sz="4" w:space="0" w:color="000000"/>
            </w:tcBorders>
          </w:tcPr>
          <w:p>
            <w:pPr/>
          </w:p>
        </w:tc>
        <w:tc>
          <w:tcPr>
            <w:tcW w:w="1395"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41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73,010,948.70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331,160.00</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4,882,616.11</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5,889,846.59</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84,114,571.40</w:t>
            </w:r>
          </w:p>
        </w:tc>
      </w:tr>
      <w:tr>
        <w:trPr>
          <w:trHeight w:val="403" w:hRule="exact"/>
        </w:trPr>
        <w:tc>
          <w:tcPr>
            <w:tcW w:w="2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）处置或报废</w:t>
            </w:r>
          </w:p>
        </w:tc>
        <w:tc>
          <w:tcPr>
            <w:tcW w:w="1415" w:type="dxa"/>
            <w:tcBorders>
              <w:top w:val="single" w:sz="4" w:space="0" w:color="000000"/>
              <w:left w:val="single" w:sz="12" w:space="0" w:color="D2D2D2"/>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331,160.00</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4,605,453.71</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5,772,618.00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10,709,231.71</w:t>
            </w:r>
          </w:p>
        </w:tc>
      </w:tr>
      <w:tr>
        <w:trPr>
          <w:trHeight w:val="401" w:hRule="exact"/>
        </w:trPr>
        <w:tc>
          <w:tcPr>
            <w:tcW w:w="2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692"/>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）转入在建工程</w:t>
            </w:r>
          </w:p>
        </w:tc>
        <w:tc>
          <w:tcPr>
            <w:tcW w:w="141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73,010,948.70</w:t>
            </w:r>
          </w:p>
        </w:tc>
        <w:tc>
          <w:tcPr>
            <w:tcW w:w="1296" w:type="dxa"/>
            <w:tcBorders>
              <w:top w:val="single" w:sz="4" w:space="0" w:color="000000"/>
              <w:left w:val="single" w:sz="4" w:space="0" w:color="000000"/>
              <w:bottom w:val="single" w:sz="4" w:space="0" w:color="000000"/>
              <w:right w:val="single" w:sz="4" w:space="0" w:color="000000"/>
            </w:tcBorders>
          </w:tcPr>
          <w:p>
            <w:pPr/>
          </w:p>
        </w:tc>
        <w:tc>
          <w:tcPr>
            <w:tcW w:w="1565" w:type="dxa"/>
            <w:tcBorders>
              <w:top w:val="single" w:sz="4" w:space="0" w:color="000000"/>
              <w:left w:val="single" w:sz="4" w:space="0" w:color="000000"/>
              <w:bottom w:val="single" w:sz="4" w:space="0" w:color="000000"/>
              <w:right w:val="single" w:sz="4" w:space="0" w:color="000000"/>
            </w:tcBorders>
          </w:tcPr>
          <w:p>
            <w:pPr/>
          </w:p>
        </w:tc>
        <w:tc>
          <w:tcPr>
            <w:tcW w:w="1395"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73,010,948.70</w:t>
            </w:r>
          </w:p>
        </w:tc>
      </w:tr>
      <w:tr>
        <w:trPr>
          <w:trHeight w:val="404" w:hRule="exact"/>
        </w:trPr>
        <w:tc>
          <w:tcPr>
            <w:tcW w:w="2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41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441,239,703.04</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10,128,373.99</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30,064,865.69</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176,474,532.11</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657,907,474.83</w:t>
            </w:r>
          </w:p>
        </w:tc>
      </w:tr>
      <w:tr>
        <w:trPr>
          <w:trHeight w:val="401" w:hRule="exact"/>
        </w:trPr>
        <w:tc>
          <w:tcPr>
            <w:tcW w:w="2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415" w:type="dxa"/>
            <w:tcBorders>
              <w:top w:val="single" w:sz="4" w:space="0" w:color="000000"/>
              <w:left w:val="single" w:sz="12" w:space="0" w:color="D2D2D2"/>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65" w:type="dxa"/>
            <w:tcBorders>
              <w:top w:val="single" w:sz="4" w:space="0" w:color="000000"/>
              <w:left w:val="single" w:sz="4" w:space="0" w:color="000000"/>
              <w:bottom w:val="single" w:sz="4" w:space="0" w:color="000000"/>
              <w:right w:val="single" w:sz="4" w:space="0" w:color="000000"/>
            </w:tcBorders>
          </w:tcPr>
          <w:p>
            <w:pPr/>
          </w:p>
        </w:tc>
        <w:tc>
          <w:tcPr>
            <w:tcW w:w="1395"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41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67,388,367.37</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6,495,898.97</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18,203,577.48</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85,184,175.59</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177,272,019.41</w:t>
            </w:r>
          </w:p>
        </w:tc>
      </w:tr>
      <w:tr>
        <w:trPr>
          <w:trHeight w:val="401" w:hRule="exact"/>
        </w:trPr>
        <w:tc>
          <w:tcPr>
            <w:tcW w:w="2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41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17,638,104.17</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697,915.10</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3,438,115.44</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35,291,360.61</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57,065,495.32</w:t>
            </w:r>
          </w:p>
        </w:tc>
      </w:tr>
      <w:tr>
        <w:trPr>
          <w:trHeight w:val="403" w:hRule="exact"/>
        </w:trPr>
        <w:tc>
          <w:tcPr>
            <w:tcW w:w="2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41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17,638,104.17</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697,915.10</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3,438,115.44</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35,291,360.61</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57,065,495.32</w:t>
            </w:r>
          </w:p>
        </w:tc>
      </w:tr>
      <w:tr>
        <w:trPr>
          <w:trHeight w:val="401" w:hRule="exact"/>
        </w:trPr>
        <w:tc>
          <w:tcPr>
            <w:tcW w:w="2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41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41,188,695.84</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314,602.00</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4,368,520.51</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4,203,229.84</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50,075,048.19</w:t>
            </w:r>
          </w:p>
        </w:tc>
      </w:tr>
      <w:tr>
        <w:trPr>
          <w:trHeight w:val="403" w:hRule="exact"/>
        </w:trPr>
        <w:tc>
          <w:tcPr>
            <w:tcW w:w="2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）处置或报废</w:t>
            </w:r>
          </w:p>
        </w:tc>
        <w:tc>
          <w:tcPr>
            <w:tcW w:w="1415" w:type="dxa"/>
            <w:tcBorders>
              <w:top w:val="single" w:sz="4" w:space="0" w:color="000000"/>
              <w:left w:val="single" w:sz="12" w:space="0" w:color="D2D2D2"/>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314,602.00</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4,368,520.51</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4,203,229.84</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8,886,352.35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20" w:type="dxa"/>
        <w:tblLayout w:type="fixed"/>
        <w:tblCellMar>
          <w:top w:w="0" w:type="dxa"/>
          <w:left w:w="0" w:type="dxa"/>
          <w:bottom w:w="0" w:type="dxa"/>
          <w:right w:w="0" w:type="dxa"/>
        </w:tblCellMar>
        <w:tblLook w:val="01E0"/>
      </w:tblPr>
      <w:tblGrid>
        <w:gridCol w:w="2632"/>
        <w:gridCol w:w="1405"/>
        <w:gridCol w:w="1296"/>
        <w:gridCol w:w="1565"/>
        <w:gridCol w:w="1395"/>
        <w:gridCol w:w="1404"/>
      </w:tblGrid>
      <w:tr>
        <w:trPr>
          <w:trHeight w:val="401" w:hRule="exact"/>
        </w:trPr>
        <w:tc>
          <w:tcPr>
            <w:tcW w:w="26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）转入在建工程</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41,188,695.84</w:t>
            </w:r>
          </w:p>
        </w:tc>
        <w:tc>
          <w:tcPr>
            <w:tcW w:w="1296" w:type="dxa"/>
            <w:tcBorders>
              <w:top w:val="single" w:sz="4" w:space="0" w:color="000000"/>
              <w:left w:val="single" w:sz="4" w:space="0" w:color="000000"/>
              <w:bottom w:val="single" w:sz="4" w:space="0" w:color="000000"/>
              <w:right w:val="single" w:sz="4" w:space="0" w:color="000000"/>
            </w:tcBorders>
          </w:tcPr>
          <w:p>
            <w:pPr/>
          </w:p>
        </w:tc>
        <w:tc>
          <w:tcPr>
            <w:tcW w:w="1565" w:type="dxa"/>
            <w:tcBorders>
              <w:top w:val="single" w:sz="4" w:space="0" w:color="000000"/>
              <w:left w:val="single" w:sz="4" w:space="0" w:color="000000"/>
              <w:bottom w:val="single" w:sz="4" w:space="0" w:color="000000"/>
              <w:right w:val="single" w:sz="4" w:space="0" w:color="000000"/>
            </w:tcBorders>
          </w:tcPr>
          <w:p>
            <w:pPr/>
          </w:p>
        </w:tc>
        <w:tc>
          <w:tcPr>
            <w:tcW w:w="1395"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41,188,695.84</w:t>
            </w:r>
          </w:p>
        </w:tc>
      </w:tr>
      <w:tr>
        <w:trPr>
          <w:trHeight w:val="403" w:hRule="exact"/>
        </w:trPr>
        <w:tc>
          <w:tcPr>
            <w:tcW w:w="26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43,837,775.70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6,879,212.07</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17,273,172.41</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116,272,306.36</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184,262,466.54</w:t>
            </w:r>
          </w:p>
        </w:tc>
      </w:tr>
      <w:tr>
        <w:trPr>
          <w:trHeight w:val="401" w:hRule="exact"/>
        </w:trPr>
        <w:tc>
          <w:tcPr>
            <w:tcW w:w="26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40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65" w:type="dxa"/>
            <w:tcBorders>
              <w:top w:val="single" w:sz="4" w:space="0" w:color="000000"/>
              <w:left w:val="single" w:sz="4" w:space="0" w:color="000000"/>
              <w:bottom w:val="single" w:sz="4" w:space="0" w:color="000000"/>
              <w:right w:val="single" w:sz="4" w:space="0" w:color="000000"/>
            </w:tcBorders>
          </w:tcPr>
          <w:p>
            <w:pPr/>
          </w:p>
        </w:tc>
        <w:tc>
          <w:tcPr>
            <w:tcW w:w="1395"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6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40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65" w:type="dxa"/>
            <w:tcBorders>
              <w:top w:val="single" w:sz="4" w:space="0" w:color="000000"/>
              <w:left w:val="single" w:sz="4" w:space="0" w:color="000000"/>
              <w:bottom w:val="single" w:sz="4" w:space="0" w:color="000000"/>
              <w:right w:val="single" w:sz="4" w:space="0" w:color="000000"/>
            </w:tcBorders>
          </w:tcPr>
          <w:p>
            <w:pPr/>
          </w:p>
        </w:tc>
        <w:tc>
          <w:tcPr>
            <w:tcW w:w="1395"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6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40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65" w:type="dxa"/>
            <w:tcBorders>
              <w:top w:val="single" w:sz="4" w:space="0" w:color="000000"/>
              <w:left w:val="single" w:sz="4" w:space="0" w:color="000000"/>
              <w:bottom w:val="single" w:sz="4" w:space="0" w:color="000000"/>
              <w:right w:val="single" w:sz="4" w:space="0" w:color="000000"/>
            </w:tcBorders>
          </w:tcPr>
          <w:p>
            <w:pPr/>
          </w:p>
        </w:tc>
        <w:tc>
          <w:tcPr>
            <w:tcW w:w="1395"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6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40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65" w:type="dxa"/>
            <w:tcBorders>
              <w:top w:val="single" w:sz="4" w:space="0" w:color="000000"/>
              <w:left w:val="single" w:sz="4" w:space="0" w:color="000000"/>
              <w:bottom w:val="single" w:sz="4" w:space="0" w:color="000000"/>
              <w:right w:val="single" w:sz="4" w:space="0" w:color="000000"/>
            </w:tcBorders>
          </w:tcPr>
          <w:p>
            <w:pPr/>
          </w:p>
        </w:tc>
        <w:tc>
          <w:tcPr>
            <w:tcW w:w="1395"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6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40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65" w:type="dxa"/>
            <w:tcBorders>
              <w:top w:val="single" w:sz="4" w:space="0" w:color="000000"/>
              <w:left w:val="single" w:sz="4" w:space="0" w:color="000000"/>
              <w:bottom w:val="single" w:sz="4" w:space="0" w:color="000000"/>
              <w:right w:val="single" w:sz="4" w:space="0" w:color="000000"/>
            </w:tcBorders>
          </w:tcPr>
          <w:p>
            <w:pPr/>
          </w:p>
        </w:tc>
        <w:tc>
          <w:tcPr>
            <w:tcW w:w="1395"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6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）处置或报废</w:t>
            </w:r>
          </w:p>
        </w:tc>
        <w:tc>
          <w:tcPr>
            <w:tcW w:w="140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65" w:type="dxa"/>
            <w:tcBorders>
              <w:top w:val="single" w:sz="4" w:space="0" w:color="000000"/>
              <w:left w:val="single" w:sz="4" w:space="0" w:color="000000"/>
              <w:bottom w:val="single" w:sz="4" w:space="0" w:color="000000"/>
              <w:right w:val="single" w:sz="4" w:space="0" w:color="000000"/>
            </w:tcBorders>
          </w:tcPr>
          <w:p>
            <w:pPr/>
          </w:p>
        </w:tc>
        <w:tc>
          <w:tcPr>
            <w:tcW w:w="1395"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6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40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65" w:type="dxa"/>
            <w:tcBorders>
              <w:top w:val="single" w:sz="4" w:space="0" w:color="000000"/>
              <w:left w:val="single" w:sz="4" w:space="0" w:color="000000"/>
              <w:bottom w:val="single" w:sz="4" w:space="0" w:color="000000"/>
              <w:right w:val="single" w:sz="4" w:space="0" w:color="000000"/>
            </w:tcBorders>
          </w:tcPr>
          <w:p>
            <w:pPr/>
          </w:p>
        </w:tc>
        <w:tc>
          <w:tcPr>
            <w:tcW w:w="1395"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6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405"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65" w:type="dxa"/>
            <w:tcBorders>
              <w:top w:val="single" w:sz="4" w:space="0" w:color="000000"/>
              <w:left w:val="single" w:sz="4" w:space="0" w:color="000000"/>
              <w:bottom w:val="single" w:sz="4" w:space="0" w:color="000000"/>
              <w:right w:val="single" w:sz="4" w:space="0" w:color="000000"/>
            </w:tcBorders>
          </w:tcPr>
          <w:p>
            <w:pPr/>
          </w:p>
        </w:tc>
        <w:tc>
          <w:tcPr>
            <w:tcW w:w="1395"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6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397,401,927.34</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3,249,161.92</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12,791,693.28</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60,202,225.75</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473,645,008.29</w:t>
            </w:r>
          </w:p>
        </w:tc>
      </w:tr>
      <w:tr>
        <w:trPr>
          <w:trHeight w:val="403" w:hRule="exact"/>
        </w:trPr>
        <w:tc>
          <w:tcPr>
            <w:tcW w:w="26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60,330,824.80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3,485,920.37</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10,160,256.18</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88,327,667.25</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162,304,668.60</w:t>
            </w:r>
          </w:p>
        </w:tc>
      </w:tr>
    </w:tbl>
    <w:p>
      <w:pPr>
        <w:pStyle w:val="BodyText"/>
        <w:spacing w:line="240" w:lineRule="auto" w:before="49"/>
        <w:ind w:right="1133"/>
        <w:jc w:val="left"/>
      </w:pPr>
      <w:r>
        <w:rPr/>
        <w:t>期末用于抵押借款的房屋及建筑物账面价值</w:t>
      </w:r>
      <w:r>
        <w:rPr>
          <w:spacing w:val="-48"/>
        </w:rPr>
        <w:t> </w:t>
      </w:r>
      <w:r>
        <w:rPr>
          <w:rFonts w:ascii="Times New Roman" w:hAnsi="Times New Roman" w:cs="Times New Roman" w:eastAsia="Times New Roman" w:hint="default"/>
        </w:rPr>
        <w:t>405,870,020.09</w:t>
      </w:r>
      <w:r>
        <w:rPr>
          <w:rFonts w:ascii="Times New Roman" w:hAnsi="Times New Roman" w:cs="Times New Roman" w:eastAsia="Times New Roman" w:hint="default"/>
          <w:spacing w:val="-3"/>
        </w:rPr>
        <w:t> </w:t>
      </w:r>
      <w:r>
        <w:rPr/>
        <w:t>元。</w:t>
      </w:r>
    </w:p>
    <w:p>
      <w:pPr>
        <w:spacing w:line="240" w:lineRule="auto" w:before="13"/>
        <w:rPr>
          <w:rFonts w:ascii="宋体" w:hAnsi="宋体" w:cs="宋体" w:eastAsia="宋体" w:hint="default"/>
          <w:sz w:val="25"/>
          <w:szCs w:val="25"/>
        </w:rPr>
      </w:pPr>
    </w:p>
    <w:p>
      <w:pPr>
        <w:pStyle w:val="Heading4"/>
        <w:spacing w:line="240" w:lineRule="auto"/>
        <w:ind w:right="1133"/>
        <w:jc w:val="left"/>
        <w:rPr>
          <w:b w:val="0"/>
          <w:bCs w:val="0"/>
        </w:rPr>
      </w:pPr>
      <w:bookmarkStart w:name="15、在建工程" w:id="271"/>
      <w:bookmarkEnd w:id="271"/>
      <w:r>
        <w:rPr>
          <w:b w:val="0"/>
          <w:bCs w:val="0"/>
        </w:rPr>
      </w:r>
      <w:r>
        <w:rPr>
          <w:rFonts w:ascii="Times New Roman" w:hAnsi="Times New Roman" w:cs="Times New Roman" w:eastAsia="Times New Roman" w:hint="default"/>
        </w:rPr>
        <w:t>15</w:t>
      </w:r>
      <w:r>
        <w:rPr/>
        <w:t>、在建工程</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421,605,668.12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686,874,782.19</w:t>
            </w:r>
          </w:p>
        </w:tc>
      </w:tr>
      <w:tr>
        <w:trPr>
          <w:trHeight w:val="404"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421,605,668.12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686,874,782.19</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1）在建工程情况" w:id="272"/>
      <w:bookmarkEnd w:id="272"/>
      <w:r>
        <w:rPr>
          <w:b w:val="0"/>
          <w:bCs w:val="0"/>
        </w:rPr>
      </w:r>
      <w:r>
        <w:rPr/>
        <w:t>（</w:t>
      </w:r>
      <w:r>
        <w:rPr>
          <w:rFonts w:ascii="Times New Roman" w:hAnsi="Times New Roman" w:cs="Times New Roman" w:eastAsia="Times New Roman" w:hint="default"/>
        </w:rPr>
        <w:t>1</w:t>
      </w:r>
      <w:r>
        <w:rPr/>
        <w:t>）在建工程情况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296"/>
        <w:gridCol w:w="1181"/>
        <w:gridCol w:w="778"/>
        <w:gridCol w:w="1181"/>
        <w:gridCol w:w="1181"/>
        <w:gridCol w:w="776"/>
        <w:gridCol w:w="1181"/>
      </w:tblGrid>
      <w:tr>
        <w:trPr>
          <w:trHeight w:val="402" w:hRule="exact"/>
        </w:trPr>
        <w:tc>
          <w:tcPr>
            <w:tcW w:w="32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4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3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296" w:type="dxa"/>
            <w:vMerge/>
            <w:tcBorders>
              <w:left w:val="single" w:sz="4" w:space="0" w:color="000000"/>
              <w:bottom w:val="single" w:sz="4" w:space="0" w:color="000000"/>
              <w:right w:val="single" w:sz="4" w:space="0" w:color="000000"/>
            </w:tcBorders>
            <w:shd w:val="clear" w:color="auto" w:fill="D2D2D2"/>
          </w:tcPr>
          <w:p>
            <w:pP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6"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7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3"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5"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1" w:hRule="exact"/>
        </w:trPr>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洪泽湖医养融合体</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PPP </w:t>
            </w:r>
            <w:r>
              <w:rPr>
                <w:rFonts w:ascii="宋体" w:hAnsi="宋体" w:cs="宋体" w:eastAsia="宋体" w:hint="default"/>
                <w:sz w:val="18"/>
                <w:szCs w:val="18"/>
              </w:rPr>
              <w:t>项目</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194,227,535.32</w:t>
            </w:r>
          </w:p>
        </w:tc>
        <w:tc>
          <w:tcPr>
            <w:tcW w:w="7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194,227,535.32</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10,734,692.10</w:t>
            </w:r>
          </w:p>
        </w:tc>
        <w:tc>
          <w:tcPr>
            <w:tcW w:w="77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10,734,692.10</w:t>
            </w:r>
          </w:p>
        </w:tc>
      </w:tr>
      <w:tr>
        <w:trPr>
          <w:trHeight w:val="403" w:hRule="exact"/>
        </w:trPr>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桃江县人民医院南院院区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PPP</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项目</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103,034,183.53</w:t>
            </w:r>
          </w:p>
        </w:tc>
        <w:tc>
          <w:tcPr>
            <w:tcW w:w="7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103,034,183.53</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907,990.34</w:t>
            </w:r>
          </w:p>
        </w:tc>
        <w:tc>
          <w:tcPr>
            <w:tcW w:w="77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907,990.34</w:t>
            </w:r>
          </w:p>
        </w:tc>
      </w:tr>
      <w:tr>
        <w:trPr>
          <w:trHeight w:val="401" w:hRule="exact"/>
        </w:trPr>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办公室装修工程</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1,506,631.07</w:t>
            </w:r>
          </w:p>
        </w:tc>
        <w:tc>
          <w:tcPr>
            <w:tcW w:w="7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1,506,631.07</w:t>
            </w:r>
          </w:p>
        </w:tc>
        <w:tc>
          <w:tcPr>
            <w:tcW w:w="1181"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宁德新能源湖西区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亩冷冻站三期项目</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1,299,391.47</w:t>
            </w:r>
          </w:p>
        </w:tc>
        <w:tc>
          <w:tcPr>
            <w:tcW w:w="7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1,299,391.47</w:t>
            </w:r>
          </w:p>
        </w:tc>
        <w:tc>
          <w:tcPr>
            <w:tcW w:w="1181"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山南医院</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PPP</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项目</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1,074,901.30</w:t>
            </w:r>
          </w:p>
        </w:tc>
        <w:tc>
          <w:tcPr>
            <w:tcW w:w="7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1,074,901.30</w:t>
            </w:r>
          </w:p>
        </w:tc>
        <w:tc>
          <w:tcPr>
            <w:tcW w:w="1181"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淮南智慧医疗</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PPP </w:t>
            </w:r>
            <w:r>
              <w:rPr>
                <w:rFonts w:ascii="宋体" w:hAnsi="宋体" w:cs="宋体" w:eastAsia="宋体" w:hint="default"/>
                <w:sz w:val="18"/>
                <w:szCs w:val="18"/>
              </w:rPr>
              <w:t>项目</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741,037.70</w:t>
            </w:r>
          </w:p>
        </w:tc>
        <w:tc>
          <w:tcPr>
            <w:tcW w:w="7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741,037.70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25,914,898.96</w:t>
            </w:r>
          </w:p>
        </w:tc>
        <w:tc>
          <w:tcPr>
            <w:tcW w:w="77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25,914,898.96</w:t>
            </w:r>
          </w:p>
        </w:tc>
      </w:tr>
      <w:tr>
        <w:trPr>
          <w:trHeight w:val="401" w:hRule="exact"/>
        </w:trPr>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应用展示中心</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283,018.87</w:t>
            </w:r>
          </w:p>
        </w:tc>
        <w:tc>
          <w:tcPr>
            <w:tcW w:w="7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283,018.87</w:t>
            </w:r>
          </w:p>
        </w:tc>
        <w:tc>
          <w:tcPr>
            <w:tcW w:w="1181"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达实大厦改扩建</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118,451,871.02</w:t>
            </w:r>
          </w:p>
        </w:tc>
        <w:tc>
          <w:tcPr>
            <w:tcW w:w="7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118,451,871.02</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636,536,936.70</w:t>
            </w:r>
          </w:p>
        </w:tc>
        <w:tc>
          <w:tcPr>
            <w:tcW w:w="77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636,536,936.70</w:t>
            </w:r>
          </w:p>
        </w:tc>
      </w:tr>
      <w:tr>
        <w:trPr>
          <w:trHeight w:val="401" w:hRule="exact"/>
        </w:trPr>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中粮置地工程冷站节能服务项目</w:t>
            </w:r>
          </w:p>
        </w:tc>
        <w:tc>
          <w:tcPr>
            <w:tcW w:w="1181"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292,274.09</w:t>
            </w:r>
          </w:p>
        </w:tc>
        <w:tc>
          <w:tcPr>
            <w:tcW w:w="77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292,274.09</w:t>
            </w:r>
          </w:p>
        </w:tc>
      </w:tr>
      <w:tr>
        <w:trPr>
          <w:trHeight w:val="403" w:hRule="exact"/>
        </w:trPr>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合肥京东方中央空调水蓄冷节能服务项目</w:t>
            </w:r>
          </w:p>
        </w:tc>
        <w:tc>
          <w:tcPr>
            <w:tcW w:w="1181"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8,136,787.71</w:t>
            </w:r>
          </w:p>
        </w:tc>
        <w:tc>
          <w:tcPr>
            <w:tcW w:w="77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8,136,787.71</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296"/>
        <w:gridCol w:w="1181"/>
        <w:gridCol w:w="778"/>
        <w:gridCol w:w="1181"/>
        <w:gridCol w:w="1181"/>
        <w:gridCol w:w="776"/>
        <w:gridCol w:w="1181"/>
      </w:tblGrid>
      <w:tr>
        <w:trPr>
          <w:trHeight w:val="401" w:hRule="exact"/>
        </w:trPr>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深圳集中式空调能效管控技术工程实验室</w:t>
            </w:r>
          </w:p>
        </w:tc>
        <w:tc>
          <w:tcPr>
            <w:tcW w:w="1181"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3,016,635.73</w:t>
            </w:r>
          </w:p>
        </w:tc>
        <w:tc>
          <w:tcPr>
            <w:tcW w:w="77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3,016,635.73</w:t>
            </w:r>
          </w:p>
        </w:tc>
      </w:tr>
      <w:tr>
        <w:trPr>
          <w:trHeight w:val="403" w:hRule="exact"/>
        </w:trPr>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久信展厅改造</w:t>
            </w:r>
          </w:p>
        </w:tc>
        <w:tc>
          <w:tcPr>
            <w:tcW w:w="1181"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1,334,566.56</w:t>
            </w:r>
          </w:p>
        </w:tc>
        <w:tc>
          <w:tcPr>
            <w:tcW w:w="77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1,334,566.56</w:t>
            </w:r>
          </w:p>
        </w:tc>
      </w:tr>
      <w:tr>
        <w:trPr>
          <w:trHeight w:val="401" w:hRule="exact"/>
        </w:trPr>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其他临时工程</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987,097.84</w:t>
            </w:r>
          </w:p>
        </w:tc>
        <w:tc>
          <w:tcPr>
            <w:tcW w:w="7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987,097.84</w:t>
            </w:r>
          </w:p>
        </w:tc>
        <w:tc>
          <w:tcPr>
            <w:tcW w:w="1181"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421,605,668.12</w:t>
            </w:r>
          </w:p>
        </w:tc>
        <w:tc>
          <w:tcPr>
            <w:tcW w:w="7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421,605,668.12</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686,874,782.19</w:t>
            </w:r>
          </w:p>
        </w:tc>
        <w:tc>
          <w:tcPr>
            <w:tcW w:w="776"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686,874,782.19</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重要在建工程项目本期变动情况" w:id="273"/>
      <w:bookmarkEnd w:id="273"/>
      <w:r>
        <w:rPr>
          <w:b w:val="0"/>
          <w:bCs w:val="0"/>
        </w:rPr>
      </w:r>
      <w:r>
        <w:rPr/>
        <w:t>（</w:t>
      </w:r>
      <w:r>
        <w:rPr>
          <w:rFonts w:ascii="Times New Roman" w:hAnsi="Times New Roman" w:cs="Times New Roman" w:eastAsia="Times New Roman" w:hint="default"/>
        </w:rPr>
        <w:t>2</w:t>
      </w:r>
      <w:r>
        <w:rPr/>
        <w:t>）重要在建工程项目本期变动情况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732"/>
        <w:gridCol w:w="737"/>
        <w:gridCol w:w="734"/>
        <w:gridCol w:w="737"/>
        <w:gridCol w:w="737"/>
        <w:gridCol w:w="734"/>
        <w:gridCol w:w="737"/>
        <w:gridCol w:w="737"/>
        <w:gridCol w:w="734"/>
        <w:gridCol w:w="737"/>
        <w:gridCol w:w="737"/>
        <w:gridCol w:w="734"/>
        <w:gridCol w:w="737"/>
      </w:tblGrid>
      <w:tr>
        <w:trPr>
          <w:trHeight w:val="1339"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6"/>
              <w:ind w:left="271" w:right="89" w:hanging="181"/>
              <w:jc w:val="left"/>
              <w:rPr>
                <w:rFonts w:ascii="宋体" w:hAnsi="宋体" w:cs="宋体" w:eastAsia="宋体" w:hint="default"/>
                <w:sz w:val="18"/>
                <w:szCs w:val="18"/>
              </w:rPr>
            </w:pPr>
            <w:r>
              <w:rPr>
                <w:rFonts w:ascii="宋体" w:hAnsi="宋体" w:cs="宋体" w:eastAsia="宋体" w:hint="default"/>
                <w:sz w:val="18"/>
                <w:szCs w:val="18"/>
              </w:rPr>
              <w:t>项目名 称</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预算数</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6"/>
              <w:ind w:left="273" w:right="89"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6"/>
              <w:ind w:left="93" w:right="92"/>
              <w:jc w:val="left"/>
              <w:rPr>
                <w:rFonts w:ascii="宋体" w:hAnsi="宋体" w:cs="宋体" w:eastAsia="宋体" w:hint="default"/>
                <w:sz w:val="18"/>
                <w:szCs w:val="18"/>
              </w:rPr>
            </w:pPr>
            <w:r>
              <w:rPr>
                <w:rFonts w:ascii="宋体" w:hAnsi="宋体" w:cs="宋体" w:eastAsia="宋体" w:hint="default"/>
                <w:sz w:val="18"/>
                <w:szCs w:val="18"/>
              </w:rPr>
              <w:t>本期增 加金额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93" w:right="91"/>
              <w:jc w:val="center"/>
              <w:rPr>
                <w:rFonts w:ascii="宋体" w:hAnsi="宋体" w:cs="宋体" w:eastAsia="宋体" w:hint="default"/>
                <w:sz w:val="18"/>
                <w:szCs w:val="18"/>
              </w:rPr>
            </w:pPr>
            <w:r>
              <w:rPr>
                <w:rFonts w:ascii="宋体" w:hAnsi="宋体" w:cs="宋体" w:eastAsia="宋体" w:hint="default"/>
                <w:sz w:val="18"/>
                <w:szCs w:val="18"/>
              </w:rPr>
              <w:t>本期转 入固定 资产金 额</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93" w:right="89"/>
              <w:jc w:val="both"/>
              <w:rPr>
                <w:rFonts w:ascii="宋体" w:hAnsi="宋体" w:cs="宋体" w:eastAsia="宋体" w:hint="default"/>
                <w:sz w:val="18"/>
                <w:szCs w:val="18"/>
              </w:rPr>
            </w:pPr>
            <w:r>
              <w:rPr>
                <w:rFonts w:ascii="宋体" w:hAnsi="宋体" w:cs="宋体" w:eastAsia="宋体" w:hint="default"/>
                <w:sz w:val="18"/>
                <w:szCs w:val="18"/>
              </w:rPr>
              <w:t>本期其 他减少 金额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6"/>
              <w:ind w:left="273" w:right="91" w:hanging="180"/>
              <w:jc w:val="left"/>
              <w:rPr>
                <w:rFonts w:ascii="宋体" w:hAnsi="宋体" w:cs="宋体" w:eastAsia="宋体" w:hint="default"/>
                <w:sz w:val="18"/>
                <w:szCs w:val="18"/>
              </w:rPr>
            </w:pPr>
            <w:r>
              <w:rPr>
                <w:rFonts w:ascii="宋体" w:hAnsi="宋体" w:cs="宋体" w:eastAsia="宋体" w:hint="default"/>
                <w:sz w:val="18"/>
                <w:szCs w:val="18"/>
              </w:rPr>
              <w:t>期末余 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93" w:right="91"/>
              <w:jc w:val="both"/>
              <w:rPr>
                <w:rFonts w:ascii="宋体" w:hAnsi="宋体" w:cs="宋体" w:eastAsia="宋体" w:hint="default"/>
                <w:sz w:val="18"/>
                <w:szCs w:val="18"/>
              </w:rPr>
            </w:pPr>
            <w:r>
              <w:rPr>
                <w:rFonts w:ascii="宋体" w:hAnsi="宋体" w:cs="宋体" w:eastAsia="宋体" w:hint="default"/>
                <w:sz w:val="18"/>
                <w:szCs w:val="18"/>
              </w:rPr>
              <w:t>工程累 计投入 占预算 比例</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6"/>
              <w:ind w:left="273" w:right="89" w:hanging="180"/>
              <w:jc w:val="left"/>
              <w:rPr>
                <w:rFonts w:ascii="宋体" w:hAnsi="宋体" w:cs="宋体" w:eastAsia="宋体" w:hint="default"/>
                <w:sz w:val="18"/>
                <w:szCs w:val="18"/>
              </w:rPr>
            </w:pPr>
            <w:r>
              <w:rPr>
                <w:rFonts w:ascii="宋体" w:hAnsi="宋体" w:cs="宋体" w:eastAsia="宋体" w:hint="default"/>
                <w:sz w:val="18"/>
                <w:szCs w:val="18"/>
              </w:rPr>
              <w:t>工程进 度</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93" w:right="91"/>
              <w:jc w:val="both"/>
              <w:rPr>
                <w:rFonts w:ascii="宋体" w:hAnsi="宋体" w:cs="宋体" w:eastAsia="宋体" w:hint="default"/>
                <w:sz w:val="18"/>
                <w:szCs w:val="18"/>
              </w:rPr>
            </w:pPr>
            <w:r>
              <w:rPr>
                <w:rFonts w:ascii="宋体" w:hAnsi="宋体" w:cs="宋体" w:eastAsia="宋体" w:hint="default"/>
                <w:sz w:val="18"/>
                <w:szCs w:val="18"/>
              </w:rPr>
              <w:t>利息资 本化累 计金额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23" w:right="22"/>
              <w:jc w:val="center"/>
              <w:rPr>
                <w:rFonts w:ascii="宋体" w:hAnsi="宋体" w:cs="宋体" w:eastAsia="宋体" w:hint="default"/>
                <w:sz w:val="18"/>
                <w:szCs w:val="18"/>
              </w:rPr>
            </w:pPr>
            <w:r>
              <w:rPr>
                <w:rFonts w:ascii="宋体" w:hAnsi="宋体" w:cs="宋体" w:eastAsia="宋体" w:hint="default"/>
                <w:spacing w:val="-11"/>
                <w:sz w:val="18"/>
                <w:szCs w:val="18"/>
              </w:rPr>
              <w:t>其中：本</w:t>
            </w:r>
            <w:r>
              <w:rPr>
                <w:rFonts w:ascii="宋体" w:hAnsi="宋体" w:cs="宋体" w:eastAsia="宋体" w:hint="default"/>
                <w:sz w:val="18"/>
                <w:szCs w:val="18"/>
              </w:rPr>
              <w:t> 期利息 资本化 金额</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93" w:right="89"/>
              <w:jc w:val="both"/>
              <w:rPr>
                <w:rFonts w:ascii="宋体" w:hAnsi="宋体" w:cs="宋体" w:eastAsia="宋体" w:hint="default"/>
                <w:sz w:val="18"/>
                <w:szCs w:val="18"/>
              </w:rPr>
            </w:pPr>
            <w:r>
              <w:rPr>
                <w:rFonts w:ascii="宋体" w:hAnsi="宋体" w:cs="宋体" w:eastAsia="宋体" w:hint="default"/>
                <w:sz w:val="18"/>
                <w:szCs w:val="18"/>
              </w:rPr>
              <w:t>本期利 息资本 化率</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6"/>
              <w:ind w:left="273" w:right="91" w:hanging="180"/>
              <w:jc w:val="left"/>
              <w:rPr>
                <w:rFonts w:ascii="宋体" w:hAnsi="宋体" w:cs="宋体" w:eastAsia="宋体" w:hint="default"/>
                <w:sz w:val="18"/>
                <w:szCs w:val="18"/>
              </w:rPr>
            </w:pPr>
            <w:r>
              <w:rPr>
                <w:rFonts w:ascii="宋体" w:hAnsi="宋体" w:cs="宋体" w:eastAsia="宋体" w:hint="default"/>
                <w:sz w:val="18"/>
                <w:szCs w:val="18"/>
              </w:rPr>
              <w:t>资金来 源</w:t>
            </w:r>
          </w:p>
        </w:tc>
      </w:tr>
      <w:tr>
        <w:trPr>
          <w:trHeight w:val="5393" w:hRule="exact"/>
        </w:trPr>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6"/>
                <w:szCs w:val="26"/>
              </w:rPr>
            </w:pPr>
          </w:p>
          <w:p>
            <w:pPr>
              <w:pStyle w:val="TableParagraph"/>
              <w:spacing w:line="316" w:lineRule="auto"/>
              <w:ind w:left="24" w:right="156"/>
              <w:jc w:val="both"/>
              <w:rPr>
                <w:rFonts w:ascii="宋体" w:hAnsi="宋体" w:cs="宋体" w:eastAsia="宋体" w:hint="default"/>
                <w:sz w:val="18"/>
                <w:szCs w:val="18"/>
              </w:rPr>
            </w:pPr>
            <w:r>
              <w:rPr>
                <w:rFonts w:ascii="宋体" w:hAnsi="宋体" w:cs="宋体" w:eastAsia="宋体" w:hint="default"/>
                <w:sz w:val="18"/>
                <w:szCs w:val="18"/>
              </w:rPr>
              <w:t>达实大 厦改扩 建</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1,096,17</w:t>
            </w:r>
          </w:p>
          <w:p>
            <w:pPr>
              <w:pStyle w:val="TableParagraph"/>
              <w:spacing w:line="240" w:lineRule="auto" w:before="105"/>
              <w:ind w:left="71" w:right="0"/>
              <w:jc w:val="left"/>
              <w:rPr>
                <w:rFonts w:ascii="Times New Roman" w:hAnsi="Times New Roman" w:cs="Times New Roman" w:eastAsia="Times New Roman" w:hint="default"/>
                <w:sz w:val="18"/>
                <w:szCs w:val="18"/>
              </w:rPr>
            </w:pPr>
            <w:r>
              <w:rPr>
                <w:rFonts w:ascii="Times New Roman"/>
                <w:sz w:val="18"/>
              </w:rPr>
              <w:t>4,000.00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636,536,</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936.70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317,772,</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092.07</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789,865,</w:t>
            </w:r>
          </w:p>
          <w:p>
            <w:pPr>
              <w:pStyle w:val="TableParagraph"/>
              <w:spacing w:line="240" w:lineRule="auto" w:before="105"/>
              <w:ind w:left="185" w:right="0"/>
              <w:jc w:val="center"/>
              <w:rPr>
                <w:rFonts w:ascii="Times New Roman" w:hAnsi="Times New Roman" w:cs="Times New Roman" w:eastAsia="Times New Roman" w:hint="default"/>
                <w:sz w:val="18"/>
                <w:szCs w:val="18"/>
              </w:rPr>
            </w:pPr>
            <w:r>
              <w:rPr>
                <w:rFonts w:ascii="Times New Roman"/>
                <w:sz w:val="18"/>
              </w:rPr>
              <w:t>318.52</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45,991,8</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39.23</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56" w:right="0"/>
              <w:jc w:val="center"/>
              <w:rPr>
                <w:rFonts w:ascii="Times New Roman" w:hAnsi="Times New Roman" w:cs="Times New Roman" w:eastAsia="Times New Roman" w:hint="default"/>
                <w:sz w:val="18"/>
                <w:szCs w:val="18"/>
              </w:rPr>
            </w:pPr>
            <w:r>
              <w:rPr>
                <w:rFonts w:ascii="Times New Roman"/>
                <w:sz w:val="18"/>
              </w:rPr>
              <w:t>118,451,</w:t>
            </w:r>
          </w:p>
          <w:p>
            <w:pPr>
              <w:pStyle w:val="TableParagraph"/>
              <w:spacing w:line="240" w:lineRule="auto" w:before="105"/>
              <w:ind w:left="185" w:right="0"/>
              <w:jc w:val="center"/>
              <w:rPr>
                <w:rFonts w:ascii="Times New Roman" w:hAnsi="Times New Roman" w:cs="Times New Roman" w:eastAsia="Times New Roman" w:hint="default"/>
                <w:sz w:val="18"/>
                <w:szCs w:val="18"/>
              </w:rPr>
            </w:pPr>
            <w:r>
              <w:rPr>
                <w:rFonts w:ascii="Times New Roman"/>
                <w:sz w:val="18"/>
              </w:rPr>
              <w:t>871.02</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128" w:right="0"/>
              <w:jc w:val="center"/>
              <w:rPr>
                <w:rFonts w:ascii="Times New Roman" w:hAnsi="Times New Roman" w:cs="Times New Roman" w:eastAsia="Times New Roman" w:hint="default"/>
                <w:sz w:val="18"/>
                <w:szCs w:val="18"/>
              </w:rPr>
            </w:pPr>
            <w:r>
              <w:rPr>
                <w:rFonts w:ascii="Times New Roman"/>
                <w:sz w:val="18"/>
              </w:rPr>
              <w:t>87.06%</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8"/>
              <w:jc w:val="left"/>
              <w:rPr>
                <w:rFonts w:ascii="Times New Roman" w:hAnsi="Times New Roman" w:cs="Times New Roman" w:eastAsia="Times New Roman" w:hint="default"/>
                <w:sz w:val="18"/>
                <w:szCs w:val="18"/>
              </w:rPr>
            </w:pPr>
            <w:r>
              <w:rPr>
                <w:rFonts w:ascii="宋体" w:hAnsi="宋体" w:cs="宋体" w:eastAsia="宋体" w:hint="default"/>
                <w:sz w:val="18"/>
                <w:szCs w:val="18"/>
              </w:rPr>
              <w:t>达实大 厦改扩 建项目 新达实 大厦主 楼已于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3</w:t>
            </w:r>
          </w:p>
          <w:p>
            <w:pPr>
              <w:pStyle w:val="TableParagraph"/>
              <w:spacing w:line="316" w:lineRule="auto"/>
              <w:ind w:left="23" w:right="19"/>
              <w:jc w:val="left"/>
              <w:rPr>
                <w:rFonts w:ascii="宋体" w:hAnsi="宋体" w:cs="宋体" w:eastAsia="宋体" w:hint="default"/>
                <w:sz w:val="18"/>
                <w:szCs w:val="18"/>
              </w:rPr>
            </w:pPr>
            <w:r>
              <w:rPr>
                <w:rFonts w:ascii="宋体" w:hAnsi="宋体" w:cs="宋体" w:eastAsia="宋体" w:hint="default"/>
                <w:sz w:val="18"/>
                <w:szCs w:val="18"/>
              </w:rPr>
              <w:t>月达到 预定可 使用状 </w:t>
            </w:r>
            <w:r>
              <w:rPr>
                <w:rFonts w:ascii="宋体" w:hAnsi="宋体" w:cs="宋体" w:eastAsia="宋体" w:hint="default"/>
                <w:spacing w:val="-11"/>
                <w:sz w:val="18"/>
                <w:szCs w:val="18"/>
              </w:rPr>
              <w:t>态，转入</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固定资 </w:t>
            </w:r>
            <w:r>
              <w:rPr>
                <w:rFonts w:ascii="宋体" w:hAnsi="宋体" w:cs="宋体" w:eastAsia="宋体" w:hint="default"/>
                <w:spacing w:val="-11"/>
                <w:sz w:val="18"/>
                <w:szCs w:val="18"/>
              </w:rPr>
              <w:t>产，达实</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大厦裙 楼改造 尚未完 成。</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44,496,1</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12.79</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11,780,2</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66.53</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6.95%</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6"/>
                <w:szCs w:val="26"/>
              </w:rPr>
            </w:pPr>
          </w:p>
          <w:p>
            <w:pPr>
              <w:pStyle w:val="TableParagraph"/>
              <w:spacing w:line="316" w:lineRule="auto"/>
              <w:ind w:left="24" w:right="161"/>
              <w:jc w:val="both"/>
              <w:rPr>
                <w:rFonts w:ascii="宋体" w:hAnsi="宋体" w:cs="宋体" w:eastAsia="宋体" w:hint="default"/>
                <w:sz w:val="18"/>
                <w:szCs w:val="18"/>
              </w:rPr>
            </w:pPr>
            <w:r>
              <w:rPr>
                <w:rFonts w:ascii="宋体" w:hAnsi="宋体" w:cs="宋体" w:eastAsia="宋体" w:hint="default"/>
                <w:sz w:val="18"/>
                <w:szCs w:val="18"/>
              </w:rPr>
              <w:t>自筹及 金融机 构贷款</w:t>
            </w:r>
          </w:p>
        </w:tc>
      </w:tr>
      <w:tr>
        <w:trPr>
          <w:trHeight w:val="715"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1,096,17</w:t>
            </w:r>
          </w:p>
          <w:p>
            <w:pPr>
              <w:pStyle w:val="TableParagraph"/>
              <w:spacing w:line="240" w:lineRule="auto" w:before="102"/>
              <w:ind w:left="71" w:right="0"/>
              <w:jc w:val="left"/>
              <w:rPr>
                <w:rFonts w:ascii="Times New Roman" w:hAnsi="Times New Roman" w:cs="Times New Roman" w:eastAsia="Times New Roman" w:hint="default"/>
                <w:sz w:val="18"/>
                <w:szCs w:val="18"/>
              </w:rPr>
            </w:pPr>
            <w:r>
              <w:rPr>
                <w:rFonts w:ascii="Times New Roman"/>
                <w:sz w:val="18"/>
              </w:rPr>
              <w:t>4,000.00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1" w:right="0"/>
              <w:jc w:val="center"/>
              <w:rPr>
                <w:rFonts w:ascii="Times New Roman" w:hAnsi="Times New Roman" w:cs="Times New Roman" w:eastAsia="Times New Roman" w:hint="default"/>
                <w:sz w:val="18"/>
                <w:szCs w:val="18"/>
              </w:rPr>
            </w:pPr>
            <w:r>
              <w:rPr>
                <w:rFonts w:ascii="Times New Roman"/>
                <w:sz w:val="18"/>
              </w:rPr>
              <w:t>636,536,</w:t>
            </w:r>
          </w:p>
          <w:p>
            <w:pPr>
              <w:pStyle w:val="TableParagraph"/>
              <w:spacing w:line="240" w:lineRule="auto" w:before="102"/>
              <w:ind w:left="187" w:right="0"/>
              <w:jc w:val="center"/>
              <w:rPr>
                <w:rFonts w:ascii="Times New Roman" w:hAnsi="Times New Roman" w:cs="Times New Roman" w:eastAsia="Times New Roman" w:hint="default"/>
                <w:sz w:val="18"/>
                <w:szCs w:val="18"/>
              </w:rPr>
            </w:pPr>
            <w:r>
              <w:rPr>
                <w:rFonts w:ascii="Times New Roman"/>
                <w:sz w:val="18"/>
              </w:rPr>
              <w:t>936.70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8" w:right="0"/>
              <w:jc w:val="center"/>
              <w:rPr>
                <w:rFonts w:ascii="Times New Roman" w:hAnsi="Times New Roman" w:cs="Times New Roman" w:eastAsia="Times New Roman" w:hint="default"/>
                <w:sz w:val="18"/>
                <w:szCs w:val="18"/>
              </w:rPr>
            </w:pPr>
            <w:r>
              <w:rPr>
                <w:rFonts w:ascii="Times New Roman"/>
                <w:sz w:val="18"/>
              </w:rPr>
              <w:t>317,772,</w:t>
            </w:r>
          </w:p>
          <w:p>
            <w:pPr>
              <w:pStyle w:val="TableParagraph"/>
              <w:spacing w:line="240" w:lineRule="auto" w:before="102"/>
              <w:ind w:left="184" w:right="0"/>
              <w:jc w:val="center"/>
              <w:rPr>
                <w:rFonts w:ascii="Times New Roman" w:hAnsi="Times New Roman" w:cs="Times New Roman" w:eastAsia="Times New Roman" w:hint="default"/>
                <w:sz w:val="18"/>
                <w:szCs w:val="18"/>
              </w:rPr>
            </w:pPr>
            <w:r>
              <w:rPr>
                <w:rFonts w:ascii="Times New Roman"/>
                <w:sz w:val="18"/>
              </w:rPr>
              <w:t>092.07</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8" w:right="0"/>
              <w:jc w:val="center"/>
              <w:rPr>
                <w:rFonts w:ascii="Times New Roman" w:hAnsi="Times New Roman" w:cs="Times New Roman" w:eastAsia="Times New Roman" w:hint="default"/>
                <w:sz w:val="18"/>
                <w:szCs w:val="18"/>
              </w:rPr>
            </w:pPr>
            <w:r>
              <w:rPr>
                <w:rFonts w:ascii="Times New Roman"/>
                <w:sz w:val="18"/>
              </w:rPr>
              <w:t>789,865,</w:t>
            </w:r>
          </w:p>
          <w:p>
            <w:pPr>
              <w:pStyle w:val="TableParagraph"/>
              <w:spacing w:line="240" w:lineRule="auto" w:before="102"/>
              <w:ind w:left="185" w:right="0"/>
              <w:jc w:val="center"/>
              <w:rPr>
                <w:rFonts w:ascii="Times New Roman" w:hAnsi="Times New Roman" w:cs="Times New Roman" w:eastAsia="Times New Roman" w:hint="default"/>
                <w:sz w:val="18"/>
                <w:szCs w:val="18"/>
              </w:rPr>
            </w:pPr>
            <w:r>
              <w:rPr>
                <w:rFonts w:ascii="Times New Roman"/>
                <w:sz w:val="18"/>
              </w:rPr>
              <w:t>318.52</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2" w:right="0"/>
              <w:jc w:val="left"/>
              <w:rPr>
                <w:rFonts w:ascii="Times New Roman" w:hAnsi="Times New Roman" w:cs="Times New Roman" w:eastAsia="Times New Roman" w:hint="default"/>
                <w:sz w:val="18"/>
                <w:szCs w:val="18"/>
              </w:rPr>
            </w:pPr>
            <w:r>
              <w:rPr>
                <w:rFonts w:ascii="Times New Roman"/>
                <w:sz w:val="18"/>
              </w:rPr>
              <w:t>45,991,8</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39.23</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6" w:right="0"/>
              <w:jc w:val="center"/>
              <w:rPr>
                <w:rFonts w:ascii="Times New Roman" w:hAnsi="Times New Roman" w:cs="Times New Roman" w:eastAsia="Times New Roman" w:hint="default"/>
                <w:sz w:val="18"/>
                <w:szCs w:val="18"/>
              </w:rPr>
            </w:pPr>
            <w:r>
              <w:rPr>
                <w:rFonts w:ascii="Times New Roman"/>
                <w:sz w:val="18"/>
              </w:rPr>
              <w:t>118,451,</w:t>
            </w:r>
          </w:p>
          <w:p>
            <w:pPr>
              <w:pStyle w:val="TableParagraph"/>
              <w:spacing w:line="240" w:lineRule="auto" w:before="102"/>
              <w:ind w:left="185" w:right="0"/>
              <w:jc w:val="center"/>
              <w:rPr>
                <w:rFonts w:ascii="Times New Roman" w:hAnsi="Times New Roman" w:cs="Times New Roman" w:eastAsia="Times New Roman" w:hint="default"/>
                <w:sz w:val="18"/>
                <w:szCs w:val="18"/>
              </w:rPr>
            </w:pPr>
            <w:r>
              <w:rPr>
                <w:rFonts w:ascii="Times New Roman"/>
                <w:sz w:val="18"/>
              </w:rPr>
              <w:t>871.02</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9" w:right="0"/>
              <w:jc w:val="left"/>
              <w:rPr>
                <w:rFonts w:ascii="Times New Roman" w:hAnsi="Times New Roman" w:cs="Times New Roman" w:eastAsia="Times New Roman" w:hint="default"/>
                <w:sz w:val="18"/>
                <w:szCs w:val="18"/>
              </w:rPr>
            </w:pPr>
            <w:r>
              <w:rPr>
                <w:rFonts w:ascii="Times New Roman"/>
                <w:sz w:val="18"/>
              </w:rPr>
              <w:t>44,496,1</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12.79</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9" w:right="0"/>
              <w:jc w:val="left"/>
              <w:rPr>
                <w:rFonts w:ascii="Times New Roman" w:hAnsi="Times New Roman" w:cs="Times New Roman" w:eastAsia="Times New Roman" w:hint="default"/>
                <w:sz w:val="18"/>
                <w:szCs w:val="18"/>
              </w:rPr>
            </w:pPr>
            <w:r>
              <w:rPr>
                <w:rFonts w:ascii="Times New Roman"/>
                <w:sz w:val="18"/>
              </w:rPr>
              <w:t>11,780,2</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66.53</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6.95%</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3）本期计提在建工程减值准备情况" w:id="274"/>
      <w:bookmarkEnd w:id="274"/>
      <w:r>
        <w:rPr>
          <w:b w:val="0"/>
          <w:bCs w:val="0"/>
        </w:rPr>
      </w:r>
      <w:r>
        <w:rPr/>
        <w:t>（</w:t>
      </w:r>
      <w:r>
        <w:rPr>
          <w:rFonts w:ascii="Times New Roman" w:hAnsi="Times New Roman" w:cs="Times New Roman" w:eastAsia="Times New Roman" w:hint="default"/>
        </w:rPr>
        <w:t>3</w:t>
      </w:r>
      <w:r>
        <w:rPr/>
        <w:t>）本期计提在建工程减值准备情况</w:t>
      </w:r>
      <w:r>
        <w:rPr>
          <w:b w:val="0"/>
          <w:bCs w:val="0"/>
        </w:rPr>
      </w:r>
    </w:p>
    <w:p>
      <w:pPr>
        <w:spacing w:line="240" w:lineRule="auto" w:before="5"/>
        <w:rPr>
          <w:rFonts w:ascii="宋体" w:hAnsi="宋体" w:cs="宋体" w:eastAsia="宋体" w:hint="default"/>
          <w:b/>
          <w:bCs/>
          <w:sz w:val="26"/>
          <w:szCs w:val="26"/>
        </w:rPr>
      </w:pPr>
    </w:p>
    <w:p>
      <w:pPr>
        <w:pStyle w:val="BodyText"/>
        <w:spacing w:line="357" w:lineRule="auto"/>
        <w:ind w:right="5849"/>
        <w:jc w:val="left"/>
      </w:pPr>
      <w:r>
        <w:rPr/>
        <w:t>其他说明 期末用于抵押借款的房屋及建筑物账面价值</w:t>
      </w:r>
      <w:r>
        <w:rPr>
          <w:rFonts w:ascii="Times New Roman" w:hAnsi="Times New Roman" w:cs="Times New Roman" w:eastAsia="Times New Roman" w:hint="default"/>
        </w:rPr>
        <w:t>118,451,871.02</w:t>
      </w:r>
      <w:r>
        <w:rPr/>
        <w:t>元。</w:t>
      </w:r>
    </w:p>
    <w:p>
      <w:pPr>
        <w:spacing w:line="240" w:lineRule="auto" w:before="9"/>
        <w:rPr>
          <w:rFonts w:ascii="宋体" w:hAnsi="宋体" w:cs="宋体" w:eastAsia="宋体" w:hint="default"/>
          <w:sz w:val="18"/>
          <w:szCs w:val="18"/>
        </w:rPr>
      </w:pPr>
    </w:p>
    <w:p>
      <w:pPr>
        <w:pStyle w:val="Heading4"/>
        <w:spacing w:line="240" w:lineRule="auto"/>
        <w:ind w:right="1133"/>
        <w:jc w:val="left"/>
        <w:rPr>
          <w:b w:val="0"/>
          <w:bCs w:val="0"/>
        </w:rPr>
      </w:pPr>
      <w:bookmarkStart w:name="16、无形资产" w:id="275"/>
      <w:bookmarkEnd w:id="275"/>
      <w:r>
        <w:rPr>
          <w:b w:val="0"/>
          <w:bCs w:val="0"/>
        </w:rPr>
      </w:r>
      <w:r>
        <w:rPr>
          <w:rFonts w:ascii="Times New Roman" w:hAnsi="Times New Roman" w:cs="Times New Roman" w:eastAsia="Times New Roman" w:hint="default"/>
        </w:rPr>
        <w:t>16</w:t>
      </w:r>
      <w:r>
        <w:rPr/>
        <w:t>、无形资产</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33"/>
        <w:jc w:val="left"/>
        <w:rPr>
          <w:b w:val="0"/>
          <w:bCs w:val="0"/>
        </w:rPr>
      </w:pPr>
      <w:bookmarkStart w:name="（1）无形资产情况" w:id="276"/>
      <w:bookmarkEnd w:id="276"/>
      <w:r>
        <w:rPr>
          <w:b w:val="0"/>
          <w:bCs w:val="0"/>
        </w:rPr>
      </w:r>
      <w:r>
        <w:rPr/>
        <w:t>（</w:t>
      </w:r>
      <w:r>
        <w:rPr>
          <w:rFonts w:ascii="Times New Roman" w:hAnsi="Times New Roman" w:cs="Times New Roman" w:eastAsia="Times New Roman" w:hint="default"/>
        </w:rPr>
        <w:t>1</w:t>
      </w:r>
      <w:r>
        <w:rPr/>
        <w:t>）无形资产情况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after="0" w:line="240" w:lineRule="auto"/>
        <w:jc w:val="right"/>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31" w:type="dxa"/>
        <w:tblLayout w:type="fixed"/>
        <w:tblCellMar>
          <w:top w:w="0" w:type="dxa"/>
          <w:left w:w="0" w:type="dxa"/>
          <w:bottom w:w="0" w:type="dxa"/>
          <w:right w:w="0" w:type="dxa"/>
        </w:tblCellMar>
        <w:tblLook w:val="01E0"/>
      </w:tblPr>
      <w:tblGrid>
        <w:gridCol w:w="2242"/>
        <w:gridCol w:w="1172"/>
        <w:gridCol w:w="1157"/>
        <w:gridCol w:w="1018"/>
        <w:gridCol w:w="1246"/>
        <w:gridCol w:w="1594"/>
        <w:gridCol w:w="1258"/>
      </w:tblGrid>
      <w:tr>
        <w:trPr>
          <w:trHeight w:val="401"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6"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1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04"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0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 w:right="0"/>
              <w:jc w:val="left"/>
              <w:rPr>
                <w:rFonts w:ascii="宋体" w:hAnsi="宋体" w:cs="宋体" w:eastAsia="宋体" w:hint="default"/>
                <w:sz w:val="18"/>
                <w:szCs w:val="18"/>
              </w:rPr>
            </w:pPr>
            <w:r>
              <w:rPr>
                <w:rFonts w:ascii="宋体" w:hAnsi="宋体" w:cs="宋体" w:eastAsia="宋体" w:hint="default"/>
                <w:sz w:val="18"/>
                <w:szCs w:val="18"/>
              </w:rPr>
              <w:t>非专利技术</w:t>
            </w:r>
          </w:p>
        </w:tc>
        <w:tc>
          <w:tcPr>
            <w:tcW w:w="1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7" w:right="0"/>
              <w:jc w:val="left"/>
              <w:rPr>
                <w:rFonts w:ascii="宋体" w:hAnsi="宋体" w:cs="宋体" w:eastAsia="宋体" w:hint="default"/>
                <w:sz w:val="18"/>
                <w:szCs w:val="18"/>
              </w:rPr>
            </w:pPr>
            <w:r>
              <w:rPr>
                <w:rFonts w:ascii="宋体" w:hAnsi="宋体" w:cs="宋体" w:eastAsia="宋体" w:hint="default"/>
                <w:sz w:val="18"/>
                <w:szCs w:val="18"/>
              </w:rPr>
              <w:t>项目收款权</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70"/>
              <w:jc w:val="right"/>
              <w:rPr>
                <w:rFonts w:ascii="宋体" w:hAnsi="宋体" w:cs="宋体" w:eastAsia="宋体" w:hint="default"/>
                <w:sz w:val="18"/>
                <w:szCs w:val="18"/>
              </w:rPr>
            </w:pPr>
            <w:r>
              <w:rPr>
                <w:rFonts w:ascii="宋体" w:hAnsi="宋体" w:cs="宋体" w:eastAsia="宋体" w:hint="default"/>
                <w:sz w:val="18"/>
                <w:szCs w:val="18"/>
              </w:rPr>
              <w:t>软件及软件著作权</w:t>
            </w:r>
          </w:p>
        </w:tc>
        <w:tc>
          <w:tcPr>
            <w:tcW w:w="1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3"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172" w:type="dxa"/>
            <w:tcBorders>
              <w:top w:val="single" w:sz="4" w:space="0" w:color="000000"/>
              <w:left w:val="single" w:sz="13" w:space="0" w:color="D2D2D2"/>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17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93" w:right="0"/>
              <w:jc w:val="left"/>
              <w:rPr>
                <w:rFonts w:ascii="Times New Roman" w:hAnsi="Times New Roman" w:cs="Times New Roman" w:eastAsia="Times New Roman" w:hint="default"/>
                <w:sz w:val="18"/>
                <w:szCs w:val="18"/>
              </w:rPr>
            </w:pPr>
            <w:r>
              <w:rPr>
                <w:rFonts w:ascii="Times New Roman"/>
                <w:sz w:val="18"/>
              </w:rPr>
              <w:t>27,313,471.00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14,452,411.93</w:t>
            </w: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84,874,345.69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83,322,322.48</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209,962,551.10</w:t>
            </w:r>
          </w:p>
        </w:tc>
      </w:tr>
      <w:tr>
        <w:trPr>
          <w:trHeight w:val="403"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172" w:type="dxa"/>
            <w:tcBorders>
              <w:top w:val="single" w:sz="4" w:space="0" w:color="000000"/>
              <w:left w:val="single" w:sz="13" w:space="0" w:color="D2D2D2"/>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26,153,837.02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52,140,921.56</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78,294,758.58</w:t>
            </w:r>
          </w:p>
        </w:tc>
      </w:tr>
      <w:tr>
        <w:trPr>
          <w:trHeight w:val="401"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172" w:type="dxa"/>
            <w:tcBorders>
              <w:top w:val="single" w:sz="4" w:space="0" w:color="000000"/>
              <w:left w:val="single" w:sz="13" w:space="0" w:color="D2D2D2"/>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26,153,837.02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263,297.76</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26,417,134.78</w:t>
            </w:r>
          </w:p>
        </w:tc>
      </w:tr>
      <w:tr>
        <w:trPr>
          <w:trHeight w:val="403"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）内部研发</w:t>
            </w:r>
          </w:p>
        </w:tc>
        <w:tc>
          <w:tcPr>
            <w:tcW w:w="1172" w:type="dxa"/>
            <w:tcBorders>
              <w:top w:val="single" w:sz="4" w:space="0" w:color="000000"/>
              <w:left w:val="single" w:sz="13" w:space="0" w:color="D2D2D2"/>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51,877,623.80</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51,877,623.80</w:t>
            </w:r>
          </w:p>
        </w:tc>
      </w:tr>
      <w:tr>
        <w:trPr>
          <w:trHeight w:val="401"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）企业合并增加</w:t>
            </w:r>
          </w:p>
        </w:tc>
        <w:tc>
          <w:tcPr>
            <w:tcW w:w="1172" w:type="dxa"/>
            <w:tcBorders>
              <w:top w:val="single" w:sz="4" w:space="0" w:color="000000"/>
              <w:left w:val="single" w:sz="13" w:space="0" w:color="D2D2D2"/>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172" w:type="dxa"/>
            <w:tcBorders>
              <w:top w:val="single" w:sz="4" w:space="0" w:color="000000"/>
              <w:left w:val="single" w:sz="13" w:space="0" w:color="D2D2D2"/>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172" w:type="dxa"/>
            <w:tcBorders>
              <w:top w:val="single" w:sz="4" w:space="0" w:color="000000"/>
              <w:left w:val="single" w:sz="13" w:space="0" w:color="D2D2D2"/>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72" w:type="dxa"/>
            <w:tcBorders>
              <w:top w:val="single" w:sz="4" w:space="0" w:color="000000"/>
              <w:left w:val="single" w:sz="13" w:space="0" w:color="D2D2D2"/>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17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93" w:right="0"/>
              <w:jc w:val="left"/>
              <w:rPr>
                <w:rFonts w:ascii="Times New Roman" w:hAnsi="Times New Roman" w:cs="Times New Roman" w:eastAsia="Times New Roman" w:hint="default"/>
                <w:sz w:val="18"/>
                <w:szCs w:val="18"/>
              </w:rPr>
            </w:pPr>
            <w:r>
              <w:rPr>
                <w:rFonts w:ascii="Times New Roman"/>
                <w:sz w:val="18"/>
              </w:rPr>
              <w:t>27,313,471.00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14,452,411.93</w:t>
            </w: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111,028,182.71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135,463,244.04</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288,257,309.68</w:t>
            </w:r>
          </w:p>
        </w:tc>
      </w:tr>
      <w:tr>
        <w:trPr>
          <w:trHeight w:val="403"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1172" w:type="dxa"/>
            <w:tcBorders>
              <w:top w:val="single" w:sz="4" w:space="0" w:color="000000"/>
              <w:left w:val="single" w:sz="13" w:space="0" w:color="D2D2D2"/>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17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3,739,704.90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9,194,690.63</w:t>
            </w: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15,664,474.32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20,188,964.33</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48,787,834.18</w:t>
            </w:r>
          </w:p>
        </w:tc>
      </w:tr>
      <w:tr>
        <w:trPr>
          <w:trHeight w:val="403"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17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631,736.39</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2,874,921.30</w:t>
            </w: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13,606,319.89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17,976,195.92</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35,089,173.50</w:t>
            </w:r>
          </w:p>
        </w:tc>
      </w:tr>
      <w:tr>
        <w:trPr>
          <w:trHeight w:val="401"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17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631,736.39</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2,874,921.30</w:t>
            </w: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13,606,319.89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17,976,195.92</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35,089,173.50</w:t>
            </w:r>
          </w:p>
        </w:tc>
      </w:tr>
      <w:tr>
        <w:trPr>
          <w:trHeight w:val="403"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172" w:type="dxa"/>
            <w:tcBorders>
              <w:top w:val="single" w:sz="4" w:space="0" w:color="000000"/>
              <w:left w:val="single" w:sz="13" w:space="0" w:color="D2D2D2"/>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172" w:type="dxa"/>
            <w:tcBorders>
              <w:top w:val="single" w:sz="4" w:space="0" w:color="000000"/>
              <w:left w:val="single" w:sz="13" w:space="0" w:color="D2D2D2"/>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17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4,371,441.29</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12,069,611.93</w:t>
            </w: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29,270,794.21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38,165,160.25</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83,877,007.68</w:t>
            </w:r>
          </w:p>
        </w:tc>
      </w:tr>
      <w:tr>
        <w:trPr>
          <w:trHeight w:val="401"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172" w:type="dxa"/>
            <w:tcBorders>
              <w:top w:val="single" w:sz="4" w:space="0" w:color="000000"/>
              <w:left w:val="single" w:sz="13" w:space="0" w:color="D2D2D2"/>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172" w:type="dxa"/>
            <w:tcBorders>
              <w:top w:val="single" w:sz="4" w:space="0" w:color="000000"/>
              <w:left w:val="single" w:sz="13" w:space="0" w:color="D2D2D2"/>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172" w:type="dxa"/>
            <w:tcBorders>
              <w:top w:val="single" w:sz="4" w:space="0" w:color="000000"/>
              <w:left w:val="single" w:sz="13" w:space="0" w:color="D2D2D2"/>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172" w:type="dxa"/>
            <w:tcBorders>
              <w:top w:val="single" w:sz="4" w:space="0" w:color="000000"/>
              <w:left w:val="single" w:sz="13" w:space="0" w:color="D2D2D2"/>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172" w:type="dxa"/>
            <w:tcBorders>
              <w:top w:val="single" w:sz="4" w:space="0" w:color="000000"/>
              <w:left w:val="single" w:sz="13" w:space="0" w:color="D2D2D2"/>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172" w:type="dxa"/>
            <w:tcBorders>
              <w:top w:val="single" w:sz="4" w:space="0" w:color="000000"/>
              <w:left w:val="single" w:sz="13" w:space="0" w:color="D2D2D2"/>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172" w:type="dxa"/>
            <w:tcBorders>
              <w:top w:val="single" w:sz="4" w:space="0" w:color="000000"/>
              <w:left w:val="single" w:sz="13" w:space="0" w:color="D2D2D2"/>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172" w:type="dxa"/>
            <w:tcBorders>
              <w:top w:val="single" w:sz="4" w:space="0" w:color="000000"/>
              <w:left w:val="single" w:sz="13" w:space="0" w:color="D2D2D2"/>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17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93" w:right="0"/>
              <w:jc w:val="left"/>
              <w:rPr>
                <w:rFonts w:ascii="Times New Roman" w:hAnsi="Times New Roman" w:cs="Times New Roman" w:eastAsia="Times New Roman" w:hint="default"/>
                <w:sz w:val="18"/>
                <w:szCs w:val="18"/>
              </w:rPr>
            </w:pPr>
            <w:r>
              <w:rPr>
                <w:rFonts w:ascii="Times New Roman"/>
                <w:sz w:val="18"/>
              </w:rPr>
              <w:t>22,942,029.71</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2,382,800.00</w:t>
            </w: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81,757,388.50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97,298,083.79</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204,380,302.00</w:t>
            </w:r>
          </w:p>
        </w:tc>
      </w:tr>
      <w:tr>
        <w:trPr>
          <w:trHeight w:val="404" w:hRule="exact"/>
        </w:trPr>
        <w:tc>
          <w:tcPr>
            <w:tcW w:w="2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17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4"/>
              <w:ind w:left="93" w:right="0"/>
              <w:jc w:val="left"/>
              <w:rPr>
                <w:rFonts w:ascii="Times New Roman" w:hAnsi="Times New Roman" w:cs="Times New Roman" w:eastAsia="Times New Roman" w:hint="default"/>
                <w:sz w:val="18"/>
                <w:szCs w:val="18"/>
              </w:rPr>
            </w:pPr>
            <w:r>
              <w:rPr>
                <w:rFonts w:ascii="Times New Roman"/>
                <w:sz w:val="18"/>
              </w:rPr>
              <w:t>23,573,766.10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5,257,721.30</w:t>
            </w:r>
          </w:p>
        </w:tc>
        <w:tc>
          <w:tcPr>
            <w:tcW w:w="1018"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69,209,871.37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63,133,358.15</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161,174,716.92</w:t>
            </w:r>
          </w:p>
        </w:tc>
      </w:tr>
    </w:tbl>
    <w:p>
      <w:pPr>
        <w:pStyle w:val="BodyText"/>
        <w:spacing w:line="240" w:lineRule="auto" w:before="49"/>
        <w:ind w:right="1133"/>
        <w:jc w:val="left"/>
      </w:pPr>
      <w:r>
        <w:rPr/>
        <w:t>本期末通过公司内部研发形成的无形资产占无形资产余额的比例</w:t>
      </w:r>
      <w:r>
        <w:rPr>
          <w:spacing w:val="-43"/>
        </w:rPr>
        <w:t> </w:t>
      </w:r>
      <w:r>
        <w:rPr>
          <w:rFonts w:ascii="Times New Roman" w:hAnsi="Times New Roman" w:cs="Times New Roman" w:eastAsia="Times New Roman" w:hint="default"/>
        </w:rPr>
        <w:t>39.56%</w:t>
      </w:r>
      <w:r>
        <w:rPr/>
        <w:t>。</w:t>
      </w:r>
    </w:p>
    <w:p>
      <w:pPr>
        <w:spacing w:line="240" w:lineRule="auto" w:before="13"/>
        <w:rPr>
          <w:rFonts w:ascii="宋体" w:hAnsi="宋体" w:cs="宋体" w:eastAsia="宋体" w:hint="default"/>
          <w:sz w:val="25"/>
          <w:szCs w:val="25"/>
        </w:rPr>
      </w:pPr>
    </w:p>
    <w:p>
      <w:pPr>
        <w:pStyle w:val="Heading4"/>
        <w:spacing w:line="240" w:lineRule="auto"/>
        <w:ind w:right="1133"/>
        <w:jc w:val="left"/>
        <w:rPr>
          <w:b w:val="0"/>
          <w:bCs w:val="0"/>
        </w:rPr>
      </w:pPr>
      <w:bookmarkStart w:name="17、开发支出" w:id="277"/>
      <w:bookmarkEnd w:id="277"/>
      <w:r>
        <w:rPr>
          <w:b w:val="0"/>
          <w:bCs w:val="0"/>
        </w:rPr>
      </w:r>
      <w:r>
        <w:rPr>
          <w:rFonts w:ascii="Times New Roman" w:hAnsi="Times New Roman" w:cs="Times New Roman" w:eastAsia="Times New Roman" w:hint="default"/>
        </w:rPr>
        <w:t>17</w:t>
      </w:r>
      <w:r>
        <w:rPr/>
        <w:t>、开发支出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811"/>
        <w:gridCol w:w="1092"/>
        <w:gridCol w:w="1121"/>
        <w:gridCol w:w="415"/>
        <w:gridCol w:w="1241"/>
        <w:gridCol w:w="896"/>
        <w:gridCol w:w="1092"/>
      </w:tblGrid>
      <w:tr>
        <w:trPr>
          <w:trHeight w:val="403" w:hRule="exact"/>
        </w:trPr>
        <w:tc>
          <w:tcPr>
            <w:tcW w:w="381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0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7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3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5"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13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23"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0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80"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3811" w:type="dxa"/>
            <w:vMerge/>
            <w:tcBorders>
              <w:left w:val="single" w:sz="4" w:space="0" w:color="000000"/>
              <w:bottom w:val="single" w:sz="4" w:space="0" w:color="000000"/>
              <w:right w:val="single" w:sz="4" w:space="0" w:color="000000"/>
            </w:tcBorders>
            <w:shd w:val="clear" w:color="auto" w:fill="D2D2D2"/>
          </w:tcPr>
          <w:p>
            <w:pPr/>
          </w:p>
        </w:tc>
        <w:tc>
          <w:tcPr>
            <w:tcW w:w="1092" w:type="dxa"/>
            <w:vMerge/>
            <w:tcBorders>
              <w:left w:val="single" w:sz="4" w:space="0" w:color="000000"/>
              <w:bottom w:val="single" w:sz="4" w:space="0" w:color="000000"/>
              <w:right w:val="single" w:sz="4" w:space="0" w:color="000000"/>
            </w:tcBorders>
            <w:shd w:val="clear" w:color="auto" w:fill="D2D2D2"/>
          </w:tcPr>
          <w:p>
            <w:pPr/>
          </w:p>
        </w:tc>
        <w:tc>
          <w:tcPr>
            <w:tcW w:w="11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105" w:right="0"/>
              <w:jc w:val="left"/>
              <w:rPr>
                <w:rFonts w:ascii="宋体" w:hAnsi="宋体" w:cs="宋体" w:eastAsia="宋体" w:hint="default"/>
                <w:sz w:val="18"/>
                <w:szCs w:val="18"/>
              </w:rPr>
            </w:pPr>
            <w:r>
              <w:rPr>
                <w:rFonts w:ascii="宋体" w:hAnsi="宋体" w:cs="宋体" w:eastAsia="宋体" w:hint="default"/>
                <w:sz w:val="18"/>
                <w:szCs w:val="18"/>
              </w:rPr>
              <w:t>内部开发支</w:t>
            </w:r>
          </w:p>
        </w:tc>
        <w:tc>
          <w:tcPr>
            <w:tcW w:w="415" w:type="dxa"/>
            <w:tcBorders>
              <w:top w:val="single" w:sz="4" w:space="0" w:color="000000"/>
              <w:left w:val="single" w:sz="4" w:space="0" w:color="000000"/>
              <w:bottom w:val="single" w:sz="4" w:space="0" w:color="000000"/>
              <w:right w:val="single" w:sz="28" w:space="0" w:color="000000"/>
            </w:tcBorders>
            <w:shd w:val="clear" w:color="auto" w:fill="D2D2D2"/>
          </w:tcPr>
          <w:p>
            <w:pPr>
              <w:pStyle w:val="TableParagraph"/>
              <w:spacing w:line="240" w:lineRule="auto" w:before="68"/>
              <w:ind w:left="83" w:right="0"/>
              <w:jc w:val="left"/>
              <w:rPr>
                <w:rFonts w:ascii="宋体" w:hAnsi="宋体" w:cs="宋体" w:eastAsia="宋体" w:hint="default"/>
                <w:sz w:val="18"/>
                <w:szCs w:val="18"/>
              </w:rPr>
            </w:pPr>
            <w:r>
              <w:rPr>
                <w:rFonts w:ascii="宋体" w:hAnsi="宋体" w:cs="宋体" w:eastAsia="宋体" w:hint="default"/>
                <w:sz w:val="18"/>
                <w:szCs w:val="18"/>
              </w:rPr>
              <w:t>其</w:t>
            </w:r>
          </w:p>
        </w:tc>
        <w:tc>
          <w:tcPr>
            <w:tcW w:w="1241" w:type="dxa"/>
            <w:tcBorders>
              <w:top w:val="single" w:sz="4" w:space="0" w:color="000000"/>
              <w:left w:val="single" w:sz="28" w:space="0" w:color="000000"/>
              <w:bottom w:val="single" w:sz="4" w:space="0" w:color="000000"/>
              <w:right w:val="single" w:sz="4" w:space="0" w:color="000000"/>
            </w:tcBorders>
            <w:shd w:val="clear" w:color="auto" w:fill="D2D2D2"/>
          </w:tcPr>
          <w:p>
            <w:pPr>
              <w:pStyle w:val="TableParagraph"/>
              <w:spacing w:line="240" w:lineRule="auto" w:before="68"/>
              <w:ind w:left="44" w:right="0"/>
              <w:jc w:val="left"/>
              <w:rPr>
                <w:rFonts w:ascii="宋体" w:hAnsi="宋体" w:cs="宋体" w:eastAsia="宋体" w:hint="default"/>
                <w:sz w:val="18"/>
                <w:szCs w:val="18"/>
              </w:rPr>
            </w:pPr>
            <w:r>
              <w:rPr>
                <w:rFonts w:ascii="宋体" w:hAnsi="宋体" w:cs="宋体" w:eastAsia="宋体" w:hint="default"/>
                <w:sz w:val="18"/>
                <w:szCs w:val="18"/>
              </w:rPr>
              <w:t>确认为无形资</w:t>
            </w:r>
          </w:p>
        </w:tc>
        <w:tc>
          <w:tcPr>
            <w:tcW w:w="896" w:type="dxa"/>
            <w:tcBorders>
              <w:top w:val="single" w:sz="4" w:space="0" w:color="000000"/>
              <w:left w:val="single" w:sz="4" w:space="0" w:color="000000"/>
              <w:bottom w:val="single" w:sz="4" w:space="0" w:color="000000"/>
              <w:right w:val="single" w:sz="29" w:space="0" w:color="000000"/>
            </w:tcBorders>
            <w:shd w:val="clear" w:color="auto" w:fill="D2D2D2"/>
          </w:tcPr>
          <w:p>
            <w:pPr>
              <w:pStyle w:val="TableParagraph"/>
              <w:spacing w:line="240" w:lineRule="auto" w:before="68"/>
              <w:ind w:left="52" w:right="0"/>
              <w:jc w:val="left"/>
              <w:rPr>
                <w:rFonts w:ascii="宋体" w:hAnsi="宋体" w:cs="宋体" w:eastAsia="宋体" w:hint="default"/>
                <w:sz w:val="18"/>
                <w:szCs w:val="18"/>
              </w:rPr>
            </w:pPr>
            <w:r>
              <w:rPr>
                <w:rFonts w:ascii="宋体" w:hAnsi="宋体" w:cs="宋体" w:eastAsia="宋体" w:hint="default"/>
                <w:sz w:val="18"/>
                <w:szCs w:val="18"/>
              </w:rPr>
              <w:t>转入当期</w:t>
            </w:r>
          </w:p>
        </w:tc>
        <w:tc>
          <w:tcPr>
            <w:tcW w:w="1092"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789"/>
        <w:gridCol w:w="1103"/>
        <w:gridCol w:w="1121"/>
        <w:gridCol w:w="385"/>
        <w:gridCol w:w="1271"/>
        <w:gridCol w:w="864"/>
        <w:gridCol w:w="1123"/>
      </w:tblGrid>
      <w:tr>
        <w:trPr>
          <w:trHeight w:val="363"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0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出</w:t>
            </w:r>
          </w:p>
        </w:tc>
        <w:tc>
          <w:tcPr>
            <w:tcW w:w="385" w:type="dxa"/>
            <w:tcBorders>
              <w:top w:val="single" w:sz="4" w:space="0" w:color="000000"/>
              <w:left w:val="single" w:sz="4" w:space="0" w:color="000000"/>
              <w:bottom w:val="single" w:sz="4" w:space="0" w:color="000000"/>
              <w:right w:val="single" w:sz="28" w:space="0" w:color="000000"/>
            </w:tcBorders>
            <w:shd w:val="clear" w:color="auto" w:fill="D2D2D2"/>
          </w:tcPr>
          <w:p>
            <w:pPr>
              <w:pStyle w:val="TableParagraph"/>
              <w:spacing w:line="240" w:lineRule="auto" w:before="8"/>
              <w:ind w:left="83" w:right="0"/>
              <w:jc w:val="left"/>
              <w:rPr>
                <w:rFonts w:ascii="宋体" w:hAnsi="宋体" w:cs="宋体" w:eastAsia="宋体" w:hint="default"/>
                <w:sz w:val="18"/>
                <w:szCs w:val="18"/>
              </w:rPr>
            </w:pPr>
            <w:r>
              <w:rPr>
                <w:rFonts w:ascii="宋体" w:hAnsi="宋体" w:cs="宋体" w:eastAsia="宋体" w:hint="default"/>
                <w:sz w:val="18"/>
                <w:szCs w:val="18"/>
              </w:rPr>
              <w:t>他</w:t>
            </w:r>
          </w:p>
        </w:tc>
        <w:tc>
          <w:tcPr>
            <w:tcW w:w="1271" w:type="dxa"/>
            <w:tcBorders>
              <w:top w:val="single" w:sz="4" w:space="0" w:color="000000"/>
              <w:left w:val="single" w:sz="28" w:space="0" w:color="000000"/>
              <w:bottom w:val="single" w:sz="4" w:space="0" w:color="000000"/>
              <w:right w:val="single" w:sz="4" w:space="0" w:color="000000"/>
            </w:tcBorders>
            <w:shd w:val="clear" w:color="auto" w:fill="D2D2D2"/>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产</w:t>
            </w:r>
          </w:p>
        </w:tc>
        <w:tc>
          <w:tcPr>
            <w:tcW w:w="864" w:type="dxa"/>
            <w:tcBorders>
              <w:top w:val="single" w:sz="4" w:space="0" w:color="000000"/>
              <w:left w:val="single" w:sz="4" w:space="0" w:color="000000"/>
              <w:bottom w:val="single" w:sz="4" w:space="0" w:color="000000"/>
              <w:right w:val="single" w:sz="29" w:space="0" w:color="000000"/>
            </w:tcBorders>
            <w:shd w:val="clear" w:color="auto" w:fill="D2D2D2"/>
          </w:tcPr>
          <w:p>
            <w:pPr>
              <w:pStyle w:val="TableParagraph"/>
              <w:spacing w:line="240" w:lineRule="auto" w:before="8"/>
              <w:ind w:left="232" w:right="0"/>
              <w:jc w:val="left"/>
              <w:rPr>
                <w:rFonts w:ascii="宋体" w:hAnsi="宋体" w:cs="宋体" w:eastAsia="宋体" w:hint="default"/>
                <w:sz w:val="18"/>
                <w:szCs w:val="18"/>
              </w:rPr>
            </w:pPr>
            <w:r>
              <w:rPr>
                <w:rFonts w:ascii="宋体" w:hAnsi="宋体" w:cs="宋体" w:eastAsia="宋体" w:hint="default"/>
                <w:sz w:val="18"/>
                <w:szCs w:val="18"/>
              </w:rPr>
              <w:t>损益</w:t>
            </w:r>
          </w:p>
        </w:tc>
        <w:tc>
          <w:tcPr>
            <w:tcW w:w="1123" w:type="dxa"/>
            <w:tcBorders>
              <w:top w:val="single" w:sz="4" w:space="0" w:color="000000"/>
              <w:left w:val="single" w:sz="29" w:space="0" w:color="000000"/>
              <w:bottom w:val="single" w:sz="4" w:space="0" w:color="000000"/>
              <w:right w:val="single" w:sz="4" w:space="0" w:color="000000"/>
            </w:tcBorders>
            <w:shd w:val="clear" w:color="auto" w:fill="D2D2D2"/>
          </w:tcPr>
          <w:p>
            <w:pPr/>
          </w:p>
        </w:tc>
      </w:tr>
      <w:tr>
        <w:trPr>
          <w:trHeight w:val="713"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基于企业微信的运维管控系统研发</w:t>
            </w:r>
          </w:p>
          <w:p>
            <w:pPr>
              <w:pStyle w:val="TableParagraph"/>
              <w:spacing w:line="240" w:lineRule="auto" w:before="118"/>
              <w:ind w:left="12" w:right="0"/>
              <w:jc w:val="left"/>
              <w:rPr>
                <w:rFonts w:ascii="Times New Roman" w:hAnsi="Times New Roman" w:cs="Times New Roman" w:eastAsia="Times New Roman" w:hint="default"/>
                <w:sz w:val="18"/>
                <w:szCs w:val="18"/>
              </w:rPr>
            </w:pPr>
            <w:r>
              <w:rPr>
                <w:rFonts w:ascii="Times New Roman"/>
                <w:spacing w:val="-5"/>
                <w:sz w:val="18"/>
              </w:rPr>
              <w:t>WECHAT-FM</w:t>
            </w:r>
            <w:r>
              <w:rPr>
                <w:rFonts w:ascii="Times New Roman"/>
                <w:spacing w:val="2"/>
                <w:sz w:val="18"/>
              </w:rPr>
              <w:t> </w:t>
            </w:r>
            <w:r>
              <w:rPr>
                <w:rFonts w:ascii="Times New Roman"/>
                <w:sz w:val="18"/>
              </w:rPr>
              <w:t>V1.0</w:t>
            </w:r>
          </w:p>
        </w:tc>
        <w:tc>
          <w:tcPr>
            <w:tcW w:w="1103"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7,859,530.42</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2,504,159.03</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10,363,689.45</w:t>
            </w: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
        </w:tc>
      </w:tr>
      <w:tr>
        <w:trPr>
          <w:trHeight w:val="403"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人脸识别管理系统</w:t>
            </w:r>
          </w:p>
        </w:tc>
        <w:tc>
          <w:tcPr>
            <w:tcW w:w="1103"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5,291,323.54</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6,266,222.69</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11,557,546.23</w:t>
            </w:r>
          </w:p>
        </w:tc>
      </w:tr>
      <w:tr>
        <w:trPr>
          <w:trHeight w:val="713"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40" w:lineRule="auto" w:before="49"/>
              <w:ind w:left="12" w:right="217"/>
              <w:jc w:val="left"/>
              <w:rPr>
                <w:rFonts w:ascii="Times New Roman" w:hAnsi="Times New Roman" w:cs="Times New Roman" w:eastAsia="Times New Roman" w:hint="default"/>
                <w:sz w:val="18"/>
                <w:szCs w:val="18"/>
              </w:rPr>
            </w:pPr>
            <w:r>
              <w:rPr>
                <w:rFonts w:ascii="宋体" w:hAnsi="宋体" w:cs="宋体" w:eastAsia="宋体" w:hint="default"/>
                <w:sz w:val="18"/>
                <w:szCs w:val="18"/>
              </w:rPr>
              <w:t>智慧园区的综合管控应用平台研发</w:t>
            </w:r>
            <w:r>
              <w:rPr>
                <w:rFonts w:ascii="宋体" w:hAnsi="宋体" w:cs="宋体" w:eastAsia="宋体" w:hint="default"/>
                <w:spacing w:val="-43"/>
                <w:sz w:val="18"/>
                <w:szCs w:val="18"/>
              </w:rPr>
              <w:t> </w:t>
            </w:r>
            <w:r>
              <w:rPr>
                <w:rFonts w:ascii="Times New Roman" w:hAnsi="Times New Roman" w:cs="Times New Roman" w:eastAsia="Times New Roman" w:hint="default"/>
                <w:spacing w:val="-3"/>
                <w:sz w:val="18"/>
                <w:szCs w:val="18"/>
              </w:rPr>
              <w:t>WITPARK</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V1.0</w:t>
            </w:r>
          </w:p>
        </w:tc>
        <w:tc>
          <w:tcPr>
            <w:tcW w:w="1103"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4,796,429.79</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6,729,992.57</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11,526,422.36</w:t>
            </w: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
        </w:tc>
      </w:tr>
      <w:tr>
        <w:trPr>
          <w:trHeight w:val="403"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项目现场智慧管理系统</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SCSS</w:t>
            </w:r>
            <w:r>
              <w:rPr>
                <w:rFonts w:ascii="Times New Roman" w:hAnsi="Times New Roman" w:cs="Times New Roman" w:eastAsia="Times New Roman" w:hint="default"/>
                <w:spacing w:val="-5"/>
                <w:sz w:val="18"/>
                <w:szCs w:val="18"/>
              </w:rPr>
              <w:t> </w:t>
            </w:r>
            <w:r>
              <w:rPr>
                <w:rFonts w:ascii="Times New Roman" w:hAnsi="Times New Roman" w:cs="Times New Roman" w:eastAsia="Times New Roman" w:hint="default"/>
                <w:sz w:val="18"/>
                <w:szCs w:val="18"/>
              </w:rPr>
              <w:t>V1.0</w:t>
            </w:r>
          </w:p>
        </w:tc>
        <w:tc>
          <w:tcPr>
            <w:tcW w:w="1103"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3,789,863.01</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916,979.25</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4,706,842.26</w:t>
            </w: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
        </w:tc>
      </w:tr>
      <w:tr>
        <w:trPr>
          <w:trHeight w:val="401"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达实智能医院运营管理辅决策支持系统</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BI</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v1.0</w:t>
            </w:r>
          </w:p>
        </w:tc>
        <w:tc>
          <w:tcPr>
            <w:tcW w:w="1103"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1,993,187.39</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2,281,548.05</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4,274,735.44</w:t>
            </w: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
        </w:tc>
      </w:tr>
      <w:tr>
        <w:trPr>
          <w:trHeight w:val="403"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基于健康云的移动诊疗平台 </w:t>
            </w:r>
            <w:r>
              <w:rPr>
                <w:rFonts w:ascii="Times New Roman" w:hAnsi="Times New Roman" w:cs="Times New Roman" w:eastAsia="Times New Roman" w:hint="default"/>
                <w:sz w:val="18"/>
                <w:szCs w:val="18"/>
              </w:rPr>
              <w:t>v1.0</w:t>
            </w:r>
          </w:p>
        </w:tc>
        <w:tc>
          <w:tcPr>
            <w:tcW w:w="1103"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1,927,157.74</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2,658,983.36</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4,586,141.10</w:t>
            </w: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
        </w:tc>
      </w:tr>
      <w:tr>
        <w:trPr>
          <w:trHeight w:val="401"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基于医疗大数据的智能辅助诊疗系统</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CDSS</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v1.0</w:t>
            </w:r>
          </w:p>
        </w:tc>
        <w:tc>
          <w:tcPr>
            <w:tcW w:w="1103"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1,274,447.85</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2,212,549.69</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3,486,997.54</w:t>
            </w: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
        </w:tc>
      </w:tr>
      <w:tr>
        <w:trPr>
          <w:trHeight w:val="716"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65"/>
              <w:jc w:val="left"/>
              <w:rPr>
                <w:rFonts w:ascii="宋体" w:hAnsi="宋体" w:cs="宋体" w:eastAsia="宋体" w:hint="default"/>
                <w:sz w:val="18"/>
                <w:szCs w:val="18"/>
              </w:rPr>
            </w:pPr>
            <w:r>
              <w:rPr>
                <w:rFonts w:ascii="宋体" w:hAnsi="宋体" w:cs="宋体" w:eastAsia="宋体" w:hint="default"/>
                <w:sz w:val="18"/>
                <w:szCs w:val="18"/>
              </w:rPr>
              <w:t>基于物联网大数据的智慧能源监控系统关键技 术研发</w:t>
            </w:r>
          </w:p>
        </w:tc>
        <w:tc>
          <w:tcPr>
            <w:tcW w:w="1103"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1,219,553.46</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4,450,621.25</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5,670,174.71</w:t>
            </w:r>
          </w:p>
        </w:tc>
      </w:tr>
      <w:tr>
        <w:trPr>
          <w:trHeight w:val="401"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NB-LOT</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技术的互联网门禁系统</w:t>
            </w:r>
          </w:p>
        </w:tc>
        <w:tc>
          <w:tcPr>
            <w:tcW w:w="1103"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1,078,789.90</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396,939.31</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1,475,729.21</w:t>
            </w: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
        </w:tc>
      </w:tr>
      <w:tr>
        <w:trPr>
          <w:trHeight w:val="403"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LORA</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技术的无线门禁系统</w:t>
            </w:r>
          </w:p>
        </w:tc>
        <w:tc>
          <w:tcPr>
            <w:tcW w:w="1103"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958,442.83</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475,639.18</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1,434,082.01</w:t>
            </w: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
        </w:tc>
      </w:tr>
      <w:tr>
        <w:trPr>
          <w:trHeight w:val="713"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达实智能建筑管理系统</w:t>
            </w:r>
          </w:p>
          <w:p>
            <w:pPr>
              <w:pStyle w:val="TableParagraph"/>
              <w:spacing w:line="240" w:lineRule="auto" w:before="76"/>
              <w:ind w:left="1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IndasIBMSV400R001C00)</w:t>
            </w:r>
          </w:p>
        </w:tc>
        <w:tc>
          <w:tcPr>
            <w:tcW w:w="1103" w:type="dxa"/>
            <w:tcBorders>
              <w:top w:val="single" w:sz="4" w:space="0" w:color="000000"/>
              <w:left w:val="single" w:sz="9" w:space="0" w:color="D2D2D2"/>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1,355,066.57</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1,355,066.57</w:t>
            </w: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
        </w:tc>
      </w:tr>
      <w:tr>
        <w:trPr>
          <w:trHeight w:val="715"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65"/>
              <w:jc w:val="left"/>
              <w:rPr>
                <w:rFonts w:ascii="宋体" w:hAnsi="宋体" w:cs="宋体" w:eastAsia="宋体" w:hint="default"/>
                <w:sz w:val="18"/>
                <w:szCs w:val="18"/>
              </w:rPr>
            </w:pPr>
            <w:r>
              <w:rPr>
                <w:rFonts w:ascii="宋体" w:hAnsi="宋体" w:cs="宋体" w:eastAsia="宋体" w:hint="default"/>
                <w:sz w:val="18"/>
                <w:szCs w:val="18"/>
              </w:rPr>
              <w:t>基于多源信息融合的中央空调制冷系统设备健 康状况评估</w:t>
            </w:r>
          </w:p>
        </w:tc>
        <w:tc>
          <w:tcPr>
            <w:tcW w:w="1103" w:type="dxa"/>
            <w:tcBorders>
              <w:top w:val="single" w:sz="4" w:space="0" w:color="000000"/>
              <w:left w:val="single" w:sz="9" w:space="0" w:color="D2D2D2"/>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460,741.57</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460,741.57</w:t>
            </w:r>
          </w:p>
        </w:tc>
      </w:tr>
      <w:tr>
        <w:trPr>
          <w:trHeight w:val="713"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65"/>
              <w:jc w:val="left"/>
              <w:rPr>
                <w:rFonts w:ascii="宋体" w:hAnsi="宋体" w:cs="宋体" w:eastAsia="宋体" w:hint="default"/>
                <w:sz w:val="18"/>
                <w:szCs w:val="18"/>
              </w:rPr>
            </w:pPr>
            <w:r>
              <w:rPr>
                <w:rFonts w:ascii="宋体" w:hAnsi="宋体" w:cs="宋体" w:eastAsia="宋体" w:hint="default"/>
                <w:sz w:val="18"/>
                <w:szCs w:val="18"/>
              </w:rPr>
              <w:t>城市轨道交通多线路中心及互联网支付管理平 台</w:t>
            </w:r>
          </w:p>
        </w:tc>
        <w:tc>
          <w:tcPr>
            <w:tcW w:w="1103" w:type="dxa"/>
            <w:tcBorders>
              <w:top w:val="single" w:sz="4" w:space="0" w:color="000000"/>
              <w:left w:val="single" w:sz="9" w:space="0" w:color="D2D2D2"/>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348,983.14</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348,983.14</w:t>
            </w: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
        </w:tc>
      </w:tr>
      <w:tr>
        <w:trPr>
          <w:trHeight w:val="403"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城市轨道交通智慧运维设备健康管理平台系统</w:t>
            </w:r>
          </w:p>
        </w:tc>
        <w:tc>
          <w:tcPr>
            <w:tcW w:w="1103" w:type="dxa"/>
            <w:tcBorders>
              <w:top w:val="single" w:sz="4" w:space="0" w:color="000000"/>
              <w:left w:val="single" w:sz="9" w:space="0" w:color="D2D2D2"/>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301,646.93</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301,646.93</w:t>
            </w: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
        </w:tc>
      </w:tr>
      <w:tr>
        <w:trPr>
          <w:trHeight w:val="401"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数字一体化手术室系统</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V2.0</w:t>
            </w:r>
          </w:p>
        </w:tc>
        <w:tc>
          <w:tcPr>
            <w:tcW w:w="1103" w:type="dxa"/>
            <w:tcBorders>
              <w:top w:val="single" w:sz="4" w:space="0" w:color="000000"/>
              <w:left w:val="single" w:sz="9" w:space="0" w:color="D2D2D2"/>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2,908,300.65</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2,908,300.65</w:t>
            </w: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
        </w:tc>
      </w:tr>
      <w:tr>
        <w:trPr>
          <w:trHeight w:val="403"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ICU </w:t>
            </w:r>
            <w:r>
              <w:rPr>
                <w:rFonts w:ascii="宋体" w:hAnsi="宋体" w:cs="宋体" w:eastAsia="宋体" w:hint="default"/>
                <w:sz w:val="18"/>
                <w:szCs w:val="18"/>
              </w:rPr>
              <w:t>重症监护系统</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V6.0</w:t>
            </w:r>
          </w:p>
        </w:tc>
        <w:tc>
          <w:tcPr>
            <w:tcW w:w="1103" w:type="dxa"/>
            <w:tcBorders>
              <w:top w:val="single" w:sz="4" w:space="0" w:color="000000"/>
              <w:left w:val="single" w:sz="9" w:space="0" w:color="D2D2D2"/>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2,828,396.33</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2,828,396.33</w:t>
            </w: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
        </w:tc>
      </w:tr>
      <w:tr>
        <w:trPr>
          <w:trHeight w:val="401"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围术期信息管理系统</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V1.0</w:t>
            </w:r>
          </w:p>
        </w:tc>
        <w:tc>
          <w:tcPr>
            <w:tcW w:w="1103" w:type="dxa"/>
            <w:tcBorders>
              <w:top w:val="single" w:sz="4" w:space="0" w:color="000000"/>
              <w:left w:val="single" w:sz="9" w:space="0" w:color="D2D2D2"/>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1,859,829.00</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1,859,829.00</w:t>
            </w:r>
          </w:p>
        </w:tc>
      </w:tr>
      <w:tr>
        <w:trPr>
          <w:trHeight w:val="403"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Andriod </w:t>
            </w:r>
            <w:r>
              <w:rPr>
                <w:rFonts w:ascii="宋体" w:hAnsi="宋体" w:cs="宋体" w:eastAsia="宋体" w:hint="default"/>
                <w:sz w:val="18"/>
                <w:szCs w:val="18"/>
              </w:rPr>
              <w:t>平台人脸门禁控制器</w:t>
            </w:r>
          </w:p>
        </w:tc>
        <w:tc>
          <w:tcPr>
            <w:tcW w:w="1103" w:type="dxa"/>
            <w:tcBorders>
              <w:top w:val="single" w:sz="4" w:space="0" w:color="000000"/>
              <w:left w:val="single" w:sz="9" w:space="0" w:color="D2D2D2"/>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740,046.23</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2,908,300.65</w:t>
            </w: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740,046.23</w:t>
            </w:r>
          </w:p>
        </w:tc>
      </w:tr>
      <w:tr>
        <w:trPr>
          <w:trHeight w:val="401"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基于</w:t>
            </w:r>
            <w:r>
              <w:rPr>
                <w:rFonts w:ascii="Times New Roman" w:hAnsi="Times New Roman" w:cs="Times New Roman" w:eastAsia="Times New Roman" w:hint="default"/>
                <w:sz w:val="18"/>
                <w:szCs w:val="18"/>
              </w:rPr>
              <w:t>“</w:t>
            </w:r>
            <w:r>
              <w:rPr>
                <w:rFonts w:ascii="宋体" w:hAnsi="宋体" w:cs="宋体" w:eastAsia="宋体" w:hint="default"/>
                <w:sz w:val="18"/>
                <w:szCs w:val="18"/>
              </w:rPr>
              <w:t>云</w:t>
            </w:r>
            <w:r>
              <w:rPr>
                <w:rFonts w:ascii="Times New Roman" w:hAnsi="Times New Roman" w:cs="Times New Roman" w:eastAsia="Times New Roman" w:hint="default"/>
                <w:sz w:val="18"/>
                <w:szCs w:val="18"/>
              </w:rPr>
              <w:t>+</w:t>
            </w:r>
            <w:r>
              <w:rPr>
                <w:rFonts w:ascii="宋体" w:hAnsi="宋体" w:cs="宋体" w:eastAsia="宋体" w:hint="default"/>
                <w:sz w:val="18"/>
                <w:szCs w:val="18"/>
              </w:rPr>
              <w:t>边缘</w:t>
            </w:r>
            <w:r>
              <w:rPr>
                <w:rFonts w:ascii="Times New Roman" w:hAnsi="Times New Roman" w:cs="Times New Roman" w:eastAsia="Times New Roman" w:hint="default"/>
                <w:sz w:val="18"/>
                <w:szCs w:val="18"/>
              </w:rPr>
              <w:t>+</w:t>
            </w:r>
            <w:r>
              <w:rPr>
                <w:rFonts w:ascii="宋体" w:hAnsi="宋体" w:cs="宋体" w:eastAsia="宋体" w:hint="default"/>
                <w:sz w:val="18"/>
                <w:szCs w:val="18"/>
              </w:rPr>
              <w:t>端</w:t>
            </w:r>
            <w:r>
              <w:rPr>
                <w:rFonts w:ascii="Times New Roman" w:hAnsi="Times New Roman" w:cs="Times New Roman" w:eastAsia="Times New Roman" w:hint="default"/>
                <w:sz w:val="18"/>
                <w:szCs w:val="18"/>
              </w:rPr>
              <w:t>”</w:t>
            </w:r>
            <w:r>
              <w:rPr>
                <w:rFonts w:ascii="宋体" w:hAnsi="宋体" w:cs="宋体" w:eastAsia="宋体" w:hint="default"/>
                <w:sz w:val="18"/>
                <w:szCs w:val="18"/>
              </w:rPr>
              <w:t>的智慧建筑综合管理平台</w:t>
            </w:r>
          </w:p>
        </w:tc>
        <w:tc>
          <w:tcPr>
            <w:tcW w:w="1103" w:type="dxa"/>
            <w:tcBorders>
              <w:top w:val="single" w:sz="4" w:space="0" w:color="000000"/>
              <w:left w:val="single" w:sz="9" w:space="0" w:color="D2D2D2"/>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641,918.33</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2,828,396.33</w:t>
            </w: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641,918.33</w:t>
            </w:r>
          </w:p>
        </w:tc>
      </w:tr>
      <w:tr>
        <w:trPr>
          <w:trHeight w:val="403"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数据集成平台</w:t>
            </w:r>
          </w:p>
        </w:tc>
        <w:tc>
          <w:tcPr>
            <w:tcW w:w="1103" w:type="dxa"/>
            <w:tcBorders>
              <w:top w:val="single" w:sz="4" w:space="0" w:color="000000"/>
              <w:left w:val="single" w:sz="9" w:space="0" w:color="D2D2D2"/>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724,981.32</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724,981.32</w:t>
            </w:r>
          </w:p>
        </w:tc>
      </w:tr>
      <w:tr>
        <w:trPr>
          <w:trHeight w:val="401"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统一协同平台</w:t>
            </w:r>
          </w:p>
        </w:tc>
        <w:tc>
          <w:tcPr>
            <w:tcW w:w="1103" w:type="dxa"/>
            <w:tcBorders>
              <w:top w:val="single" w:sz="4" w:space="0" w:color="000000"/>
              <w:left w:val="single" w:sz="9" w:space="0" w:color="D2D2D2"/>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355,475.12</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355,475.12</w:t>
            </w:r>
          </w:p>
        </w:tc>
      </w:tr>
      <w:tr>
        <w:trPr>
          <w:trHeight w:val="404"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基于边缘计算的轨道交通节能控制系统</w:t>
            </w:r>
          </w:p>
        </w:tc>
        <w:tc>
          <w:tcPr>
            <w:tcW w:w="1103" w:type="dxa"/>
            <w:tcBorders>
              <w:top w:val="single" w:sz="4" w:space="0" w:color="000000"/>
              <w:left w:val="single" w:sz="9" w:space="0" w:color="D2D2D2"/>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249,424.29</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249,424.29</w:t>
            </w:r>
          </w:p>
        </w:tc>
      </w:tr>
      <w:tr>
        <w:trPr>
          <w:trHeight w:val="713"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65"/>
              <w:jc w:val="left"/>
              <w:rPr>
                <w:rFonts w:ascii="宋体" w:hAnsi="宋体" w:cs="宋体" w:eastAsia="宋体" w:hint="default"/>
                <w:sz w:val="18"/>
                <w:szCs w:val="18"/>
              </w:rPr>
            </w:pPr>
            <w:r>
              <w:rPr>
                <w:rFonts w:ascii="宋体" w:hAnsi="宋体" w:cs="宋体" w:eastAsia="宋体" w:hint="default"/>
                <w:sz w:val="18"/>
                <w:szCs w:val="18"/>
              </w:rPr>
              <w:t>基于强化学习的中央空调制冷系统优化控制平 台</w:t>
            </w:r>
          </w:p>
        </w:tc>
        <w:tc>
          <w:tcPr>
            <w:tcW w:w="1103" w:type="dxa"/>
            <w:tcBorders>
              <w:top w:val="single" w:sz="4" w:space="0" w:color="000000"/>
              <w:left w:val="single" w:sz="9" w:space="0" w:color="D2D2D2"/>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1,191,727.38</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1,191,727.38</w:t>
            </w:r>
          </w:p>
        </w:tc>
      </w:tr>
      <w:tr>
        <w:trPr>
          <w:trHeight w:val="715"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184"/>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云边端</w:t>
            </w:r>
            <w:r>
              <w:rPr>
                <w:rFonts w:ascii="Times New Roman" w:hAnsi="Times New Roman" w:cs="Times New Roman" w:eastAsia="Times New Roman" w:hint="default"/>
                <w:sz w:val="18"/>
                <w:szCs w:val="18"/>
              </w:rPr>
              <w:t>”</w:t>
            </w:r>
            <w:r>
              <w:rPr>
                <w:rFonts w:ascii="宋体" w:hAnsi="宋体" w:cs="宋体" w:eastAsia="宋体" w:hint="default"/>
                <w:sz w:val="18"/>
                <w:szCs w:val="18"/>
              </w:rPr>
              <w:t>协同计算体系下的能耗管理及故障诊 断平台</w:t>
            </w:r>
          </w:p>
        </w:tc>
        <w:tc>
          <w:tcPr>
            <w:tcW w:w="1103" w:type="dxa"/>
            <w:tcBorders>
              <w:top w:val="single" w:sz="4" w:space="0" w:color="000000"/>
              <w:left w:val="single" w:sz="9" w:space="0" w:color="D2D2D2"/>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713,639.13</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713,639.13</w:t>
            </w:r>
          </w:p>
        </w:tc>
      </w:tr>
      <w:tr>
        <w:trPr>
          <w:trHeight w:val="401"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基于医疗大数据的医学诊断知识图谱构建系统</w:t>
            </w:r>
          </w:p>
        </w:tc>
        <w:tc>
          <w:tcPr>
            <w:tcW w:w="1103" w:type="dxa"/>
            <w:tcBorders>
              <w:top w:val="single" w:sz="4" w:space="0" w:color="000000"/>
              <w:left w:val="single" w:sz="9" w:space="0" w:color="D2D2D2"/>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669,331.09</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669,331.09</w:t>
            </w:r>
          </w:p>
        </w:tc>
      </w:tr>
      <w:tr>
        <w:trPr>
          <w:trHeight w:val="413"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达实智能</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BIM </w:t>
            </w:r>
            <w:r>
              <w:rPr>
                <w:rFonts w:ascii="宋体" w:hAnsi="宋体" w:cs="宋体" w:eastAsia="宋体" w:hint="default"/>
                <w:sz w:val="18"/>
                <w:szCs w:val="18"/>
              </w:rPr>
              <w:t>运维管理系统</w:t>
            </w:r>
          </w:p>
        </w:tc>
        <w:tc>
          <w:tcPr>
            <w:tcW w:w="1103" w:type="dxa"/>
            <w:tcBorders>
              <w:top w:val="single" w:sz="4" w:space="0" w:color="000000"/>
              <w:left w:val="single" w:sz="9" w:space="0" w:color="D2D2D2"/>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317,190.15</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317,190.15</w:t>
            </w: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
        </w:tc>
      </w:tr>
      <w:tr>
        <w:trPr>
          <w:trHeight w:val="382" w:hRule="exact"/>
        </w:trPr>
        <w:tc>
          <w:tcPr>
            <w:tcW w:w="3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2" w:right="0"/>
              <w:jc w:val="left"/>
              <w:rPr>
                <w:rFonts w:ascii="宋体" w:hAnsi="宋体" w:cs="宋体" w:eastAsia="宋体" w:hint="default"/>
                <w:sz w:val="18"/>
                <w:szCs w:val="18"/>
              </w:rPr>
            </w:pPr>
            <w:r>
              <w:rPr>
                <w:rFonts w:ascii="宋体" w:hAnsi="宋体" w:cs="宋体" w:eastAsia="宋体" w:hint="default"/>
                <w:sz w:val="18"/>
                <w:szCs w:val="18"/>
              </w:rPr>
              <w:t>达实智能建筑管理系统</w:t>
            </w:r>
          </w:p>
        </w:tc>
        <w:tc>
          <w:tcPr>
            <w:tcW w:w="1103" w:type="dxa"/>
            <w:tcBorders>
              <w:top w:val="single" w:sz="4" w:space="0" w:color="000000"/>
              <w:left w:val="single" w:sz="9" w:space="0" w:color="D2D2D2"/>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9"/>
              <w:jc w:val="right"/>
              <w:rPr>
                <w:rFonts w:ascii="Times New Roman" w:hAnsi="Times New Roman" w:cs="Times New Roman" w:eastAsia="Times New Roman" w:hint="default"/>
                <w:sz w:val="18"/>
                <w:szCs w:val="18"/>
              </w:rPr>
            </w:pPr>
            <w:r>
              <w:rPr>
                <w:rFonts w:ascii="Times New Roman"/>
                <w:spacing w:val="-1"/>
                <w:sz w:val="18"/>
              </w:rPr>
              <w:t>1,336,829.35</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Style w:val="TableParagraph"/>
              <w:spacing w:line="240" w:lineRule="auto" w:before="81"/>
              <w:ind w:right="21"/>
              <w:jc w:val="right"/>
              <w:rPr>
                <w:rFonts w:ascii="Times New Roman" w:hAnsi="Times New Roman" w:cs="Times New Roman" w:eastAsia="Times New Roman" w:hint="default"/>
                <w:sz w:val="18"/>
                <w:szCs w:val="18"/>
              </w:rPr>
            </w:pPr>
            <w:r>
              <w:rPr>
                <w:rFonts w:ascii="Times New Roman"/>
                <w:spacing w:val="-1"/>
                <w:sz w:val="18"/>
              </w:rPr>
              <w:t>1,336,829.35</w:t>
            </w: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3811"/>
        <w:gridCol w:w="1092"/>
        <w:gridCol w:w="1121"/>
        <w:gridCol w:w="385"/>
        <w:gridCol w:w="1271"/>
        <w:gridCol w:w="864"/>
        <w:gridCol w:w="1123"/>
      </w:tblGrid>
      <w:tr>
        <w:trPr>
          <w:trHeight w:val="363" w:hRule="exact"/>
        </w:trPr>
        <w:tc>
          <w:tcPr>
            <w:tcW w:w="38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IndasIBMSV400R002C00</w:t>
            </w:r>
            <w:r>
              <w:rPr>
                <w:rFonts w:ascii="宋体" w:hAnsi="宋体" w:cs="宋体" w:eastAsia="宋体" w:hint="default"/>
                <w:sz w:val="18"/>
                <w:szCs w:val="18"/>
              </w:rPr>
              <w:t>）</w:t>
            </w:r>
          </w:p>
        </w:tc>
        <w:tc>
          <w:tcPr>
            <w:tcW w:w="1092"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
        </w:tc>
      </w:tr>
      <w:tr>
        <w:trPr>
          <w:trHeight w:val="401" w:hRule="exact"/>
        </w:trPr>
        <w:tc>
          <w:tcPr>
            <w:tcW w:w="38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病案首页管理系统 </w:t>
            </w:r>
            <w:r>
              <w:rPr>
                <w:rFonts w:ascii="Times New Roman" w:hAnsi="Times New Roman" w:cs="Times New Roman" w:eastAsia="Times New Roman" w:hint="default"/>
                <w:sz w:val="18"/>
                <w:szCs w:val="18"/>
              </w:rPr>
              <w:t>v1.0</w:t>
            </w:r>
          </w:p>
        </w:tc>
        <w:tc>
          <w:tcPr>
            <w:tcW w:w="1092"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787,177.38</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787,177.38</w:t>
            </w:r>
          </w:p>
        </w:tc>
      </w:tr>
      <w:tr>
        <w:trPr>
          <w:trHeight w:val="403" w:hRule="exact"/>
        </w:trPr>
        <w:tc>
          <w:tcPr>
            <w:tcW w:w="38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移动护理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APP</w:t>
            </w:r>
            <w:r>
              <w:rPr>
                <w:rFonts w:ascii="Times New Roman" w:hAnsi="Times New Roman" w:cs="Times New Roman" w:eastAsia="Times New Roman" w:hint="default"/>
                <w:spacing w:val="-8"/>
                <w:sz w:val="18"/>
                <w:szCs w:val="18"/>
              </w:rPr>
              <w:t> </w:t>
            </w:r>
            <w:r>
              <w:rPr>
                <w:rFonts w:ascii="Times New Roman" w:hAnsi="Times New Roman" w:cs="Times New Roman" w:eastAsia="Times New Roman" w:hint="default"/>
                <w:sz w:val="18"/>
                <w:szCs w:val="18"/>
              </w:rPr>
              <w:t>v1.0</w:t>
            </w:r>
          </w:p>
        </w:tc>
        <w:tc>
          <w:tcPr>
            <w:tcW w:w="1092"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1,317,351.57</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1,317,351.57</w:t>
            </w:r>
          </w:p>
        </w:tc>
      </w:tr>
      <w:tr>
        <w:trPr>
          <w:trHeight w:val="401" w:hRule="exact"/>
        </w:trPr>
        <w:tc>
          <w:tcPr>
            <w:tcW w:w="38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临床数据中心</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CDR</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v1.0</w:t>
            </w:r>
          </w:p>
        </w:tc>
        <w:tc>
          <w:tcPr>
            <w:tcW w:w="1092"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886,841.21</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317,190.15</w:t>
            </w: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886,841.21</w:t>
            </w:r>
          </w:p>
        </w:tc>
      </w:tr>
      <w:tr>
        <w:trPr>
          <w:trHeight w:val="403" w:hRule="exact"/>
        </w:trPr>
        <w:tc>
          <w:tcPr>
            <w:tcW w:w="38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其他项目</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199,616.54</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426,954.77</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626,571.31</w:t>
            </w: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
        </w:tc>
      </w:tr>
      <w:tr>
        <w:trPr>
          <w:trHeight w:val="401" w:hRule="exact"/>
        </w:trPr>
        <w:tc>
          <w:tcPr>
            <w:tcW w:w="38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30,388,342.47</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49,315,485.89</w:t>
            </w:r>
          </w:p>
        </w:tc>
        <w:tc>
          <w:tcPr>
            <w:tcW w:w="385" w:type="dxa"/>
            <w:tcBorders>
              <w:top w:val="single" w:sz="4" w:space="0" w:color="000000"/>
              <w:left w:val="single" w:sz="4" w:space="0" w:color="000000"/>
              <w:bottom w:val="single" w:sz="4" w:space="0" w:color="000000"/>
              <w:right w:val="single" w:sz="28" w:space="0" w:color="000000"/>
            </w:tcBorders>
          </w:tcPr>
          <w:p>
            <w:pPr/>
          </w:p>
        </w:tc>
        <w:tc>
          <w:tcPr>
            <w:tcW w:w="1271" w:type="dxa"/>
            <w:tcBorders>
              <w:top w:val="single" w:sz="4" w:space="0" w:color="000000"/>
              <w:left w:val="single" w:sz="28"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51,877,623.80</w:t>
            </w:r>
          </w:p>
        </w:tc>
        <w:tc>
          <w:tcPr>
            <w:tcW w:w="864" w:type="dxa"/>
            <w:tcBorders>
              <w:top w:val="single" w:sz="4" w:space="0" w:color="000000"/>
              <w:left w:val="single" w:sz="4" w:space="0" w:color="000000"/>
              <w:bottom w:val="single" w:sz="4" w:space="0" w:color="000000"/>
              <w:right w:val="single" w:sz="29" w:space="0" w:color="000000"/>
            </w:tcBorders>
          </w:tcPr>
          <w:p>
            <w:pPr/>
          </w:p>
        </w:tc>
        <w:tc>
          <w:tcPr>
            <w:tcW w:w="1123" w:type="dxa"/>
            <w:tcBorders>
              <w:top w:val="single" w:sz="4" w:space="0" w:color="000000"/>
              <w:left w:val="single" w:sz="29"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27,826,204.56</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1133"/>
        <w:jc w:val="left"/>
        <w:rPr>
          <w:b w:val="0"/>
          <w:bCs w:val="0"/>
        </w:rPr>
      </w:pPr>
      <w:bookmarkStart w:name="18、商誉" w:id="278"/>
      <w:bookmarkEnd w:id="278"/>
      <w:r>
        <w:rPr>
          <w:b w:val="0"/>
          <w:bCs w:val="0"/>
        </w:rPr>
      </w:r>
      <w:r>
        <w:rPr>
          <w:rFonts w:ascii="Times New Roman" w:hAnsi="Times New Roman" w:cs="Times New Roman" w:eastAsia="Times New Roman" w:hint="default"/>
        </w:rPr>
        <w:t>18</w:t>
      </w:r>
      <w:r>
        <w:rPr/>
        <w:t>、商誉</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33"/>
        <w:jc w:val="left"/>
        <w:rPr>
          <w:b w:val="0"/>
          <w:bCs w:val="0"/>
        </w:rPr>
      </w:pPr>
      <w:bookmarkStart w:name="（1）商誉账面原值" w:id="279"/>
      <w:bookmarkEnd w:id="279"/>
      <w:r>
        <w:rPr>
          <w:b w:val="0"/>
          <w:bCs w:val="0"/>
        </w:rPr>
      </w:r>
      <w:r>
        <w:rPr/>
        <w:t>（</w:t>
      </w:r>
      <w:r>
        <w:rPr>
          <w:rFonts w:ascii="Times New Roman" w:hAnsi="Times New Roman" w:cs="Times New Roman" w:eastAsia="Times New Roman" w:hint="default"/>
        </w:rPr>
        <w:t>1</w:t>
      </w:r>
      <w:r>
        <w:rPr/>
        <w:t>）商誉账面原值</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31" w:type="dxa"/>
        <w:tblLayout w:type="fixed"/>
        <w:tblCellMar>
          <w:top w:w="0" w:type="dxa"/>
          <w:left w:w="0" w:type="dxa"/>
          <w:bottom w:w="0" w:type="dxa"/>
          <w:right w:w="0" w:type="dxa"/>
        </w:tblCellMar>
        <w:tblLook w:val="01E0"/>
      </w:tblPr>
      <w:tblGrid>
        <w:gridCol w:w="3653"/>
        <w:gridCol w:w="1586"/>
        <w:gridCol w:w="1796"/>
        <w:gridCol w:w="943"/>
        <w:gridCol w:w="137"/>
        <w:gridCol w:w="1572"/>
      </w:tblGrid>
      <w:tr>
        <w:trPr>
          <w:trHeight w:val="206" w:hRule="exact"/>
        </w:trPr>
        <w:tc>
          <w:tcPr>
            <w:tcW w:w="3653" w:type="dxa"/>
            <w:tcBorders>
              <w:top w:val="single" w:sz="4" w:space="0" w:color="000000"/>
              <w:left w:val="single" w:sz="4" w:space="0" w:color="000000"/>
              <w:bottom w:val="nil" w:sz="6" w:space="0" w:color="auto"/>
              <w:right w:val="single" w:sz="4" w:space="0" w:color="000000"/>
            </w:tcBorders>
            <w:shd w:val="clear" w:color="auto" w:fill="D2D2D2"/>
          </w:tcPr>
          <w:p>
            <w:pPr/>
          </w:p>
        </w:tc>
        <w:tc>
          <w:tcPr>
            <w:tcW w:w="1586" w:type="dxa"/>
            <w:tcBorders>
              <w:top w:val="single" w:sz="4" w:space="0" w:color="000000"/>
              <w:left w:val="single" w:sz="4" w:space="0" w:color="000000"/>
              <w:bottom w:val="nil" w:sz="6" w:space="0" w:color="auto"/>
              <w:right w:val="single" w:sz="4" w:space="0" w:color="000000"/>
            </w:tcBorders>
            <w:shd w:val="clear" w:color="auto" w:fill="D2D2D2"/>
          </w:tcPr>
          <w:p>
            <w:pPr/>
          </w:p>
        </w:tc>
        <w:tc>
          <w:tcPr>
            <w:tcW w:w="1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554"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07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72"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7" w:hRule="exact"/>
        </w:trPr>
        <w:tc>
          <w:tcPr>
            <w:tcW w:w="365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470" w:right="0"/>
              <w:jc w:val="left"/>
              <w:rPr>
                <w:rFonts w:ascii="宋体" w:hAnsi="宋体" w:cs="宋体" w:eastAsia="宋体" w:hint="default"/>
                <w:sz w:val="18"/>
                <w:szCs w:val="18"/>
              </w:rPr>
            </w:pPr>
            <w:r>
              <w:rPr>
                <w:rFonts w:ascii="宋体" w:hAnsi="宋体" w:cs="宋体" w:eastAsia="宋体" w:hint="default"/>
                <w:sz w:val="18"/>
                <w:szCs w:val="18"/>
              </w:rPr>
              <w:t>被投资单位名称或形成商誉的事项</w:t>
            </w:r>
          </w:p>
        </w:tc>
        <w:tc>
          <w:tcPr>
            <w:tcW w:w="158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4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796" w:type="dxa"/>
            <w:vMerge/>
            <w:tcBorders>
              <w:left w:val="single" w:sz="4" w:space="0" w:color="000000"/>
              <w:bottom w:val="single" w:sz="4" w:space="0" w:color="000000"/>
              <w:right w:val="single" w:sz="4" w:space="0" w:color="000000"/>
            </w:tcBorders>
            <w:shd w:val="clear" w:color="auto" w:fill="D2D2D2"/>
          </w:tcPr>
          <w:p>
            <w:pPr/>
          </w:p>
        </w:tc>
        <w:tc>
          <w:tcPr>
            <w:tcW w:w="1079" w:type="dxa"/>
            <w:gridSpan w:val="2"/>
            <w:vMerge/>
            <w:tcBorders>
              <w:left w:val="single" w:sz="4" w:space="0" w:color="000000"/>
              <w:bottom w:val="single" w:sz="4" w:space="0" w:color="000000"/>
              <w:right w:val="single" w:sz="4" w:space="0" w:color="000000"/>
            </w:tcBorders>
            <w:shd w:val="clear" w:color="auto" w:fill="D2D2D2"/>
          </w:tcPr>
          <w:p>
            <w:pPr/>
          </w:p>
        </w:tc>
        <w:tc>
          <w:tcPr>
            <w:tcW w:w="157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42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4" w:hRule="exact"/>
        </w:trPr>
        <w:tc>
          <w:tcPr>
            <w:tcW w:w="3653" w:type="dxa"/>
            <w:vMerge/>
            <w:tcBorders>
              <w:left w:val="single" w:sz="4" w:space="0" w:color="000000"/>
              <w:bottom w:val="nil" w:sz="6" w:space="0" w:color="auto"/>
              <w:right w:val="single" w:sz="4" w:space="0" w:color="000000"/>
            </w:tcBorders>
            <w:shd w:val="clear" w:color="auto" w:fill="D2D2D2"/>
          </w:tcPr>
          <w:p>
            <w:pPr/>
          </w:p>
        </w:tc>
        <w:tc>
          <w:tcPr>
            <w:tcW w:w="1586" w:type="dxa"/>
            <w:vMerge/>
            <w:tcBorders>
              <w:left w:val="single" w:sz="4" w:space="0" w:color="000000"/>
              <w:bottom w:val="nil" w:sz="6" w:space="0" w:color="auto"/>
              <w:right w:val="single" w:sz="4" w:space="0" w:color="000000"/>
            </w:tcBorders>
            <w:shd w:val="clear" w:color="auto" w:fill="D2D2D2"/>
          </w:tcPr>
          <w:p>
            <w:pPr/>
          </w:p>
        </w:tc>
        <w:tc>
          <w:tcPr>
            <w:tcW w:w="1796" w:type="dxa"/>
            <w:vMerge w:val="restart"/>
            <w:tcBorders>
              <w:top w:val="single" w:sz="4" w:space="0" w:color="000000"/>
              <w:left w:val="single" w:sz="4" w:space="0" w:color="000000"/>
              <w:right w:val="single" w:sz="37" w:space="0" w:color="000000"/>
            </w:tcBorders>
            <w:shd w:val="clear" w:color="auto" w:fill="D2D2D2"/>
          </w:tcPr>
          <w:p>
            <w:pPr>
              <w:pStyle w:val="TableParagraph"/>
              <w:spacing w:line="240" w:lineRule="auto" w:before="49"/>
              <w:ind w:left="242" w:right="0"/>
              <w:jc w:val="left"/>
              <w:rPr>
                <w:rFonts w:ascii="宋体" w:hAnsi="宋体" w:cs="宋体" w:eastAsia="宋体" w:hint="default"/>
                <w:sz w:val="18"/>
                <w:szCs w:val="18"/>
              </w:rPr>
            </w:pPr>
            <w:r>
              <w:rPr>
                <w:rFonts w:ascii="宋体" w:hAnsi="宋体" w:cs="宋体" w:eastAsia="宋体" w:hint="default"/>
                <w:sz w:val="18"/>
                <w:szCs w:val="18"/>
              </w:rPr>
              <w:t>企业合并形成的</w:t>
            </w:r>
          </w:p>
        </w:tc>
        <w:tc>
          <w:tcPr>
            <w:tcW w:w="943" w:type="dxa"/>
            <w:vMerge w:val="restart"/>
            <w:tcBorders>
              <w:top w:val="single" w:sz="4" w:space="0" w:color="000000"/>
              <w:left w:val="single" w:sz="37" w:space="0" w:color="000000"/>
              <w:right w:val="single" w:sz="4" w:space="0" w:color="000000"/>
            </w:tcBorders>
            <w:shd w:val="clear" w:color="auto" w:fill="D2D2D2"/>
          </w:tcPr>
          <w:p>
            <w:pPr>
              <w:pStyle w:val="TableParagraph"/>
              <w:spacing w:line="240" w:lineRule="auto" w:before="49"/>
              <w:ind w:left="266" w:right="0"/>
              <w:jc w:val="left"/>
              <w:rPr>
                <w:rFonts w:ascii="宋体" w:hAnsi="宋体" w:cs="宋体" w:eastAsia="宋体" w:hint="default"/>
                <w:sz w:val="18"/>
                <w:szCs w:val="18"/>
              </w:rPr>
            </w:pPr>
            <w:r>
              <w:rPr>
                <w:rFonts w:ascii="宋体" w:hAnsi="宋体" w:cs="宋体" w:eastAsia="宋体" w:hint="default"/>
                <w:sz w:val="18"/>
                <w:szCs w:val="18"/>
              </w:rPr>
              <w:t>处置</w:t>
            </w:r>
          </w:p>
        </w:tc>
        <w:tc>
          <w:tcPr>
            <w:tcW w:w="137" w:type="dxa"/>
            <w:vMerge w:val="restart"/>
            <w:tcBorders>
              <w:top w:val="single" w:sz="4" w:space="0" w:color="000000"/>
              <w:left w:val="single" w:sz="4" w:space="0" w:color="000000"/>
              <w:right w:val="single" w:sz="4" w:space="0" w:color="000000"/>
            </w:tcBorders>
            <w:shd w:val="clear" w:color="auto" w:fill="D2D2D2"/>
          </w:tcPr>
          <w:p>
            <w:pPr/>
          </w:p>
        </w:tc>
        <w:tc>
          <w:tcPr>
            <w:tcW w:w="1572"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3653" w:type="dxa"/>
            <w:tcBorders>
              <w:top w:val="nil" w:sz="6" w:space="0" w:color="auto"/>
              <w:left w:val="single" w:sz="4" w:space="0" w:color="000000"/>
              <w:bottom w:val="single" w:sz="4" w:space="0" w:color="000000"/>
              <w:right w:val="single" w:sz="4" w:space="0" w:color="000000"/>
            </w:tcBorders>
            <w:shd w:val="clear" w:color="auto" w:fill="D2D2D2"/>
          </w:tcPr>
          <w:p>
            <w:pPr/>
          </w:p>
        </w:tc>
        <w:tc>
          <w:tcPr>
            <w:tcW w:w="1586" w:type="dxa"/>
            <w:tcBorders>
              <w:top w:val="nil" w:sz="6" w:space="0" w:color="auto"/>
              <w:left w:val="single" w:sz="4" w:space="0" w:color="000000"/>
              <w:bottom w:val="single" w:sz="4" w:space="0" w:color="000000"/>
              <w:right w:val="single" w:sz="4" w:space="0" w:color="000000"/>
            </w:tcBorders>
            <w:shd w:val="clear" w:color="auto" w:fill="D2D2D2"/>
          </w:tcPr>
          <w:p>
            <w:pPr/>
          </w:p>
        </w:tc>
        <w:tc>
          <w:tcPr>
            <w:tcW w:w="1796" w:type="dxa"/>
            <w:vMerge/>
            <w:tcBorders>
              <w:left w:val="single" w:sz="4" w:space="0" w:color="000000"/>
              <w:bottom w:val="single" w:sz="4" w:space="0" w:color="000000"/>
              <w:right w:val="single" w:sz="37" w:space="0" w:color="000000"/>
            </w:tcBorders>
            <w:shd w:val="clear" w:color="auto" w:fill="D2D2D2"/>
          </w:tcPr>
          <w:p>
            <w:pPr/>
          </w:p>
        </w:tc>
        <w:tc>
          <w:tcPr>
            <w:tcW w:w="943" w:type="dxa"/>
            <w:vMerge/>
            <w:tcBorders>
              <w:left w:val="single" w:sz="37" w:space="0" w:color="000000"/>
              <w:bottom w:val="single" w:sz="4" w:space="0" w:color="000000"/>
              <w:right w:val="single" w:sz="4" w:space="0" w:color="000000"/>
            </w:tcBorders>
            <w:shd w:val="clear" w:color="auto" w:fill="D2D2D2"/>
          </w:tcPr>
          <w:p>
            <w:pPr/>
          </w:p>
        </w:tc>
        <w:tc>
          <w:tcPr>
            <w:tcW w:w="137" w:type="dxa"/>
            <w:vMerge/>
            <w:tcBorders>
              <w:left w:val="single" w:sz="4" w:space="0" w:color="000000"/>
              <w:bottom w:val="single" w:sz="4" w:space="0" w:color="000000"/>
              <w:right w:val="single" w:sz="4" w:space="0" w:color="000000"/>
            </w:tcBorders>
            <w:shd w:val="clear" w:color="auto" w:fill="D2D2D2"/>
          </w:tcPr>
          <w:p>
            <w:pPr/>
          </w:p>
        </w:tc>
        <w:tc>
          <w:tcPr>
            <w:tcW w:w="1572"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3" w:hRule="exact"/>
        </w:trPr>
        <w:tc>
          <w:tcPr>
            <w:tcW w:w="36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江苏达实久信医疗科技有限公司</w:t>
            </w:r>
          </w:p>
        </w:tc>
        <w:tc>
          <w:tcPr>
            <w:tcW w:w="158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621,786,969.96</w:t>
            </w:r>
          </w:p>
        </w:tc>
        <w:tc>
          <w:tcPr>
            <w:tcW w:w="1796" w:type="dxa"/>
            <w:tcBorders>
              <w:top w:val="single" w:sz="4" w:space="0" w:color="000000"/>
              <w:left w:val="single" w:sz="4" w:space="0" w:color="000000"/>
              <w:bottom w:val="single" w:sz="4" w:space="0" w:color="000000"/>
              <w:right w:val="single" w:sz="37" w:space="0" w:color="000000"/>
            </w:tcBorders>
          </w:tcPr>
          <w:p>
            <w:pPr/>
          </w:p>
        </w:tc>
        <w:tc>
          <w:tcPr>
            <w:tcW w:w="943" w:type="dxa"/>
            <w:tcBorders>
              <w:top w:val="single" w:sz="4" w:space="0" w:color="000000"/>
              <w:left w:val="single" w:sz="37" w:space="0" w:color="000000"/>
              <w:bottom w:val="single" w:sz="4" w:space="0" w:color="000000"/>
              <w:right w:val="single" w:sz="4" w:space="0" w:color="000000"/>
            </w:tcBorders>
          </w:tcPr>
          <w:p>
            <w:pPr/>
          </w:p>
        </w:tc>
        <w:tc>
          <w:tcPr>
            <w:tcW w:w="137"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621,786,969.96</w:t>
            </w:r>
          </w:p>
        </w:tc>
      </w:tr>
      <w:tr>
        <w:trPr>
          <w:trHeight w:val="401" w:hRule="exact"/>
        </w:trPr>
        <w:tc>
          <w:tcPr>
            <w:tcW w:w="36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深圳市小鹿暖暖科技有限公司</w:t>
            </w:r>
          </w:p>
        </w:tc>
        <w:tc>
          <w:tcPr>
            <w:tcW w:w="158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2,826,403.28</w:t>
            </w:r>
          </w:p>
        </w:tc>
        <w:tc>
          <w:tcPr>
            <w:tcW w:w="1796" w:type="dxa"/>
            <w:tcBorders>
              <w:top w:val="single" w:sz="4" w:space="0" w:color="000000"/>
              <w:left w:val="single" w:sz="4" w:space="0" w:color="000000"/>
              <w:bottom w:val="single" w:sz="4" w:space="0" w:color="000000"/>
              <w:right w:val="single" w:sz="37" w:space="0" w:color="000000"/>
            </w:tcBorders>
          </w:tcPr>
          <w:p>
            <w:pPr/>
          </w:p>
        </w:tc>
        <w:tc>
          <w:tcPr>
            <w:tcW w:w="943" w:type="dxa"/>
            <w:tcBorders>
              <w:top w:val="single" w:sz="4" w:space="0" w:color="000000"/>
              <w:left w:val="single" w:sz="37" w:space="0" w:color="000000"/>
              <w:bottom w:val="single" w:sz="4" w:space="0" w:color="000000"/>
              <w:right w:val="single" w:sz="4" w:space="0" w:color="000000"/>
            </w:tcBorders>
          </w:tcPr>
          <w:p>
            <w:pPr/>
          </w:p>
        </w:tc>
        <w:tc>
          <w:tcPr>
            <w:tcW w:w="137"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2,826,403.28</w:t>
            </w:r>
          </w:p>
        </w:tc>
      </w:tr>
      <w:tr>
        <w:trPr>
          <w:trHeight w:val="403" w:hRule="exact"/>
        </w:trPr>
        <w:tc>
          <w:tcPr>
            <w:tcW w:w="36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成都聚雅医信科技有限公司</w:t>
            </w:r>
          </w:p>
        </w:tc>
        <w:tc>
          <w:tcPr>
            <w:tcW w:w="158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3,500,640.00</w:t>
            </w:r>
          </w:p>
        </w:tc>
        <w:tc>
          <w:tcPr>
            <w:tcW w:w="1796" w:type="dxa"/>
            <w:tcBorders>
              <w:top w:val="single" w:sz="4" w:space="0" w:color="000000"/>
              <w:left w:val="single" w:sz="4" w:space="0" w:color="000000"/>
              <w:bottom w:val="single" w:sz="4" w:space="0" w:color="000000"/>
              <w:right w:val="single" w:sz="37" w:space="0" w:color="000000"/>
            </w:tcBorders>
          </w:tcPr>
          <w:p>
            <w:pPr/>
          </w:p>
        </w:tc>
        <w:tc>
          <w:tcPr>
            <w:tcW w:w="943" w:type="dxa"/>
            <w:tcBorders>
              <w:top w:val="single" w:sz="4" w:space="0" w:color="000000"/>
              <w:left w:val="single" w:sz="37" w:space="0" w:color="000000"/>
              <w:bottom w:val="single" w:sz="4" w:space="0" w:color="000000"/>
              <w:right w:val="single" w:sz="4" w:space="0" w:color="000000"/>
            </w:tcBorders>
          </w:tcPr>
          <w:p>
            <w:pPr/>
          </w:p>
        </w:tc>
        <w:tc>
          <w:tcPr>
            <w:tcW w:w="137"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3,500,640.00</w:t>
            </w:r>
          </w:p>
        </w:tc>
      </w:tr>
      <w:tr>
        <w:trPr>
          <w:trHeight w:val="401" w:hRule="exact"/>
        </w:trPr>
        <w:tc>
          <w:tcPr>
            <w:tcW w:w="36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58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628,114,013.24</w:t>
            </w:r>
          </w:p>
        </w:tc>
        <w:tc>
          <w:tcPr>
            <w:tcW w:w="1796" w:type="dxa"/>
            <w:tcBorders>
              <w:top w:val="single" w:sz="4" w:space="0" w:color="000000"/>
              <w:left w:val="single" w:sz="4" w:space="0" w:color="000000"/>
              <w:bottom w:val="single" w:sz="4" w:space="0" w:color="000000"/>
              <w:right w:val="single" w:sz="37" w:space="0" w:color="000000"/>
            </w:tcBorders>
          </w:tcPr>
          <w:p>
            <w:pPr/>
          </w:p>
        </w:tc>
        <w:tc>
          <w:tcPr>
            <w:tcW w:w="943" w:type="dxa"/>
            <w:tcBorders>
              <w:top w:val="single" w:sz="4" w:space="0" w:color="000000"/>
              <w:left w:val="single" w:sz="37" w:space="0" w:color="000000"/>
              <w:bottom w:val="single" w:sz="4" w:space="0" w:color="000000"/>
              <w:right w:val="single" w:sz="4" w:space="0" w:color="000000"/>
            </w:tcBorders>
          </w:tcPr>
          <w:p>
            <w:pPr/>
          </w:p>
        </w:tc>
        <w:tc>
          <w:tcPr>
            <w:tcW w:w="137"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628,114,013.24</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商誉减值准备" w:id="280"/>
      <w:bookmarkEnd w:id="280"/>
      <w:r>
        <w:rPr>
          <w:b w:val="0"/>
          <w:bCs w:val="0"/>
        </w:rPr>
      </w:r>
      <w:r>
        <w:rPr/>
        <w:t>（</w:t>
      </w:r>
      <w:r>
        <w:rPr>
          <w:rFonts w:ascii="Times New Roman" w:hAnsi="Times New Roman" w:cs="Times New Roman" w:eastAsia="Times New Roman" w:hint="default"/>
        </w:rPr>
        <w:t>2</w:t>
      </w:r>
      <w:r>
        <w:rPr/>
        <w:t>）商誉减值准备</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31" w:type="dxa"/>
        <w:tblLayout w:type="fixed"/>
        <w:tblCellMar>
          <w:top w:w="0" w:type="dxa"/>
          <w:left w:w="0" w:type="dxa"/>
          <w:bottom w:w="0" w:type="dxa"/>
          <w:right w:w="0" w:type="dxa"/>
        </w:tblCellMar>
        <w:tblLook w:val="01E0"/>
      </w:tblPr>
      <w:tblGrid>
        <w:gridCol w:w="3821"/>
        <w:gridCol w:w="1406"/>
        <w:gridCol w:w="1688"/>
        <w:gridCol w:w="983"/>
        <w:gridCol w:w="144"/>
        <w:gridCol w:w="1644"/>
      </w:tblGrid>
      <w:tr>
        <w:trPr>
          <w:trHeight w:val="206" w:hRule="exact"/>
        </w:trPr>
        <w:tc>
          <w:tcPr>
            <w:tcW w:w="3821" w:type="dxa"/>
            <w:tcBorders>
              <w:top w:val="single" w:sz="4" w:space="0" w:color="000000"/>
              <w:left w:val="single" w:sz="4" w:space="0" w:color="000000"/>
              <w:bottom w:val="nil" w:sz="6" w:space="0" w:color="auto"/>
              <w:right w:val="single" w:sz="4" w:space="0" w:color="000000"/>
            </w:tcBorders>
            <w:shd w:val="clear" w:color="auto" w:fill="D2D2D2"/>
          </w:tcPr>
          <w:p>
            <w:pPr/>
          </w:p>
        </w:tc>
        <w:tc>
          <w:tcPr>
            <w:tcW w:w="1406" w:type="dxa"/>
            <w:tcBorders>
              <w:top w:val="single" w:sz="4" w:space="0" w:color="000000"/>
              <w:left w:val="single" w:sz="4" w:space="0" w:color="000000"/>
              <w:bottom w:val="nil" w:sz="6" w:space="0" w:color="auto"/>
              <w:right w:val="single" w:sz="4" w:space="0" w:color="000000"/>
            </w:tcBorders>
            <w:shd w:val="clear" w:color="auto" w:fill="D2D2D2"/>
          </w:tcPr>
          <w:p>
            <w:pPr/>
          </w:p>
        </w:tc>
        <w:tc>
          <w:tcPr>
            <w:tcW w:w="16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50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12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22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4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4" w:hRule="exact"/>
        </w:trPr>
        <w:tc>
          <w:tcPr>
            <w:tcW w:w="382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554" w:right="0"/>
              <w:jc w:val="left"/>
              <w:rPr>
                <w:rFonts w:ascii="宋体" w:hAnsi="宋体" w:cs="宋体" w:eastAsia="宋体" w:hint="default"/>
                <w:sz w:val="18"/>
                <w:szCs w:val="18"/>
              </w:rPr>
            </w:pPr>
            <w:r>
              <w:rPr>
                <w:rFonts w:ascii="宋体" w:hAnsi="宋体" w:cs="宋体" w:eastAsia="宋体" w:hint="default"/>
                <w:sz w:val="18"/>
                <w:szCs w:val="18"/>
              </w:rPr>
              <w:t>被投资单位名称或形成商誉的事项</w:t>
            </w:r>
          </w:p>
        </w:tc>
        <w:tc>
          <w:tcPr>
            <w:tcW w:w="140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4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688" w:type="dxa"/>
            <w:vMerge/>
            <w:tcBorders>
              <w:left w:val="single" w:sz="4" w:space="0" w:color="000000"/>
              <w:bottom w:val="single" w:sz="4" w:space="0" w:color="000000"/>
              <w:right w:val="single" w:sz="4" w:space="0" w:color="000000"/>
            </w:tcBorders>
            <w:shd w:val="clear" w:color="auto" w:fill="D2D2D2"/>
          </w:tcPr>
          <w:p>
            <w:pPr/>
          </w:p>
        </w:tc>
        <w:tc>
          <w:tcPr>
            <w:tcW w:w="1127" w:type="dxa"/>
            <w:gridSpan w:val="2"/>
            <w:vMerge/>
            <w:tcBorders>
              <w:left w:val="single" w:sz="4" w:space="0" w:color="000000"/>
              <w:bottom w:val="single" w:sz="4" w:space="0" w:color="000000"/>
              <w:right w:val="single" w:sz="4" w:space="0" w:color="000000"/>
            </w:tcBorders>
            <w:shd w:val="clear" w:color="auto" w:fill="D2D2D2"/>
          </w:tcPr>
          <w:p>
            <w:pPr/>
          </w:p>
        </w:tc>
        <w:tc>
          <w:tcPr>
            <w:tcW w:w="164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45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7" w:hRule="exact"/>
        </w:trPr>
        <w:tc>
          <w:tcPr>
            <w:tcW w:w="3821" w:type="dxa"/>
            <w:vMerge/>
            <w:tcBorders>
              <w:left w:val="single" w:sz="4" w:space="0" w:color="000000"/>
              <w:bottom w:val="nil" w:sz="6" w:space="0" w:color="auto"/>
              <w:right w:val="single" w:sz="4" w:space="0" w:color="000000"/>
            </w:tcBorders>
            <w:shd w:val="clear" w:color="auto" w:fill="D2D2D2"/>
          </w:tcPr>
          <w:p>
            <w:pPr/>
          </w:p>
        </w:tc>
        <w:tc>
          <w:tcPr>
            <w:tcW w:w="1406" w:type="dxa"/>
            <w:vMerge/>
            <w:tcBorders>
              <w:left w:val="single" w:sz="4" w:space="0" w:color="000000"/>
              <w:bottom w:val="nil" w:sz="6" w:space="0" w:color="auto"/>
              <w:right w:val="single" w:sz="4" w:space="0" w:color="000000"/>
            </w:tcBorders>
            <w:shd w:val="clear" w:color="auto" w:fill="D2D2D2"/>
          </w:tcPr>
          <w:p>
            <w:pPr/>
          </w:p>
        </w:tc>
        <w:tc>
          <w:tcPr>
            <w:tcW w:w="1688" w:type="dxa"/>
            <w:vMerge w:val="restart"/>
            <w:tcBorders>
              <w:top w:val="single" w:sz="4" w:space="0" w:color="000000"/>
              <w:left w:val="single" w:sz="4" w:space="0" w:color="000000"/>
              <w:right w:val="single" w:sz="39"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983" w:type="dxa"/>
            <w:vMerge w:val="restart"/>
            <w:tcBorders>
              <w:top w:val="single" w:sz="4" w:space="0" w:color="000000"/>
              <w:left w:val="single" w:sz="39" w:space="0" w:color="000000"/>
              <w:right w:val="single" w:sz="4" w:space="0" w:color="000000"/>
            </w:tcBorders>
            <w:shd w:val="clear" w:color="auto" w:fill="D2D2D2"/>
          </w:tcPr>
          <w:p>
            <w:pPr>
              <w:pStyle w:val="TableParagraph"/>
              <w:spacing w:line="240" w:lineRule="auto" w:before="49"/>
              <w:ind w:left="285" w:right="0"/>
              <w:jc w:val="left"/>
              <w:rPr>
                <w:rFonts w:ascii="宋体" w:hAnsi="宋体" w:cs="宋体" w:eastAsia="宋体" w:hint="default"/>
                <w:sz w:val="18"/>
                <w:szCs w:val="18"/>
              </w:rPr>
            </w:pPr>
            <w:r>
              <w:rPr>
                <w:rFonts w:ascii="宋体" w:hAnsi="宋体" w:cs="宋体" w:eastAsia="宋体" w:hint="default"/>
                <w:sz w:val="18"/>
                <w:szCs w:val="18"/>
              </w:rPr>
              <w:t>处置</w:t>
            </w:r>
          </w:p>
        </w:tc>
        <w:tc>
          <w:tcPr>
            <w:tcW w:w="144" w:type="dxa"/>
            <w:vMerge w:val="restart"/>
            <w:tcBorders>
              <w:top w:val="single" w:sz="4" w:space="0" w:color="000000"/>
              <w:left w:val="single" w:sz="4" w:space="0" w:color="000000"/>
              <w:right w:val="single" w:sz="4" w:space="0" w:color="000000"/>
            </w:tcBorders>
            <w:shd w:val="clear" w:color="auto" w:fill="D2D2D2"/>
          </w:tcPr>
          <w:p>
            <w:pPr/>
          </w:p>
        </w:tc>
        <w:tc>
          <w:tcPr>
            <w:tcW w:w="1644"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3821" w:type="dxa"/>
            <w:tcBorders>
              <w:top w:val="nil" w:sz="6" w:space="0" w:color="auto"/>
              <w:left w:val="single" w:sz="4" w:space="0" w:color="000000"/>
              <w:bottom w:val="single" w:sz="4" w:space="0" w:color="000000"/>
              <w:right w:val="single" w:sz="4" w:space="0" w:color="000000"/>
            </w:tcBorders>
            <w:shd w:val="clear" w:color="auto" w:fill="D2D2D2"/>
          </w:tcPr>
          <w:p>
            <w:pPr/>
          </w:p>
        </w:tc>
        <w:tc>
          <w:tcPr>
            <w:tcW w:w="1406" w:type="dxa"/>
            <w:tcBorders>
              <w:top w:val="nil" w:sz="6" w:space="0" w:color="auto"/>
              <w:left w:val="single" w:sz="4" w:space="0" w:color="000000"/>
              <w:bottom w:val="single" w:sz="4" w:space="0" w:color="000000"/>
              <w:right w:val="single" w:sz="4" w:space="0" w:color="000000"/>
            </w:tcBorders>
            <w:shd w:val="clear" w:color="auto" w:fill="D2D2D2"/>
          </w:tcPr>
          <w:p>
            <w:pPr/>
          </w:p>
        </w:tc>
        <w:tc>
          <w:tcPr>
            <w:tcW w:w="1688" w:type="dxa"/>
            <w:vMerge/>
            <w:tcBorders>
              <w:left w:val="single" w:sz="4" w:space="0" w:color="000000"/>
              <w:bottom w:val="single" w:sz="4" w:space="0" w:color="000000"/>
              <w:right w:val="single" w:sz="39" w:space="0" w:color="000000"/>
            </w:tcBorders>
            <w:shd w:val="clear" w:color="auto" w:fill="D2D2D2"/>
          </w:tcPr>
          <w:p>
            <w:pPr/>
          </w:p>
        </w:tc>
        <w:tc>
          <w:tcPr>
            <w:tcW w:w="983" w:type="dxa"/>
            <w:vMerge/>
            <w:tcBorders>
              <w:left w:val="single" w:sz="39" w:space="0" w:color="000000"/>
              <w:bottom w:val="single" w:sz="4" w:space="0" w:color="000000"/>
              <w:right w:val="single" w:sz="4" w:space="0" w:color="000000"/>
            </w:tcBorders>
            <w:shd w:val="clear" w:color="auto" w:fill="D2D2D2"/>
          </w:tcPr>
          <w:p>
            <w:pPr/>
          </w:p>
        </w:tc>
        <w:tc>
          <w:tcPr>
            <w:tcW w:w="144" w:type="dxa"/>
            <w:vMerge/>
            <w:tcBorders>
              <w:left w:val="single" w:sz="4" w:space="0" w:color="000000"/>
              <w:bottom w:val="single" w:sz="4" w:space="0" w:color="000000"/>
              <w:right w:val="single" w:sz="4" w:space="0" w:color="000000"/>
            </w:tcBorders>
            <w:shd w:val="clear" w:color="auto" w:fill="D2D2D2"/>
          </w:tcPr>
          <w:p>
            <w:pPr/>
          </w:p>
        </w:tc>
        <w:tc>
          <w:tcPr>
            <w:tcW w:w="1644"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1" w:hRule="exact"/>
        </w:trPr>
        <w:tc>
          <w:tcPr>
            <w:tcW w:w="3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江苏达实久信医疗科技有限公司</w:t>
            </w:r>
          </w:p>
        </w:tc>
        <w:tc>
          <w:tcPr>
            <w:tcW w:w="1406" w:type="dxa"/>
            <w:tcBorders>
              <w:top w:val="single" w:sz="4" w:space="0" w:color="000000"/>
              <w:left w:val="single" w:sz="9" w:space="0" w:color="D2D2D2"/>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39"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469,494,180.21</w:t>
            </w:r>
          </w:p>
        </w:tc>
        <w:tc>
          <w:tcPr>
            <w:tcW w:w="983" w:type="dxa"/>
            <w:tcBorders>
              <w:top w:val="single" w:sz="4" w:space="0" w:color="000000"/>
              <w:left w:val="single" w:sz="39" w:space="0" w:color="000000"/>
              <w:bottom w:val="single" w:sz="4" w:space="0" w:color="000000"/>
              <w:right w:val="single" w:sz="4" w:space="0" w:color="000000"/>
            </w:tcBorders>
          </w:tcPr>
          <w:p>
            <w:pPr/>
          </w:p>
        </w:tc>
        <w:tc>
          <w:tcPr>
            <w:tcW w:w="144" w:type="dxa"/>
            <w:tcBorders>
              <w:top w:val="single" w:sz="4" w:space="0" w:color="000000"/>
              <w:left w:val="single" w:sz="4" w:space="0" w:color="000000"/>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469,494,180.21</w:t>
            </w:r>
          </w:p>
        </w:tc>
      </w:tr>
      <w:tr>
        <w:trPr>
          <w:trHeight w:val="403" w:hRule="exact"/>
        </w:trPr>
        <w:tc>
          <w:tcPr>
            <w:tcW w:w="3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深圳市小鹿暖暖科技有限公司</w:t>
            </w:r>
          </w:p>
        </w:tc>
        <w:tc>
          <w:tcPr>
            <w:tcW w:w="140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2,826,403.28</w:t>
            </w:r>
          </w:p>
        </w:tc>
        <w:tc>
          <w:tcPr>
            <w:tcW w:w="1688" w:type="dxa"/>
            <w:tcBorders>
              <w:top w:val="single" w:sz="4" w:space="0" w:color="000000"/>
              <w:left w:val="single" w:sz="4" w:space="0" w:color="000000"/>
              <w:bottom w:val="single" w:sz="4" w:space="0" w:color="000000"/>
              <w:right w:val="single" w:sz="39" w:space="0" w:color="000000"/>
            </w:tcBorders>
          </w:tcPr>
          <w:p>
            <w:pPr/>
          </w:p>
        </w:tc>
        <w:tc>
          <w:tcPr>
            <w:tcW w:w="983" w:type="dxa"/>
            <w:tcBorders>
              <w:top w:val="single" w:sz="4" w:space="0" w:color="000000"/>
              <w:left w:val="single" w:sz="39" w:space="0" w:color="000000"/>
              <w:bottom w:val="single" w:sz="4" w:space="0" w:color="000000"/>
              <w:right w:val="single" w:sz="4" w:space="0" w:color="000000"/>
            </w:tcBorders>
          </w:tcPr>
          <w:p>
            <w:pPr/>
          </w:p>
        </w:tc>
        <w:tc>
          <w:tcPr>
            <w:tcW w:w="144" w:type="dxa"/>
            <w:tcBorders>
              <w:top w:val="single" w:sz="4" w:space="0" w:color="000000"/>
              <w:left w:val="single" w:sz="4" w:space="0" w:color="000000"/>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2,826,403.28</w:t>
            </w:r>
          </w:p>
        </w:tc>
      </w:tr>
      <w:tr>
        <w:trPr>
          <w:trHeight w:val="401" w:hRule="exact"/>
        </w:trPr>
        <w:tc>
          <w:tcPr>
            <w:tcW w:w="3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成都聚雅医信科技有限公司</w:t>
            </w:r>
          </w:p>
        </w:tc>
        <w:tc>
          <w:tcPr>
            <w:tcW w:w="1406" w:type="dxa"/>
            <w:tcBorders>
              <w:top w:val="single" w:sz="4" w:space="0" w:color="000000"/>
              <w:left w:val="single" w:sz="9" w:space="0" w:color="D2D2D2"/>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39"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3,500,640.00</w:t>
            </w:r>
          </w:p>
        </w:tc>
        <w:tc>
          <w:tcPr>
            <w:tcW w:w="983" w:type="dxa"/>
            <w:tcBorders>
              <w:top w:val="single" w:sz="4" w:space="0" w:color="000000"/>
              <w:left w:val="single" w:sz="39" w:space="0" w:color="000000"/>
              <w:bottom w:val="single" w:sz="4" w:space="0" w:color="000000"/>
              <w:right w:val="single" w:sz="4" w:space="0" w:color="000000"/>
            </w:tcBorders>
          </w:tcPr>
          <w:p>
            <w:pPr/>
          </w:p>
        </w:tc>
        <w:tc>
          <w:tcPr>
            <w:tcW w:w="144" w:type="dxa"/>
            <w:tcBorders>
              <w:top w:val="single" w:sz="4" w:space="0" w:color="000000"/>
              <w:left w:val="single" w:sz="4" w:space="0" w:color="000000"/>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3,500,640.00</w:t>
            </w:r>
          </w:p>
        </w:tc>
      </w:tr>
      <w:tr>
        <w:trPr>
          <w:trHeight w:val="403" w:hRule="exact"/>
        </w:trPr>
        <w:tc>
          <w:tcPr>
            <w:tcW w:w="3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40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2,826,403.28</w:t>
            </w:r>
          </w:p>
        </w:tc>
        <w:tc>
          <w:tcPr>
            <w:tcW w:w="1688" w:type="dxa"/>
            <w:tcBorders>
              <w:top w:val="single" w:sz="4" w:space="0" w:color="000000"/>
              <w:left w:val="single" w:sz="4" w:space="0" w:color="000000"/>
              <w:bottom w:val="single" w:sz="4" w:space="0" w:color="000000"/>
              <w:right w:val="single" w:sz="39"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472,994,820.21</w:t>
            </w:r>
          </w:p>
        </w:tc>
        <w:tc>
          <w:tcPr>
            <w:tcW w:w="983" w:type="dxa"/>
            <w:tcBorders>
              <w:top w:val="single" w:sz="4" w:space="0" w:color="000000"/>
              <w:left w:val="single" w:sz="39" w:space="0" w:color="000000"/>
              <w:bottom w:val="single" w:sz="4" w:space="0" w:color="000000"/>
              <w:right w:val="single" w:sz="4" w:space="0" w:color="000000"/>
            </w:tcBorders>
          </w:tcPr>
          <w:p>
            <w:pPr/>
          </w:p>
        </w:tc>
        <w:tc>
          <w:tcPr>
            <w:tcW w:w="144" w:type="dxa"/>
            <w:tcBorders>
              <w:top w:val="single" w:sz="4" w:space="0" w:color="000000"/>
              <w:left w:val="single" w:sz="4" w:space="0" w:color="000000"/>
              <w:bottom w:val="single" w:sz="4" w:space="0" w:color="000000"/>
              <w:right w:val="single" w:sz="4" w:space="0" w:color="000000"/>
            </w:tcBorders>
          </w:tcPr>
          <w:p>
            <w:pP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475,821,223.49</w:t>
            </w:r>
          </w:p>
        </w:tc>
      </w:tr>
    </w:tbl>
    <w:p>
      <w:pPr>
        <w:pStyle w:val="BodyText"/>
        <w:spacing w:line="240" w:lineRule="auto" w:before="49"/>
        <w:ind w:right="1133"/>
        <w:jc w:val="left"/>
      </w:pPr>
      <w:r>
        <w:rPr/>
        <w:t>商誉所在资产组或资产组组合的相关信息</w:t>
      </w:r>
    </w:p>
    <w:p>
      <w:pPr>
        <w:pStyle w:val="BodyText"/>
        <w:spacing w:line="240" w:lineRule="auto" w:before="115"/>
        <w:ind w:left="573" w:right="1133"/>
        <w:jc w:val="left"/>
      </w:pPr>
      <w:r>
        <w:rPr>
          <w:spacing w:val="2"/>
        </w:rPr>
        <w:t>①本公司于</w:t>
      </w: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11</w:t>
      </w:r>
      <w:r>
        <w:rPr>
          <w:spacing w:val="2"/>
        </w:rPr>
        <w:t>月以发行股票及支付现金方式支付</w:t>
      </w:r>
      <w:r>
        <w:rPr>
          <w:rFonts w:ascii="Times New Roman" w:hAnsi="Times New Roman" w:cs="Times New Roman" w:eastAsia="Times New Roman" w:hint="default"/>
          <w:spacing w:val="2"/>
        </w:rPr>
        <w:t>871,975,000.00</w:t>
      </w:r>
      <w:r>
        <w:rPr>
          <w:spacing w:val="2"/>
        </w:rPr>
        <w:t>元合并成本收购了江苏久信医疗科技有限公司</w:t>
      </w:r>
    </w:p>
    <w:p>
      <w:pPr>
        <w:pStyle w:val="BodyText"/>
        <w:spacing w:line="300" w:lineRule="auto" w:before="63"/>
        <w:ind w:right="1129"/>
        <w:jc w:val="left"/>
      </w:pPr>
      <w:r>
        <w:rPr>
          <w:spacing w:val="-1"/>
        </w:rPr>
        <w:t>（以下简称</w:t>
      </w:r>
      <w:r>
        <w:rPr>
          <w:rFonts w:ascii="Times New Roman" w:hAnsi="Times New Roman" w:cs="Times New Roman" w:eastAsia="Times New Roman" w:hint="default"/>
          <w:spacing w:val="-1"/>
        </w:rPr>
        <w:t>“</w:t>
      </w:r>
      <w:r>
        <w:rPr>
          <w:spacing w:val="-1"/>
        </w:rPr>
        <w:t>久信医疗</w:t>
      </w:r>
      <w:r>
        <w:rPr>
          <w:rFonts w:ascii="Times New Roman" w:hAnsi="Times New Roman" w:cs="Times New Roman" w:eastAsia="Times New Roman" w:hint="default"/>
          <w:spacing w:val="-1"/>
        </w:rPr>
        <w:t>”</w:t>
      </w:r>
      <w:r>
        <w:rPr>
          <w:spacing w:val="-1"/>
        </w:rPr>
        <w:t>）</w:t>
      </w:r>
      <w:r>
        <w:rPr>
          <w:rFonts w:ascii="Times New Roman" w:hAnsi="Times New Roman" w:cs="Times New Roman" w:eastAsia="Times New Roman" w:hint="default"/>
          <w:spacing w:val="-1"/>
        </w:rPr>
        <w:t>100.00%</w:t>
      </w:r>
      <w:r>
        <w:rPr>
          <w:spacing w:val="-1"/>
        </w:rPr>
        <w:t>的股权。合并成本超过久信医疗可辨认净资产公允价值的差额</w:t>
      </w:r>
      <w:r>
        <w:rPr>
          <w:rFonts w:ascii="Times New Roman" w:hAnsi="Times New Roman" w:cs="Times New Roman" w:eastAsia="Times New Roman" w:hint="default"/>
          <w:spacing w:val="-1"/>
        </w:rPr>
        <w:t>621,786,969.96</w:t>
      </w:r>
      <w:r>
        <w:rPr>
          <w:spacing w:val="-1"/>
        </w:rPr>
        <w:t>元，确认为与</w:t>
      </w:r>
      <w:r>
        <w:rPr>
          <w:spacing w:val="-67"/>
        </w:rPr>
        <w:t> </w:t>
      </w:r>
      <w:r>
        <w:rPr>
          <w:spacing w:val="-67"/>
        </w:rPr>
      </w:r>
      <w:r>
        <w:rPr/>
        <w:t>久信医疗相关的商誉。</w:t>
      </w:r>
    </w:p>
    <w:p>
      <w:pPr>
        <w:pStyle w:val="BodyText"/>
        <w:spacing w:line="240" w:lineRule="auto" w:before="31"/>
        <w:ind w:left="573" w:right="0"/>
        <w:jc w:val="left"/>
      </w:pPr>
      <w:r>
        <w:rPr/>
        <w:t>②本公司</w:t>
      </w:r>
      <w:r>
        <w:rPr>
          <w:spacing w:val="-1"/>
        </w:rPr>
        <w:t>于</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1</w:t>
      </w:r>
      <w:r>
        <w:rPr>
          <w:rFonts w:ascii="Times New Roman" w:hAnsi="Times New Roman" w:cs="Times New Roman" w:eastAsia="Times New Roman" w:hint="default"/>
          <w:spacing w:val="1"/>
        </w:rPr>
        <w:t>8</w:t>
      </w:r>
      <w:r>
        <w:rPr/>
        <w:t>年</w:t>
      </w:r>
      <w:r>
        <w:rPr>
          <w:rFonts w:ascii="Times New Roman" w:hAnsi="Times New Roman" w:cs="Times New Roman" w:eastAsia="Times New Roman" w:hint="default"/>
          <w:spacing w:val="1"/>
        </w:rPr>
        <w:t>9</w:t>
      </w:r>
      <w:r>
        <w:rPr/>
        <w:t>月以现金</w:t>
      </w:r>
      <w:r>
        <w:rPr>
          <w:spacing w:val="-3"/>
        </w:rPr>
        <w:t>方</w:t>
      </w:r>
      <w:r>
        <w:rPr/>
        <w:t>式支付</w:t>
      </w:r>
      <w:r>
        <w:rPr>
          <w:rFonts w:ascii="Times New Roman" w:hAnsi="Times New Roman" w:cs="Times New Roman" w:eastAsia="Times New Roman" w:hint="default"/>
          <w:spacing w:val="1"/>
        </w:rPr>
        <w:t>13</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1"/>
        </w:rPr>
        <w:t>5</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0</w:t>
      </w:r>
      <w:r>
        <w:rPr>
          <w:rFonts w:ascii="Times New Roman" w:hAnsi="Times New Roman" w:cs="Times New Roman" w:eastAsia="Times New Roman" w:hint="default"/>
        </w:rPr>
        <w:t>.</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2"/>
        </w:rPr>
        <w:t>0</w:t>
      </w:r>
      <w:r>
        <w:rPr/>
        <w:t>元合并</w:t>
      </w:r>
      <w:r>
        <w:rPr>
          <w:spacing w:val="-3"/>
        </w:rPr>
        <w:t>成</w:t>
      </w:r>
      <w:r>
        <w:rPr/>
        <w:t>本收购成都聚雅医信科技有限公</w:t>
      </w:r>
      <w:r>
        <w:rPr>
          <w:spacing w:val="-77"/>
        </w:rPr>
        <w:t>司</w:t>
      </w:r>
      <w:r>
        <w:rPr/>
        <w:t>（以下简</w:t>
      </w:r>
      <w:r>
        <w:rPr>
          <w:spacing w:val="1"/>
        </w:rPr>
        <w:t>称</w:t>
      </w:r>
      <w:r>
        <w:rPr>
          <w:rFonts w:ascii="Times New Roman" w:hAnsi="Times New Roman" w:cs="Times New Roman" w:eastAsia="Times New Roman" w:hint="default"/>
          <w:spacing w:val="-1"/>
          <w:w w:val="100"/>
        </w:rPr>
        <w:t>“</w:t>
      </w:r>
      <w:r>
        <w:rPr/>
        <w:t>成都聚雅</w:t>
      </w:r>
      <w:r>
        <w:rPr>
          <w:rFonts w:ascii="Times New Roman" w:hAnsi="Times New Roman" w:cs="Times New Roman" w:eastAsia="Times New Roman" w:hint="default"/>
          <w:spacing w:val="-1"/>
          <w:w w:val="100"/>
        </w:rPr>
        <w:t>”</w:t>
      </w:r>
      <w:r>
        <w:rPr/>
        <w:t>）</w:t>
      </w:r>
    </w:p>
    <w:p>
      <w:pPr>
        <w:pStyle w:val="BodyText"/>
        <w:spacing w:line="240" w:lineRule="auto" w:before="63"/>
        <w:ind w:right="1133"/>
        <w:jc w:val="left"/>
      </w:pPr>
      <w:r>
        <w:rPr>
          <w:rFonts w:ascii="Times New Roman" w:hAnsi="Times New Roman" w:cs="Times New Roman" w:eastAsia="Times New Roman" w:hint="default"/>
        </w:rPr>
        <w:t>100.00%</w:t>
      </w:r>
      <w:r>
        <w:rPr/>
        <w:t>的股权。合并成本超过成都聚雅可辨认净资产公允价值的差额</w:t>
      </w:r>
      <w:r>
        <w:rPr>
          <w:rFonts w:ascii="Times New Roman" w:hAnsi="Times New Roman" w:cs="Times New Roman" w:eastAsia="Times New Roman" w:hint="default"/>
        </w:rPr>
        <w:t>3,500,640.00</w:t>
      </w:r>
      <w:r>
        <w:rPr/>
        <w:t>元，确认为与成都聚雅相关的商誉。</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3"/>
          <w:szCs w:val="13"/>
        </w:rPr>
      </w:pPr>
    </w:p>
    <w:p>
      <w:pPr>
        <w:pStyle w:val="BodyText"/>
        <w:spacing w:line="316" w:lineRule="auto"/>
        <w:ind w:right="1133"/>
        <w:jc w:val="left"/>
      </w:pPr>
      <w:r>
        <w:rPr>
          <w:spacing w:val="-2"/>
        </w:rPr>
        <w:t>说明商誉减值测试过程、关键参数（如预计未来现金流量现值时的预测期增长率、稳定期增长率、利润率、折现率、预测期</w:t>
      </w:r>
      <w:r>
        <w:rPr>
          <w:spacing w:val="-70"/>
        </w:rPr>
        <w:t> </w:t>
      </w:r>
      <w:r>
        <w:rPr>
          <w:spacing w:val="-70"/>
        </w:rPr>
      </w:r>
      <w:r>
        <w:rPr/>
        <w:t>等）及商誉减值损失的确认方法：</w:t>
      </w:r>
    </w:p>
    <w:p>
      <w:pPr>
        <w:pStyle w:val="BodyText"/>
        <w:spacing w:line="300" w:lineRule="auto" w:before="57"/>
        <w:ind w:right="1132" w:firstLine="420"/>
        <w:jc w:val="left"/>
      </w:pPr>
      <w:r>
        <w:rPr/>
        <w:t>本公司在年末聘请深圳鹏信资产评估土地房地产估价有限公司（以下简称</w:t>
      </w:r>
      <w:r>
        <w:rPr>
          <w:rFonts w:ascii="Times New Roman" w:hAnsi="Times New Roman" w:cs="Times New Roman" w:eastAsia="Times New Roman" w:hint="default"/>
        </w:rPr>
        <w:t>“</w:t>
      </w:r>
      <w:r>
        <w:rPr/>
        <w:t>鹏信评估公司</w:t>
      </w:r>
      <w:r>
        <w:rPr>
          <w:rFonts w:ascii="Times New Roman" w:hAnsi="Times New Roman" w:cs="Times New Roman" w:eastAsia="Times New Roman" w:hint="default"/>
        </w:rPr>
        <w:t>”</w:t>
      </w:r>
      <w:r>
        <w:rPr/>
        <w:t>）对久信医疗有关的商誉、 成都聚雅有关商誉所涉及的资产组进行</w:t>
      </w:r>
      <w:r>
        <w:rPr>
          <w:rFonts w:ascii="Times New Roman" w:hAnsi="Times New Roman" w:cs="Times New Roman" w:eastAsia="Times New Roman" w:hint="default"/>
        </w:rPr>
        <w:t>“</w:t>
      </w:r>
      <w:r>
        <w:rPr/>
        <w:t>财务报告目的</w:t>
      </w:r>
      <w:r>
        <w:rPr>
          <w:rFonts w:ascii="Times New Roman" w:hAnsi="Times New Roman" w:cs="Times New Roman" w:eastAsia="Times New Roman" w:hint="default"/>
        </w:rPr>
        <w:t>-</w:t>
      </w:r>
      <w:r>
        <w:rPr/>
        <w:t>商誉减值测试</w:t>
      </w:r>
      <w:r>
        <w:rPr>
          <w:rFonts w:ascii="Times New Roman" w:hAnsi="Times New Roman" w:cs="Times New Roman" w:eastAsia="Times New Roman" w:hint="default"/>
        </w:rPr>
        <w:t>”</w:t>
      </w:r>
      <w:r>
        <w:rPr/>
        <w:t>为目的评估工作，为公司本年度商誉减值测试提供价</w:t>
      </w:r>
    </w:p>
    <w:p>
      <w:pPr>
        <w:spacing w:after="0" w:line="300" w:lineRule="auto"/>
        <w:jc w:val="left"/>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right="1133"/>
        <w:jc w:val="left"/>
      </w:pPr>
      <w:r>
        <w:rPr/>
        <w:t>值参考依据。</w:t>
      </w:r>
    </w:p>
    <w:p>
      <w:pPr>
        <w:pStyle w:val="BodyText"/>
        <w:spacing w:line="316" w:lineRule="auto" w:before="77"/>
        <w:ind w:left="573" w:right="1133"/>
        <w:jc w:val="left"/>
      </w:pPr>
      <w:r>
        <w:rPr/>
        <w:t>①久信医疗有关的商誉减值测试 久信医疗是一家以洁净手术室及数字化手术室为核心产品，围绕医疗手术领域提供包括医疗洁净用房、数字化手术平</w:t>
      </w:r>
    </w:p>
    <w:p>
      <w:pPr>
        <w:pStyle w:val="BodyText"/>
        <w:spacing w:line="316" w:lineRule="auto" w:before="19"/>
        <w:ind w:right="1129"/>
        <w:jc w:val="left"/>
      </w:pPr>
      <w:r>
        <w:rPr>
          <w:spacing w:val="-2"/>
        </w:rPr>
        <w:t>台、手术临床信息化软件等整体解决方案的企业。本公司年末将久信医疗整体认定为一个资产组，采用预计未来现金流量现</w:t>
      </w:r>
      <w:r>
        <w:rPr>
          <w:spacing w:val="-63"/>
        </w:rPr>
        <w:t> </w:t>
      </w:r>
      <w:r>
        <w:rPr>
          <w:spacing w:val="-63"/>
        </w:rPr>
      </w:r>
      <w:r>
        <w:rPr/>
        <w:t>值的方法测算其可回收金额，该资产组与购买日所确定的资产组一致。</w:t>
      </w:r>
    </w:p>
    <w:p>
      <w:pPr>
        <w:pStyle w:val="BodyText"/>
        <w:spacing w:line="316" w:lineRule="auto" w:before="19"/>
        <w:ind w:left="573" w:right="1133"/>
        <w:jc w:val="left"/>
      </w:pPr>
      <w:r>
        <w:rPr/>
        <w:t>商誉减值测试方法及关键参数信息 根据鹏信评估公司出具的《深圳达实智能股份有限公司之江苏达实久信医疗科技有限公司商誉所涉及的资产组可回收</w:t>
      </w:r>
    </w:p>
    <w:p>
      <w:pPr>
        <w:pStyle w:val="BodyText"/>
        <w:spacing w:line="300" w:lineRule="auto" w:before="19"/>
        <w:ind w:right="1133"/>
        <w:jc w:val="left"/>
      </w:pPr>
      <w:r>
        <w:rPr/>
        <w:t>价值资产评估报告》（鹏信资评报字［</w:t>
      </w:r>
      <w:r>
        <w:rPr>
          <w:rFonts w:ascii="Times New Roman" w:hAnsi="Times New Roman" w:cs="Times New Roman" w:eastAsia="Times New Roman" w:hint="default"/>
        </w:rPr>
        <w:t>2020</w:t>
      </w:r>
      <w:r>
        <w:rPr/>
        <w:t>］第</w:t>
      </w:r>
      <w:r>
        <w:rPr>
          <w:rFonts w:ascii="Times New Roman" w:hAnsi="Times New Roman" w:cs="Times New Roman" w:eastAsia="Times New Roman" w:hint="default"/>
        </w:rPr>
        <w:t>S008</w:t>
      </w:r>
      <w:r>
        <w:rPr/>
        <w:t>号），按照资产组的预计未来现金流量及折现率计算现值确定可收回</w:t>
      </w:r>
      <w:r>
        <w:rPr>
          <w:spacing w:val="-14"/>
        </w:rPr>
        <w:t> </w:t>
      </w:r>
      <w:r>
        <w:rPr>
          <w:spacing w:val="-14"/>
        </w:rPr>
      </w:r>
      <w:r>
        <w:rPr/>
        <w:t>金额进行商誉减值测算：</w:t>
      </w:r>
    </w:p>
    <w:p>
      <w:pPr>
        <w:spacing w:line="240" w:lineRule="auto" w:before="2"/>
        <w:rPr>
          <w:rFonts w:ascii="宋体" w:hAnsi="宋体" w:cs="宋体" w:eastAsia="宋体" w:hint="default"/>
          <w:sz w:val="2"/>
          <w:szCs w:val="2"/>
        </w:rPr>
      </w:pPr>
    </w:p>
    <w:tbl>
      <w:tblPr>
        <w:tblW w:w="0" w:type="auto"/>
        <w:jc w:val="left"/>
        <w:tblInd w:w="138" w:type="dxa"/>
        <w:tblLayout w:type="fixed"/>
        <w:tblCellMar>
          <w:top w:w="0" w:type="dxa"/>
          <w:left w:w="0" w:type="dxa"/>
          <w:bottom w:w="0" w:type="dxa"/>
          <w:right w:w="0" w:type="dxa"/>
        </w:tblCellMar>
        <w:tblLook w:val="01E0"/>
      </w:tblPr>
      <w:tblGrid>
        <w:gridCol w:w="6373"/>
        <w:gridCol w:w="3286"/>
      </w:tblGrid>
      <w:tr>
        <w:trPr>
          <w:trHeight w:val="415" w:hRule="exact"/>
        </w:trPr>
        <w:tc>
          <w:tcPr>
            <w:tcW w:w="6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379" w:right="0"/>
              <w:jc w:val="left"/>
              <w:rPr>
                <w:rFonts w:ascii="宋体" w:hAnsi="宋体" w:cs="宋体" w:eastAsia="宋体" w:hint="default"/>
                <w:sz w:val="18"/>
                <w:szCs w:val="18"/>
              </w:rPr>
            </w:pPr>
            <w:r>
              <w:rPr>
                <w:rFonts w:ascii="宋体" w:hAnsi="宋体" w:cs="宋体" w:eastAsia="宋体" w:hint="default"/>
                <w:sz w:val="18"/>
                <w:szCs w:val="18"/>
              </w:rPr>
              <w:t>久信医疗资产组（单位：万元）</w:t>
            </w:r>
          </w:p>
        </w:tc>
      </w:tr>
      <w:tr>
        <w:trPr>
          <w:trHeight w:val="422" w:hRule="exact"/>
        </w:trPr>
        <w:tc>
          <w:tcPr>
            <w:tcW w:w="6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商誉账面余额①</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62,178.70</w:t>
            </w:r>
          </w:p>
        </w:tc>
      </w:tr>
      <w:tr>
        <w:trPr>
          <w:trHeight w:val="421" w:hRule="exact"/>
        </w:trPr>
        <w:tc>
          <w:tcPr>
            <w:tcW w:w="6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商誉减值准备余额②</w:t>
            </w:r>
          </w:p>
        </w:tc>
        <w:tc>
          <w:tcPr>
            <w:tcW w:w="3286" w:type="dxa"/>
            <w:tcBorders>
              <w:top w:val="single" w:sz="4" w:space="0" w:color="000000"/>
              <w:left w:val="single" w:sz="4" w:space="0" w:color="000000"/>
              <w:bottom w:val="single" w:sz="4" w:space="0" w:color="000000"/>
              <w:right w:val="single" w:sz="4" w:space="0" w:color="000000"/>
            </w:tcBorders>
          </w:tcPr>
          <w:p>
            <w:pPr/>
          </w:p>
        </w:tc>
      </w:tr>
      <w:tr>
        <w:trPr>
          <w:trHeight w:val="422" w:hRule="exact"/>
        </w:trPr>
        <w:tc>
          <w:tcPr>
            <w:tcW w:w="6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商誉的账面价值③</w:t>
            </w:r>
            <w:r>
              <w:rPr>
                <w:rFonts w:ascii="Times New Roman" w:hAnsi="Times New Roman" w:cs="Times New Roman" w:eastAsia="Times New Roman" w:hint="default"/>
                <w:sz w:val="18"/>
                <w:szCs w:val="18"/>
              </w:rPr>
              <w:t>=</w:t>
            </w:r>
            <w:r>
              <w:rPr>
                <w:rFonts w:ascii="宋体" w:hAnsi="宋体" w:cs="宋体" w:eastAsia="宋体" w:hint="default"/>
                <w:sz w:val="18"/>
                <w:szCs w:val="18"/>
              </w:rPr>
              <w:t>①</w:t>
            </w:r>
            <w:r>
              <w:rPr>
                <w:rFonts w:ascii="Times New Roman" w:hAnsi="Times New Roman" w:cs="Times New Roman" w:eastAsia="Times New Roman" w:hint="default"/>
                <w:sz w:val="18"/>
                <w:szCs w:val="18"/>
              </w:rPr>
              <w:t>—</w:t>
            </w:r>
            <w:r>
              <w:rPr>
                <w:rFonts w:ascii="宋体" w:hAnsi="宋体" w:cs="宋体" w:eastAsia="宋体" w:hint="default"/>
                <w:sz w:val="18"/>
                <w:szCs w:val="18"/>
              </w:rPr>
              <w:t>②</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62,178.70</w:t>
            </w:r>
          </w:p>
        </w:tc>
      </w:tr>
      <w:tr>
        <w:trPr>
          <w:trHeight w:val="420" w:hRule="exact"/>
        </w:trPr>
        <w:tc>
          <w:tcPr>
            <w:tcW w:w="6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未确认归属于少数股东权益的商誉价值④</w:t>
            </w:r>
          </w:p>
        </w:tc>
        <w:tc>
          <w:tcPr>
            <w:tcW w:w="3286" w:type="dxa"/>
            <w:tcBorders>
              <w:top w:val="single" w:sz="4" w:space="0" w:color="000000"/>
              <w:left w:val="single" w:sz="4" w:space="0" w:color="000000"/>
              <w:bottom w:val="single" w:sz="4" w:space="0" w:color="000000"/>
              <w:right w:val="single" w:sz="4" w:space="0" w:color="000000"/>
            </w:tcBorders>
          </w:tcPr>
          <w:p>
            <w:pPr/>
          </w:p>
        </w:tc>
      </w:tr>
      <w:tr>
        <w:trPr>
          <w:trHeight w:val="420" w:hRule="exact"/>
        </w:trPr>
        <w:tc>
          <w:tcPr>
            <w:tcW w:w="6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包含未确认归属于少数股东权益的商誉价值⑤</w:t>
            </w:r>
            <w:r>
              <w:rPr>
                <w:rFonts w:ascii="Times New Roman" w:hAnsi="Times New Roman" w:cs="Times New Roman" w:eastAsia="Times New Roman" w:hint="default"/>
                <w:sz w:val="18"/>
                <w:szCs w:val="18"/>
              </w:rPr>
              <w:t>=</w:t>
            </w:r>
            <w:r>
              <w:rPr>
                <w:rFonts w:ascii="宋体" w:hAnsi="宋体" w:cs="宋体" w:eastAsia="宋体" w:hint="default"/>
                <w:sz w:val="18"/>
                <w:szCs w:val="18"/>
              </w:rPr>
              <w:t>④</w:t>
            </w:r>
            <w:r>
              <w:rPr>
                <w:rFonts w:ascii="Times New Roman" w:hAnsi="Times New Roman" w:cs="Times New Roman" w:eastAsia="Times New Roman" w:hint="default"/>
                <w:sz w:val="18"/>
                <w:szCs w:val="18"/>
              </w:rPr>
              <w:t>+</w:t>
            </w:r>
            <w:r>
              <w:rPr>
                <w:rFonts w:ascii="宋体" w:hAnsi="宋体" w:cs="宋体" w:eastAsia="宋体" w:hint="default"/>
                <w:sz w:val="18"/>
                <w:szCs w:val="18"/>
              </w:rPr>
              <w:t>③</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62,178.70</w:t>
            </w:r>
          </w:p>
        </w:tc>
      </w:tr>
      <w:tr>
        <w:trPr>
          <w:trHeight w:val="422" w:hRule="exact"/>
        </w:trPr>
        <w:tc>
          <w:tcPr>
            <w:tcW w:w="6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资产组按合并日可辨认净资产公允价值在存续期间持续计算至期末的公允价值⑥</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58,635.18</w:t>
            </w:r>
          </w:p>
        </w:tc>
      </w:tr>
      <w:tr>
        <w:trPr>
          <w:trHeight w:val="420" w:hRule="exact"/>
        </w:trPr>
        <w:tc>
          <w:tcPr>
            <w:tcW w:w="6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包含整体商誉的资产组的可辨认净资产公允价值⑦</w:t>
            </w:r>
            <w:r>
              <w:rPr>
                <w:rFonts w:ascii="Times New Roman" w:hAnsi="Times New Roman" w:cs="Times New Roman" w:eastAsia="Times New Roman" w:hint="default"/>
                <w:sz w:val="18"/>
                <w:szCs w:val="18"/>
              </w:rPr>
              <w:t>=</w:t>
            </w:r>
            <w:r>
              <w:rPr>
                <w:rFonts w:ascii="宋体" w:hAnsi="宋体" w:cs="宋体" w:eastAsia="宋体" w:hint="default"/>
                <w:sz w:val="18"/>
                <w:szCs w:val="18"/>
              </w:rPr>
              <w:t>⑤</w:t>
            </w:r>
            <w:r>
              <w:rPr>
                <w:rFonts w:ascii="Times New Roman" w:hAnsi="Times New Roman" w:cs="Times New Roman" w:eastAsia="Times New Roman" w:hint="default"/>
                <w:sz w:val="18"/>
                <w:szCs w:val="18"/>
              </w:rPr>
              <w:t>+</w:t>
            </w:r>
            <w:r>
              <w:rPr>
                <w:rFonts w:ascii="宋体" w:hAnsi="宋体" w:cs="宋体" w:eastAsia="宋体" w:hint="default"/>
                <w:sz w:val="18"/>
                <w:szCs w:val="18"/>
              </w:rPr>
              <w:t>⑥</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120,813.88</w:t>
            </w:r>
          </w:p>
        </w:tc>
      </w:tr>
      <w:tr>
        <w:trPr>
          <w:trHeight w:val="422" w:hRule="exact"/>
        </w:trPr>
        <w:tc>
          <w:tcPr>
            <w:tcW w:w="6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减：溢余资产、非经营性资产负债、付息债务净影响金额</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-4,604.30</w:t>
            </w:r>
          </w:p>
        </w:tc>
      </w:tr>
      <w:tr>
        <w:trPr>
          <w:trHeight w:val="653" w:hRule="exact"/>
        </w:trPr>
        <w:tc>
          <w:tcPr>
            <w:tcW w:w="637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7"/>
              <w:ind w:left="4" w:right="9"/>
              <w:jc w:val="left"/>
              <w:rPr>
                <w:rFonts w:ascii="宋体" w:hAnsi="宋体" w:cs="宋体" w:eastAsia="宋体" w:hint="default"/>
                <w:sz w:val="18"/>
                <w:szCs w:val="18"/>
              </w:rPr>
            </w:pPr>
            <w:r>
              <w:rPr>
                <w:rFonts w:ascii="宋体" w:hAnsi="宋体" w:cs="宋体" w:eastAsia="宋体" w:hint="default"/>
                <w:sz w:val="18"/>
                <w:szCs w:val="18"/>
              </w:rPr>
              <w:t>扣除溢余资产、非经营性资产负债、付息债务后包含整体商誉的资产组的可辨认</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z w:val="18"/>
                <w:szCs w:val="18"/>
              </w:rPr>
              <w:t>净资产公允价值⑧</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125,418.18</w:t>
            </w:r>
          </w:p>
        </w:tc>
      </w:tr>
      <w:tr>
        <w:trPr>
          <w:trHeight w:val="423" w:hRule="exact"/>
        </w:trPr>
        <w:tc>
          <w:tcPr>
            <w:tcW w:w="6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资产组预计可回收金额⑨</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78,468.76</w:t>
            </w:r>
          </w:p>
        </w:tc>
      </w:tr>
      <w:tr>
        <w:trPr>
          <w:trHeight w:val="420" w:hRule="exact"/>
        </w:trPr>
        <w:tc>
          <w:tcPr>
            <w:tcW w:w="6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商誉减值损失（大于</w:t>
            </w:r>
            <w:r>
              <w:rPr>
                <w:rFonts w:ascii="Times New Roman" w:hAnsi="Times New Roman" w:cs="Times New Roman" w:eastAsia="Times New Roman" w:hint="default"/>
                <w:sz w:val="18"/>
                <w:szCs w:val="18"/>
              </w:rPr>
              <w:t>0</w:t>
            </w:r>
            <w:r>
              <w:rPr>
                <w:rFonts w:ascii="宋体" w:hAnsi="宋体" w:cs="宋体" w:eastAsia="宋体" w:hint="default"/>
                <w:sz w:val="18"/>
                <w:szCs w:val="18"/>
              </w:rPr>
              <w:t>时）⑩</w:t>
            </w:r>
            <w:r>
              <w:rPr>
                <w:rFonts w:ascii="Times New Roman" w:hAnsi="Times New Roman" w:cs="Times New Roman" w:eastAsia="Times New Roman" w:hint="default"/>
                <w:sz w:val="18"/>
                <w:szCs w:val="18"/>
              </w:rPr>
              <w:t>=</w:t>
            </w:r>
            <w:r>
              <w:rPr>
                <w:rFonts w:ascii="宋体" w:hAnsi="宋体" w:cs="宋体" w:eastAsia="宋体" w:hint="default"/>
                <w:sz w:val="18"/>
                <w:szCs w:val="18"/>
              </w:rPr>
              <w:t>⑧</w:t>
            </w:r>
            <w:r>
              <w:rPr>
                <w:rFonts w:ascii="Times New Roman" w:hAnsi="Times New Roman" w:cs="Times New Roman" w:eastAsia="Times New Roman" w:hint="default"/>
                <w:sz w:val="18"/>
                <w:szCs w:val="18"/>
              </w:rPr>
              <w:t>—</w:t>
            </w:r>
            <w:r>
              <w:rPr>
                <w:rFonts w:ascii="宋体" w:hAnsi="宋体" w:cs="宋体" w:eastAsia="宋体" w:hint="default"/>
                <w:sz w:val="18"/>
                <w:szCs w:val="18"/>
              </w:rPr>
              <w:t>⑨</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46,949.42</w:t>
            </w:r>
          </w:p>
        </w:tc>
      </w:tr>
    </w:tbl>
    <w:p>
      <w:pPr>
        <w:spacing w:line="240" w:lineRule="auto" w:before="2"/>
        <w:rPr>
          <w:rFonts w:ascii="宋体" w:hAnsi="宋体" w:cs="宋体" w:eastAsia="宋体" w:hint="default"/>
          <w:sz w:val="9"/>
          <w:szCs w:val="9"/>
        </w:rPr>
      </w:pPr>
    </w:p>
    <w:p>
      <w:pPr>
        <w:pStyle w:val="BodyText"/>
        <w:spacing w:line="240" w:lineRule="auto" w:before="44"/>
        <w:ind w:left="573" w:right="1133"/>
        <w:jc w:val="left"/>
      </w:pPr>
      <w:r>
        <w:rPr/>
        <w:t>可收回金额计算的关键参数信息：</w:t>
      </w:r>
    </w:p>
    <w:p>
      <w:pPr>
        <w:spacing w:line="240" w:lineRule="auto" w:before="8"/>
        <w:rPr>
          <w:rFonts w:ascii="宋体" w:hAnsi="宋体" w:cs="宋体" w:eastAsia="宋体" w:hint="default"/>
          <w:sz w:val="17"/>
          <w:szCs w:val="17"/>
        </w:rPr>
      </w:pPr>
    </w:p>
    <w:tbl>
      <w:tblPr>
        <w:tblW w:w="0" w:type="auto"/>
        <w:jc w:val="left"/>
        <w:tblInd w:w="138" w:type="dxa"/>
        <w:tblLayout w:type="fixed"/>
        <w:tblCellMar>
          <w:top w:w="0" w:type="dxa"/>
          <w:left w:w="0" w:type="dxa"/>
          <w:bottom w:w="0" w:type="dxa"/>
          <w:right w:w="0" w:type="dxa"/>
        </w:tblCellMar>
        <w:tblLook w:val="01E0"/>
      </w:tblPr>
      <w:tblGrid>
        <w:gridCol w:w="2511"/>
        <w:gridCol w:w="2069"/>
        <w:gridCol w:w="5079"/>
      </w:tblGrid>
      <w:tr>
        <w:trPr>
          <w:trHeight w:val="415" w:hRule="exact"/>
        </w:trPr>
        <w:tc>
          <w:tcPr>
            <w:tcW w:w="25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left="5" w:right="0"/>
              <w:jc w:val="center"/>
              <w:rPr>
                <w:rFonts w:ascii="宋体" w:hAnsi="宋体" w:cs="宋体" w:eastAsia="宋体" w:hint="default"/>
                <w:sz w:val="18"/>
                <w:szCs w:val="18"/>
              </w:rPr>
            </w:pPr>
            <w:r>
              <w:rPr>
                <w:rFonts w:ascii="宋体" w:hAnsi="宋体" w:cs="宋体" w:eastAsia="宋体" w:hint="default"/>
                <w:sz w:val="18"/>
                <w:szCs w:val="18"/>
              </w:rPr>
              <w:t>关键参数</w:t>
            </w:r>
          </w:p>
        </w:tc>
        <w:tc>
          <w:tcPr>
            <w:tcW w:w="50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sz w:val="18"/>
                <w:szCs w:val="18"/>
              </w:rPr>
              <w:t>确定依据</w:t>
            </w:r>
          </w:p>
        </w:tc>
      </w:tr>
      <w:tr>
        <w:trPr>
          <w:trHeight w:val="421" w:hRule="exact"/>
        </w:trPr>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4" w:right="0"/>
              <w:jc w:val="left"/>
              <w:rPr>
                <w:rFonts w:ascii="宋体" w:hAnsi="宋体" w:cs="宋体" w:eastAsia="宋体" w:hint="default"/>
                <w:sz w:val="18"/>
                <w:szCs w:val="18"/>
              </w:rPr>
            </w:pPr>
            <w:r>
              <w:rPr>
                <w:rFonts w:ascii="宋体" w:hAnsi="宋体" w:cs="宋体" w:eastAsia="宋体" w:hint="default"/>
                <w:sz w:val="18"/>
                <w:szCs w:val="18"/>
              </w:rPr>
              <w:t>预测期</w:t>
            </w:r>
          </w:p>
        </w:tc>
        <w:tc>
          <w:tcPr>
            <w:tcW w:w="2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Times New Roman" w:hAnsi="Times New Roman" w:cs="Times New Roman" w:eastAsia="Times New Roman" w:hint="default"/>
                <w:sz w:val="18"/>
                <w:szCs w:val="18"/>
              </w:rPr>
              <w:t>-2024</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p>
        </w:tc>
        <w:tc>
          <w:tcPr>
            <w:tcW w:w="5079" w:type="dxa"/>
            <w:tcBorders>
              <w:top w:val="single" w:sz="4" w:space="0" w:color="000000"/>
              <w:left w:val="single" w:sz="4" w:space="0" w:color="000000"/>
              <w:bottom w:val="single" w:sz="4" w:space="0" w:color="000000"/>
              <w:right w:val="single" w:sz="4" w:space="0" w:color="000000"/>
            </w:tcBorders>
          </w:tcPr>
          <w:p>
            <w:pPr/>
          </w:p>
        </w:tc>
      </w:tr>
      <w:tr>
        <w:trPr>
          <w:trHeight w:val="420" w:hRule="exact"/>
        </w:trPr>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预测期增长率</w:t>
            </w:r>
          </w:p>
        </w:tc>
        <w:tc>
          <w:tcPr>
            <w:tcW w:w="2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10%</w:t>
            </w:r>
          </w:p>
        </w:tc>
        <w:tc>
          <w:tcPr>
            <w:tcW w:w="5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参考历史增长率、行业增长率及目前订单情况及管理层判断</w:t>
            </w:r>
          </w:p>
        </w:tc>
      </w:tr>
      <w:tr>
        <w:trPr>
          <w:trHeight w:val="422" w:hRule="exact"/>
        </w:trPr>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稳定期增长率</w:t>
            </w:r>
          </w:p>
        </w:tc>
        <w:tc>
          <w:tcPr>
            <w:tcW w:w="2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6" w:right="0"/>
              <w:jc w:val="center"/>
              <w:rPr>
                <w:rFonts w:ascii="Times New Roman" w:hAnsi="Times New Roman" w:cs="Times New Roman" w:eastAsia="Times New Roman" w:hint="default"/>
                <w:sz w:val="18"/>
                <w:szCs w:val="18"/>
              </w:rPr>
            </w:pPr>
            <w:r>
              <w:rPr>
                <w:rFonts w:ascii="Times New Roman"/>
                <w:sz w:val="18"/>
              </w:rPr>
              <w:t>0%</w:t>
            </w:r>
          </w:p>
        </w:tc>
        <w:tc>
          <w:tcPr>
            <w:tcW w:w="5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Times New Roman" w:hAnsi="Times New Roman" w:cs="Times New Roman" w:eastAsia="Times New Roman" w:hint="default"/>
                <w:sz w:val="18"/>
                <w:szCs w:val="18"/>
              </w:rPr>
            </w:pPr>
            <w:r>
              <w:rPr>
                <w:rFonts w:ascii="Times New Roman"/>
                <w:sz w:val="18"/>
              </w:rPr>
              <w:t>--</w:t>
            </w:r>
          </w:p>
        </w:tc>
      </w:tr>
      <w:tr>
        <w:trPr>
          <w:trHeight w:val="420" w:hRule="exact"/>
        </w:trPr>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毛利润率</w:t>
            </w:r>
          </w:p>
        </w:tc>
        <w:tc>
          <w:tcPr>
            <w:tcW w:w="2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29.46%</w:t>
            </w:r>
            <w:r>
              <w:rPr>
                <w:rFonts w:ascii="宋体" w:hAnsi="宋体" w:cs="宋体" w:eastAsia="宋体" w:hint="default"/>
                <w:sz w:val="18"/>
                <w:szCs w:val="18"/>
              </w:rPr>
              <w:t>～</w:t>
            </w:r>
            <w:r>
              <w:rPr>
                <w:rFonts w:ascii="Times New Roman" w:hAnsi="Times New Roman" w:cs="Times New Roman" w:eastAsia="Times New Roman" w:hint="default"/>
                <w:sz w:val="18"/>
                <w:szCs w:val="18"/>
              </w:rPr>
              <w:t>30.90%</w:t>
            </w:r>
          </w:p>
        </w:tc>
        <w:tc>
          <w:tcPr>
            <w:tcW w:w="5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根据预测的收入、成本计算</w:t>
            </w:r>
          </w:p>
        </w:tc>
      </w:tr>
      <w:tr>
        <w:trPr>
          <w:trHeight w:val="423" w:hRule="exact"/>
        </w:trPr>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税前折现率</w:t>
            </w:r>
            <w:r>
              <w:rPr>
                <w:rFonts w:ascii="Times New Roman" w:hAnsi="Times New Roman" w:cs="Times New Roman" w:eastAsia="Times New Roman" w:hint="default"/>
                <w:sz w:val="18"/>
                <w:szCs w:val="18"/>
              </w:rPr>
              <w:t>*</w:t>
            </w:r>
          </w:p>
        </w:tc>
        <w:tc>
          <w:tcPr>
            <w:tcW w:w="2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6" w:right="0"/>
              <w:jc w:val="center"/>
              <w:rPr>
                <w:rFonts w:ascii="Times New Roman" w:hAnsi="Times New Roman" w:cs="Times New Roman" w:eastAsia="Times New Roman" w:hint="default"/>
                <w:sz w:val="18"/>
                <w:szCs w:val="18"/>
              </w:rPr>
            </w:pPr>
            <w:r>
              <w:rPr>
                <w:rFonts w:ascii="Times New Roman"/>
                <w:sz w:val="18"/>
              </w:rPr>
              <w:t>14.18%</w:t>
            </w:r>
          </w:p>
        </w:tc>
        <w:tc>
          <w:tcPr>
            <w:tcW w:w="5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按加权平均资本成本 </w:t>
            </w:r>
            <w:r>
              <w:rPr>
                <w:rFonts w:ascii="Times New Roman" w:hAnsi="Times New Roman" w:cs="Times New Roman" w:eastAsia="Times New Roman" w:hint="default"/>
                <w:sz w:val="18"/>
                <w:szCs w:val="18"/>
              </w:rPr>
              <w:t>WACC</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计算得出</w:t>
            </w:r>
          </w:p>
        </w:tc>
      </w:tr>
    </w:tbl>
    <w:p>
      <w:pPr>
        <w:pStyle w:val="BodyText"/>
        <w:spacing w:line="312" w:lineRule="auto" w:before="8"/>
        <w:ind w:right="1126" w:firstLine="420"/>
        <w:jc w:val="both"/>
      </w:pPr>
      <w:r>
        <w:rPr>
          <w:spacing w:val="-3"/>
        </w:rPr>
        <w:t>基于公司管理层对未来发展趋势的判断和经营规划，在未来预测能够实现的前提下，久信医疗商誉所涉及的资产组（包</w:t>
      </w:r>
      <w:r>
        <w:rPr/>
        <w:t> </w:t>
      </w:r>
      <w:r>
        <w:rPr>
          <w:spacing w:val="-2"/>
        </w:rPr>
        <w:t>含未来能够独立获得经营现金流所需的营运资金、长期资产、合并产生的商誉以及合并对价分摊时形成的可辨识资产公允价</w:t>
      </w:r>
      <w:r>
        <w:rPr>
          <w:spacing w:val="-63"/>
        </w:rPr>
        <w:t> </w:t>
      </w:r>
      <w:r>
        <w:rPr>
          <w:spacing w:val="-63"/>
        </w:rPr>
      </w:r>
      <w:r>
        <w:rPr/>
        <w:t>值增值的摊余额）的账面净值共计</w:t>
      </w:r>
      <w:r>
        <w:rPr>
          <w:spacing w:val="-4"/>
        </w:rPr>
        <w:t> </w:t>
      </w:r>
      <w:r>
        <w:rPr>
          <w:rFonts w:ascii="Times New Roman" w:hAnsi="Times New Roman" w:cs="Times New Roman" w:eastAsia="Times New Roman" w:hint="default"/>
        </w:rPr>
        <w:t>125,418.18</w:t>
      </w:r>
      <w:r>
        <w:rPr>
          <w:rFonts w:ascii="Times New Roman" w:hAnsi="Times New Roman" w:cs="Times New Roman" w:eastAsia="Times New Roman" w:hint="default"/>
          <w:spacing w:val="40"/>
        </w:rPr>
        <w:t> </w:t>
      </w:r>
      <w:r>
        <w:rPr/>
        <w:t>万元，预计未来现金流量现值在评估基准日</w:t>
      </w:r>
      <w:r>
        <w:rPr>
          <w:spacing w:val="1"/>
        </w:rPr>
        <w:t> </w:t>
      </w:r>
      <w:r>
        <w:rPr>
          <w:rFonts w:ascii="Times New Roman" w:hAnsi="Times New Roman" w:cs="Times New Roman" w:eastAsia="Times New Roman" w:hint="default"/>
        </w:rPr>
        <w:t>2019</w:t>
      </w:r>
      <w:r>
        <w:rPr/>
        <w:t>年</w:t>
      </w:r>
      <w:r>
        <w:rPr>
          <w:spacing w:val="-4"/>
        </w:rPr>
        <w:t> </w:t>
      </w:r>
      <w:r>
        <w:rPr>
          <w:rFonts w:ascii="Times New Roman" w:hAnsi="Times New Roman" w:cs="Times New Roman" w:eastAsia="Times New Roman" w:hint="default"/>
        </w:rPr>
        <w:t>12</w:t>
      </w:r>
      <w:r>
        <w:rPr>
          <w:rFonts w:ascii="Times New Roman" w:hAnsi="Times New Roman" w:cs="Times New Roman" w:eastAsia="Times New Roman" w:hint="default"/>
          <w:spacing w:val="39"/>
        </w:rPr>
        <w:t> </w:t>
      </w:r>
      <w:r>
        <w:rPr/>
        <w:t>月</w:t>
      </w:r>
      <w:r>
        <w:rPr>
          <w:rFonts w:ascii="Times New Roman" w:hAnsi="Times New Roman" w:cs="Times New Roman" w:eastAsia="Times New Roman" w:hint="default"/>
        </w:rPr>
        <w:t>31</w:t>
      </w:r>
      <w:r>
        <w:rPr>
          <w:rFonts w:ascii="Times New Roman" w:hAnsi="Times New Roman" w:cs="Times New Roman" w:eastAsia="Times New Roman" w:hint="default"/>
          <w:spacing w:val="39"/>
        </w:rPr>
        <w:t> </w:t>
      </w:r>
      <w:r>
        <w:rPr>
          <w:spacing w:val="2"/>
        </w:rPr>
        <w:t>日的评估值为</w:t>
      </w:r>
      <w:r>
        <w:rPr>
          <w:spacing w:val="-87"/>
        </w:rPr>
        <w:t> </w:t>
      </w:r>
      <w:r>
        <w:rPr>
          <w:rFonts w:ascii="Times New Roman" w:hAnsi="Times New Roman" w:cs="Times New Roman" w:eastAsia="Times New Roman" w:hint="default"/>
          <w:spacing w:val="-2"/>
        </w:rPr>
        <w:t>78,468.76</w:t>
      </w:r>
      <w:r>
        <w:rPr>
          <w:spacing w:val="-2"/>
        </w:rPr>
        <w:t>万元，久信医疗相关商誉减值</w:t>
      </w:r>
      <w:r>
        <w:rPr>
          <w:rFonts w:ascii="Times New Roman" w:hAnsi="Times New Roman" w:cs="Times New Roman" w:eastAsia="Times New Roman" w:hint="default"/>
          <w:spacing w:val="-2"/>
        </w:rPr>
        <w:t>46,949.42</w:t>
      </w:r>
      <w:r>
        <w:rPr>
          <w:spacing w:val="-2"/>
        </w:rPr>
        <w:t>万元。公司采用评估师的评估结果，本期对久信医疗相关商誉计提减值准备</w:t>
      </w:r>
    </w:p>
    <w:p>
      <w:pPr>
        <w:pStyle w:val="BodyText"/>
        <w:spacing w:line="240" w:lineRule="auto" w:before="3"/>
        <w:ind w:right="1133"/>
        <w:jc w:val="left"/>
      </w:pPr>
      <w:r>
        <w:rPr>
          <w:rFonts w:ascii="Times New Roman" w:hAnsi="Times New Roman" w:cs="Times New Roman" w:eastAsia="Times New Roman" w:hint="default"/>
        </w:rPr>
        <w:t>46,949.42</w:t>
      </w:r>
      <w:r>
        <w:rPr/>
        <w:t>万元。</w:t>
      </w:r>
    </w:p>
    <w:p>
      <w:pPr>
        <w:pStyle w:val="BodyText"/>
        <w:spacing w:line="316" w:lineRule="auto" w:before="63"/>
        <w:ind w:left="573" w:right="1133"/>
        <w:jc w:val="left"/>
      </w:pPr>
      <w:r>
        <w:rPr/>
        <w:t>②与成都聚雅有关的商誉减值测试 成都聚雅是一家提供软件开发、楼宇智能化工程设计、计算机网络工程施工等产品的企业。本公司期末将成都聚雅整</w:t>
      </w:r>
    </w:p>
    <w:p>
      <w:pPr>
        <w:pStyle w:val="BodyText"/>
        <w:spacing w:line="240" w:lineRule="auto" w:before="18"/>
        <w:ind w:right="1133"/>
        <w:jc w:val="left"/>
      </w:pPr>
      <w:r>
        <w:rPr/>
        <w:t>体认定为一个资产组，采用预计未来现金流量现值的方法测算其可回收金额，该资产组与购买日所确定的资产组一致。</w:t>
      </w:r>
    </w:p>
    <w:p>
      <w:pPr>
        <w:spacing w:after="0" w:line="240" w:lineRule="auto"/>
        <w:jc w:val="left"/>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319" w:lineRule="auto" w:before="44"/>
        <w:ind w:left="573" w:right="1133"/>
        <w:jc w:val="left"/>
      </w:pPr>
      <w:r>
        <w:rPr/>
        <w:t>商誉减值测试方法及关键参数信息 根据鹏信评估公司出具的《深圳达实智能股份有限公司之成都聚雅医信科技有限公司商誉所涉及的资产组可回收价值</w:t>
      </w:r>
    </w:p>
    <w:p>
      <w:pPr>
        <w:pStyle w:val="BodyText"/>
        <w:spacing w:line="300" w:lineRule="auto" w:before="17"/>
        <w:ind w:right="1133"/>
        <w:jc w:val="left"/>
      </w:pPr>
      <w:r>
        <w:rPr/>
        <w:t>资产评估报告》（鹏信资评报字［</w:t>
      </w:r>
      <w:r>
        <w:rPr>
          <w:rFonts w:ascii="Times New Roman" w:hAnsi="Times New Roman" w:cs="Times New Roman" w:eastAsia="Times New Roman" w:hint="default"/>
        </w:rPr>
        <w:t>2020</w:t>
      </w:r>
      <w:r>
        <w:rPr/>
        <w:t>］第</w:t>
      </w:r>
      <w:r>
        <w:rPr>
          <w:rFonts w:ascii="Times New Roman" w:hAnsi="Times New Roman" w:cs="Times New Roman" w:eastAsia="Times New Roman" w:hint="default"/>
        </w:rPr>
        <w:t>S009</w:t>
      </w:r>
      <w:r>
        <w:rPr/>
        <w:t>号），按照资产组的预计未来现金流量及折现率计算现值确定可收回金额</w:t>
      </w:r>
      <w:r>
        <w:rPr>
          <w:spacing w:val="-15"/>
        </w:rPr>
        <w:t> </w:t>
      </w:r>
      <w:r>
        <w:rPr>
          <w:spacing w:val="-15"/>
        </w:rPr>
      </w:r>
      <w:r>
        <w:rPr/>
        <w:t>进行商誉减值测算：</w:t>
      </w:r>
    </w:p>
    <w:p>
      <w:pPr>
        <w:spacing w:line="240" w:lineRule="auto" w:before="2"/>
        <w:rPr>
          <w:rFonts w:ascii="宋体" w:hAnsi="宋体" w:cs="宋体" w:eastAsia="宋体" w:hint="default"/>
          <w:sz w:val="2"/>
          <w:szCs w:val="2"/>
        </w:rPr>
      </w:pPr>
    </w:p>
    <w:tbl>
      <w:tblPr>
        <w:tblW w:w="0" w:type="auto"/>
        <w:jc w:val="left"/>
        <w:tblInd w:w="138" w:type="dxa"/>
        <w:tblLayout w:type="fixed"/>
        <w:tblCellMar>
          <w:top w:w="0" w:type="dxa"/>
          <w:left w:w="0" w:type="dxa"/>
          <w:bottom w:w="0" w:type="dxa"/>
          <w:right w:w="0" w:type="dxa"/>
        </w:tblCellMar>
        <w:tblLook w:val="01E0"/>
      </w:tblPr>
      <w:tblGrid>
        <w:gridCol w:w="6081"/>
        <w:gridCol w:w="3579"/>
      </w:tblGrid>
      <w:tr>
        <w:trPr>
          <w:trHeight w:val="415" w:hRule="exact"/>
        </w:trPr>
        <w:tc>
          <w:tcPr>
            <w:tcW w:w="60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5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614" w:right="0"/>
              <w:jc w:val="left"/>
              <w:rPr>
                <w:rFonts w:ascii="宋体" w:hAnsi="宋体" w:cs="宋体" w:eastAsia="宋体" w:hint="default"/>
                <w:sz w:val="18"/>
                <w:szCs w:val="18"/>
              </w:rPr>
            </w:pPr>
            <w:r>
              <w:rPr>
                <w:rFonts w:ascii="宋体" w:hAnsi="宋体" w:cs="宋体" w:eastAsia="宋体" w:hint="default"/>
                <w:sz w:val="18"/>
                <w:szCs w:val="18"/>
              </w:rPr>
              <w:t>成都聚雅资产组（单位万元）</w:t>
            </w:r>
          </w:p>
        </w:tc>
      </w:tr>
      <w:tr>
        <w:trPr>
          <w:trHeight w:val="422" w:hRule="exact"/>
        </w:trPr>
        <w:tc>
          <w:tcPr>
            <w:tcW w:w="6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商誉账面余额①</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350.06</w:t>
            </w:r>
          </w:p>
        </w:tc>
      </w:tr>
      <w:tr>
        <w:trPr>
          <w:trHeight w:val="420" w:hRule="exact"/>
        </w:trPr>
        <w:tc>
          <w:tcPr>
            <w:tcW w:w="6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商誉减值准备余额②</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22" w:hRule="exact"/>
        </w:trPr>
        <w:tc>
          <w:tcPr>
            <w:tcW w:w="6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商誉的账面价值③</w:t>
            </w:r>
            <w:r>
              <w:rPr>
                <w:rFonts w:ascii="Times New Roman" w:hAnsi="Times New Roman" w:cs="Times New Roman" w:eastAsia="Times New Roman" w:hint="default"/>
                <w:sz w:val="18"/>
                <w:szCs w:val="18"/>
              </w:rPr>
              <w:t>=</w:t>
            </w:r>
            <w:r>
              <w:rPr>
                <w:rFonts w:ascii="宋体" w:hAnsi="宋体" w:cs="宋体" w:eastAsia="宋体" w:hint="default"/>
                <w:sz w:val="18"/>
                <w:szCs w:val="18"/>
              </w:rPr>
              <w:t>①</w:t>
            </w:r>
            <w:r>
              <w:rPr>
                <w:rFonts w:ascii="Times New Roman" w:hAnsi="Times New Roman" w:cs="Times New Roman" w:eastAsia="Times New Roman" w:hint="default"/>
                <w:sz w:val="18"/>
                <w:szCs w:val="18"/>
              </w:rPr>
              <w:t>—</w:t>
            </w:r>
            <w:r>
              <w:rPr>
                <w:rFonts w:ascii="宋体" w:hAnsi="宋体" w:cs="宋体" w:eastAsia="宋体" w:hint="default"/>
                <w:sz w:val="18"/>
                <w:szCs w:val="18"/>
              </w:rPr>
              <w:t>②</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350.06</w:t>
            </w:r>
          </w:p>
        </w:tc>
      </w:tr>
      <w:tr>
        <w:trPr>
          <w:trHeight w:val="420" w:hRule="exact"/>
        </w:trPr>
        <w:tc>
          <w:tcPr>
            <w:tcW w:w="6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未确认归属于少数股东权益的商誉价值④</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20" w:hRule="exact"/>
        </w:trPr>
        <w:tc>
          <w:tcPr>
            <w:tcW w:w="6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包含未确认归属于少数股东权益的商誉价值⑤</w:t>
            </w:r>
            <w:r>
              <w:rPr>
                <w:rFonts w:ascii="Times New Roman" w:hAnsi="Times New Roman" w:cs="Times New Roman" w:eastAsia="Times New Roman" w:hint="default"/>
                <w:sz w:val="18"/>
                <w:szCs w:val="18"/>
              </w:rPr>
              <w:t>=</w:t>
            </w:r>
            <w:r>
              <w:rPr>
                <w:rFonts w:ascii="宋体" w:hAnsi="宋体" w:cs="宋体" w:eastAsia="宋体" w:hint="default"/>
                <w:sz w:val="18"/>
                <w:szCs w:val="18"/>
              </w:rPr>
              <w:t>④</w:t>
            </w:r>
            <w:r>
              <w:rPr>
                <w:rFonts w:ascii="Times New Roman" w:hAnsi="Times New Roman" w:cs="Times New Roman" w:eastAsia="Times New Roman" w:hint="default"/>
                <w:sz w:val="18"/>
                <w:szCs w:val="18"/>
              </w:rPr>
              <w:t>+</w:t>
            </w:r>
            <w:r>
              <w:rPr>
                <w:rFonts w:ascii="宋体" w:hAnsi="宋体" w:cs="宋体" w:eastAsia="宋体" w:hint="default"/>
                <w:sz w:val="18"/>
                <w:szCs w:val="18"/>
              </w:rPr>
              <w:t>③</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350.06</w:t>
            </w:r>
          </w:p>
        </w:tc>
      </w:tr>
      <w:tr>
        <w:trPr>
          <w:trHeight w:val="656" w:hRule="exact"/>
        </w:trPr>
        <w:tc>
          <w:tcPr>
            <w:tcW w:w="6081"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20"/>
              <w:ind w:left="4" w:right="4"/>
              <w:jc w:val="left"/>
              <w:rPr>
                <w:rFonts w:ascii="宋体" w:hAnsi="宋体" w:cs="宋体" w:eastAsia="宋体" w:hint="default"/>
                <w:sz w:val="18"/>
                <w:szCs w:val="18"/>
              </w:rPr>
            </w:pPr>
            <w:r>
              <w:rPr>
                <w:rFonts w:ascii="宋体" w:hAnsi="宋体" w:cs="宋体" w:eastAsia="宋体" w:hint="default"/>
                <w:sz w:val="18"/>
                <w:szCs w:val="18"/>
              </w:rPr>
              <w:t>资产组按合并日可辨认净资产公允价值在存续期间持续计算至</w:t>
            </w: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2"/>
                <w:sz w:val="18"/>
                <w:szCs w:val="18"/>
              </w:rPr>
              <w:t> </w:t>
            </w:r>
            <w:r>
              <w:rPr>
                <w:rFonts w:ascii="Times New Roman" w:hAnsi="Times New Roman" w:cs="Times New Roman" w:eastAsia="Times New Roman" w:hint="default"/>
                <w:spacing w:val="-22"/>
                <w:sz w:val="18"/>
                <w:szCs w:val="18"/>
              </w:rPr>
            </w:r>
            <w:r>
              <w:rPr>
                <w:rFonts w:ascii="宋体" w:hAnsi="宋体" w:cs="宋体" w:eastAsia="宋体" w:hint="default"/>
                <w:sz w:val="18"/>
                <w:szCs w:val="18"/>
              </w:rPr>
              <w:t>日的公允价值⑥</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
              <w:jc w:val="right"/>
              <w:rPr>
                <w:rFonts w:ascii="Times New Roman" w:hAnsi="Times New Roman" w:cs="Times New Roman" w:eastAsia="Times New Roman" w:hint="default"/>
                <w:sz w:val="18"/>
                <w:szCs w:val="18"/>
              </w:rPr>
            </w:pPr>
            <w:r>
              <w:rPr>
                <w:rFonts w:ascii="Times New Roman"/>
                <w:spacing w:val="-1"/>
                <w:sz w:val="18"/>
              </w:rPr>
              <w:t>848.24</w:t>
            </w:r>
          </w:p>
        </w:tc>
      </w:tr>
      <w:tr>
        <w:trPr>
          <w:trHeight w:val="420" w:hRule="exact"/>
        </w:trPr>
        <w:tc>
          <w:tcPr>
            <w:tcW w:w="6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包含整体商誉的资产组的可辨认净资产公允价值⑦</w:t>
            </w:r>
            <w:r>
              <w:rPr>
                <w:rFonts w:ascii="Times New Roman" w:hAnsi="Times New Roman" w:cs="Times New Roman" w:eastAsia="Times New Roman" w:hint="default"/>
                <w:sz w:val="18"/>
                <w:szCs w:val="18"/>
              </w:rPr>
              <w:t>=</w:t>
            </w:r>
            <w:r>
              <w:rPr>
                <w:rFonts w:ascii="宋体" w:hAnsi="宋体" w:cs="宋体" w:eastAsia="宋体" w:hint="default"/>
                <w:sz w:val="18"/>
                <w:szCs w:val="18"/>
              </w:rPr>
              <w:t>⑤</w:t>
            </w:r>
            <w:r>
              <w:rPr>
                <w:rFonts w:ascii="Times New Roman" w:hAnsi="Times New Roman" w:cs="Times New Roman" w:eastAsia="Times New Roman" w:hint="default"/>
                <w:sz w:val="18"/>
                <w:szCs w:val="18"/>
              </w:rPr>
              <w:t>+</w:t>
            </w:r>
            <w:r>
              <w:rPr>
                <w:rFonts w:ascii="宋体" w:hAnsi="宋体" w:cs="宋体" w:eastAsia="宋体" w:hint="default"/>
                <w:sz w:val="18"/>
                <w:szCs w:val="18"/>
              </w:rPr>
              <w:t>⑥</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w w:val="95"/>
                <w:sz w:val="18"/>
              </w:rPr>
              <w:t>1,198.30</w:t>
            </w:r>
          </w:p>
        </w:tc>
      </w:tr>
      <w:tr>
        <w:trPr>
          <w:trHeight w:val="422" w:hRule="exact"/>
        </w:trPr>
        <w:tc>
          <w:tcPr>
            <w:tcW w:w="6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减：溢余资产、非经营性资产负债、付息债务净影响金额</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121.11</w:t>
            </w:r>
          </w:p>
        </w:tc>
      </w:tr>
      <w:tr>
        <w:trPr>
          <w:trHeight w:val="653" w:hRule="exact"/>
        </w:trPr>
        <w:tc>
          <w:tcPr>
            <w:tcW w:w="60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7"/>
              <w:ind w:left="4" w:right="6"/>
              <w:jc w:val="left"/>
              <w:rPr>
                <w:rFonts w:ascii="宋体" w:hAnsi="宋体" w:cs="宋体" w:eastAsia="宋体" w:hint="default"/>
                <w:sz w:val="18"/>
                <w:szCs w:val="18"/>
              </w:rPr>
            </w:pPr>
            <w:r>
              <w:rPr>
                <w:rFonts w:ascii="宋体" w:hAnsi="宋体" w:cs="宋体" w:eastAsia="宋体" w:hint="default"/>
                <w:spacing w:val="-2"/>
                <w:sz w:val="18"/>
                <w:szCs w:val="18"/>
              </w:rPr>
              <w:t>扣除溢余资产、非经营性资产负债、付息债务后包含整体商誉的资产组的可辨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认净资产公允价值⑧</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w w:val="95"/>
                <w:sz w:val="18"/>
              </w:rPr>
              <w:t>1,077.19</w:t>
            </w:r>
          </w:p>
        </w:tc>
      </w:tr>
      <w:tr>
        <w:trPr>
          <w:trHeight w:val="422" w:hRule="exact"/>
        </w:trPr>
        <w:tc>
          <w:tcPr>
            <w:tcW w:w="6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资产组预计可回收金额⑨</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723.76</w:t>
            </w:r>
          </w:p>
        </w:tc>
      </w:tr>
      <w:tr>
        <w:trPr>
          <w:trHeight w:val="420" w:hRule="exact"/>
        </w:trPr>
        <w:tc>
          <w:tcPr>
            <w:tcW w:w="6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商誉减值损失</w:t>
            </w:r>
            <w:r>
              <w:rPr>
                <w:rFonts w:ascii="宋体" w:hAnsi="宋体" w:cs="宋体" w:eastAsia="宋体" w:hint="default"/>
                <w:spacing w:val="-19"/>
                <w:sz w:val="18"/>
                <w:szCs w:val="18"/>
              </w:rPr>
              <w:t> </w:t>
            </w:r>
            <w:r>
              <w:rPr>
                <w:rFonts w:ascii="宋体" w:hAnsi="宋体" w:cs="宋体" w:eastAsia="宋体" w:hint="default"/>
                <w:sz w:val="18"/>
                <w:szCs w:val="18"/>
              </w:rPr>
              <w:t>⑩</w:t>
            </w:r>
            <w:r>
              <w:rPr>
                <w:rFonts w:ascii="Times New Roman" w:hAnsi="Times New Roman" w:cs="Times New Roman" w:eastAsia="Times New Roman" w:hint="default"/>
                <w:sz w:val="18"/>
                <w:szCs w:val="18"/>
              </w:rPr>
              <w:t>=</w:t>
            </w:r>
            <w:r>
              <w:rPr>
                <w:rFonts w:ascii="宋体" w:hAnsi="宋体" w:cs="宋体" w:eastAsia="宋体" w:hint="default"/>
                <w:sz w:val="18"/>
                <w:szCs w:val="18"/>
              </w:rPr>
              <w:t>⑧</w:t>
            </w:r>
            <w:r>
              <w:rPr>
                <w:rFonts w:ascii="Times New Roman" w:hAnsi="Times New Roman" w:cs="Times New Roman" w:eastAsia="Times New Roman" w:hint="default"/>
                <w:sz w:val="18"/>
                <w:szCs w:val="18"/>
              </w:rPr>
              <w:t>—</w:t>
            </w:r>
            <w:r>
              <w:rPr>
                <w:rFonts w:ascii="宋体" w:hAnsi="宋体" w:cs="宋体" w:eastAsia="宋体" w:hint="default"/>
                <w:sz w:val="18"/>
                <w:szCs w:val="18"/>
              </w:rPr>
              <w:t>⑨</w:t>
            </w:r>
            <w:r>
              <w:rPr>
                <w:rFonts w:ascii="Times New Roman" w:hAnsi="Times New Roman" w:cs="Times New Roman" w:eastAsia="Times New Roman" w:hint="default"/>
                <w:sz w:val="18"/>
                <w:szCs w:val="18"/>
              </w:rPr>
              <w:t>&gt;</w:t>
            </w:r>
            <w:r>
              <w:rPr>
                <w:rFonts w:ascii="宋体" w:hAnsi="宋体" w:cs="宋体" w:eastAsia="宋体" w:hint="default"/>
                <w:sz w:val="18"/>
                <w:szCs w:val="18"/>
              </w:rPr>
              <w:t>①时，⑩</w:t>
            </w:r>
            <w:r>
              <w:rPr>
                <w:rFonts w:ascii="Times New Roman" w:hAnsi="Times New Roman" w:cs="Times New Roman" w:eastAsia="Times New Roman" w:hint="default"/>
                <w:sz w:val="18"/>
                <w:szCs w:val="18"/>
              </w:rPr>
              <w:t>=</w:t>
            </w:r>
            <w:r>
              <w:rPr>
                <w:rFonts w:ascii="宋体" w:hAnsi="宋体" w:cs="宋体" w:eastAsia="宋体" w:hint="default"/>
                <w:sz w:val="18"/>
                <w:szCs w:val="18"/>
              </w:rPr>
              <w:t>①</w:t>
            </w:r>
          </w:p>
        </w:tc>
        <w:tc>
          <w:tcPr>
            <w:tcW w:w="3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350.06</w:t>
            </w:r>
          </w:p>
        </w:tc>
      </w:tr>
    </w:tbl>
    <w:p>
      <w:pPr>
        <w:spacing w:line="240" w:lineRule="auto" w:before="2"/>
        <w:rPr>
          <w:rFonts w:ascii="宋体" w:hAnsi="宋体" w:cs="宋体" w:eastAsia="宋体" w:hint="default"/>
          <w:sz w:val="9"/>
          <w:szCs w:val="9"/>
        </w:rPr>
      </w:pPr>
    </w:p>
    <w:p>
      <w:pPr>
        <w:pStyle w:val="BodyText"/>
        <w:spacing w:line="240" w:lineRule="auto" w:before="44"/>
        <w:ind w:left="573" w:right="1133"/>
        <w:jc w:val="left"/>
      </w:pPr>
      <w:r>
        <w:rPr/>
        <w:t>可收回金额计算的关键参数信息：</w:t>
      </w:r>
    </w:p>
    <w:p>
      <w:pPr>
        <w:spacing w:line="240" w:lineRule="auto" w:before="8"/>
        <w:rPr>
          <w:rFonts w:ascii="宋体" w:hAnsi="宋体" w:cs="宋体" w:eastAsia="宋体" w:hint="default"/>
          <w:sz w:val="17"/>
          <w:szCs w:val="17"/>
        </w:rPr>
      </w:pPr>
    </w:p>
    <w:tbl>
      <w:tblPr>
        <w:tblW w:w="0" w:type="auto"/>
        <w:jc w:val="left"/>
        <w:tblInd w:w="138" w:type="dxa"/>
        <w:tblLayout w:type="fixed"/>
        <w:tblCellMar>
          <w:top w:w="0" w:type="dxa"/>
          <w:left w:w="0" w:type="dxa"/>
          <w:bottom w:w="0" w:type="dxa"/>
          <w:right w:w="0" w:type="dxa"/>
        </w:tblCellMar>
        <w:tblLook w:val="01E0"/>
      </w:tblPr>
      <w:tblGrid>
        <w:gridCol w:w="2511"/>
        <w:gridCol w:w="2069"/>
        <w:gridCol w:w="5079"/>
      </w:tblGrid>
      <w:tr>
        <w:trPr>
          <w:trHeight w:val="417" w:hRule="exact"/>
        </w:trPr>
        <w:tc>
          <w:tcPr>
            <w:tcW w:w="25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left="5" w:right="0"/>
              <w:jc w:val="center"/>
              <w:rPr>
                <w:rFonts w:ascii="宋体" w:hAnsi="宋体" w:cs="宋体" w:eastAsia="宋体" w:hint="default"/>
                <w:sz w:val="18"/>
                <w:szCs w:val="18"/>
              </w:rPr>
            </w:pPr>
            <w:r>
              <w:rPr>
                <w:rFonts w:ascii="宋体" w:hAnsi="宋体" w:cs="宋体" w:eastAsia="宋体" w:hint="default"/>
                <w:sz w:val="18"/>
                <w:szCs w:val="18"/>
              </w:rPr>
              <w:t>关键参数</w:t>
            </w:r>
          </w:p>
        </w:tc>
        <w:tc>
          <w:tcPr>
            <w:tcW w:w="50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sz w:val="18"/>
                <w:szCs w:val="18"/>
              </w:rPr>
              <w:t>确定依据</w:t>
            </w:r>
          </w:p>
        </w:tc>
      </w:tr>
      <w:tr>
        <w:trPr>
          <w:trHeight w:val="420" w:hRule="exact"/>
        </w:trPr>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预测期</w:t>
            </w:r>
          </w:p>
        </w:tc>
        <w:tc>
          <w:tcPr>
            <w:tcW w:w="2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Times New Roman" w:hAnsi="Times New Roman" w:cs="Times New Roman" w:eastAsia="Times New Roman" w:hint="default"/>
                <w:sz w:val="18"/>
                <w:szCs w:val="18"/>
              </w:rPr>
              <w:t>-2024</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p>
        </w:tc>
        <w:tc>
          <w:tcPr>
            <w:tcW w:w="5079" w:type="dxa"/>
            <w:tcBorders>
              <w:top w:val="single" w:sz="4" w:space="0" w:color="000000"/>
              <w:left w:val="single" w:sz="4" w:space="0" w:color="000000"/>
              <w:bottom w:val="single" w:sz="4" w:space="0" w:color="000000"/>
              <w:right w:val="single" w:sz="4" w:space="0" w:color="000000"/>
            </w:tcBorders>
          </w:tcPr>
          <w:p>
            <w:pPr/>
          </w:p>
        </w:tc>
      </w:tr>
      <w:tr>
        <w:trPr>
          <w:trHeight w:val="422" w:hRule="exact"/>
        </w:trPr>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预测期增长率</w:t>
            </w:r>
          </w:p>
        </w:tc>
        <w:tc>
          <w:tcPr>
            <w:tcW w:w="2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18%</w:t>
            </w:r>
          </w:p>
        </w:tc>
        <w:tc>
          <w:tcPr>
            <w:tcW w:w="5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参考历史增长率、行业增长率及目前订单情况及管理层判断</w:t>
            </w:r>
          </w:p>
        </w:tc>
      </w:tr>
      <w:tr>
        <w:trPr>
          <w:trHeight w:val="420" w:hRule="exact"/>
        </w:trPr>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稳定期增长率</w:t>
            </w:r>
          </w:p>
        </w:tc>
        <w:tc>
          <w:tcPr>
            <w:tcW w:w="2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6" w:right="0"/>
              <w:jc w:val="center"/>
              <w:rPr>
                <w:rFonts w:ascii="Times New Roman" w:hAnsi="Times New Roman" w:cs="Times New Roman" w:eastAsia="Times New Roman" w:hint="default"/>
                <w:sz w:val="18"/>
                <w:szCs w:val="18"/>
              </w:rPr>
            </w:pPr>
            <w:r>
              <w:rPr>
                <w:rFonts w:ascii="Times New Roman"/>
                <w:sz w:val="18"/>
              </w:rPr>
              <w:t>0%</w:t>
            </w:r>
          </w:p>
        </w:tc>
        <w:tc>
          <w:tcPr>
            <w:tcW w:w="5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w:t>
            </w:r>
          </w:p>
        </w:tc>
      </w:tr>
      <w:tr>
        <w:trPr>
          <w:trHeight w:val="420" w:hRule="exact"/>
        </w:trPr>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毛利润率</w:t>
            </w:r>
          </w:p>
        </w:tc>
        <w:tc>
          <w:tcPr>
            <w:tcW w:w="2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48 %</w:t>
            </w:r>
            <w:r>
              <w:rPr>
                <w:rFonts w:ascii="宋体" w:hAnsi="宋体" w:cs="宋体" w:eastAsia="宋体" w:hint="default"/>
                <w:sz w:val="18"/>
                <w:szCs w:val="18"/>
              </w:rPr>
              <w:t>～</w:t>
            </w:r>
            <w:r>
              <w:rPr>
                <w:rFonts w:ascii="Times New Roman" w:hAnsi="Times New Roman" w:cs="Times New Roman" w:eastAsia="Times New Roman" w:hint="default"/>
                <w:sz w:val="18"/>
                <w:szCs w:val="18"/>
              </w:rPr>
              <w:t>56%</w:t>
            </w:r>
          </w:p>
        </w:tc>
        <w:tc>
          <w:tcPr>
            <w:tcW w:w="5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根据预测的收入、成本计算</w:t>
            </w:r>
          </w:p>
        </w:tc>
      </w:tr>
      <w:tr>
        <w:trPr>
          <w:trHeight w:val="422" w:hRule="exact"/>
        </w:trPr>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税前折现率</w:t>
            </w:r>
            <w:r>
              <w:rPr>
                <w:rFonts w:ascii="Times New Roman" w:hAnsi="Times New Roman" w:cs="Times New Roman" w:eastAsia="Times New Roman" w:hint="default"/>
                <w:sz w:val="18"/>
                <w:szCs w:val="18"/>
              </w:rPr>
              <w:t>*</w:t>
            </w:r>
          </w:p>
        </w:tc>
        <w:tc>
          <w:tcPr>
            <w:tcW w:w="2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6" w:right="0"/>
              <w:jc w:val="center"/>
              <w:rPr>
                <w:rFonts w:ascii="Times New Roman" w:hAnsi="Times New Roman" w:cs="Times New Roman" w:eastAsia="Times New Roman" w:hint="default"/>
                <w:sz w:val="18"/>
                <w:szCs w:val="18"/>
              </w:rPr>
            </w:pPr>
            <w:r>
              <w:rPr>
                <w:rFonts w:ascii="Times New Roman"/>
                <w:sz w:val="18"/>
              </w:rPr>
              <w:t>16.46%</w:t>
            </w:r>
          </w:p>
        </w:tc>
        <w:tc>
          <w:tcPr>
            <w:tcW w:w="5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按加权平均资本成本 </w:t>
            </w:r>
            <w:r>
              <w:rPr>
                <w:rFonts w:ascii="Times New Roman" w:hAnsi="Times New Roman" w:cs="Times New Roman" w:eastAsia="Times New Roman" w:hint="default"/>
                <w:sz w:val="18"/>
                <w:szCs w:val="18"/>
              </w:rPr>
              <w:t>WACC</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计算得出</w:t>
            </w:r>
          </w:p>
        </w:tc>
      </w:tr>
    </w:tbl>
    <w:p>
      <w:pPr>
        <w:pStyle w:val="BodyText"/>
        <w:spacing w:line="314" w:lineRule="auto" w:before="8"/>
        <w:ind w:right="1130" w:firstLine="420"/>
        <w:jc w:val="both"/>
      </w:pPr>
      <w:r>
        <w:rPr>
          <w:spacing w:val="-3"/>
        </w:rPr>
        <w:t>基于公司管理层对未来发展趋势的判断和经营规划，在未来预测能够实现的前提下，成都聚雅商誉所涉及的资产组（包</w:t>
      </w:r>
      <w:r>
        <w:rPr/>
        <w:t> </w:t>
      </w:r>
      <w:r>
        <w:rPr>
          <w:spacing w:val="-2"/>
        </w:rPr>
        <w:t>含未来能够独立获得经营现金流所需的营运资金、长期资产、合并产生的商誉以及合并对价分摊时形成的可辨识资产公允价</w:t>
      </w:r>
      <w:r>
        <w:rPr>
          <w:spacing w:val="-63"/>
        </w:rPr>
        <w:t> </w:t>
      </w:r>
      <w:r>
        <w:rPr>
          <w:spacing w:val="-63"/>
        </w:rPr>
      </w:r>
      <w:r>
        <w:rPr>
          <w:spacing w:val="-3"/>
        </w:rPr>
        <w:t>值增值的摊余额）的账面净值共计</w:t>
      </w:r>
      <w:r>
        <w:rPr>
          <w:rFonts w:ascii="Times New Roman" w:hAnsi="Times New Roman" w:cs="Times New Roman" w:eastAsia="Times New Roman" w:hint="default"/>
          <w:spacing w:val="-3"/>
        </w:rPr>
        <w:t>1,077.19 </w:t>
      </w:r>
      <w:r>
        <w:rPr>
          <w:spacing w:val="-4"/>
        </w:rPr>
        <w:t>万元，预计未来现金流量现值在评估基准日 </w:t>
      </w:r>
      <w:r>
        <w:rPr>
          <w:rFonts w:ascii="Times New Roman" w:hAnsi="Times New Roman" w:cs="Times New Roman" w:eastAsia="Times New Roman" w:hint="default"/>
        </w:rPr>
        <w:t>2019</w:t>
      </w:r>
      <w:r>
        <w:rPr/>
        <w:t>年 </w:t>
      </w:r>
      <w:r>
        <w:rPr>
          <w:rFonts w:ascii="Times New Roman" w:hAnsi="Times New Roman" w:cs="Times New Roman" w:eastAsia="Times New Roman" w:hint="default"/>
        </w:rPr>
        <w:t>12 </w:t>
      </w:r>
      <w:r>
        <w:rPr/>
        <w:t>月</w:t>
      </w:r>
      <w:r>
        <w:rPr>
          <w:rFonts w:ascii="Times New Roman" w:hAnsi="Times New Roman" w:cs="Times New Roman" w:eastAsia="Times New Roman" w:hint="default"/>
        </w:rPr>
        <w:t>31</w:t>
      </w:r>
      <w:r>
        <w:rPr>
          <w:rFonts w:ascii="Times New Roman" w:hAnsi="Times New Roman" w:cs="Times New Roman" w:eastAsia="Times New Roman" w:hint="default"/>
          <w:spacing w:val="21"/>
        </w:rPr>
        <w:t> </w:t>
      </w:r>
      <w:r>
        <w:rPr/>
        <w:t>日的评估值为</w:t>
      </w:r>
      <w:r>
        <w:rPr>
          <w:rFonts w:ascii="Times New Roman" w:hAnsi="Times New Roman" w:cs="Times New Roman" w:eastAsia="Times New Roman" w:hint="default"/>
        </w:rPr>
        <w:t>723.76 </w:t>
      </w:r>
      <w:r>
        <w:rPr>
          <w:spacing w:val="-2"/>
        </w:rPr>
        <w:t>万元，资产组账面净值与预计可收回金额的差额大于商誉账面余额，公司采用评估师的评估结果，本期按商誉账面余额全额</w:t>
      </w:r>
      <w:r>
        <w:rPr>
          <w:spacing w:val="-63"/>
        </w:rPr>
        <w:t> </w:t>
      </w:r>
      <w:r>
        <w:rPr>
          <w:spacing w:val="-63"/>
        </w:rPr>
      </w:r>
      <w:r>
        <w:rPr/>
        <w:t>计提商誉减值准备</w:t>
      </w:r>
      <w:r>
        <w:rPr>
          <w:rFonts w:ascii="Times New Roman" w:hAnsi="Times New Roman" w:cs="Times New Roman" w:eastAsia="Times New Roman" w:hint="default"/>
        </w:rPr>
        <w:t>350.06</w:t>
      </w:r>
      <w:r>
        <w:rPr/>
        <w:t>万元。</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4"/>
        <w:spacing w:line="240" w:lineRule="auto" w:before="121"/>
        <w:ind w:right="1133"/>
        <w:jc w:val="left"/>
        <w:rPr>
          <w:b w:val="0"/>
          <w:bCs w:val="0"/>
        </w:rPr>
      </w:pPr>
      <w:bookmarkStart w:name="19、长期待摊费用" w:id="281"/>
      <w:bookmarkEnd w:id="281"/>
      <w:r>
        <w:rPr>
          <w:b w:val="0"/>
          <w:bCs w:val="0"/>
        </w:rPr>
      </w:r>
      <w:r>
        <w:rPr>
          <w:rFonts w:ascii="Times New Roman" w:hAnsi="Times New Roman" w:cs="Times New Roman" w:eastAsia="Times New Roman" w:hint="default"/>
        </w:rPr>
        <w:t>19</w:t>
      </w:r>
      <w:r>
        <w:rPr/>
        <w:t>、长期待摊费用</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94"/>
        <w:gridCol w:w="1597"/>
        <w:gridCol w:w="1594"/>
        <w:gridCol w:w="1596"/>
        <w:gridCol w:w="1594"/>
        <w:gridCol w:w="1594"/>
      </w:tblGrid>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9" w:right="0"/>
              <w:jc w:val="left"/>
              <w:rPr>
                <w:rFonts w:ascii="Times New Roman" w:hAnsi="Times New Roman" w:cs="Times New Roman" w:eastAsia="Times New Roman" w:hint="default"/>
                <w:sz w:val="18"/>
                <w:szCs w:val="18"/>
              </w:rPr>
            </w:pPr>
            <w:r>
              <w:rPr>
                <w:rFonts w:ascii="Times New Roman"/>
                <w:sz w:val="18"/>
              </w:rPr>
              <w:t>8,378,069.42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7" w:right="0"/>
              <w:jc w:val="left"/>
              <w:rPr>
                <w:rFonts w:ascii="Times New Roman" w:hAnsi="Times New Roman" w:cs="Times New Roman" w:eastAsia="Times New Roman" w:hint="default"/>
                <w:sz w:val="18"/>
                <w:szCs w:val="18"/>
              </w:rPr>
            </w:pPr>
            <w:r>
              <w:rPr>
                <w:rFonts w:ascii="Times New Roman"/>
                <w:sz w:val="18"/>
              </w:rPr>
              <w:t>44,992,333.92</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8" w:right="0"/>
              <w:jc w:val="left"/>
              <w:rPr>
                <w:rFonts w:ascii="Times New Roman" w:hAnsi="Times New Roman" w:cs="Times New Roman" w:eastAsia="Times New Roman" w:hint="default"/>
                <w:sz w:val="18"/>
                <w:szCs w:val="18"/>
              </w:rPr>
            </w:pPr>
            <w:r>
              <w:rPr>
                <w:rFonts w:ascii="Times New Roman"/>
                <w:sz w:val="18"/>
              </w:rPr>
              <w:t>12,655,074.93</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8" w:right="0"/>
              <w:jc w:val="left"/>
              <w:rPr>
                <w:rFonts w:ascii="Times New Roman" w:hAnsi="Times New Roman" w:cs="Times New Roman" w:eastAsia="Times New Roman" w:hint="default"/>
                <w:sz w:val="18"/>
                <w:szCs w:val="18"/>
              </w:rPr>
            </w:pPr>
            <w:r>
              <w:rPr>
                <w:rFonts w:ascii="Times New Roman"/>
                <w:sz w:val="18"/>
              </w:rPr>
              <w:t>40,715,328.41</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594"/>
        <w:gridCol w:w="1597"/>
        <w:gridCol w:w="1594"/>
        <w:gridCol w:w="1596"/>
        <w:gridCol w:w="1594"/>
        <w:gridCol w:w="1594"/>
      </w:tblGrid>
      <w:tr>
        <w:trPr>
          <w:trHeight w:val="401"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会费</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49,444.46</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95,555.54</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房租</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2,796,993.22</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2,796,993.22</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银行融资费用</w:t>
            </w:r>
          </w:p>
        </w:tc>
        <w:tc>
          <w:tcPr>
            <w:tcW w:w="1597"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21,140,377.36</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754,716.98</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20,385,660.38</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11,220,062.64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66,232,711.28</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16,256,229.59</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61,196,544.33</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0、递延所得税资产/递延所得税负债" w:id="282"/>
      <w:bookmarkEnd w:id="282"/>
      <w:r>
        <w:rPr>
          <w:b w:val="0"/>
          <w:bCs w:val="0"/>
        </w:rPr>
      </w:r>
      <w:r>
        <w:rPr>
          <w:rFonts w:ascii="Times New Roman" w:hAnsi="Times New Roman" w:cs="Times New Roman" w:eastAsia="Times New Roman" w:hint="default"/>
        </w:rPr>
        <w:t>20</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33"/>
        <w:jc w:val="left"/>
        <w:rPr>
          <w:b w:val="0"/>
          <w:bCs w:val="0"/>
        </w:rPr>
      </w:pPr>
      <w:bookmarkStart w:name="（1）未经抵销的递延所得税资产" w:id="283"/>
      <w:bookmarkEnd w:id="283"/>
      <w:r>
        <w:rPr>
          <w:b w:val="0"/>
          <w:bCs w:val="0"/>
        </w:rPr>
      </w:r>
      <w:r>
        <w:rPr/>
        <w:t>（</w:t>
      </w:r>
      <w:r>
        <w:rPr>
          <w:rFonts w:ascii="Times New Roman" w:hAnsi="Times New Roman" w:cs="Times New Roman" w:eastAsia="Times New Roman" w:hint="default"/>
        </w:rPr>
        <w:t>1</w:t>
      </w:r>
      <w:r>
        <w:rPr/>
        <w:t>）未经抵销的递延所得税资产</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206" w:hRule="exact"/>
        </w:trPr>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6" w:hRule="exact"/>
        </w:trPr>
        <w:tc>
          <w:tcPr>
            <w:tcW w:w="19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vMerge/>
            <w:tcBorders>
              <w:left w:val="single" w:sz="4" w:space="0" w:color="000000"/>
              <w:bottom w:val="single" w:sz="4" w:space="0" w:color="000000"/>
              <w:right w:val="single" w:sz="4" w:space="0" w:color="000000"/>
            </w:tcBorders>
            <w:shd w:val="clear" w:color="auto" w:fill="D2D2D2"/>
          </w:tcPr>
          <w:p>
            <w:pPr/>
          </w:p>
        </w:tc>
        <w:tc>
          <w:tcPr>
            <w:tcW w:w="3829" w:type="dxa"/>
            <w:gridSpan w:val="2"/>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1913" w:type="dxa"/>
            <w:vMerge/>
            <w:tcBorders>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23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23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3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206" w:hRule="exact"/>
        </w:trPr>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内部交易未实现利润</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34,015,582.69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5,536,044.76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20,641,754.93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3,479,858.08</w:t>
            </w:r>
          </w:p>
        </w:tc>
      </w:tr>
      <w:tr>
        <w:trPr>
          <w:trHeight w:val="715"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51"/>
              <w:ind w:left="24" w:right="26"/>
              <w:jc w:val="left"/>
              <w:rPr>
                <w:rFonts w:ascii="宋体" w:hAnsi="宋体" w:cs="宋体" w:eastAsia="宋体" w:hint="default"/>
                <w:sz w:val="18"/>
                <w:szCs w:val="18"/>
              </w:rPr>
            </w:pPr>
            <w:r>
              <w:rPr>
                <w:rFonts w:ascii="宋体" w:hAnsi="宋体" w:cs="宋体" w:eastAsia="宋体" w:hint="default"/>
                <w:sz w:val="18"/>
                <w:szCs w:val="18"/>
              </w:rPr>
              <w:t>固定资产折旧</w:t>
            </w:r>
            <w:r>
              <w:rPr>
                <w:rFonts w:ascii="Times New Roman" w:hAnsi="Times New Roman" w:cs="Times New Roman" w:eastAsia="Times New Roman" w:hint="default"/>
                <w:sz w:val="18"/>
                <w:szCs w:val="18"/>
              </w:rPr>
              <w:t>/</w:t>
            </w:r>
            <w:r>
              <w:rPr>
                <w:rFonts w:ascii="宋体" w:hAnsi="宋体" w:cs="宋体" w:eastAsia="宋体" w:hint="default"/>
                <w:sz w:val="18"/>
                <w:szCs w:val="18"/>
              </w:rPr>
              <w:t>无形资产 摊销</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6,068,127.19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1,051,201.39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412,500.00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103,125.00</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12,500,000.00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1,875,000.00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19,720,000.00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2,958,000.00</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限制性股票成本摊销</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5,092,633.33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830,591.68</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26"/>
              <w:jc w:val="left"/>
              <w:rPr>
                <w:rFonts w:ascii="宋体" w:hAnsi="宋体" w:cs="宋体" w:eastAsia="宋体" w:hint="default"/>
                <w:sz w:val="18"/>
                <w:szCs w:val="18"/>
              </w:rPr>
            </w:pPr>
            <w:r>
              <w:rPr>
                <w:rFonts w:ascii="宋体" w:hAnsi="宋体" w:cs="宋体" w:eastAsia="宋体" w:hint="default"/>
                <w:sz w:val="18"/>
                <w:szCs w:val="18"/>
              </w:rPr>
              <w:t>资产减值准备</w:t>
            </w:r>
            <w:r>
              <w:rPr>
                <w:rFonts w:ascii="Times New Roman" w:hAnsi="Times New Roman" w:cs="Times New Roman" w:eastAsia="Times New Roman" w:hint="default"/>
                <w:sz w:val="18"/>
                <w:szCs w:val="18"/>
              </w:rPr>
              <w:t>/</w:t>
            </w:r>
            <w:r>
              <w:rPr>
                <w:rFonts w:ascii="宋体" w:hAnsi="宋体" w:cs="宋体" w:eastAsia="宋体" w:hint="default"/>
                <w:sz w:val="18"/>
                <w:szCs w:val="18"/>
              </w:rPr>
              <w:t>信用减值 准备</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247,974,328.98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43,207,214.68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218,240,345.56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38,452,617.29</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305,650,672.19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52,500,052.51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259,014,600.49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44,993,600.37</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以抵销后净额列示的递延所得税资产或负债" w:id="284"/>
      <w:bookmarkEnd w:id="284"/>
      <w:r>
        <w:rPr>
          <w:b w:val="0"/>
          <w:bCs w:val="0"/>
        </w:rPr>
      </w:r>
      <w:r>
        <w:rPr/>
        <w:t>（</w:t>
      </w:r>
      <w:r>
        <w:rPr>
          <w:rFonts w:ascii="Times New Roman" w:hAnsi="Times New Roman" w:cs="Times New Roman" w:eastAsia="Times New Roman" w:hint="default"/>
        </w:rPr>
        <w:t>2</w:t>
      </w:r>
      <w:r>
        <w:rPr/>
        <w:t>）以抵销后净额列示的递延所得税资产或负债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7"/>
        <w:gridCol w:w="1914"/>
        <w:gridCol w:w="1914"/>
        <w:gridCol w:w="1914"/>
      </w:tblGrid>
      <w:tr>
        <w:trPr>
          <w:trHeight w:val="161" w:hRule="exact"/>
        </w:trPr>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412" w:right="52"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期末互抵金额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320" w:right="51" w:hanging="269"/>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或负债期末余额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412" w:right="49"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期初互抵金额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320" w:right="50" w:hanging="269"/>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或负债期初余额</w:t>
            </w:r>
          </w:p>
        </w:tc>
      </w:tr>
      <w:tr>
        <w:trPr>
          <w:trHeight w:val="394" w:hRule="exact"/>
        </w:trPr>
        <w:tc>
          <w:tcPr>
            <w:tcW w:w="191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r>
      <w:tr>
        <w:trPr>
          <w:trHeight w:val="161" w:hRule="exact"/>
        </w:trPr>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7"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7"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6" w:right="0"/>
              <w:jc w:val="left"/>
              <w:rPr>
                <w:rFonts w:ascii="Times New Roman" w:hAnsi="Times New Roman" w:cs="Times New Roman" w:eastAsia="Times New Roman" w:hint="default"/>
                <w:sz w:val="18"/>
                <w:szCs w:val="18"/>
              </w:rPr>
            </w:pPr>
            <w:r>
              <w:rPr>
                <w:rFonts w:ascii="Times New Roman"/>
                <w:sz w:val="18"/>
              </w:rPr>
              <w:t>52,500,052.51</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3）未确认递延所得税资产明细" w:id="285"/>
      <w:bookmarkEnd w:id="285"/>
      <w:r>
        <w:rPr>
          <w:b w:val="0"/>
          <w:bCs w:val="0"/>
        </w:rPr>
      </w:r>
      <w:r>
        <w:rPr/>
        <w:t>（</w:t>
      </w:r>
      <w:r>
        <w:rPr>
          <w:rFonts w:ascii="Times New Roman" w:hAnsi="Times New Roman" w:cs="Times New Roman" w:eastAsia="Times New Roman" w:hint="default"/>
        </w:rPr>
        <w:t>3</w:t>
      </w:r>
      <w:r>
        <w:rPr/>
        <w:t>）未确认递延所得税资产明细</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62,477,528.16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36,669,550.77</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62,477,528.16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36,669,550.77</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4）未确认递延所得税资产的可抵扣亏损将于以下年度到期" w:id="286"/>
      <w:bookmarkEnd w:id="286"/>
      <w:r>
        <w:rPr>
          <w:b w:val="0"/>
          <w:bCs w:val="0"/>
        </w:rPr>
      </w:r>
      <w:r>
        <w:rPr/>
        <w:t>（</w:t>
      </w:r>
      <w:r>
        <w:rPr>
          <w:rFonts w:ascii="Times New Roman" w:hAnsi="Times New Roman" w:cs="Times New Roman" w:eastAsia="Times New Roman" w:hint="default"/>
        </w:rPr>
        <w:t>4</w:t>
      </w:r>
      <w:r>
        <w:rPr/>
        <w:t>）未确认递延所得税资产的可抵扣亏损将于以下年度到期</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87"/>
        <w:gridCol w:w="2397"/>
        <w:gridCol w:w="2392"/>
        <w:gridCol w:w="2381"/>
      </w:tblGrid>
      <w:tr>
        <w:trPr>
          <w:trHeight w:val="401" w:hRule="exact"/>
        </w:trPr>
        <w:tc>
          <w:tcPr>
            <w:tcW w:w="2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年份</w:t>
            </w:r>
          </w:p>
        </w:tc>
        <w:tc>
          <w:tcPr>
            <w:tcW w:w="23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期初金额</w:t>
            </w:r>
          </w:p>
        </w:tc>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备注</w:t>
            </w:r>
          </w:p>
        </w:tc>
      </w:tr>
    </w:tbl>
    <w:p>
      <w:pPr>
        <w:spacing w:after="0" w:line="240" w:lineRule="auto"/>
        <w:jc w:val="center"/>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2388"/>
        <w:gridCol w:w="2396"/>
        <w:gridCol w:w="2393"/>
        <w:gridCol w:w="2393"/>
      </w:tblGrid>
      <w:tr>
        <w:trPr>
          <w:trHeight w:val="401"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1,644,942.55</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2,550,999.33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2,568,989.80</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5,723,564.96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5,705,877.99</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7,276,955.76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14,143,305.43</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10,072,504.27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12,606,435.00</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36,853,503.84</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62,477,528.16</w:t>
            </w:r>
          </w:p>
        </w:tc>
        <w:tc>
          <w:tcPr>
            <w:tcW w:w="2393"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pacing w:val="-1"/>
                <w:sz w:val="18"/>
              </w:rPr>
              <w:t>36,669,550.77</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1、短期借款" w:id="287"/>
      <w:bookmarkEnd w:id="287"/>
      <w:r>
        <w:rPr>
          <w:b w:val="0"/>
          <w:bCs w:val="0"/>
        </w:rPr>
      </w:r>
      <w:r>
        <w:rPr>
          <w:rFonts w:ascii="Times New Roman" w:hAnsi="Times New Roman" w:cs="Times New Roman" w:eastAsia="Times New Roman" w:hint="default"/>
        </w:rPr>
        <w:t>21</w:t>
      </w:r>
      <w:r>
        <w:rPr/>
        <w:t>、短期借款</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33"/>
        <w:jc w:val="left"/>
        <w:rPr>
          <w:b w:val="0"/>
          <w:bCs w:val="0"/>
        </w:rPr>
      </w:pPr>
      <w:bookmarkStart w:name="（1）短期借款分类" w:id="288"/>
      <w:bookmarkEnd w:id="288"/>
      <w:r>
        <w:rPr>
          <w:b w:val="0"/>
          <w:bCs w:val="0"/>
        </w:rPr>
      </w:r>
      <w:r>
        <w:rPr/>
        <w:t>（</w:t>
      </w:r>
      <w:r>
        <w:rPr>
          <w:rFonts w:ascii="Times New Roman" w:hAnsi="Times New Roman" w:cs="Times New Roman" w:eastAsia="Times New Roman" w:hint="default"/>
        </w:rPr>
        <w:t>1</w:t>
      </w:r>
      <w:r>
        <w:rPr/>
        <w:t>）短期借款分类</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19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19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455,000,000.00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771,790,000.00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保证、质押借款</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30,000,000.00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票据贴现</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42,337,043.58</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456,500,000.00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844,127,043.58</w:t>
            </w:r>
          </w:p>
        </w:tc>
      </w:tr>
    </w:tbl>
    <w:p>
      <w:pPr>
        <w:pStyle w:val="BodyText"/>
        <w:spacing w:line="357" w:lineRule="auto" w:before="49"/>
        <w:ind w:left="573" w:right="1333" w:hanging="421"/>
        <w:jc w:val="left"/>
      </w:pPr>
      <w:r>
        <w:rPr/>
        <w:t>短期借款分类的说明： 公司所属子公司江苏达实久信数字医疗科技有限公司于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18</w:t>
      </w:r>
      <w:r>
        <w:rPr/>
        <w:t>日向江苏银行股份有限公司常州分行申请贷款</w:t>
      </w:r>
    </w:p>
    <w:p>
      <w:pPr>
        <w:pStyle w:val="BodyText"/>
        <w:spacing w:line="214" w:lineRule="exact"/>
        <w:ind w:right="1133"/>
        <w:jc w:val="left"/>
      </w:pPr>
      <w:r>
        <w:rPr>
          <w:rFonts w:ascii="Times New Roman" w:hAnsi="Times New Roman" w:cs="Times New Roman" w:eastAsia="Times New Roman" w:hint="default"/>
        </w:rPr>
        <w:t>1,500,000.00</w:t>
      </w:r>
      <w:r>
        <w:rPr/>
        <w:t>元，本笔贷款由本公司所属子公司江苏达实久信医疗科技有限公司提供担保。</w:t>
      </w:r>
    </w:p>
    <w:p>
      <w:pPr>
        <w:spacing w:line="240" w:lineRule="auto" w:before="2"/>
        <w:rPr>
          <w:rFonts w:ascii="宋体" w:hAnsi="宋体" w:cs="宋体" w:eastAsia="宋体" w:hint="default"/>
          <w:sz w:val="26"/>
          <w:szCs w:val="26"/>
        </w:rPr>
      </w:pPr>
    </w:p>
    <w:p>
      <w:pPr>
        <w:spacing w:line="544" w:lineRule="auto" w:before="0"/>
        <w:ind w:left="152" w:right="6928" w:firstLine="0"/>
        <w:jc w:val="left"/>
        <w:rPr>
          <w:rFonts w:ascii="宋体" w:hAnsi="宋体" w:cs="宋体" w:eastAsia="宋体" w:hint="default"/>
          <w:sz w:val="21"/>
          <w:szCs w:val="21"/>
        </w:rPr>
      </w:pPr>
      <w:bookmarkStart w:name="（2）已逾期未偿还的短期借款情况" w:id="289"/>
      <w:bookmarkEnd w:id="28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）已逾期未偿还的短期借款情况</w:t>
      </w:r>
      <w:r>
        <w:rPr>
          <w:rFonts w:ascii="宋体" w:hAnsi="宋体" w:cs="宋体" w:eastAsia="宋体" w:hint="default"/>
          <w:b/>
          <w:bCs/>
          <w:w w:val="100"/>
          <w:sz w:val="21"/>
          <w:szCs w:val="21"/>
        </w:rPr>
        <w:t> </w:t>
      </w:r>
      <w:r>
        <w:rPr>
          <w:rFonts w:ascii="宋体" w:hAnsi="宋体" w:cs="宋体" w:eastAsia="宋体" w:hint="default"/>
          <w:sz w:val="18"/>
          <w:szCs w:val="18"/>
        </w:rPr>
        <w:t>本期末已逾期未偿还的短期借款总额为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 </w:t>
      </w:r>
      <w:bookmarkStart w:name="22、应付票据" w:id="290"/>
      <w:bookmarkEnd w:id="290"/>
      <w:r>
        <w:rPr>
          <w:rFonts w:ascii="宋体" w:hAnsi="宋体" w:cs="宋体" w:eastAsia="宋体" w:hint="default"/>
          <w:sz w:val="18"/>
          <w:szCs w:val="18"/>
        </w:rPr>
      </w:r>
      <w:r>
        <w:rPr>
          <w:rFonts w:ascii="Times New Roman" w:hAnsi="Times New Roman" w:cs="Times New Roman" w:eastAsia="Times New Roman" w:hint="default"/>
          <w:b/>
          <w:bCs/>
          <w:sz w:val="21"/>
          <w:szCs w:val="21"/>
        </w:rPr>
        <w:t>22</w:t>
      </w:r>
      <w:r>
        <w:rPr>
          <w:rFonts w:ascii="宋体" w:hAnsi="宋体" w:cs="宋体" w:eastAsia="宋体" w:hint="default"/>
          <w:b/>
          <w:bCs/>
          <w:sz w:val="21"/>
          <w:szCs w:val="21"/>
        </w:rPr>
        <w:t>、应付票据</w:t>
      </w:r>
      <w:r>
        <w:rPr>
          <w:rFonts w:ascii="宋体" w:hAnsi="宋体" w:cs="宋体" w:eastAsia="宋体" w:hint="default"/>
          <w:sz w:val="21"/>
          <w:szCs w:val="21"/>
        </w:rPr>
      </w:r>
    </w:p>
    <w:p>
      <w:pPr>
        <w:pStyle w:val="BodyText"/>
        <w:spacing w:line="240" w:lineRule="auto" w:before="49"/>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种类</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27,001,755.43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27,309,249.93</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242,194,839.18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209,472,978.80</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269,196,594.61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236,782,228.73</w:t>
            </w:r>
          </w:p>
        </w:tc>
      </w:tr>
    </w:tbl>
    <w:p>
      <w:pPr>
        <w:pStyle w:val="BodyText"/>
        <w:spacing w:line="240" w:lineRule="auto" w:before="49"/>
        <w:ind w:right="1133"/>
        <w:jc w:val="left"/>
      </w:pPr>
      <w:r>
        <w:rPr/>
        <w:t>本期末已到期未支付的应付票据总额为</w:t>
      </w:r>
      <w:r>
        <w:rPr>
          <w:spacing w:val="-45"/>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1133"/>
        <w:jc w:val="left"/>
        <w:rPr>
          <w:b w:val="0"/>
          <w:bCs w:val="0"/>
        </w:rPr>
      </w:pPr>
      <w:bookmarkStart w:name="23、应付账款" w:id="291"/>
      <w:bookmarkEnd w:id="291"/>
      <w:r>
        <w:rPr>
          <w:b w:val="0"/>
          <w:bCs w:val="0"/>
        </w:rPr>
      </w:r>
      <w:r>
        <w:rPr>
          <w:rFonts w:ascii="Times New Roman" w:hAnsi="Times New Roman" w:cs="Times New Roman" w:eastAsia="Times New Roman" w:hint="default"/>
        </w:rPr>
        <w:t>23</w:t>
      </w:r>
      <w:r>
        <w:rPr/>
        <w:t>、应付账款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33"/>
        <w:jc w:val="left"/>
        <w:rPr>
          <w:b w:val="0"/>
          <w:bCs w:val="0"/>
        </w:rPr>
      </w:pPr>
      <w:bookmarkStart w:name="（1）应付账款列示" w:id="292"/>
      <w:bookmarkEnd w:id="292"/>
      <w:r>
        <w:rPr>
          <w:b w:val="0"/>
          <w:bCs w:val="0"/>
        </w:rPr>
      </w:r>
      <w:r>
        <w:rPr/>
        <w:t>（</w:t>
      </w:r>
      <w:r>
        <w:rPr>
          <w:rFonts w:ascii="Times New Roman" w:hAnsi="Times New Roman" w:cs="Times New Roman" w:eastAsia="Times New Roman" w:hint="default"/>
        </w:rPr>
        <w:t>1</w:t>
      </w:r>
      <w:r>
        <w:rPr/>
        <w:t>）应付账款列示</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754,762,981.31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734,644,513.79</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131,973,659.99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126,898,011.26</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58,857,434.59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59,436,901.99</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79,096,951.61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64,058,911.06</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1,024,691,027.50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985,038,338.10</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账龄超过1年的重要应付账款" w:id="293"/>
      <w:bookmarkEnd w:id="293"/>
      <w:r>
        <w:rPr>
          <w:b w:val="0"/>
          <w:bCs w:val="0"/>
        </w:rPr>
      </w:r>
      <w:r>
        <w:rPr/>
        <w:t>（</w:t>
      </w:r>
      <w:r>
        <w:rPr>
          <w:rFonts w:ascii="Times New Roman" w:hAnsi="Times New Roman" w:cs="Times New Roman" w:eastAsia="Times New Roman" w:hint="default"/>
        </w:rPr>
        <w:t>2</w:t>
      </w:r>
      <w:r>
        <w:rPr/>
        <w:t>）账龄超过</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年的重要应付账款</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8,918,154.30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结算未完成</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7,686,724.88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结算未完成</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6,255,974.14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结算未完成</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6,042,435.90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结算未完成</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5,773,416.60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结算未完成</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pacing w:val="-1"/>
                <w:sz w:val="18"/>
              </w:rPr>
              <w:t>34,676,705.82</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4、预收款项" w:id="294"/>
      <w:bookmarkEnd w:id="294"/>
      <w:r>
        <w:rPr>
          <w:b w:val="0"/>
          <w:bCs w:val="0"/>
        </w:rPr>
      </w:r>
      <w:r>
        <w:rPr>
          <w:rFonts w:ascii="Times New Roman" w:hAnsi="Times New Roman" w:cs="Times New Roman" w:eastAsia="Times New Roman" w:hint="default"/>
        </w:rPr>
        <w:t>24</w:t>
      </w:r>
      <w:r>
        <w:rPr/>
        <w:t>、预收款项</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1133"/>
        <w:jc w:val="left"/>
      </w:pPr>
      <w:r>
        <w:rPr/>
        <w:t>是否已执行新收入准则</w:t>
      </w:r>
    </w:p>
    <w:p>
      <w:pPr>
        <w:pStyle w:val="BodyText"/>
        <w:spacing w:line="240" w:lineRule="auto" w:before="117"/>
        <w:ind w:right="1133"/>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2"/>
        <w:rPr>
          <w:rFonts w:ascii="宋体" w:hAnsi="宋体" w:cs="宋体" w:eastAsia="宋体" w:hint="default"/>
          <w:sz w:val="26"/>
          <w:szCs w:val="26"/>
        </w:rPr>
      </w:pPr>
    </w:p>
    <w:p>
      <w:pPr>
        <w:pStyle w:val="Heading4"/>
        <w:spacing w:line="240" w:lineRule="auto"/>
        <w:ind w:right="1133"/>
        <w:jc w:val="left"/>
        <w:rPr>
          <w:b w:val="0"/>
          <w:bCs w:val="0"/>
        </w:rPr>
      </w:pPr>
      <w:bookmarkStart w:name="（1）预收款项列示" w:id="295"/>
      <w:bookmarkEnd w:id="295"/>
      <w:r>
        <w:rPr>
          <w:b w:val="0"/>
          <w:bCs w:val="0"/>
        </w:rPr>
      </w:r>
      <w:r>
        <w:rPr/>
        <w:t>（</w:t>
      </w:r>
      <w:r>
        <w:rPr>
          <w:rFonts w:ascii="Times New Roman" w:hAnsi="Times New Roman" w:cs="Times New Roman" w:eastAsia="Times New Roman" w:hint="default"/>
        </w:rPr>
        <w:t>1</w:t>
      </w:r>
      <w:r>
        <w:rPr/>
        <w:t>）预收款项列示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103,560,904.87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57,788,921.06</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12,317,191.92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7,194,134.73</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4,956,738.96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1,162,537.97</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3,053,764.47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2,529,789.95</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123,888,600.22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68,675,383.71</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1133"/>
        <w:jc w:val="left"/>
        <w:rPr>
          <w:b w:val="0"/>
          <w:bCs w:val="0"/>
        </w:rPr>
      </w:pPr>
      <w:bookmarkStart w:name="（2）账龄超过1年的重要预收款项" w:id="296"/>
      <w:bookmarkEnd w:id="296"/>
      <w:r>
        <w:rPr>
          <w:b w:val="0"/>
          <w:bCs w:val="0"/>
        </w:rPr>
      </w:r>
      <w:r>
        <w:rPr/>
        <w:t>（</w:t>
      </w:r>
      <w:r>
        <w:rPr>
          <w:rFonts w:ascii="Times New Roman" w:hAnsi="Times New Roman" w:cs="Times New Roman" w:eastAsia="Times New Roman" w:hint="default"/>
        </w:rPr>
        <w:t>2</w:t>
      </w:r>
      <w:r>
        <w:rPr/>
        <w:t>）账龄超过</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年的重要预收款项</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安信证券股份有限公司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5,108,640.78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项目未结算</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中铁成都投资发展有限公司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3,449,999.93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项目未结算</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pacing w:val="-1"/>
                <w:sz w:val="18"/>
              </w:rPr>
              <w:t>8,558,640.71</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5、应付职工薪酬" w:id="297"/>
      <w:bookmarkEnd w:id="297"/>
      <w:r>
        <w:rPr>
          <w:b w:val="0"/>
          <w:bCs w:val="0"/>
        </w:rPr>
      </w:r>
      <w:r>
        <w:rPr>
          <w:rFonts w:ascii="Times New Roman" w:hAnsi="Times New Roman" w:cs="Times New Roman" w:eastAsia="Times New Roman" w:hint="default"/>
        </w:rPr>
        <w:t>25</w:t>
      </w:r>
      <w:r>
        <w:rPr/>
        <w:t>、应付职工薪酬</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33"/>
        <w:jc w:val="left"/>
        <w:rPr>
          <w:b w:val="0"/>
          <w:bCs w:val="0"/>
        </w:rPr>
      </w:pPr>
      <w:bookmarkStart w:name="（1）应付职工薪酬列示" w:id="298"/>
      <w:bookmarkEnd w:id="298"/>
      <w:r>
        <w:rPr>
          <w:b w:val="0"/>
          <w:bCs w:val="0"/>
        </w:rPr>
      </w:r>
      <w:r>
        <w:rPr/>
        <w:t>（</w:t>
      </w:r>
      <w:r>
        <w:rPr>
          <w:rFonts w:ascii="Times New Roman" w:hAnsi="Times New Roman" w:cs="Times New Roman" w:eastAsia="Times New Roman" w:hint="default"/>
        </w:rPr>
        <w:t>1</w:t>
      </w:r>
      <w:r>
        <w:rPr/>
        <w:t>）应付职工薪酬列示</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31" w:type="dxa"/>
        <w:tblLayout w:type="fixed"/>
        <w:tblCellMar>
          <w:top w:w="0" w:type="dxa"/>
          <w:left w:w="0" w:type="dxa"/>
          <w:bottom w:w="0" w:type="dxa"/>
          <w:right w:w="0" w:type="dxa"/>
        </w:tblCellMar>
        <w:tblLook w:val="01E0"/>
      </w:tblPr>
      <w:tblGrid>
        <w:gridCol w:w="3381"/>
        <w:gridCol w:w="1520"/>
        <w:gridCol w:w="1637"/>
        <w:gridCol w:w="1635"/>
        <w:gridCol w:w="1512"/>
      </w:tblGrid>
      <w:tr>
        <w:trPr>
          <w:trHeight w:val="403" w:hRule="exact"/>
        </w:trPr>
        <w:tc>
          <w:tcPr>
            <w:tcW w:w="3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0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54"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53"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3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52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left="448" w:right="0"/>
              <w:jc w:val="left"/>
              <w:rPr>
                <w:rFonts w:ascii="Times New Roman" w:hAnsi="Times New Roman" w:cs="Times New Roman" w:eastAsia="Times New Roman" w:hint="default"/>
                <w:sz w:val="18"/>
                <w:szCs w:val="18"/>
              </w:rPr>
            </w:pPr>
            <w:r>
              <w:rPr>
                <w:rFonts w:ascii="Times New Roman"/>
                <w:sz w:val="18"/>
              </w:rPr>
              <w:t>52,461,683.54</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341,155,657.72</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341,218,539.86</w:t>
            </w:r>
          </w:p>
        </w:tc>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52,398,801.40</w:t>
            </w:r>
          </w:p>
        </w:tc>
      </w:tr>
      <w:tr>
        <w:trPr>
          <w:trHeight w:val="403" w:hRule="exact"/>
        </w:trPr>
        <w:tc>
          <w:tcPr>
            <w:tcW w:w="3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设定提存计划</w:t>
            </w:r>
          </w:p>
        </w:tc>
        <w:tc>
          <w:tcPr>
            <w:tcW w:w="1520" w:type="dxa"/>
            <w:tcBorders>
              <w:top w:val="single" w:sz="4" w:space="0" w:color="000000"/>
              <w:left w:val="single" w:sz="9" w:space="0" w:color="D2D2D2"/>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24,702,899.54</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24,696,464.54</w:t>
            </w:r>
          </w:p>
        </w:tc>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6,435.00</w:t>
            </w:r>
          </w:p>
        </w:tc>
      </w:tr>
      <w:tr>
        <w:trPr>
          <w:trHeight w:val="401" w:hRule="exact"/>
        </w:trPr>
        <w:tc>
          <w:tcPr>
            <w:tcW w:w="3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520" w:type="dxa"/>
            <w:tcBorders>
              <w:top w:val="single" w:sz="4" w:space="0" w:color="000000"/>
              <w:left w:val="single" w:sz="9" w:space="0" w:color="D2D2D2"/>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2,159,754.18</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2,159,754.18</w:t>
            </w:r>
          </w:p>
        </w:tc>
        <w:tc>
          <w:tcPr>
            <w:tcW w:w="151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2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left="448" w:right="0"/>
              <w:jc w:val="left"/>
              <w:rPr>
                <w:rFonts w:ascii="Times New Roman" w:hAnsi="Times New Roman" w:cs="Times New Roman" w:eastAsia="Times New Roman" w:hint="default"/>
                <w:sz w:val="18"/>
                <w:szCs w:val="18"/>
              </w:rPr>
            </w:pPr>
            <w:r>
              <w:rPr>
                <w:rFonts w:ascii="Times New Roman"/>
                <w:sz w:val="18"/>
              </w:rPr>
              <w:t>52,461,683.54</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368,018,311.44</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368,074,758.58</w:t>
            </w:r>
          </w:p>
        </w:tc>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52,405,236.40</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短期薪酬列示" w:id="299"/>
      <w:bookmarkEnd w:id="299"/>
      <w:r>
        <w:rPr>
          <w:b w:val="0"/>
          <w:bCs w:val="0"/>
        </w:rPr>
      </w:r>
      <w:r>
        <w:rPr/>
        <w:t>（</w:t>
      </w:r>
      <w:r>
        <w:rPr>
          <w:rFonts w:ascii="Times New Roman" w:hAnsi="Times New Roman" w:cs="Times New Roman" w:eastAsia="Times New Roman" w:hint="default"/>
        </w:rPr>
        <w:t>2</w:t>
      </w:r>
      <w:r>
        <w:rPr/>
        <w:t>）短期薪酬列示</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31" w:type="dxa"/>
        <w:tblLayout w:type="fixed"/>
        <w:tblCellMar>
          <w:top w:w="0" w:type="dxa"/>
          <w:left w:w="0" w:type="dxa"/>
          <w:bottom w:w="0" w:type="dxa"/>
          <w:right w:w="0" w:type="dxa"/>
        </w:tblCellMar>
        <w:tblLook w:val="01E0"/>
      </w:tblPr>
      <w:tblGrid>
        <w:gridCol w:w="3242"/>
        <w:gridCol w:w="1556"/>
        <w:gridCol w:w="1671"/>
        <w:gridCol w:w="1673"/>
        <w:gridCol w:w="1543"/>
      </w:tblGrid>
      <w:tr>
        <w:trPr>
          <w:trHeight w:val="401" w:hRule="exact"/>
        </w:trPr>
        <w:tc>
          <w:tcPr>
            <w:tcW w:w="3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5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1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6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0"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6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0"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0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3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、工资、奖金、津贴和补贴</w:t>
            </w:r>
          </w:p>
        </w:tc>
        <w:tc>
          <w:tcPr>
            <w:tcW w:w="155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52,452,291.63</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317,580,280.67</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317,637,266.90</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52,395,305.40</w:t>
            </w:r>
          </w:p>
        </w:tc>
      </w:tr>
      <w:tr>
        <w:trPr>
          <w:trHeight w:val="401" w:hRule="exact"/>
        </w:trPr>
        <w:tc>
          <w:tcPr>
            <w:tcW w:w="3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55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2,070.00</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5,561,652.41</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5,563,722.41</w:t>
            </w:r>
          </w:p>
        </w:tc>
        <w:tc>
          <w:tcPr>
            <w:tcW w:w="154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556" w:type="dxa"/>
            <w:tcBorders>
              <w:top w:val="single" w:sz="4" w:space="0" w:color="000000"/>
              <w:left w:val="single" w:sz="10" w:space="0" w:color="D2D2D2"/>
              <w:bottom w:val="single" w:sz="4" w:space="0" w:color="000000"/>
              <w:right w:val="single" w:sz="4" w:space="0" w:color="000000"/>
            </w:tcBorders>
          </w:tcPr>
          <w:p>
            <w:pP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9,271,601.71</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9,268,105.71</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5"/>
                <w:sz w:val="18"/>
              </w:rPr>
              <w:t>3,496.00</w:t>
            </w:r>
          </w:p>
        </w:tc>
      </w:tr>
      <w:tr>
        <w:trPr>
          <w:trHeight w:val="401" w:hRule="exact"/>
        </w:trPr>
        <w:tc>
          <w:tcPr>
            <w:tcW w:w="3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556" w:type="dxa"/>
            <w:tcBorders>
              <w:top w:val="single" w:sz="4" w:space="0" w:color="000000"/>
              <w:left w:val="single" w:sz="10" w:space="0" w:color="D2D2D2"/>
              <w:bottom w:val="single" w:sz="4" w:space="0" w:color="000000"/>
              <w:right w:val="single" w:sz="4" w:space="0" w:color="000000"/>
            </w:tcBorders>
          </w:tcPr>
          <w:p>
            <w:pP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7,885,708.77</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7,882,719.77</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2,989.00</w:t>
            </w:r>
          </w:p>
        </w:tc>
      </w:tr>
      <w:tr>
        <w:trPr>
          <w:trHeight w:val="403" w:hRule="exact"/>
        </w:trPr>
        <w:tc>
          <w:tcPr>
            <w:tcW w:w="3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2"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556" w:type="dxa"/>
            <w:tcBorders>
              <w:top w:val="single" w:sz="4" w:space="0" w:color="000000"/>
              <w:left w:val="single" w:sz="10" w:space="0" w:color="D2D2D2"/>
              <w:bottom w:val="single" w:sz="4" w:space="0" w:color="000000"/>
              <w:right w:val="single" w:sz="4" w:space="0" w:color="000000"/>
            </w:tcBorders>
          </w:tcPr>
          <w:p>
            <w:pP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457,232.25</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457,076.25</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156.00</w:t>
            </w:r>
          </w:p>
        </w:tc>
      </w:tr>
      <w:tr>
        <w:trPr>
          <w:trHeight w:val="401" w:hRule="exact"/>
        </w:trPr>
        <w:tc>
          <w:tcPr>
            <w:tcW w:w="3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556" w:type="dxa"/>
            <w:tcBorders>
              <w:top w:val="single" w:sz="4" w:space="0" w:color="000000"/>
              <w:left w:val="single" w:sz="10" w:space="0" w:color="D2D2D2"/>
              <w:bottom w:val="single" w:sz="4" w:space="0" w:color="000000"/>
              <w:right w:val="single" w:sz="4" w:space="0" w:color="000000"/>
            </w:tcBorders>
          </w:tcPr>
          <w:p>
            <w:pP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928,660.69</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928,309.69</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351.00</w:t>
            </w:r>
          </w:p>
        </w:tc>
      </w:tr>
      <w:tr>
        <w:trPr>
          <w:trHeight w:val="403" w:hRule="exact"/>
        </w:trPr>
        <w:tc>
          <w:tcPr>
            <w:tcW w:w="3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556" w:type="dxa"/>
            <w:tcBorders>
              <w:top w:val="single" w:sz="4" w:space="0" w:color="000000"/>
              <w:left w:val="single" w:sz="10" w:space="0" w:color="D2D2D2"/>
              <w:bottom w:val="single" w:sz="4" w:space="0" w:color="000000"/>
              <w:right w:val="single" w:sz="4" w:space="0" w:color="000000"/>
            </w:tcBorders>
          </w:tcPr>
          <w:p>
            <w:pP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7,538,116.79</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7,538,116.79</w:t>
            </w:r>
          </w:p>
        </w:tc>
        <w:tc>
          <w:tcPr>
            <w:tcW w:w="154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、工会经费和职工教育经费</w:t>
            </w:r>
          </w:p>
        </w:tc>
        <w:tc>
          <w:tcPr>
            <w:tcW w:w="155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7,321.91</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1,204,006.14</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1,211,328.05</w:t>
            </w:r>
          </w:p>
        </w:tc>
        <w:tc>
          <w:tcPr>
            <w:tcW w:w="154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52,461,683.54</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341,155,657.72</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341,218,539.86</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52,398,801.40</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3）设定提存计划列示" w:id="300"/>
      <w:bookmarkEnd w:id="300"/>
      <w:r>
        <w:rPr>
          <w:b w:val="0"/>
          <w:bCs w:val="0"/>
        </w:rPr>
      </w:r>
      <w:r>
        <w:rPr/>
        <w:t>（</w:t>
      </w:r>
      <w:r>
        <w:rPr>
          <w:rFonts w:ascii="Times New Roman" w:hAnsi="Times New Roman" w:cs="Times New Roman" w:eastAsia="Times New Roman" w:hint="default"/>
        </w:rPr>
        <w:t>3</w:t>
      </w:r>
      <w:r>
        <w:rPr/>
        <w:t>）设定提存计划列示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6"/>
        <w:gridCol w:w="1913"/>
        <w:gridCol w:w="1916"/>
      </w:tblGrid>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、基本养老保险</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7" w:right="0"/>
              <w:jc w:val="left"/>
              <w:rPr>
                <w:rFonts w:ascii="Times New Roman" w:hAnsi="Times New Roman" w:cs="Times New Roman" w:eastAsia="Times New Roman" w:hint="default"/>
                <w:sz w:val="18"/>
                <w:szCs w:val="18"/>
              </w:rPr>
            </w:pPr>
            <w:r>
              <w:rPr>
                <w:rFonts w:ascii="Times New Roman"/>
                <w:sz w:val="18"/>
              </w:rPr>
              <w:t>24,176,754.29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7" w:right="0"/>
              <w:jc w:val="left"/>
              <w:rPr>
                <w:rFonts w:ascii="Times New Roman" w:hAnsi="Times New Roman" w:cs="Times New Roman" w:eastAsia="Times New Roman" w:hint="default"/>
                <w:sz w:val="18"/>
                <w:szCs w:val="18"/>
              </w:rPr>
            </w:pPr>
            <w:r>
              <w:rPr>
                <w:rFonts w:ascii="Times New Roman"/>
                <w:sz w:val="18"/>
              </w:rPr>
              <w:t>24,170,514.29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50" w:right="0"/>
              <w:jc w:val="left"/>
              <w:rPr>
                <w:rFonts w:ascii="Times New Roman" w:hAnsi="Times New Roman" w:cs="Times New Roman" w:eastAsia="Times New Roman" w:hint="default"/>
                <w:sz w:val="18"/>
                <w:szCs w:val="18"/>
              </w:rPr>
            </w:pPr>
            <w:r>
              <w:rPr>
                <w:rFonts w:ascii="Times New Roman"/>
                <w:sz w:val="18"/>
              </w:rPr>
              <w:t>6,240.00</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6"/>
        <w:gridCol w:w="1913"/>
        <w:gridCol w:w="1916"/>
      </w:tblGrid>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、失业保险费</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526,145.25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525,950.25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195.00</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24,702,899.54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24,696,464.54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w w:val="95"/>
                <w:sz w:val="18"/>
              </w:rPr>
              <w:t>6,435.00</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6、应交税费" w:id="301"/>
      <w:bookmarkEnd w:id="301"/>
      <w:r>
        <w:rPr>
          <w:b w:val="0"/>
          <w:bCs w:val="0"/>
        </w:rPr>
      </w:r>
      <w:r>
        <w:rPr>
          <w:rFonts w:ascii="Times New Roman" w:hAnsi="Times New Roman" w:cs="Times New Roman" w:eastAsia="Times New Roman" w:hint="default"/>
        </w:rPr>
        <w:t>26</w:t>
      </w:r>
      <w:r>
        <w:rPr/>
        <w:t>、应交税费</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6,960,263.30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3,299,297.39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8,632,566.26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37,076,143.25</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19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1,251,361.50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1,069,831.46</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390,056.45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92,491.80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425,307.87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331,413.97</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281,797.00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220,566.22</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85,500.15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85,500.15</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94,917.52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94,917.52</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257,998.69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14,755.34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173,545.26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30,170.60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18,553,314.00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42,315,087.70</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7、其他应付款" w:id="302"/>
      <w:bookmarkEnd w:id="302"/>
      <w:r>
        <w:rPr>
          <w:b w:val="0"/>
          <w:bCs w:val="0"/>
        </w:rPr>
      </w:r>
      <w:r>
        <w:rPr>
          <w:rFonts w:ascii="Times New Roman" w:hAnsi="Times New Roman" w:cs="Times New Roman" w:eastAsia="Times New Roman" w:hint="default"/>
        </w:rPr>
        <w:t>27</w:t>
      </w:r>
      <w:r>
        <w:rPr/>
        <w:t>、其他应付款</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3,272,380.35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2,806,333.53</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171,451,098.24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98,430,361.94</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174,723,478.59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101,236,695.47</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1）应付利息" w:id="303"/>
      <w:bookmarkEnd w:id="303"/>
      <w:r>
        <w:rPr>
          <w:b w:val="0"/>
          <w:bCs w:val="0"/>
        </w:rPr>
      </w:r>
      <w:r>
        <w:rPr/>
        <w:t>（</w:t>
      </w:r>
      <w:r>
        <w:rPr>
          <w:rFonts w:ascii="Times New Roman" w:hAnsi="Times New Roman" w:cs="Times New Roman" w:eastAsia="Times New Roman" w:hint="default"/>
        </w:rPr>
        <w:t>1</w:t>
      </w:r>
      <w:r>
        <w:rPr/>
        <w:t>）应付利息</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5"/>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分期付息到期还本的长期借款利息</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2,651,446.35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1,308,324.08</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620,934.00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1,498,009.45</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3,272,380.35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2,806,333.53</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1133"/>
        <w:jc w:val="left"/>
        <w:rPr>
          <w:b w:val="0"/>
          <w:bCs w:val="0"/>
        </w:rPr>
      </w:pPr>
      <w:bookmarkStart w:name="（2）其他应付款" w:id="304"/>
      <w:bookmarkEnd w:id="304"/>
      <w:r>
        <w:rPr>
          <w:b w:val="0"/>
          <w:bCs w:val="0"/>
        </w:rPr>
      </w:r>
      <w:r>
        <w:rPr/>
        <w:t>（</w:t>
      </w:r>
      <w:r>
        <w:rPr>
          <w:rFonts w:ascii="Times New Roman" w:hAnsi="Times New Roman" w:cs="Times New Roman" w:eastAsia="Times New Roman" w:hint="default"/>
        </w:rPr>
        <w:t>2</w:t>
      </w:r>
      <w:r>
        <w:rPr/>
        <w:t>）其他应付款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33"/>
        <w:jc w:val="left"/>
        <w:rPr>
          <w:b w:val="0"/>
          <w:bCs w:val="0"/>
        </w:rPr>
      </w:pPr>
      <w:bookmarkStart w:name="1）按款项性质列示其他应付款" w:id="305"/>
      <w:bookmarkEnd w:id="305"/>
      <w:r>
        <w:rPr>
          <w:b w:val="0"/>
          <w:bCs w:val="0"/>
        </w:rPr>
      </w:r>
      <w:r>
        <w:rPr>
          <w:rFonts w:ascii="Times New Roman" w:hAnsi="Times New Roman" w:cs="Times New Roman" w:eastAsia="Times New Roman" w:hint="default"/>
        </w:rPr>
        <w:t>1</w:t>
      </w:r>
      <w:r>
        <w:rPr/>
        <w:t>）按款项性质列示其他应付款</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4,282,401.43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3,161,079.80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押金保证金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66,841,837.34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63,090,754.53</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限制性股票激励回购义务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62,472,000.00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银行融资费用</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15,480,000.00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22,374,859.47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32,178,527.61</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171,451,098.24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98,430,361.94</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账龄超过1年的重要其他应付款" w:id="306"/>
      <w:bookmarkEnd w:id="306"/>
      <w:r>
        <w:rPr>
          <w:b w:val="0"/>
          <w:bCs w:val="0"/>
        </w:rPr>
      </w:r>
      <w:r>
        <w:rPr>
          <w:rFonts w:ascii="Times New Roman" w:hAnsi="Times New Roman" w:cs="Times New Roman" w:eastAsia="Times New Roman" w:hint="default"/>
        </w:rPr>
        <w:t>2</w:t>
      </w:r>
      <w:r>
        <w:rPr/>
        <w:t>）账龄超过</w:t>
      </w:r>
      <w:r>
        <w:rPr>
          <w:spacing w:val="-52"/>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年的重要其他应付款</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深圳虾皮信息科技有限公司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8,063,358.44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房租押金</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四川聚雅科技有限公司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未达约定付款时间</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上海达实联欣科技发展有限公司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1,611,554.81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押金</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深圳市美力机电安装有限公司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1,450,000.00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押金</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重庆从乐科技发展有限公司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573,059.24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押金</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pacing w:val="-1"/>
                <w:sz w:val="18"/>
              </w:rPr>
              <w:t>14,397,972.49</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8、一年内到期的非流动负债" w:id="307"/>
      <w:bookmarkEnd w:id="307"/>
      <w:r>
        <w:rPr>
          <w:b w:val="0"/>
          <w:bCs w:val="0"/>
        </w:rPr>
      </w:r>
      <w:r>
        <w:rPr>
          <w:rFonts w:ascii="Times New Roman" w:hAnsi="Times New Roman" w:cs="Times New Roman" w:eastAsia="Times New Roman" w:hint="default"/>
        </w:rPr>
        <w:t>28</w:t>
      </w:r>
      <w:r>
        <w:rPr/>
        <w:t>、一年内到期的非流动负债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一年内到期的长期借款</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78,551,759.96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19,599,999.96</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一年内到期的长期应付款</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18,877,979.59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19,049,302.74</w:t>
            </w:r>
          </w:p>
        </w:tc>
      </w:tr>
      <w:tr>
        <w:trPr>
          <w:trHeight w:val="404"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97,429,739.55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38,649,302.70</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9、其他流动负债" w:id="308"/>
      <w:bookmarkEnd w:id="308"/>
      <w:r>
        <w:rPr>
          <w:b w:val="0"/>
          <w:bCs w:val="0"/>
        </w:rPr>
      </w:r>
      <w:r>
        <w:rPr>
          <w:rFonts w:ascii="Times New Roman" w:hAnsi="Times New Roman" w:cs="Times New Roman" w:eastAsia="Times New Roman" w:hint="default"/>
        </w:rPr>
        <w:t>29</w:t>
      </w:r>
      <w:r>
        <w:rPr/>
        <w:t>、其他流动负债</w:t>
      </w:r>
      <w:r>
        <w:rPr>
          <w:b w:val="0"/>
          <w:bCs w:val="0"/>
        </w:rPr>
      </w:r>
    </w:p>
    <w:p>
      <w:pPr>
        <w:spacing w:line="240" w:lineRule="auto" w:before="10"/>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80" w:top="1060" w:bottom="1160" w:left="980" w:right="0"/>
        </w:sectPr>
      </w:pPr>
    </w:p>
    <w:p>
      <w:pPr>
        <w:pStyle w:val="BodyText"/>
        <w:spacing w:line="240" w:lineRule="auto" w:before="44"/>
        <w:ind w:right="-20"/>
        <w:jc w:val="left"/>
      </w:pPr>
      <w:r>
        <w:rPr/>
        <w:t>是否已执行新收入准则</w:t>
      </w:r>
    </w:p>
    <w:p>
      <w:pPr>
        <w:pStyle w:val="BodyText"/>
        <w:spacing w:line="240" w:lineRule="auto" w:before="117"/>
        <w:ind w:right="-2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1953" w:space="6876"/>
            <w:col w:w="2101"/>
          </w:cols>
        </w:sectPr>
      </w:pP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2"/>
        <w:gridCol w:w="3179"/>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5" w:right="0"/>
              <w:jc w:val="left"/>
              <w:rPr>
                <w:rFonts w:ascii="宋体" w:hAnsi="宋体" w:cs="宋体" w:eastAsia="宋体" w:hint="default"/>
                <w:sz w:val="18"/>
                <w:szCs w:val="18"/>
              </w:rPr>
            </w:pPr>
            <w:r>
              <w:rPr>
                <w:rFonts w:ascii="宋体" w:hAnsi="宋体" w:cs="宋体" w:eastAsia="宋体" w:hint="default"/>
                <w:sz w:val="18"/>
                <w:szCs w:val="18"/>
              </w:rPr>
              <w:t>待转销项税额</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129,094,214.73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135,982,245.92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129,094,214.73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135,982,245.92</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30、长期借款" w:id="309"/>
      <w:bookmarkEnd w:id="309"/>
      <w:r>
        <w:rPr>
          <w:b w:val="0"/>
          <w:bCs w:val="0"/>
        </w:rPr>
      </w:r>
      <w:r>
        <w:rPr>
          <w:rFonts w:ascii="Times New Roman" w:hAnsi="Times New Roman" w:cs="Times New Roman" w:eastAsia="Times New Roman" w:hint="default"/>
        </w:rPr>
        <w:t>30</w:t>
      </w:r>
      <w:r>
        <w:rPr/>
        <w:t>、长期借款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33"/>
        <w:jc w:val="left"/>
        <w:rPr>
          <w:b w:val="0"/>
          <w:bCs w:val="0"/>
        </w:rPr>
      </w:pPr>
      <w:bookmarkStart w:name="（1）长期借款分类" w:id="310"/>
      <w:bookmarkEnd w:id="310"/>
      <w:r>
        <w:rPr>
          <w:b w:val="0"/>
          <w:bCs w:val="0"/>
        </w:rPr>
      </w:r>
      <w:r>
        <w:rPr/>
        <w:t>（</w:t>
      </w:r>
      <w:r>
        <w:rPr>
          <w:rFonts w:ascii="Times New Roman" w:hAnsi="Times New Roman" w:cs="Times New Roman" w:eastAsia="Times New Roman" w:hint="default"/>
        </w:rPr>
        <w:t>1</w:t>
      </w:r>
      <w:r>
        <w:rPr/>
        <w:t>）长期借款分类</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19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140,000,000.00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100,000,000.00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保证、抵押、质押借款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1,022,186,823.46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760,943,033.42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1,162,186,823.46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860,943,033.42</w:t>
            </w:r>
          </w:p>
        </w:tc>
      </w:tr>
    </w:tbl>
    <w:p>
      <w:pPr>
        <w:pStyle w:val="BodyText"/>
        <w:spacing w:line="240" w:lineRule="auto" w:before="49"/>
        <w:ind w:right="1133"/>
        <w:jc w:val="left"/>
      </w:pPr>
      <w:r>
        <w:rPr/>
        <w:t>长期借款分类的说明：</w:t>
      </w:r>
    </w:p>
    <w:p>
      <w:pPr>
        <w:pStyle w:val="BodyText"/>
        <w:spacing w:line="300" w:lineRule="auto" w:before="115"/>
        <w:ind w:right="1024" w:firstLine="420"/>
        <w:jc w:val="left"/>
      </w:pPr>
      <w:r>
        <w:rPr>
          <w:spacing w:val="-3"/>
        </w:rPr>
        <w:t>（</w:t>
      </w:r>
      <w:r>
        <w:rPr>
          <w:rFonts w:ascii="Times New Roman" w:hAnsi="Times New Roman" w:cs="Times New Roman" w:eastAsia="Times New Roman" w:hint="default"/>
          <w:spacing w:val="-3"/>
        </w:rPr>
        <w:t>1</w:t>
      </w:r>
      <w:r>
        <w:rPr>
          <w:spacing w:val="-3"/>
        </w:rPr>
        <w:t>）本公司所属子公司深圳达实信息技术有限公司于</w:t>
      </w:r>
      <w:r>
        <w:rPr>
          <w:rFonts w:ascii="Times New Roman" w:hAnsi="Times New Roman" w:cs="Times New Roman" w:eastAsia="Times New Roman" w:hint="default"/>
          <w:spacing w:val="-3"/>
        </w:rPr>
        <w:t>2016</w:t>
      </w:r>
      <w:r>
        <w:rPr>
          <w:spacing w:val="-3"/>
        </w:rPr>
        <w:t>年</w:t>
      </w:r>
      <w:r>
        <w:rPr>
          <w:rFonts w:ascii="Times New Roman" w:hAnsi="Times New Roman" w:cs="Times New Roman" w:eastAsia="Times New Roman" w:hint="default"/>
          <w:spacing w:val="-3"/>
        </w:rPr>
        <w:t>7</w:t>
      </w:r>
      <w:r>
        <w:rPr>
          <w:spacing w:val="-3"/>
        </w:rPr>
        <w:t>月</w:t>
      </w:r>
      <w:r>
        <w:rPr>
          <w:rFonts w:ascii="Times New Roman" w:hAnsi="Times New Roman" w:cs="Times New Roman" w:eastAsia="Times New Roman" w:hint="default"/>
          <w:spacing w:val="-3"/>
        </w:rPr>
        <w:t>5</w:t>
      </w:r>
      <w:r>
        <w:rPr>
          <w:spacing w:val="-3"/>
        </w:rPr>
        <w:t>日与平安银行股份有限公司深圳分行签订平银（深圳）</w:t>
      </w:r>
      <w:r>
        <w:rPr/>
        <w:t> 固贷字第</w:t>
      </w:r>
      <w:r>
        <w:rPr>
          <w:rFonts w:ascii="Times New Roman" w:hAnsi="Times New Roman" w:cs="Times New Roman" w:eastAsia="Times New Roman" w:hint="default"/>
        </w:rPr>
        <w:t>C268201604190001</w:t>
      </w:r>
      <w:r>
        <w:rPr/>
        <w:t>号贷款合同，贷款金额为</w:t>
      </w:r>
      <w:r>
        <w:rPr>
          <w:rFonts w:ascii="Times New Roman" w:hAnsi="Times New Roman" w:cs="Times New Roman" w:eastAsia="Times New Roman" w:hint="default"/>
        </w:rPr>
        <w:t>64,000.00</w:t>
      </w:r>
      <w:r>
        <w:rPr/>
        <w:t>万元，用于</w:t>
      </w:r>
      <w:r>
        <w:rPr>
          <w:rFonts w:ascii="Times New Roman" w:hAnsi="Times New Roman" w:cs="Times New Roman" w:eastAsia="Times New Roman" w:hint="default"/>
        </w:rPr>
        <w:t>“</w:t>
      </w:r>
      <w:r>
        <w:rPr/>
        <w:t>达实智能大厦项目</w:t>
      </w:r>
      <w:r>
        <w:rPr>
          <w:rFonts w:ascii="Times New Roman" w:hAnsi="Times New Roman" w:cs="Times New Roman" w:eastAsia="Times New Roman" w:hint="default"/>
        </w:rPr>
        <w:t>”</w:t>
      </w:r>
      <w:r>
        <w:rPr/>
        <w:t>项目建设，贷款期限为十年。 截止至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日，借款余额为</w:t>
      </w:r>
      <w:r>
        <w:rPr>
          <w:rFonts w:ascii="Times New Roman" w:hAnsi="Times New Roman" w:cs="Times New Roman" w:eastAsia="Times New Roman" w:hint="default"/>
        </w:rPr>
        <w:t>625,833,350.00</w:t>
      </w:r>
      <w:r>
        <w:rPr/>
        <w:t>元。本笔贷款由本公司提供担保外，深圳达实信息技术有限公司以南山</w:t>
      </w:r>
      <w:r>
        <w:rPr>
          <w:spacing w:val="-48"/>
        </w:rPr>
        <w:t> </w:t>
      </w:r>
      <w:r>
        <w:rPr>
          <w:spacing w:val="-48"/>
        </w:rPr>
      </w:r>
      <w:r>
        <w:rPr/>
        <w:t>街道科技南一路高新工业村</w:t>
      </w:r>
      <w:r>
        <w:rPr>
          <w:rFonts w:ascii="Times New Roman" w:hAnsi="Times New Roman" w:cs="Times New Roman" w:eastAsia="Times New Roman" w:hint="default"/>
        </w:rPr>
        <w:t>C2</w:t>
      </w:r>
      <w:r>
        <w:rPr/>
        <w:t>栋厂房（粤（</w:t>
      </w:r>
      <w:r>
        <w:rPr>
          <w:rFonts w:ascii="Times New Roman" w:hAnsi="Times New Roman" w:cs="Times New Roman" w:eastAsia="Times New Roman" w:hint="default"/>
        </w:rPr>
        <w:t>2018</w:t>
      </w:r>
      <w:r>
        <w:rPr/>
        <w:t>）深圳市不动产权第</w:t>
      </w:r>
      <w:r>
        <w:rPr>
          <w:rFonts w:ascii="Times New Roman" w:hAnsi="Times New Roman" w:cs="Times New Roman" w:eastAsia="Times New Roman" w:hint="default"/>
        </w:rPr>
        <w:t>0210712</w:t>
      </w:r>
      <w:r>
        <w:rPr/>
        <w:t>号）及南山街道科技南一路达实大厦</w:t>
      </w:r>
      <w:r>
        <w:rPr>
          <w:rFonts w:ascii="Times New Roman" w:hAnsi="Times New Roman" w:cs="Times New Roman" w:eastAsia="Times New Roman" w:hint="default"/>
        </w:rPr>
        <w:t>101</w:t>
      </w:r>
      <w:r>
        <w:rPr/>
        <w:t>（粤</w:t>
      </w:r>
    </w:p>
    <w:p>
      <w:pPr>
        <w:pStyle w:val="BodyText"/>
        <w:spacing w:line="240" w:lineRule="auto" w:before="13"/>
        <w:ind w:right="1133"/>
        <w:jc w:val="left"/>
      </w:pPr>
      <w:r>
        <w:rPr/>
        <w:t>（</w:t>
      </w:r>
      <w:r>
        <w:rPr>
          <w:rFonts w:ascii="Times New Roman" w:hAnsi="Times New Roman" w:cs="Times New Roman" w:eastAsia="Times New Roman" w:hint="default"/>
        </w:rPr>
        <w:t>2018</w:t>
      </w:r>
      <w:r>
        <w:rPr/>
        <w:t>）深圳市不动产权第</w:t>
      </w:r>
      <w:r>
        <w:rPr>
          <w:rFonts w:ascii="Times New Roman" w:hAnsi="Times New Roman" w:cs="Times New Roman" w:eastAsia="Times New Roman" w:hint="default"/>
        </w:rPr>
        <w:t>0215894</w:t>
      </w:r>
      <w:r>
        <w:rPr/>
        <w:t>号）房产以及全部应收租金收入为本笔贷款提供抵押及质押担保。</w:t>
      </w:r>
    </w:p>
    <w:p>
      <w:pPr>
        <w:pStyle w:val="BodyText"/>
        <w:spacing w:line="300" w:lineRule="auto" w:before="63"/>
        <w:ind w:right="1126" w:firstLine="420"/>
        <w:jc w:val="both"/>
      </w:pPr>
      <w:r>
        <w:rPr>
          <w:spacing w:val="-2"/>
          <w:w w:val="99"/>
        </w:rPr>
        <w:t>（</w:t>
      </w:r>
      <w:r>
        <w:rPr>
          <w:rFonts w:ascii="Times New Roman" w:hAnsi="Times New Roman" w:cs="Times New Roman" w:eastAsia="Times New Roman" w:hint="default"/>
          <w:spacing w:val="-2"/>
          <w:w w:val="99"/>
        </w:rPr>
        <w:t>2</w:t>
      </w:r>
      <w:r>
        <w:rPr>
          <w:spacing w:val="-2"/>
          <w:w w:val="99"/>
        </w:rPr>
        <w:t>）本公司所属子公司深圳达实融资租赁有限公司于</w:t>
      </w:r>
      <w:r>
        <w:rPr>
          <w:rFonts w:ascii="Times New Roman" w:hAnsi="Times New Roman" w:cs="Times New Roman" w:eastAsia="Times New Roman" w:hint="default"/>
          <w:spacing w:val="-2"/>
          <w:w w:val="99"/>
        </w:rPr>
        <w:t>2018</w:t>
      </w:r>
      <w:r>
        <w:rPr>
          <w:spacing w:val="-2"/>
          <w:w w:val="99"/>
        </w:rPr>
        <w:t>年</w:t>
      </w:r>
      <w:r>
        <w:rPr>
          <w:rFonts w:ascii="Times New Roman" w:hAnsi="Times New Roman" w:cs="Times New Roman" w:eastAsia="Times New Roman" w:hint="default"/>
          <w:spacing w:val="-2"/>
          <w:w w:val="99"/>
        </w:rPr>
        <w:t>9</w:t>
      </w:r>
      <w:r>
        <w:rPr>
          <w:spacing w:val="-2"/>
          <w:w w:val="99"/>
        </w:rPr>
        <w:t>月</w:t>
      </w:r>
      <w:r>
        <w:rPr>
          <w:rFonts w:ascii="Times New Roman" w:hAnsi="Times New Roman" w:cs="Times New Roman" w:eastAsia="Times New Roman" w:hint="default"/>
          <w:spacing w:val="-2"/>
          <w:w w:val="99"/>
        </w:rPr>
        <w:t>28</w:t>
      </w:r>
      <w:r>
        <w:rPr>
          <w:spacing w:val="-2"/>
          <w:w w:val="99"/>
        </w:rPr>
        <w:t>日与中国光大银行深圳分行签订</w:t>
      </w:r>
      <w:r>
        <w:rPr>
          <w:rFonts w:ascii="Times New Roman" w:hAnsi="Times New Roman" w:cs="Times New Roman" w:eastAsia="Times New Roman" w:hint="default"/>
          <w:spacing w:val="-2"/>
          <w:w w:val="99"/>
        </w:rPr>
        <w:t>JK38011710001</w:t>
      </w:r>
      <w:r>
        <w:rPr>
          <w:spacing w:val="-2"/>
          <w:w w:val="99"/>
        </w:rPr>
        <w:t>号流</w:t>
      </w:r>
      <w:r>
        <w:rPr/>
        <w:t> 动资金贷款合同，同时签订</w:t>
      </w:r>
      <w:r>
        <w:rPr>
          <w:rFonts w:ascii="Times New Roman" w:hAnsi="Times New Roman" w:cs="Times New Roman" w:eastAsia="Times New Roman" w:hint="default"/>
        </w:rPr>
        <w:t>bz38011710001</w:t>
      </w:r>
      <w:r>
        <w:rPr/>
        <w:t>号担保合同、</w:t>
      </w:r>
      <w:r>
        <w:rPr>
          <w:rFonts w:ascii="Times New Roman" w:hAnsi="Times New Roman" w:cs="Times New Roman" w:eastAsia="Times New Roman" w:hint="default"/>
        </w:rPr>
        <w:t>ZY38011710001</w:t>
      </w:r>
      <w:r>
        <w:rPr/>
        <w:t>号应收账款质押合同，截止</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日贷款余</w:t>
      </w:r>
      <w:r>
        <w:rPr>
          <w:spacing w:val="-56"/>
        </w:rPr>
        <w:t> </w:t>
      </w:r>
      <w:r>
        <w:rPr>
          <w:spacing w:val="-56"/>
        </w:rPr>
      </w:r>
      <w:r>
        <w:rPr/>
        <w:t>额为</w:t>
      </w:r>
      <w:r>
        <w:rPr>
          <w:rFonts w:ascii="Times New Roman" w:hAnsi="Times New Roman" w:cs="Times New Roman" w:eastAsia="Times New Roman" w:hint="default"/>
        </w:rPr>
        <w:t>3,208.33</w:t>
      </w:r>
      <w:r>
        <w:rPr/>
        <w:t>万元。本笔借款由本公司提供担保为本笔贷款承担连带保证责任。</w:t>
      </w:r>
    </w:p>
    <w:p>
      <w:pPr>
        <w:pStyle w:val="BodyText"/>
        <w:spacing w:line="300" w:lineRule="auto" w:before="13"/>
        <w:ind w:right="1126" w:firstLine="420"/>
        <w:jc w:val="both"/>
      </w:pPr>
      <w:r>
        <w:rPr/>
        <w:t>（</w:t>
      </w:r>
      <w:r>
        <w:rPr>
          <w:rFonts w:ascii="Times New Roman" w:hAnsi="Times New Roman" w:cs="Times New Roman" w:eastAsia="Times New Roman" w:hint="default"/>
        </w:rPr>
        <w:t>3</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27</w:t>
      </w:r>
      <w:r>
        <w:rPr/>
        <w:t>日，本公司所属子公司淮南达实智慧城市投资发展有限公司与徽商银行股份有限公司淮南国庆中路 支行签订授信字第</w:t>
      </w:r>
      <w:r>
        <w:rPr>
          <w:rFonts w:ascii="Times New Roman" w:hAnsi="Times New Roman" w:cs="Times New Roman" w:eastAsia="Times New Roman" w:hint="default"/>
        </w:rPr>
        <w:t>186032017032301</w:t>
      </w:r>
      <w:r>
        <w:rPr/>
        <w:t>号固定资产贷款授信协议，授信金额</w:t>
      </w:r>
      <w:r>
        <w:rPr>
          <w:rFonts w:ascii="Times New Roman" w:hAnsi="Times New Roman" w:cs="Times New Roman" w:eastAsia="Times New Roman" w:hint="default"/>
        </w:rPr>
        <w:t>9,000.00</w:t>
      </w:r>
      <w:r>
        <w:rPr/>
        <w:t>万元，截至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日，贷款余额为</w:t>
      </w:r>
      <w:r>
        <w:rPr>
          <w:spacing w:val="-14"/>
        </w:rPr>
        <w:t> </w:t>
      </w:r>
      <w:r>
        <w:rPr>
          <w:rFonts w:ascii="Times New Roman" w:hAnsi="Times New Roman" w:cs="Times New Roman" w:eastAsia="Times New Roman" w:hint="default"/>
        </w:rPr>
        <w:t>4,982.19</w:t>
      </w:r>
      <w:r>
        <w:rPr/>
        <w:t>万元。本笔贷款以所属子公司淮南达实智慧城市投资发展有限公司与淮南市人民政府信息化工作办公室签订的淮南</w:t>
      </w:r>
      <w:r>
        <w:rPr>
          <w:spacing w:val="-85"/>
        </w:rPr>
        <w:t> </w:t>
      </w:r>
      <w:r>
        <w:rPr>
          <w:spacing w:val="-85"/>
        </w:rPr>
      </w:r>
      <w:r>
        <w:rPr/>
        <w:t>智慧城市民生领域建设（智慧医疗）</w:t>
      </w:r>
      <w:r>
        <w:rPr>
          <w:rFonts w:ascii="Times New Roman" w:hAnsi="Times New Roman" w:cs="Times New Roman" w:eastAsia="Times New Roman" w:hint="default"/>
        </w:rPr>
        <w:t>PPP</w:t>
      </w:r>
      <w:r>
        <w:rPr/>
        <w:t>项目协议中未来</w:t>
      </w:r>
      <w:r>
        <w:rPr>
          <w:rFonts w:ascii="Times New Roman" w:hAnsi="Times New Roman" w:cs="Times New Roman" w:eastAsia="Times New Roman" w:hint="default"/>
        </w:rPr>
        <w:t>9</w:t>
      </w:r>
      <w:r>
        <w:rPr/>
        <w:t>年应收淮南市政府共计</w:t>
      </w:r>
      <w:r>
        <w:rPr>
          <w:rFonts w:ascii="Times New Roman" w:hAnsi="Times New Roman" w:cs="Times New Roman" w:eastAsia="Times New Roman" w:hint="default"/>
        </w:rPr>
        <w:t>23,850.00</w:t>
      </w:r>
      <w:r>
        <w:rPr/>
        <w:t>万元款项作为质押担保。</w:t>
      </w:r>
    </w:p>
    <w:p>
      <w:pPr>
        <w:pStyle w:val="BodyText"/>
        <w:spacing w:line="316" w:lineRule="auto" w:before="13"/>
        <w:ind w:right="1126" w:firstLine="420"/>
        <w:jc w:val="both"/>
      </w:pPr>
      <w:r>
        <w:rPr>
          <w:spacing w:val="-1"/>
        </w:rPr>
        <w:t>（</w:t>
      </w:r>
      <w:r>
        <w:rPr>
          <w:rFonts w:ascii="宋体" w:hAnsi="宋体" w:cs="宋体" w:eastAsia="宋体" w:hint="default"/>
          <w:spacing w:val="-1"/>
        </w:rPr>
        <w:t>4</w:t>
      </w:r>
      <w:r>
        <w:rPr>
          <w:spacing w:val="-1"/>
        </w:rPr>
        <w:t>）本公司所属子公司江苏洪泽湖达实智慧医养有限公司于</w:t>
      </w:r>
      <w:r>
        <w:rPr>
          <w:rFonts w:ascii="宋体" w:hAnsi="宋体" w:cs="宋体" w:eastAsia="宋体" w:hint="default"/>
          <w:spacing w:val="-1"/>
        </w:rPr>
        <w:t>2019</w:t>
      </w:r>
      <w:r>
        <w:rPr>
          <w:spacing w:val="-1"/>
        </w:rPr>
        <w:t>年</w:t>
      </w:r>
      <w:r>
        <w:rPr>
          <w:rFonts w:ascii="宋体" w:hAnsi="宋体" w:cs="宋体" w:eastAsia="宋体" w:hint="default"/>
          <w:spacing w:val="-1"/>
        </w:rPr>
        <w:t>9</w:t>
      </w:r>
      <w:r>
        <w:rPr>
          <w:spacing w:val="-1"/>
        </w:rPr>
        <w:t>月</w:t>
      </w:r>
      <w:r>
        <w:rPr>
          <w:rFonts w:ascii="宋体" w:hAnsi="宋体" w:cs="宋体" w:eastAsia="宋体" w:hint="default"/>
          <w:spacing w:val="-1"/>
        </w:rPr>
        <w:t>10</w:t>
      </w:r>
      <w:r>
        <w:rPr>
          <w:spacing w:val="-1"/>
        </w:rPr>
        <w:t>日签订编号为</w:t>
      </w:r>
      <w:r>
        <w:rPr>
          <w:rFonts w:ascii="宋体" w:hAnsi="宋体" w:cs="宋体" w:eastAsia="宋体" w:hint="default"/>
          <w:spacing w:val="-1"/>
        </w:rPr>
        <w:t>0111000013-2019</w:t>
      </w:r>
      <w:r>
        <w:rPr>
          <w:spacing w:val="-1"/>
        </w:rPr>
        <w:t>年（洪泽）字</w:t>
      </w:r>
      <w:r>
        <w:rPr/>
        <w:t> </w:t>
      </w:r>
      <w:r>
        <w:rPr>
          <w:rFonts w:ascii="宋体" w:hAnsi="宋体" w:cs="宋体" w:eastAsia="宋体" w:hint="default"/>
        </w:rPr>
        <w:t>00128</w:t>
      </w:r>
      <w:r>
        <w:rPr/>
        <w:t>号《中国银行业协会银团贷款合同》其中中国工商银行股份有限公司江苏省分行作为牵头行，中国工商银行股份有限</w:t>
      </w:r>
      <w:r>
        <w:rPr>
          <w:spacing w:val="-85"/>
        </w:rPr>
        <w:t> </w:t>
      </w:r>
      <w:r>
        <w:rPr>
          <w:spacing w:val="-85"/>
        </w:rPr>
      </w:r>
      <w:r>
        <w:rPr>
          <w:spacing w:val="-2"/>
        </w:rPr>
        <w:t>公司淮安分行、中国浦东发展银行股份有限公司淮安分行作为贷款人，贷款合同授信金额</w:t>
      </w:r>
      <w:r>
        <w:rPr>
          <w:rFonts w:ascii="宋体" w:hAnsi="宋体" w:cs="宋体" w:eastAsia="宋体" w:hint="default"/>
          <w:spacing w:val="-2"/>
        </w:rPr>
        <w:t>110,000.00</w:t>
      </w:r>
      <w:r>
        <w:rPr>
          <w:spacing w:val="-2"/>
        </w:rPr>
        <w:t>万元，中国工商银行股</w:t>
      </w:r>
      <w:r>
        <w:rPr>
          <w:spacing w:val="-59"/>
        </w:rPr>
        <w:t> </w:t>
      </w:r>
      <w:r>
        <w:rPr>
          <w:spacing w:val="-59"/>
        </w:rPr>
      </w:r>
      <w:r>
        <w:rPr>
          <w:spacing w:val="28"/>
        </w:rPr>
        <w:t>份有限公司淮安洪泽支行</w:t>
      </w:r>
      <w:r>
        <w:rPr>
          <w:spacing w:val="-63"/>
        </w:rPr>
        <w:t> </w:t>
      </w:r>
      <w:r>
        <w:rPr>
          <w:spacing w:val="27"/>
        </w:rPr>
        <w:t>作为代理行。截至</w:t>
      </w:r>
      <w:r>
        <w:rPr>
          <w:spacing w:val="-59"/>
        </w:rPr>
        <w:t> </w:t>
      </w:r>
      <w:r>
        <w:rPr>
          <w:rFonts w:ascii="宋体" w:hAnsi="宋体" w:cs="宋体" w:eastAsia="宋体" w:hint="default"/>
        </w:rPr>
        <w:t>2019</w:t>
      </w:r>
      <w:r>
        <w:rPr>
          <w:rFonts w:ascii="宋体" w:hAnsi="宋体" w:cs="宋体" w:eastAsia="宋体" w:hint="default"/>
          <w:spacing w:val="-59"/>
        </w:rPr>
        <w:t> </w:t>
      </w:r>
      <w:r>
        <w:rPr/>
        <w:t>年</w:t>
      </w:r>
      <w:r>
        <w:rPr>
          <w:spacing w:val="-63"/>
        </w:rPr>
        <w:t> </w:t>
      </w:r>
      <w:r>
        <w:rPr>
          <w:rFonts w:ascii="宋体" w:hAnsi="宋体" w:cs="宋体" w:eastAsia="宋体" w:hint="default"/>
        </w:rPr>
        <w:t>12</w:t>
      </w:r>
      <w:r>
        <w:rPr>
          <w:rFonts w:ascii="宋体" w:hAnsi="宋体" w:cs="宋体" w:eastAsia="宋体" w:hint="default"/>
          <w:spacing w:val="-59"/>
        </w:rPr>
        <w:t> </w:t>
      </w:r>
      <w:r>
        <w:rPr/>
        <w:t>月</w:t>
      </w:r>
      <w:r>
        <w:rPr>
          <w:spacing w:val="-60"/>
        </w:rPr>
        <w:t> </w:t>
      </w:r>
      <w:r>
        <w:rPr>
          <w:rFonts w:ascii="宋体" w:hAnsi="宋体" w:cs="宋体" w:eastAsia="宋体" w:hint="default"/>
        </w:rPr>
        <w:t>31</w:t>
      </w:r>
      <w:r>
        <w:rPr>
          <w:rFonts w:ascii="宋体" w:hAnsi="宋体" w:cs="宋体" w:eastAsia="宋体" w:hint="default"/>
          <w:spacing w:val="-59"/>
        </w:rPr>
        <w:t> </w:t>
      </w:r>
      <w:r>
        <w:rPr/>
        <w:t>日</w:t>
      </w:r>
      <w:r>
        <w:rPr>
          <w:spacing w:val="-61"/>
        </w:rPr>
        <w:t> </w:t>
      </w:r>
      <w:r>
        <w:rPr/>
        <w:t>，</w:t>
      </w:r>
      <w:r>
        <w:rPr>
          <w:spacing w:val="-61"/>
        </w:rPr>
        <w:t> </w:t>
      </w:r>
      <w:r>
        <w:rPr/>
        <w:t>贷</w:t>
      </w:r>
      <w:r>
        <w:rPr>
          <w:spacing w:val="-61"/>
        </w:rPr>
        <w:t> </w:t>
      </w:r>
      <w:r>
        <w:rPr/>
        <w:t>款</w:t>
      </w:r>
      <w:r>
        <w:rPr>
          <w:spacing w:val="-61"/>
        </w:rPr>
        <w:t> </w:t>
      </w:r>
      <w:r>
        <w:rPr/>
        <w:t>余</w:t>
      </w:r>
      <w:r>
        <w:rPr>
          <w:spacing w:val="-61"/>
        </w:rPr>
        <w:t> </w:t>
      </w:r>
      <w:r>
        <w:rPr/>
        <w:t>额</w:t>
      </w:r>
      <w:r>
        <w:rPr>
          <w:spacing w:val="-63"/>
        </w:rPr>
        <w:t> </w:t>
      </w:r>
      <w:r>
        <w:rPr/>
        <w:t>为</w:t>
      </w:r>
      <w:r>
        <w:rPr>
          <w:spacing w:val="-59"/>
        </w:rPr>
        <w:t> </w:t>
      </w:r>
      <w:r>
        <w:rPr>
          <w:rFonts w:ascii="宋体" w:hAnsi="宋体" w:cs="宋体" w:eastAsia="宋体" w:hint="default"/>
        </w:rPr>
        <w:t>30,000.00</w:t>
      </w:r>
      <w:r>
        <w:rPr>
          <w:rFonts w:ascii="宋体" w:hAnsi="宋体" w:cs="宋体" w:eastAsia="宋体" w:hint="default"/>
          <w:spacing w:val="-58"/>
        </w:rPr>
        <w:t> </w:t>
      </w:r>
      <w:r>
        <w:rPr>
          <w:spacing w:val="27"/>
        </w:rPr>
        <w:t>万元。同时签订编</w:t>
      </w:r>
      <w:r>
        <w:rPr>
          <w:spacing w:val="-63"/>
        </w:rPr>
        <w:t> </w:t>
      </w:r>
      <w:r>
        <w:rPr/>
        <w:t>号</w:t>
      </w:r>
      <w:r>
        <w:rPr>
          <w:spacing w:val="-63"/>
        </w:rPr>
        <w:t> </w:t>
      </w:r>
      <w:r>
        <w:rPr/>
        <w:t>为</w:t>
      </w:r>
      <w:r>
        <w:rPr/>
        <w:t> </w:t>
      </w:r>
      <w:r>
        <w:rPr>
          <w:rFonts w:ascii="宋体" w:hAnsi="宋体" w:cs="宋体" w:eastAsia="宋体" w:hint="default"/>
        </w:rPr>
        <w:t>201909110111000244619560</w:t>
      </w:r>
      <w:r>
        <w:rPr/>
        <w:t>号最高额质押合同，约定以洪泽区人民医院异地新建工程</w:t>
      </w:r>
      <w:r>
        <w:rPr>
          <w:rFonts w:ascii="宋体" w:hAnsi="宋体" w:cs="宋体" w:eastAsia="宋体" w:hint="default"/>
        </w:rPr>
        <w:t>PPP</w:t>
      </w:r>
      <w:r>
        <w:rPr/>
        <w:t>项目协议中洪泽区人民医院支付的 </w:t>
      </w:r>
      <w:r>
        <w:rPr>
          <w:spacing w:val="18"/>
        </w:rPr>
        <w:t>资产使用费以及政府可行性缺口补助额的应收账款，</w:t>
      </w:r>
      <w:r>
        <w:rPr>
          <w:spacing w:val="-70"/>
        </w:rPr>
        <w:t> </w:t>
      </w:r>
      <w:r>
        <w:rPr>
          <w:spacing w:val="17"/>
        </w:rPr>
        <w:t>作为债权的质押担保。</w:t>
      </w:r>
      <w:r>
        <w:rPr>
          <w:spacing w:val="-70"/>
        </w:rPr>
        <w:t> </w:t>
      </w:r>
      <w:r>
        <w:rPr>
          <w:spacing w:val="14"/>
        </w:rPr>
        <w:t>本公司于</w:t>
      </w:r>
      <w:r>
        <w:rPr>
          <w:spacing w:val="-68"/>
        </w:rPr>
        <w:t> </w:t>
      </w:r>
      <w:r>
        <w:rPr>
          <w:rFonts w:ascii="宋体" w:hAnsi="宋体" w:cs="宋体" w:eastAsia="宋体" w:hint="default"/>
        </w:rPr>
        <w:t>2019</w:t>
      </w:r>
      <w:r>
        <w:rPr>
          <w:rFonts w:ascii="宋体" w:hAnsi="宋体" w:cs="宋体" w:eastAsia="宋体" w:hint="default"/>
          <w:spacing w:val="-68"/>
        </w:rPr>
        <w:t> </w:t>
      </w:r>
      <w:r>
        <w:rPr/>
        <w:t>年</w:t>
      </w:r>
      <w:r>
        <w:rPr>
          <w:spacing w:val="-70"/>
        </w:rPr>
        <w:t> </w:t>
      </w:r>
      <w:r>
        <w:rPr>
          <w:rFonts w:ascii="宋体" w:hAnsi="宋体" w:cs="宋体" w:eastAsia="宋体" w:hint="default"/>
        </w:rPr>
        <w:t>9</w:t>
      </w:r>
      <w:r>
        <w:rPr>
          <w:rFonts w:ascii="宋体" w:hAnsi="宋体" w:cs="宋体" w:eastAsia="宋体" w:hint="default"/>
          <w:spacing w:val="-69"/>
        </w:rPr>
        <w:t> </w:t>
      </w:r>
      <w:r>
        <w:rPr/>
        <w:t>月</w:t>
      </w:r>
      <w:r>
        <w:rPr>
          <w:spacing w:val="-73"/>
        </w:rPr>
        <w:t> </w:t>
      </w:r>
      <w:r>
        <w:rPr>
          <w:rFonts w:ascii="宋体" w:hAnsi="宋体" w:cs="宋体" w:eastAsia="宋体" w:hint="default"/>
        </w:rPr>
        <w:t>10</w:t>
      </w:r>
      <w:r>
        <w:rPr>
          <w:rFonts w:ascii="宋体" w:hAnsi="宋体" w:cs="宋体" w:eastAsia="宋体" w:hint="default"/>
          <w:spacing w:val="-69"/>
        </w:rPr>
        <w:t> </w:t>
      </w:r>
      <w:r>
        <w:rPr>
          <w:spacing w:val="15"/>
        </w:rPr>
        <w:t>日签订编号为</w:t>
      </w:r>
      <w:r>
        <w:rPr/>
        <w:t> </w:t>
      </w:r>
      <w:r>
        <w:rPr>
          <w:rFonts w:ascii="宋体" w:hAnsi="宋体" w:cs="宋体" w:eastAsia="宋体" w:hint="default"/>
        </w:rPr>
        <w:t>0111000013-2019</w:t>
      </w:r>
      <w:r>
        <w:rPr/>
        <w:t>洪泽（保）字</w:t>
      </w:r>
      <w:r>
        <w:rPr>
          <w:rFonts w:ascii="宋体" w:hAnsi="宋体" w:cs="宋体" w:eastAsia="宋体" w:hint="default"/>
        </w:rPr>
        <w:t>091001</w:t>
      </w:r>
      <w:r>
        <w:rPr/>
        <w:t>号《中国银行业协会银团贷款保证合同》，保证方式为连带责任保证，保证期间为本 合同生效日起至洪泽区人民医院及当地政府按</w:t>
      </w:r>
      <w:r>
        <w:rPr>
          <w:rFonts w:ascii="宋体" w:hAnsi="宋体" w:cs="宋体" w:eastAsia="宋体" w:hint="default"/>
        </w:rPr>
        <w:t>PPP</w:t>
      </w:r>
      <w:r>
        <w:rPr/>
        <w:t>合同约定支付完第一年相关费用后止，其中中国工商银行股份有限公司江</w:t>
      </w:r>
      <w:r>
        <w:rPr>
          <w:spacing w:val="-84"/>
        </w:rPr>
        <w:t> </w:t>
      </w:r>
      <w:r>
        <w:rPr>
          <w:spacing w:val="-84"/>
        </w:rPr>
      </w:r>
      <w:r>
        <w:rPr>
          <w:spacing w:val="-2"/>
        </w:rPr>
        <w:t>苏省分行作为牵头行，中国工商银行股份有限公司淮安分行、中国浦东发展银行股份有限公司淮安分行作为贷款人，中国工</w:t>
      </w:r>
      <w:r>
        <w:rPr>
          <w:spacing w:val="-63"/>
        </w:rPr>
        <w:t> </w:t>
      </w:r>
      <w:r>
        <w:rPr>
          <w:spacing w:val="-63"/>
        </w:rPr>
      </w:r>
      <w:r>
        <w:rPr/>
        <w:t>商银行股份有限公司淮安洪泽支行作为代理行。</w:t>
      </w:r>
    </w:p>
    <w:p>
      <w:pPr>
        <w:pStyle w:val="BodyText"/>
        <w:spacing w:line="316" w:lineRule="auto" w:before="19"/>
        <w:ind w:right="1034" w:firstLine="420"/>
        <w:jc w:val="left"/>
      </w:pPr>
      <w:r>
        <w:rPr/>
        <w:t>（</w:t>
      </w:r>
      <w:r>
        <w:rPr>
          <w:rFonts w:ascii="宋体" w:hAnsi="宋体" w:cs="宋体" w:eastAsia="宋体" w:hint="default"/>
        </w:rPr>
        <w:t>5</w:t>
      </w:r>
      <w:r>
        <w:rPr/>
        <w:t>）本公司所属子公司湖南桃江达实智慧医养有限公司与中国建设银行桃江支行签订</w:t>
      </w:r>
      <w:r>
        <w:rPr>
          <w:rFonts w:ascii="宋体" w:hAnsi="宋体" w:cs="宋体" w:eastAsia="宋体" w:hint="default"/>
        </w:rPr>
        <w:t>HTZ430677400GDZC201900002</w:t>
      </w:r>
      <w:r>
        <w:rPr/>
        <w:t>号 固定资产贷款合同；贷款合同授信金额</w:t>
      </w:r>
      <w:r>
        <w:rPr>
          <w:rFonts w:ascii="宋体" w:hAnsi="宋体" w:cs="宋体" w:eastAsia="宋体" w:hint="default"/>
        </w:rPr>
        <w:t>46,200.00</w:t>
      </w:r>
      <w:r>
        <w:rPr/>
        <w:t>万元。同时签订</w:t>
      </w:r>
      <w:r>
        <w:rPr>
          <w:rFonts w:ascii="宋体" w:hAnsi="宋体" w:cs="宋体" w:eastAsia="宋体" w:hint="default"/>
        </w:rPr>
        <w:t>HTC430677400YSZK201900001</w:t>
      </w:r>
      <w:r>
        <w:rPr/>
        <w:t>号最高额应收账款（收费权） 质押合同，约定以桃江县人民医院南院院区建设工程</w:t>
      </w:r>
      <w:r>
        <w:rPr>
          <w:rFonts w:ascii="宋体" w:hAnsi="宋体" w:cs="宋体" w:eastAsia="宋体" w:hint="default"/>
        </w:rPr>
        <w:t>PPP</w:t>
      </w:r>
      <w:r>
        <w:rPr/>
        <w:t>项目协议中政府对缺口部分进行补贴的应收账款及由桃江县人民医</w:t>
      </w:r>
      <w:r>
        <w:rPr>
          <w:spacing w:val="-84"/>
        </w:rPr>
        <w:t> </w:t>
      </w:r>
      <w:r>
        <w:rPr>
          <w:spacing w:val="-84"/>
        </w:rPr>
      </w:r>
      <w:r>
        <w:rPr>
          <w:spacing w:val="-2"/>
        </w:rPr>
        <w:t>院支付的可用性服务费应收账款，作为债权的质押担保。截至</w:t>
      </w:r>
      <w:r>
        <w:rPr>
          <w:rFonts w:ascii="宋体" w:hAnsi="宋体" w:cs="宋体" w:eastAsia="宋体" w:hint="default"/>
          <w:spacing w:val="-2"/>
        </w:rPr>
        <w:t>2019</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日，贷款余额为</w:t>
      </w:r>
      <w:r>
        <w:rPr>
          <w:rFonts w:ascii="宋体" w:hAnsi="宋体" w:cs="宋体" w:eastAsia="宋体" w:hint="default"/>
          <w:spacing w:val="-2"/>
        </w:rPr>
        <w:t>9,300.00</w:t>
      </w:r>
      <w:r>
        <w:rPr>
          <w:spacing w:val="-2"/>
        </w:rPr>
        <w:t>万元。本公司与中国建</w:t>
      </w:r>
      <w:r>
        <w:rPr>
          <w:spacing w:val="-52"/>
        </w:rPr>
        <w:t> </w:t>
      </w:r>
      <w:r>
        <w:rPr>
          <w:spacing w:val="-52"/>
        </w:rPr>
      </w:r>
      <w:r>
        <w:rPr>
          <w:spacing w:val="-2"/>
        </w:rPr>
        <w:t>设银行桃江支行于</w:t>
      </w:r>
      <w:r>
        <w:rPr>
          <w:rFonts w:ascii="宋体" w:hAnsi="宋体" w:cs="宋体" w:eastAsia="宋体" w:hint="default"/>
          <w:spacing w:val="-2"/>
        </w:rPr>
        <w:t>2019</w:t>
      </w:r>
      <w:r>
        <w:rPr>
          <w:spacing w:val="-2"/>
        </w:rPr>
        <w:t>年</w:t>
      </w:r>
      <w:r>
        <w:rPr>
          <w:rFonts w:ascii="宋体" w:hAnsi="宋体" w:cs="宋体" w:eastAsia="宋体" w:hint="default"/>
          <w:spacing w:val="-2"/>
        </w:rPr>
        <w:t>5</w:t>
      </w:r>
      <w:r>
        <w:rPr>
          <w:spacing w:val="-2"/>
        </w:rPr>
        <w:t>月</w:t>
      </w:r>
      <w:r>
        <w:rPr>
          <w:rFonts w:ascii="宋体" w:hAnsi="宋体" w:cs="宋体" w:eastAsia="宋体" w:hint="default"/>
          <w:spacing w:val="-2"/>
        </w:rPr>
        <w:t>24</w:t>
      </w:r>
      <w:r>
        <w:rPr>
          <w:spacing w:val="-2"/>
        </w:rPr>
        <w:t>日签订编号为</w:t>
      </w:r>
      <w:r>
        <w:rPr>
          <w:rFonts w:ascii="宋体" w:hAnsi="宋体" w:cs="宋体" w:eastAsia="宋体" w:hint="default"/>
          <w:spacing w:val="-2"/>
        </w:rPr>
        <w:t>HTU430677400FBWB201900001</w:t>
      </w:r>
      <w:r>
        <w:rPr>
          <w:spacing w:val="-2"/>
        </w:rPr>
        <w:t>号保证合同，保证方式为连带责任保证，保证期间</w:t>
      </w:r>
      <w:r>
        <w:rPr>
          <w:spacing w:val="-43"/>
        </w:rPr>
        <w:t> </w:t>
      </w:r>
      <w:r>
        <w:rPr>
          <w:spacing w:val="-43"/>
        </w:rPr>
      </w:r>
      <w:r>
        <w:rPr/>
        <w:t>为：本合同生效之日起至项目竣工验收合格之日止。</w:t>
      </w:r>
    </w:p>
    <w:p>
      <w:pPr>
        <w:spacing w:after="0" w:line="316"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1133"/>
        <w:jc w:val="left"/>
        <w:rPr>
          <w:b w:val="0"/>
          <w:bCs w:val="0"/>
        </w:rPr>
      </w:pPr>
      <w:bookmarkStart w:name="31、长期应付款" w:id="311"/>
      <w:bookmarkEnd w:id="311"/>
      <w:r>
        <w:rPr>
          <w:b w:val="0"/>
          <w:bCs w:val="0"/>
        </w:rPr>
      </w:r>
      <w:r>
        <w:rPr>
          <w:rFonts w:ascii="Times New Roman" w:hAnsi="Times New Roman" w:cs="Times New Roman" w:eastAsia="Times New Roman" w:hint="default"/>
        </w:rPr>
        <w:t>31</w:t>
      </w:r>
      <w:r>
        <w:rPr/>
        <w:t>、长期应付款</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18,737,132.80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37,271,912.83</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18,737,132.80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37,271,912.83</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1）按款项性质列示长期应付款" w:id="312"/>
      <w:bookmarkEnd w:id="312"/>
      <w:r>
        <w:rPr>
          <w:b w:val="0"/>
          <w:bCs w:val="0"/>
        </w:rPr>
      </w:r>
      <w:r>
        <w:rPr/>
        <w:t>（</w:t>
      </w:r>
      <w:r>
        <w:rPr>
          <w:rFonts w:ascii="Times New Roman" w:hAnsi="Times New Roman" w:cs="Times New Roman" w:eastAsia="Times New Roman" w:hint="default"/>
        </w:rPr>
        <w:t>1</w:t>
      </w:r>
      <w:r>
        <w:rPr/>
        <w:t>）按款项性质列示长期应付款</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融资租赁款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18,737,132.80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37,271,912.83</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32、递延收益" w:id="313"/>
      <w:bookmarkEnd w:id="313"/>
      <w:r>
        <w:rPr>
          <w:b w:val="0"/>
          <w:bCs w:val="0"/>
        </w:rPr>
      </w:r>
      <w:r>
        <w:rPr>
          <w:rFonts w:ascii="Times New Roman" w:hAnsi="Times New Roman" w:cs="Times New Roman" w:eastAsia="Times New Roman" w:hint="default"/>
        </w:rPr>
        <w:t>32</w:t>
      </w:r>
      <w:r>
        <w:rPr/>
        <w:t>、递延收益</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2084"/>
        <w:gridCol w:w="1357"/>
        <w:gridCol w:w="1243"/>
        <w:gridCol w:w="1354"/>
        <w:gridCol w:w="1356"/>
        <w:gridCol w:w="2305"/>
      </w:tblGrid>
      <w:tr>
        <w:trPr>
          <w:trHeight w:val="402" w:hRule="exact"/>
        </w:trPr>
        <w:tc>
          <w:tcPr>
            <w:tcW w:w="20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2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56"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1" w:hRule="exact"/>
        </w:trPr>
        <w:tc>
          <w:tcPr>
            <w:tcW w:w="20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35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0" w:right="0"/>
              <w:jc w:val="left"/>
              <w:rPr>
                <w:rFonts w:ascii="Times New Roman" w:hAnsi="Times New Roman" w:cs="Times New Roman" w:eastAsia="Times New Roman" w:hint="default"/>
                <w:sz w:val="18"/>
                <w:szCs w:val="18"/>
              </w:rPr>
            </w:pPr>
            <w:r>
              <w:rPr>
                <w:rFonts w:ascii="Times New Roman"/>
                <w:sz w:val="18"/>
              </w:rPr>
              <w:t>19,720,000.00</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6" w:right="0"/>
              <w:jc w:val="left"/>
              <w:rPr>
                <w:rFonts w:ascii="Times New Roman" w:hAnsi="Times New Roman" w:cs="Times New Roman" w:eastAsia="Times New Roman" w:hint="default"/>
                <w:sz w:val="18"/>
                <w:szCs w:val="18"/>
              </w:rPr>
            </w:pPr>
            <w:r>
              <w:rPr>
                <w:rFonts w:ascii="Times New Roman"/>
                <w:sz w:val="18"/>
              </w:rPr>
              <w:t>3,500,000.00</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7,220,000.00</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7" w:right="0"/>
              <w:jc w:val="left"/>
              <w:rPr>
                <w:rFonts w:ascii="Times New Roman" w:hAnsi="Times New Roman" w:cs="Times New Roman" w:eastAsia="Times New Roman" w:hint="default"/>
                <w:sz w:val="18"/>
                <w:szCs w:val="18"/>
              </w:rPr>
            </w:pPr>
            <w:r>
              <w:rPr>
                <w:rFonts w:ascii="Times New Roman"/>
                <w:sz w:val="18"/>
              </w:rPr>
              <w:t>16,000,000.00</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尚不符合收入确认条件</w:t>
            </w:r>
          </w:p>
        </w:tc>
      </w:tr>
      <w:tr>
        <w:trPr>
          <w:trHeight w:val="403" w:hRule="exact"/>
        </w:trPr>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未实现售后租回损益</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87" w:right="0"/>
              <w:jc w:val="left"/>
              <w:rPr>
                <w:rFonts w:ascii="Times New Roman" w:hAnsi="Times New Roman" w:cs="Times New Roman" w:eastAsia="Times New Roman" w:hint="default"/>
                <w:sz w:val="18"/>
                <w:szCs w:val="18"/>
              </w:rPr>
            </w:pPr>
            <w:r>
              <w:rPr>
                <w:rFonts w:ascii="Times New Roman"/>
                <w:sz w:val="18"/>
              </w:rPr>
              <w:t>15,186,067.70</w:t>
            </w:r>
          </w:p>
        </w:tc>
        <w:tc>
          <w:tcPr>
            <w:tcW w:w="1243"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5,062,022.56</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87" w:right="0"/>
              <w:jc w:val="left"/>
              <w:rPr>
                <w:rFonts w:ascii="Times New Roman" w:hAnsi="Times New Roman" w:cs="Times New Roman" w:eastAsia="Times New Roman" w:hint="default"/>
                <w:sz w:val="18"/>
                <w:szCs w:val="18"/>
              </w:rPr>
            </w:pPr>
            <w:r>
              <w:rPr>
                <w:rFonts w:ascii="Times New Roman"/>
                <w:sz w:val="18"/>
              </w:rPr>
              <w:t>10,124,045.14</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未确认售后租回损益</w:t>
            </w:r>
          </w:p>
        </w:tc>
      </w:tr>
      <w:tr>
        <w:trPr>
          <w:trHeight w:val="403" w:hRule="exact"/>
        </w:trPr>
        <w:tc>
          <w:tcPr>
            <w:tcW w:w="20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7" w:right="0"/>
              <w:jc w:val="left"/>
              <w:rPr>
                <w:rFonts w:ascii="Times New Roman" w:hAnsi="Times New Roman" w:cs="Times New Roman" w:eastAsia="Times New Roman" w:hint="default"/>
                <w:sz w:val="18"/>
                <w:szCs w:val="18"/>
              </w:rPr>
            </w:pPr>
            <w:r>
              <w:rPr>
                <w:rFonts w:ascii="Times New Roman"/>
                <w:sz w:val="18"/>
              </w:rPr>
              <w:t>34,906,067.70</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6" w:right="0"/>
              <w:jc w:val="left"/>
              <w:rPr>
                <w:rFonts w:ascii="Times New Roman" w:hAnsi="Times New Roman" w:cs="Times New Roman" w:eastAsia="Times New Roman" w:hint="default"/>
                <w:sz w:val="18"/>
                <w:szCs w:val="18"/>
              </w:rPr>
            </w:pPr>
            <w:r>
              <w:rPr>
                <w:rFonts w:ascii="Times New Roman"/>
                <w:sz w:val="18"/>
              </w:rPr>
              <w:t>3,500,000.00</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12,282,022.56</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7" w:right="0"/>
              <w:jc w:val="left"/>
              <w:rPr>
                <w:rFonts w:ascii="Times New Roman" w:hAnsi="Times New Roman" w:cs="Times New Roman" w:eastAsia="Times New Roman" w:hint="default"/>
                <w:sz w:val="18"/>
                <w:szCs w:val="18"/>
              </w:rPr>
            </w:pPr>
            <w:r>
              <w:rPr>
                <w:rFonts w:ascii="Times New Roman"/>
                <w:sz w:val="18"/>
              </w:rPr>
              <w:t>26,124,045.14</w:t>
            </w:r>
          </w:p>
        </w:tc>
        <w:tc>
          <w:tcPr>
            <w:tcW w:w="2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1133"/>
        <w:jc w:val="left"/>
      </w:pPr>
      <w:r>
        <w:rPr/>
        <w:t>涉及政府补助的项目：</w:t>
      </w:r>
    </w:p>
    <w:p>
      <w:pPr>
        <w:pStyle w:val="BodyText"/>
        <w:spacing w:line="240" w:lineRule="auto" w:before="115"/>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2633"/>
        <w:gridCol w:w="1090"/>
        <w:gridCol w:w="1058"/>
        <w:gridCol w:w="1244"/>
        <w:gridCol w:w="1001"/>
        <w:gridCol w:w="631"/>
        <w:gridCol w:w="341"/>
        <w:gridCol w:w="1092"/>
        <w:gridCol w:w="607"/>
      </w:tblGrid>
      <w:tr>
        <w:trPr>
          <w:trHeight w:val="1337" w:hRule="exact"/>
        </w:trPr>
        <w:tc>
          <w:tcPr>
            <w:tcW w:w="26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负债项目</w:t>
            </w:r>
          </w:p>
        </w:tc>
        <w:tc>
          <w:tcPr>
            <w:tcW w:w="10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80"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5"/>
              <w:ind w:left="254" w:right="72" w:hanging="180"/>
              <w:jc w:val="left"/>
              <w:rPr>
                <w:rFonts w:ascii="宋体" w:hAnsi="宋体" w:cs="宋体" w:eastAsia="宋体" w:hint="default"/>
                <w:sz w:val="18"/>
                <w:szCs w:val="18"/>
              </w:rPr>
            </w:pPr>
            <w:r>
              <w:rPr>
                <w:rFonts w:ascii="宋体" w:hAnsi="宋体" w:cs="宋体" w:eastAsia="宋体" w:hint="default"/>
                <w:sz w:val="18"/>
                <w:szCs w:val="18"/>
              </w:rPr>
              <w:t>本期新增补 助金额</w:t>
            </w:r>
          </w:p>
        </w:tc>
        <w:tc>
          <w:tcPr>
            <w:tcW w:w="12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5"/>
              <w:ind w:left="165" w:right="75" w:hanging="89"/>
              <w:jc w:val="left"/>
              <w:rPr>
                <w:rFonts w:ascii="宋体" w:hAnsi="宋体" w:cs="宋体" w:eastAsia="宋体" w:hint="default"/>
                <w:sz w:val="18"/>
                <w:szCs w:val="18"/>
              </w:rPr>
            </w:pPr>
            <w:r>
              <w:rPr>
                <w:rFonts w:ascii="宋体" w:hAnsi="宋体" w:cs="宋体" w:eastAsia="宋体" w:hint="default"/>
                <w:sz w:val="18"/>
                <w:szCs w:val="18"/>
              </w:rPr>
              <w:t>本期计入营业 外收入金额</w:t>
            </w:r>
          </w:p>
        </w:tc>
        <w:tc>
          <w:tcPr>
            <w:tcW w:w="1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5"/>
              <w:ind w:left="45" w:right="43"/>
              <w:jc w:val="left"/>
              <w:rPr>
                <w:rFonts w:ascii="宋体" w:hAnsi="宋体" w:cs="宋体" w:eastAsia="宋体" w:hint="default"/>
                <w:sz w:val="18"/>
                <w:szCs w:val="18"/>
              </w:rPr>
            </w:pPr>
            <w:r>
              <w:rPr>
                <w:rFonts w:ascii="宋体" w:hAnsi="宋体" w:cs="宋体" w:eastAsia="宋体" w:hint="default"/>
                <w:sz w:val="18"/>
                <w:szCs w:val="18"/>
              </w:rPr>
              <w:t>本期计入其 他收益金额</w:t>
            </w:r>
          </w:p>
        </w:tc>
        <w:tc>
          <w:tcPr>
            <w:tcW w:w="6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0" w:right="38"/>
              <w:jc w:val="center"/>
              <w:rPr>
                <w:rFonts w:ascii="宋体" w:hAnsi="宋体" w:cs="宋体" w:eastAsia="宋体" w:hint="default"/>
                <w:sz w:val="18"/>
                <w:szCs w:val="18"/>
              </w:rPr>
            </w:pPr>
            <w:r>
              <w:rPr>
                <w:rFonts w:ascii="宋体" w:hAnsi="宋体" w:cs="宋体" w:eastAsia="宋体" w:hint="default"/>
                <w:sz w:val="18"/>
                <w:szCs w:val="18"/>
              </w:rPr>
              <w:t>本期冲 减成本 费用金 额</w:t>
            </w:r>
          </w:p>
        </w:tc>
        <w:tc>
          <w:tcPr>
            <w:tcW w:w="3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77" w:right="72"/>
              <w:jc w:val="both"/>
              <w:rPr>
                <w:rFonts w:ascii="宋体" w:hAnsi="宋体" w:cs="宋体" w:eastAsia="宋体" w:hint="default"/>
                <w:sz w:val="18"/>
                <w:szCs w:val="18"/>
              </w:rPr>
            </w:pPr>
            <w:r>
              <w:rPr>
                <w:rFonts w:ascii="宋体" w:hAnsi="宋体" w:cs="宋体" w:eastAsia="宋体" w:hint="default"/>
                <w:sz w:val="18"/>
                <w:szCs w:val="18"/>
              </w:rPr>
              <w:t>其 他 变 动</w:t>
            </w:r>
          </w:p>
        </w:tc>
        <w:tc>
          <w:tcPr>
            <w:tcW w:w="10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79"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6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49"/>
              <w:ind w:left="28" w:right="26"/>
              <w:jc w:val="center"/>
              <w:rPr>
                <w:rFonts w:ascii="宋体" w:hAnsi="宋体" w:cs="宋体" w:eastAsia="宋体" w:hint="default"/>
                <w:sz w:val="18"/>
                <w:szCs w:val="18"/>
              </w:rPr>
            </w:pPr>
            <w:r>
              <w:rPr>
                <w:rFonts w:ascii="宋体" w:hAnsi="宋体" w:cs="宋体" w:eastAsia="宋体" w:hint="default"/>
                <w:sz w:val="18"/>
                <w:szCs w:val="18"/>
              </w:rPr>
              <w:t>与资产 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 相关</w:t>
            </w:r>
          </w:p>
        </w:tc>
      </w:tr>
      <w:tr>
        <w:trPr>
          <w:trHeight w:val="715" w:hRule="exact"/>
        </w:trPr>
        <w:tc>
          <w:tcPr>
            <w:tcW w:w="26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7"/>
              <w:jc w:val="left"/>
              <w:rPr>
                <w:rFonts w:ascii="宋体" w:hAnsi="宋体" w:cs="宋体" w:eastAsia="宋体" w:hint="default"/>
                <w:sz w:val="18"/>
                <w:szCs w:val="18"/>
              </w:rPr>
            </w:pPr>
            <w:r>
              <w:rPr>
                <w:rFonts w:ascii="宋体" w:hAnsi="宋体" w:cs="宋体" w:eastAsia="宋体" w:hint="default"/>
                <w:sz w:val="18"/>
                <w:szCs w:val="18"/>
              </w:rPr>
              <w:t>大型建筑主动蓄冷中央空调系统 合同能源管理产业化项目补助</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7,500,000.00</w:t>
            </w:r>
          </w:p>
        </w:tc>
        <w:tc>
          <w:tcPr>
            <w:tcW w:w="1058" w:type="dxa"/>
            <w:tcBorders>
              <w:top w:val="single" w:sz="4" w:space="0" w:color="000000"/>
              <w:left w:val="single" w:sz="4" w:space="0" w:color="000000"/>
              <w:bottom w:val="single" w:sz="4" w:space="0" w:color="000000"/>
              <w:right w:val="single" w:sz="4" w:space="0" w:color="000000"/>
            </w:tcBorders>
          </w:tcPr>
          <w:p>
            <w:pPr/>
          </w:p>
        </w:tc>
        <w:tc>
          <w:tcPr>
            <w:tcW w:w="1244"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34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7,500,000.00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31"/>
              <w:jc w:val="left"/>
              <w:rPr>
                <w:rFonts w:ascii="宋体" w:hAnsi="宋体" w:cs="宋体" w:eastAsia="宋体" w:hint="default"/>
                <w:sz w:val="18"/>
                <w:szCs w:val="18"/>
              </w:rPr>
            </w:pPr>
            <w:r>
              <w:rPr>
                <w:rFonts w:ascii="宋体" w:hAnsi="宋体" w:cs="宋体" w:eastAsia="宋体" w:hint="default"/>
                <w:sz w:val="18"/>
                <w:szCs w:val="18"/>
              </w:rPr>
              <w:t>与收益 相关</w:t>
            </w:r>
          </w:p>
        </w:tc>
      </w:tr>
      <w:tr>
        <w:trPr>
          <w:trHeight w:val="1025" w:hRule="exact"/>
        </w:trPr>
        <w:tc>
          <w:tcPr>
            <w:tcW w:w="26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7"/>
              <w:jc w:val="both"/>
              <w:rPr>
                <w:rFonts w:ascii="宋体" w:hAnsi="宋体" w:cs="宋体" w:eastAsia="宋体" w:hint="default"/>
                <w:sz w:val="18"/>
                <w:szCs w:val="18"/>
              </w:rPr>
            </w:pPr>
            <w:r>
              <w:rPr>
                <w:rFonts w:ascii="宋体" w:hAnsi="宋体" w:cs="宋体" w:eastAsia="宋体" w:hint="default"/>
                <w:sz w:val="18"/>
                <w:szCs w:val="18"/>
              </w:rPr>
              <w:t>大型建筑主动蓄冷的中央空调系 统合同能源管理产业化项目（深 发改（</w:t>
            </w:r>
            <w:r>
              <w:rPr>
                <w:rFonts w:ascii="Times New Roman" w:hAnsi="Times New Roman" w:cs="Times New Roman" w:eastAsia="Times New Roman" w:hint="default"/>
                <w:sz w:val="18"/>
                <w:szCs w:val="18"/>
              </w:rPr>
              <w:t>2015</w:t>
            </w:r>
            <w:r>
              <w:rPr>
                <w:rFonts w:ascii="宋体" w:hAnsi="宋体" w:cs="宋体" w:eastAsia="宋体" w:hint="default"/>
                <w:sz w:val="18"/>
                <w:szCs w:val="18"/>
              </w:rPr>
              <w:t>）</w:t>
            </w:r>
            <w:r>
              <w:rPr>
                <w:rFonts w:ascii="Times New Roman" w:hAnsi="Times New Roman" w:cs="Times New Roman" w:eastAsia="Times New Roman" w:hint="default"/>
                <w:sz w:val="18"/>
                <w:szCs w:val="18"/>
              </w:rPr>
              <w:t>1581 </w:t>
            </w:r>
            <w:r>
              <w:rPr>
                <w:rFonts w:ascii="宋体" w:hAnsi="宋体" w:cs="宋体" w:eastAsia="宋体" w:hint="default"/>
                <w:sz w:val="18"/>
                <w:szCs w:val="18"/>
              </w:rPr>
              <w:t>号）</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2,220,000.00</w:t>
            </w:r>
          </w:p>
        </w:tc>
        <w:tc>
          <w:tcPr>
            <w:tcW w:w="1058" w:type="dxa"/>
            <w:tcBorders>
              <w:top w:val="single" w:sz="4" w:space="0" w:color="000000"/>
              <w:left w:val="single" w:sz="4" w:space="0" w:color="000000"/>
              <w:bottom w:val="single" w:sz="4" w:space="0" w:color="000000"/>
              <w:right w:val="single" w:sz="4" w:space="0" w:color="000000"/>
            </w:tcBorders>
          </w:tcPr>
          <w:p>
            <w:pPr/>
          </w:p>
        </w:tc>
        <w:tc>
          <w:tcPr>
            <w:tcW w:w="1244"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2,220,000.00</w:t>
            </w:r>
          </w:p>
        </w:tc>
        <w:tc>
          <w:tcPr>
            <w:tcW w:w="631" w:type="dxa"/>
            <w:tcBorders>
              <w:top w:val="single" w:sz="4" w:space="0" w:color="000000"/>
              <w:left w:val="single" w:sz="4" w:space="0" w:color="000000"/>
              <w:bottom w:val="single" w:sz="4" w:space="0" w:color="000000"/>
              <w:right w:val="single" w:sz="4" w:space="0" w:color="000000"/>
            </w:tcBorders>
          </w:tcPr>
          <w:p>
            <w:pPr/>
          </w:p>
        </w:tc>
        <w:tc>
          <w:tcPr>
            <w:tcW w:w="34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4" w:lineRule="auto"/>
              <w:ind w:left="23" w:right="31"/>
              <w:jc w:val="left"/>
              <w:rPr>
                <w:rFonts w:ascii="宋体" w:hAnsi="宋体" w:cs="宋体" w:eastAsia="宋体" w:hint="default"/>
                <w:sz w:val="18"/>
                <w:szCs w:val="18"/>
              </w:rPr>
            </w:pPr>
            <w:r>
              <w:rPr>
                <w:rFonts w:ascii="宋体" w:hAnsi="宋体" w:cs="宋体" w:eastAsia="宋体" w:hint="default"/>
                <w:sz w:val="18"/>
                <w:szCs w:val="18"/>
              </w:rPr>
              <w:t>与收益 相关</w:t>
            </w:r>
          </w:p>
        </w:tc>
      </w:tr>
      <w:tr>
        <w:trPr>
          <w:trHeight w:val="1028" w:hRule="exact"/>
        </w:trPr>
        <w:tc>
          <w:tcPr>
            <w:tcW w:w="26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7"/>
              <w:jc w:val="left"/>
              <w:rPr>
                <w:rFonts w:ascii="宋体" w:hAnsi="宋体" w:cs="宋体" w:eastAsia="宋体" w:hint="default"/>
                <w:sz w:val="18"/>
                <w:szCs w:val="18"/>
              </w:rPr>
            </w:pPr>
            <w:r>
              <w:rPr>
                <w:rFonts w:ascii="宋体" w:hAnsi="宋体" w:cs="宋体" w:eastAsia="宋体" w:hint="default"/>
                <w:sz w:val="18"/>
                <w:szCs w:val="18"/>
              </w:rPr>
              <w:t>广东省建筑节能与环境控制工程 技术研究中心（粤科规财字</w:t>
            </w:r>
          </w:p>
          <w:p>
            <w:pPr>
              <w:pStyle w:val="TableParagraph"/>
              <w:spacing w:line="240" w:lineRule="auto" w:before="19"/>
              <w:ind w:left="2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2014</w:t>
            </w:r>
            <w:r>
              <w:rPr>
                <w:rFonts w:ascii="宋体" w:hAnsi="宋体" w:cs="宋体" w:eastAsia="宋体" w:hint="default"/>
                <w:sz w:val="18"/>
                <w:szCs w:val="18"/>
              </w:rPr>
              <w:t>】</w:t>
            </w:r>
            <w:r>
              <w:rPr>
                <w:rFonts w:ascii="Times New Roman" w:hAnsi="Times New Roman" w:cs="Times New Roman" w:eastAsia="Times New Roman" w:hint="default"/>
                <w:sz w:val="18"/>
                <w:szCs w:val="18"/>
              </w:rPr>
              <w:t>205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200,000.00</w:t>
            </w:r>
          </w:p>
        </w:tc>
        <w:tc>
          <w:tcPr>
            <w:tcW w:w="1058" w:type="dxa"/>
            <w:tcBorders>
              <w:top w:val="single" w:sz="4" w:space="0" w:color="000000"/>
              <w:left w:val="single" w:sz="4" w:space="0" w:color="000000"/>
              <w:bottom w:val="single" w:sz="4" w:space="0" w:color="000000"/>
              <w:right w:val="single" w:sz="4" w:space="0" w:color="000000"/>
            </w:tcBorders>
          </w:tcPr>
          <w:p>
            <w:pPr/>
          </w:p>
        </w:tc>
        <w:tc>
          <w:tcPr>
            <w:tcW w:w="1244"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34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200,000.00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31"/>
              <w:jc w:val="left"/>
              <w:rPr>
                <w:rFonts w:ascii="宋体" w:hAnsi="宋体" w:cs="宋体" w:eastAsia="宋体" w:hint="default"/>
                <w:sz w:val="18"/>
                <w:szCs w:val="18"/>
              </w:rPr>
            </w:pPr>
            <w:r>
              <w:rPr>
                <w:rFonts w:ascii="宋体" w:hAnsi="宋体" w:cs="宋体" w:eastAsia="宋体" w:hint="default"/>
                <w:sz w:val="18"/>
                <w:szCs w:val="18"/>
              </w:rPr>
              <w:t>与收益 相关</w:t>
            </w:r>
          </w:p>
        </w:tc>
      </w:tr>
      <w:tr>
        <w:trPr>
          <w:trHeight w:val="713" w:hRule="exact"/>
        </w:trPr>
        <w:tc>
          <w:tcPr>
            <w:tcW w:w="263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77"/>
              <w:jc w:val="left"/>
              <w:rPr>
                <w:rFonts w:ascii="宋体" w:hAnsi="宋体" w:cs="宋体" w:eastAsia="宋体" w:hint="default"/>
                <w:sz w:val="18"/>
                <w:szCs w:val="18"/>
              </w:rPr>
            </w:pPr>
            <w:r>
              <w:rPr>
                <w:rFonts w:ascii="宋体" w:hAnsi="宋体" w:cs="宋体" w:eastAsia="宋体" w:hint="default"/>
                <w:sz w:val="18"/>
                <w:szCs w:val="18"/>
              </w:rPr>
              <w:t>深圳集中式空调能效管控技术工 程实验室</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5,000,000.00</w:t>
            </w:r>
          </w:p>
        </w:tc>
        <w:tc>
          <w:tcPr>
            <w:tcW w:w="1058" w:type="dxa"/>
            <w:tcBorders>
              <w:top w:val="single" w:sz="4" w:space="0" w:color="000000"/>
              <w:left w:val="single" w:sz="4" w:space="0" w:color="000000"/>
              <w:bottom w:val="single" w:sz="4" w:space="0" w:color="000000"/>
              <w:right w:val="single" w:sz="4" w:space="0" w:color="000000"/>
            </w:tcBorders>
          </w:tcPr>
          <w:p>
            <w:pPr/>
          </w:p>
        </w:tc>
        <w:tc>
          <w:tcPr>
            <w:tcW w:w="1244"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5,000,000.00</w:t>
            </w:r>
          </w:p>
        </w:tc>
        <w:tc>
          <w:tcPr>
            <w:tcW w:w="631" w:type="dxa"/>
            <w:tcBorders>
              <w:top w:val="single" w:sz="4" w:space="0" w:color="000000"/>
              <w:left w:val="single" w:sz="4" w:space="0" w:color="000000"/>
              <w:bottom w:val="single" w:sz="4" w:space="0" w:color="000000"/>
              <w:right w:val="single" w:sz="4" w:space="0" w:color="000000"/>
            </w:tcBorders>
          </w:tcPr>
          <w:p>
            <w:pPr/>
          </w:p>
        </w:tc>
        <w:tc>
          <w:tcPr>
            <w:tcW w:w="34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3" w:right="31"/>
              <w:jc w:val="left"/>
              <w:rPr>
                <w:rFonts w:ascii="宋体" w:hAnsi="宋体" w:cs="宋体" w:eastAsia="宋体" w:hint="default"/>
                <w:sz w:val="18"/>
                <w:szCs w:val="18"/>
              </w:rPr>
            </w:pPr>
            <w:r>
              <w:rPr>
                <w:rFonts w:ascii="宋体" w:hAnsi="宋体" w:cs="宋体" w:eastAsia="宋体" w:hint="default"/>
                <w:sz w:val="18"/>
                <w:szCs w:val="18"/>
              </w:rPr>
              <w:t>与资产 相关</w:t>
            </w:r>
          </w:p>
        </w:tc>
      </w:tr>
      <w:tr>
        <w:trPr>
          <w:trHeight w:val="986" w:hRule="exact"/>
        </w:trPr>
        <w:tc>
          <w:tcPr>
            <w:tcW w:w="26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7"/>
              <w:jc w:val="left"/>
              <w:rPr>
                <w:rFonts w:ascii="宋体" w:hAnsi="宋体" w:cs="宋体" w:eastAsia="宋体" w:hint="default"/>
                <w:sz w:val="18"/>
                <w:szCs w:val="18"/>
              </w:rPr>
            </w:pPr>
            <w:r>
              <w:rPr>
                <w:rFonts w:ascii="宋体" w:hAnsi="宋体" w:cs="宋体" w:eastAsia="宋体" w:hint="default"/>
                <w:sz w:val="18"/>
                <w:szCs w:val="18"/>
              </w:rPr>
              <w:t>深圳市财政委员会关于节能工 程、循环经济和资源节约重大示 范项目及重大污染治理工程政府</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right="19"/>
              <w:jc w:val="right"/>
              <w:rPr>
                <w:rFonts w:ascii="Times New Roman" w:hAnsi="Times New Roman" w:cs="Times New Roman" w:eastAsia="Times New Roman" w:hint="default"/>
                <w:sz w:val="18"/>
                <w:szCs w:val="18"/>
              </w:rPr>
            </w:pPr>
            <w:r>
              <w:rPr>
                <w:rFonts w:ascii="Times New Roman"/>
                <w:spacing w:val="-1"/>
                <w:sz w:val="18"/>
              </w:rPr>
              <w:t>800,000.00</w:t>
            </w:r>
          </w:p>
        </w:tc>
        <w:tc>
          <w:tcPr>
            <w:tcW w:w="1058" w:type="dxa"/>
            <w:tcBorders>
              <w:top w:val="single" w:sz="4" w:space="0" w:color="000000"/>
              <w:left w:val="single" w:sz="4" w:space="0" w:color="000000"/>
              <w:bottom w:val="single" w:sz="4" w:space="0" w:color="000000"/>
              <w:right w:val="single" w:sz="4" w:space="0" w:color="000000"/>
            </w:tcBorders>
          </w:tcPr>
          <w:p>
            <w:pPr/>
          </w:p>
        </w:tc>
        <w:tc>
          <w:tcPr>
            <w:tcW w:w="1244"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34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right="21"/>
              <w:jc w:val="right"/>
              <w:rPr>
                <w:rFonts w:ascii="Times New Roman" w:hAnsi="Times New Roman" w:cs="Times New Roman" w:eastAsia="Times New Roman" w:hint="default"/>
                <w:sz w:val="18"/>
                <w:szCs w:val="18"/>
              </w:rPr>
            </w:pPr>
            <w:r>
              <w:rPr>
                <w:rFonts w:ascii="Times New Roman"/>
                <w:spacing w:val="-1"/>
                <w:sz w:val="18"/>
              </w:rPr>
              <w:t>800,000.00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316" w:lineRule="auto"/>
              <w:ind w:left="23" w:right="31"/>
              <w:jc w:val="left"/>
              <w:rPr>
                <w:rFonts w:ascii="宋体" w:hAnsi="宋体" w:cs="宋体" w:eastAsia="宋体" w:hint="default"/>
                <w:sz w:val="18"/>
                <w:szCs w:val="18"/>
              </w:rPr>
            </w:pPr>
            <w:r>
              <w:rPr>
                <w:rFonts w:ascii="宋体" w:hAnsi="宋体" w:cs="宋体" w:eastAsia="宋体" w:hint="default"/>
                <w:sz w:val="18"/>
                <w:szCs w:val="18"/>
              </w:rPr>
              <w:t>与收益 相关</w:t>
            </w:r>
          </w:p>
        </w:tc>
      </w:tr>
    </w:tbl>
    <w:p>
      <w:pPr>
        <w:spacing w:after="0" w:line="316"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19" w:type="dxa"/>
        <w:tblLayout w:type="fixed"/>
        <w:tblCellMar>
          <w:top w:w="0" w:type="dxa"/>
          <w:left w:w="0" w:type="dxa"/>
          <w:bottom w:w="0" w:type="dxa"/>
          <w:right w:w="0" w:type="dxa"/>
        </w:tblCellMar>
        <w:tblLook w:val="01E0"/>
      </w:tblPr>
      <w:tblGrid>
        <w:gridCol w:w="2633"/>
        <w:gridCol w:w="1090"/>
        <w:gridCol w:w="1058"/>
        <w:gridCol w:w="1244"/>
        <w:gridCol w:w="1001"/>
        <w:gridCol w:w="631"/>
        <w:gridCol w:w="341"/>
        <w:gridCol w:w="1092"/>
        <w:gridCol w:w="607"/>
      </w:tblGrid>
      <w:tr>
        <w:trPr>
          <w:trHeight w:val="363" w:hRule="exact"/>
        </w:trPr>
        <w:tc>
          <w:tcPr>
            <w:tcW w:w="2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90" w:type="dxa"/>
            <w:tcBorders>
              <w:top w:val="single" w:sz="4" w:space="0" w:color="000000"/>
              <w:left w:val="single" w:sz="4" w:space="0" w:color="000000"/>
              <w:bottom w:val="single" w:sz="4" w:space="0" w:color="000000"/>
              <w:right w:val="single" w:sz="4" w:space="0" w:color="000000"/>
            </w:tcBorders>
          </w:tcPr>
          <w:p>
            <w:pPr/>
          </w:p>
        </w:tc>
        <w:tc>
          <w:tcPr>
            <w:tcW w:w="1058" w:type="dxa"/>
            <w:tcBorders>
              <w:top w:val="single" w:sz="4" w:space="0" w:color="000000"/>
              <w:left w:val="single" w:sz="4" w:space="0" w:color="000000"/>
              <w:bottom w:val="single" w:sz="4" w:space="0" w:color="000000"/>
              <w:right w:val="single" w:sz="4" w:space="0" w:color="000000"/>
            </w:tcBorders>
          </w:tcPr>
          <w:p>
            <w:pPr/>
          </w:p>
        </w:tc>
        <w:tc>
          <w:tcPr>
            <w:tcW w:w="1244"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34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60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6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7"/>
              <w:jc w:val="left"/>
              <w:rPr>
                <w:rFonts w:ascii="宋体" w:hAnsi="宋体" w:cs="宋体" w:eastAsia="宋体" w:hint="default"/>
                <w:sz w:val="18"/>
                <w:szCs w:val="18"/>
              </w:rPr>
            </w:pPr>
            <w:r>
              <w:rPr>
                <w:rFonts w:ascii="宋体" w:hAnsi="宋体" w:cs="宋体" w:eastAsia="宋体" w:hint="default"/>
                <w:sz w:val="18"/>
                <w:szCs w:val="18"/>
              </w:rPr>
              <w:t>基于物联网大数据的智慧能源监 控系统关键技术研发</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center"/>
              <w:rPr>
                <w:rFonts w:ascii="Times New Roman" w:hAnsi="Times New Roman" w:cs="Times New Roman" w:eastAsia="Times New Roman" w:hint="default"/>
                <w:sz w:val="18"/>
                <w:szCs w:val="18"/>
              </w:rPr>
            </w:pPr>
            <w:r>
              <w:rPr>
                <w:rFonts w:ascii="Times New Roman"/>
                <w:sz w:val="18"/>
              </w:rPr>
              <w:t>4,000,000.00</w:t>
            </w:r>
          </w:p>
        </w:tc>
        <w:tc>
          <w:tcPr>
            <w:tcW w:w="1058" w:type="dxa"/>
            <w:tcBorders>
              <w:top w:val="single" w:sz="4" w:space="0" w:color="000000"/>
              <w:left w:val="single" w:sz="4" w:space="0" w:color="000000"/>
              <w:bottom w:val="single" w:sz="4" w:space="0" w:color="000000"/>
              <w:right w:val="single" w:sz="4" w:space="0" w:color="000000"/>
            </w:tcBorders>
          </w:tcPr>
          <w:p>
            <w:pPr/>
          </w:p>
        </w:tc>
        <w:tc>
          <w:tcPr>
            <w:tcW w:w="1244"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34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center"/>
              <w:rPr>
                <w:rFonts w:ascii="Times New Roman" w:hAnsi="Times New Roman" w:cs="Times New Roman" w:eastAsia="Times New Roman" w:hint="default"/>
                <w:sz w:val="18"/>
                <w:szCs w:val="18"/>
              </w:rPr>
            </w:pPr>
            <w:r>
              <w:rPr>
                <w:rFonts w:ascii="Times New Roman"/>
                <w:sz w:val="18"/>
              </w:rPr>
              <w:t>4,000,000.00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31"/>
              <w:jc w:val="left"/>
              <w:rPr>
                <w:rFonts w:ascii="宋体" w:hAnsi="宋体" w:cs="宋体" w:eastAsia="宋体" w:hint="default"/>
                <w:sz w:val="18"/>
                <w:szCs w:val="18"/>
              </w:rPr>
            </w:pPr>
            <w:r>
              <w:rPr>
                <w:rFonts w:ascii="宋体" w:hAnsi="宋体" w:cs="宋体" w:eastAsia="宋体" w:hint="default"/>
                <w:sz w:val="18"/>
                <w:szCs w:val="18"/>
              </w:rPr>
              <w:t>与收益 相关</w:t>
            </w:r>
          </w:p>
        </w:tc>
      </w:tr>
      <w:tr>
        <w:trPr>
          <w:trHeight w:val="715" w:hRule="exact"/>
        </w:trPr>
        <w:tc>
          <w:tcPr>
            <w:tcW w:w="26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7"/>
              <w:jc w:val="left"/>
              <w:rPr>
                <w:rFonts w:ascii="宋体" w:hAnsi="宋体" w:cs="宋体" w:eastAsia="宋体" w:hint="default"/>
                <w:sz w:val="18"/>
                <w:szCs w:val="18"/>
              </w:rPr>
            </w:pPr>
            <w:r>
              <w:rPr>
                <w:rFonts w:ascii="宋体" w:hAnsi="宋体" w:cs="宋体" w:eastAsia="宋体" w:hint="default"/>
                <w:sz w:val="18"/>
                <w:szCs w:val="18"/>
              </w:rPr>
              <w:t>全围术期智能手术室成套系统的 研发及产业化项目</w:t>
            </w:r>
          </w:p>
        </w:tc>
        <w:tc>
          <w:tcPr>
            <w:tcW w:w="1090" w:type="dxa"/>
            <w:tcBorders>
              <w:top w:val="single" w:sz="4" w:space="0" w:color="000000"/>
              <w:left w:val="single" w:sz="4" w:space="0" w:color="000000"/>
              <w:bottom w:val="single" w:sz="4" w:space="0" w:color="000000"/>
              <w:right w:val="single" w:sz="4" w:space="0" w:color="000000"/>
            </w:tcBorders>
          </w:tcPr>
          <w:p>
            <w:pP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3,500,000.00</w:t>
            </w:r>
          </w:p>
        </w:tc>
        <w:tc>
          <w:tcPr>
            <w:tcW w:w="1244"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34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center"/>
              <w:rPr>
                <w:rFonts w:ascii="Times New Roman" w:hAnsi="Times New Roman" w:cs="Times New Roman" w:eastAsia="Times New Roman" w:hint="default"/>
                <w:sz w:val="18"/>
                <w:szCs w:val="18"/>
              </w:rPr>
            </w:pPr>
            <w:r>
              <w:rPr>
                <w:rFonts w:ascii="Times New Roman"/>
                <w:sz w:val="18"/>
              </w:rPr>
              <w:t>3,500,000.00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31"/>
              <w:jc w:val="left"/>
              <w:rPr>
                <w:rFonts w:ascii="宋体" w:hAnsi="宋体" w:cs="宋体" w:eastAsia="宋体" w:hint="default"/>
                <w:sz w:val="18"/>
                <w:szCs w:val="18"/>
              </w:rPr>
            </w:pPr>
            <w:r>
              <w:rPr>
                <w:rFonts w:ascii="宋体" w:hAnsi="宋体" w:cs="宋体" w:eastAsia="宋体" w:hint="default"/>
                <w:sz w:val="18"/>
                <w:szCs w:val="18"/>
              </w:rPr>
              <w:t>与收益 相关</w:t>
            </w:r>
          </w:p>
        </w:tc>
      </w:tr>
      <w:tr>
        <w:trPr>
          <w:trHeight w:val="401" w:hRule="exact"/>
        </w:trPr>
        <w:tc>
          <w:tcPr>
            <w:tcW w:w="2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19,720,000.00</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0" w:right="0"/>
              <w:jc w:val="center"/>
              <w:rPr>
                <w:rFonts w:ascii="Times New Roman" w:hAnsi="Times New Roman" w:cs="Times New Roman" w:eastAsia="Times New Roman" w:hint="default"/>
                <w:sz w:val="18"/>
                <w:szCs w:val="18"/>
              </w:rPr>
            </w:pPr>
            <w:r>
              <w:rPr>
                <w:rFonts w:ascii="Times New Roman"/>
                <w:sz w:val="18"/>
              </w:rPr>
              <w:t>3,500,000.00</w:t>
            </w:r>
          </w:p>
        </w:tc>
        <w:tc>
          <w:tcPr>
            <w:tcW w:w="1244"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7,220,000.00</w:t>
            </w:r>
          </w:p>
        </w:tc>
        <w:tc>
          <w:tcPr>
            <w:tcW w:w="631" w:type="dxa"/>
            <w:tcBorders>
              <w:top w:val="single" w:sz="4" w:space="0" w:color="000000"/>
              <w:left w:val="single" w:sz="4" w:space="0" w:color="000000"/>
              <w:bottom w:val="single" w:sz="4" w:space="0" w:color="000000"/>
              <w:right w:val="single" w:sz="4" w:space="0" w:color="000000"/>
            </w:tcBorders>
          </w:tcPr>
          <w:p>
            <w:pPr/>
          </w:p>
        </w:tc>
        <w:tc>
          <w:tcPr>
            <w:tcW w:w="341"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16,000,000.00</w:t>
            </w:r>
          </w:p>
        </w:tc>
        <w:tc>
          <w:tcPr>
            <w:tcW w:w="607"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33、股本" w:id="314"/>
      <w:bookmarkEnd w:id="314"/>
      <w:r>
        <w:rPr>
          <w:b w:val="0"/>
          <w:bCs w:val="0"/>
        </w:rPr>
      </w:r>
      <w:r>
        <w:rPr>
          <w:rFonts w:ascii="Times New Roman" w:hAnsi="Times New Roman" w:cs="Times New Roman" w:eastAsia="Times New Roman" w:hint="default"/>
        </w:rPr>
        <w:t>33</w:t>
      </w:r>
      <w:r>
        <w:rPr/>
        <w:t>、股本</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31" w:type="dxa"/>
        <w:tblLayout w:type="fixed"/>
        <w:tblCellMar>
          <w:top w:w="0" w:type="dxa"/>
          <w:left w:w="0" w:type="dxa"/>
          <w:bottom w:w="0" w:type="dxa"/>
          <w:right w:w="0" w:type="dxa"/>
        </w:tblCellMar>
        <w:tblLook w:val="01E0"/>
      </w:tblPr>
      <w:tblGrid>
        <w:gridCol w:w="1008"/>
        <w:gridCol w:w="1743"/>
        <w:gridCol w:w="1421"/>
        <w:gridCol w:w="547"/>
        <w:gridCol w:w="1256"/>
        <w:gridCol w:w="547"/>
        <w:gridCol w:w="1435"/>
        <w:gridCol w:w="1729"/>
      </w:tblGrid>
      <w:tr>
        <w:trPr>
          <w:trHeight w:val="206" w:hRule="exact"/>
        </w:trPr>
        <w:tc>
          <w:tcPr>
            <w:tcW w:w="1008" w:type="dxa"/>
            <w:tcBorders>
              <w:top w:val="single" w:sz="4" w:space="0" w:color="000000"/>
              <w:left w:val="single" w:sz="4" w:space="0" w:color="000000"/>
              <w:bottom w:val="nil" w:sz="6" w:space="0" w:color="auto"/>
              <w:right w:val="single" w:sz="4" w:space="0" w:color="000000"/>
            </w:tcBorders>
            <w:shd w:val="clear" w:color="auto" w:fill="D2D2D2"/>
          </w:tcPr>
          <w:p>
            <w:pPr/>
          </w:p>
        </w:tc>
        <w:tc>
          <w:tcPr>
            <w:tcW w:w="1743" w:type="dxa"/>
            <w:tcBorders>
              <w:top w:val="single" w:sz="4" w:space="0" w:color="000000"/>
              <w:left w:val="single" w:sz="4" w:space="0" w:color="000000"/>
              <w:bottom w:val="nil" w:sz="6" w:space="0" w:color="auto"/>
              <w:right w:val="single" w:sz="4" w:space="0" w:color="000000"/>
            </w:tcBorders>
            <w:shd w:val="clear" w:color="auto" w:fill="D2D2D2"/>
          </w:tcPr>
          <w:p>
            <w:pPr/>
          </w:p>
        </w:tc>
        <w:tc>
          <w:tcPr>
            <w:tcW w:w="5205"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701" w:right="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72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0" w:hRule="exact"/>
        </w:trPr>
        <w:tc>
          <w:tcPr>
            <w:tcW w:w="1008" w:type="dxa"/>
            <w:vMerge w:val="restart"/>
            <w:tcBorders>
              <w:top w:val="nil" w:sz="6" w:space="0" w:color="auto"/>
              <w:left w:val="single" w:sz="4" w:space="0" w:color="000000"/>
              <w:right w:val="single" w:sz="4" w:space="0" w:color="000000"/>
            </w:tcBorders>
            <w:shd w:val="clear" w:color="auto" w:fill="D2D2D2"/>
          </w:tcPr>
          <w:p>
            <w:pPr/>
          </w:p>
        </w:tc>
        <w:tc>
          <w:tcPr>
            <w:tcW w:w="174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49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205" w:type="dxa"/>
            <w:gridSpan w:val="5"/>
            <w:vMerge/>
            <w:tcBorders>
              <w:left w:val="single" w:sz="4" w:space="0" w:color="000000"/>
              <w:bottom w:val="single" w:sz="4" w:space="0" w:color="000000"/>
              <w:right w:val="single" w:sz="4" w:space="0" w:color="000000"/>
            </w:tcBorders>
            <w:shd w:val="clear" w:color="auto" w:fill="D2D2D2"/>
          </w:tcPr>
          <w:p>
            <w:pPr/>
          </w:p>
        </w:tc>
        <w:tc>
          <w:tcPr>
            <w:tcW w:w="172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49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202" w:hRule="exact"/>
        </w:trPr>
        <w:tc>
          <w:tcPr>
            <w:tcW w:w="1008" w:type="dxa"/>
            <w:vMerge/>
            <w:tcBorders>
              <w:left w:val="single" w:sz="4" w:space="0" w:color="000000"/>
              <w:bottom w:val="nil" w:sz="6" w:space="0" w:color="auto"/>
              <w:right w:val="single" w:sz="4" w:space="0" w:color="000000"/>
            </w:tcBorders>
            <w:shd w:val="clear" w:color="auto" w:fill="D2D2D2"/>
          </w:tcPr>
          <w:p>
            <w:pPr/>
          </w:p>
        </w:tc>
        <w:tc>
          <w:tcPr>
            <w:tcW w:w="1743" w:type="dxa"/>
            <w:vMerge/>
            <w:tcBorders>
              <w:left w:val="single" w:sz="4" w:space="0" w:color="000000"/>
              <w:bottom w:val="nil" w:sz="6" w:space="0" w:color="auto"/>
              <w:right w:val="single" w:sz="4" w:space="0" w:color="000000"/>
            </w:tcBorders>
            <w:shd w:val="clear" w:color="auto" w:fill="D2D2D2"/>
          </w:tcPr>
          <w:p>
            <w:pPr/>
          </w:p>
        </w:tc>
        <w:tc>
          <w:tcPr>
            <w:tcW w:w="142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340"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54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88"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125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172"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54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8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729"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1008" w:type="dxa"/>
            <w:tcBorders>
              <w:top w:val="nil" w:sz="6" w:space="0" w:color="auto"/>
              <w:left w:val="single" w:sz="4" w:space="0" w:color="000000"/>
              <w:bottom w:val="single" w:sz="4" w:space="0" w:color="000000"/>
              <w:right w:val="single" w:sz="4" w:space="0" w:color="000000"/>
            </w:tcBorders>
            <w:shd w:val="clear" w:color="auto" w:fill="D2D2D2"/>
          </w:tcPr>
          <w:p>
            <w:pPr/>
          </w:p>
        </w:tc>
        <w:tc>
          <w:tcPr>
            <w:tcW w:w="1743" w:type="dxa"/>
            <w:tcBorders>
              <w:top w:val="nil" w:sz="6" w:space="0" w:color="auto"/>
              <w:left w:val="single" w:sz="4" w:space="0" w:color="000000"/>
              <w:bottom w:val="single" w:sz="4" w:space="0" w:color="000000"/>
              <w:right w:val="single" w:sz="4" w:space="0" w:color="000000"/>
            </w:tcBorders>
            <w:shd w:val="clear" w:color="auto" w:fill="D2D2D2"/>
          </w:tcPr>
          <w:p>
            <w:pPr/>
          </w:p>
        </w:tc>
        <w:tc>
          <w:tcPr>
            <w:tcW w:w="1421" w:type="dxa"/>
            <w:vMerge/>
            <w:tcBorders>
              <w:left w:val="single" w:sz="4" w:space="0" w:color="000000"/>
              <w:bottom w:val="single" w:sz="4" w:space="0" w:color="000000"/>
              <w:right w:val="single" w:sz="4" w:space="0" w:color="000000"/>
            </w:tcBorders>
            <w:shd w:val="clear" w:color="auto" w:fill="D2D2D2"/>
          </w:tcPr>
          <w:p>
            <w:pPr/>
          </w:p>
        </w:tc>
        <w:tc>
          <w:tcPr>
            <w:tcW w:w="547" w:type="dxa"/>
            <w:vMerge/>
            <w:tcBorders>
              <w:left w:val="single" w:sz="4" w:space="0" w:color="000000"/>
              <w:bottom w:val="single" w:sz="4" w:space="0" w:color="000000"/>
              <w:right w:val="single" w:sz="4" w:space="0" w:color="000000"/>
            </w:tcBorders>
            <w:shd w:val="clear" w:color="auto" w:fill="D2D2D2"/>
          </w:tcPr>
          <w:p>
            <w:pPr/>
          </w:p>
        </w:tc>
        <w:tc>
          <w:tcPr>
            <w:tcW w:w="1256" w:type="dxa"/>
            <w:vMerge/>
            <w:tcBorders>
              <w:left w:val="single" w:sz="4" w:space="0" w:color="000000"/>
              <w:bottom w:val="single" w:sz="4" w:space="0" w:color="000000"/>
              <w:right w:val="single" w:sz="4" w:space="0" w:color="000000"/>
            </w:tcBorders>
            <w:shd w:val="clear" w:color="auto" w:fill="D2D2D2"/>
          </w:tcPr>
          <w:p>
            <w:pPr/>
          </w:p>
        </w:tc>
        <w:tc>
          <w:tcPr>
            <w:tcW w:w="547" w:type="dxa"/>
            <w:vMerge/>
            <w:tcBorders>
              <w:left w:val="single" w:sz="4" w:space="0" w:color="000000"/>
              <w:bottom w:val="single" w:sz="4" w:space="0" w:color="000000"/>
              <w:right w:val="single" w:sz="4" w:space="0" w:color="000000"/>
            </w:tcBorders>
            <w:shd w:val="clear" w:color="auto" w:fill="D2D2D2"/>
          </w:tcPr>
          <w:p>
            <w:pPr/>
          </w:p>
        </w:tc>
        <w:tc>
          <w:tcPr>
            <w:tcW w:w="1435" w:type="dxa"/>
            <w:vMerge/>
            <w:tcBorders>
              <w:left w:val="single" w:sz="4" w:space="0" w:color="000000"/>
              <w:bottom w:val="single" w:sz="4" w:space="0" w:color="000000"/>
              <w:right w:val="single" w:sz="4" w:space="0" w:color="000000"/>
            </w:tcBorders>
            <w:shd w:val="clear" w:color="auto" w:fill="D2D2D2"/>
          </w:tcPr>
          <w:p>
            <w:pPr/>
          </w:p>
        </w:tc>
        <w:tc>
          <w:tcPr>
            <w:tcW w:w="172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1" w:hRule="exact"/>
        </w:trPr>
        <w:tc>
          <w:tcPr>
            <w:tcW w:w="10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74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429" w:right="0"/>
              <w:jc w:val="left"/>
              <w:rPr>
                <w:rFonts w:ascii="Times New Roman" w:hAnsi="Times New Roman" w:cs="Times New Roman" w:eastAsia="Times New Roman" w:hint="default"/>
                <w:sz w:val="18"/>
                <w:szCs w:val="18"/>
              </w:rPr>
            </w:pPr>
            <w:r>
              <w:rPr>
                <w:rFonts w:ascii="Times New Roman"/>
                <w:sz w:val="18"/>
              </w:rPr>
              <w:t>1,902,159,229.00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5" w:right="0"/>
              <w:jc w:val="left"/>
              <w:rPr>
                <w:rFonts w:ascii="Times New Roman" w:hAnsi="Times New Roman" w:cs="Times New Roman" w:eastAsia="Times New Roman" w:hint="default"/>
                <w:sz w:val="18"/>
                <w:szCs w:val="18"/>
              </w:rPr>
            </w:pPr>
            <w:r>
              <w:rPr>
                <w:rFonts w:ascii="Times New Roman"/>
                <w:sz w:val="18"/>
              </w:rPr>
              <w:t>32,880,000.00</w:t>
            </w:r>
          </w:p>
        </w:tc>
        <w:tc>
          <w:tcPr>
            <w:tcW w:w="547"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
        </w:tc>
        <w:tc>
          <w:tcPr>
            <w:tcW w:w="547" w:type="dxa"/>
            <w:tcBorders>
              <w:top w:val="single" w:sz="4" w:space="0" w:color="000000"/>
              <w:left w:val="single" w:sz="4" w:space="0" w:color="000000"/>
              <w:bottom w:val="single" w:sz="4" w:space="0" w:color="000000"/>
              <w:right w:val="single" w:sz="4" w:space="0" w:color="000000"/>
            </w:tcBorders>
          </w:tcPr>
          <w:p>
            <w:pPr/>
          </w:p>
        </w:tc>
        <w:tc>
          <w:tcPr>
            <w:tcW w:w="14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7" w:right="0"/>
              <w:jc w:val="left"/>
              <w:rPr>
                <w:rFonts w:ascii="Times New Roman" w:hAnsi="Times New Roman" w:cs="Times New Roman" w:eastAsia="Times New Roman" w:hint="default"/>
                <w:sz w:val="18"/>
                <w:szCs w:val="18"/>
              </w:rPr>
            </w:pPr>
            <w:r>
              <w:rPr>
                <w:rFonts w:ascii="Times New Roman"/>
                <w:sz w:val="18"/>
              </w:rPr>
              <w:t>32,880,000.00</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5" w:right="0"/>
              <w:jc w:val="left"/>
              <w:rPr>
                <w:rFonts w:ascii="Times New Roman" w:hAnsi="Times New Roman" w:cs="Times New Roman" w:eastAsia="Times New Roman" w:hint="default"/>
                <w:sz w:val="18"/>
                <w:szCs w:val="18"/>
              </w:rPr>
            </w:pPr>
            <w:r>
              <w:rPr>
                <w:rFonts w:ascii="Times New Roman"/>
                <w:sz w:val="18"/>
              </w:rPr>
              <w:t>1,935,039,229.00</w:t>
            </w:r>
          </w:p>
        </w:tc>
      </w:tr>
    </w:tbl>
    <w:p>
      <w:pPr>
        <w:spacing w:line="240" w:lineRule="auto" w:before="1"/>
        <w:rPr>
          <w:rFonts w:ascii="宋体" w:hAnsi="宋体" w:cs="宋体" w:eastAsia="宋体" w:hint="default"/>
          <w:sz w:val="21"/>
          <w:szCs w:val="21"/>
        </w:rPr>
      </w:pPr>
    </w:p>
    <w:p>
      <w:pPr>
        <w:pStyle w:val="BodyText"/>
        <w:spacing w:line="309" w:lineRule="auto" w:before="44"/>
        <w:ind w:right="1129" w:firstLine="420"/>
        <w:jc w:val="both"/>
      </w:pP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8</w:t>
      </w:r>
      <w:r>
        <w:rPr>
          <w:spacing w:val="-2"/>
        </w:rPr>
        <w:t>月</w:t>
      </w:r>
      <w:r>
        <w:rPr>
          <w:rFonts w:ascii="Times New Roman" w:hAnsi="Times New Roman" w:cs="Times New Roman" w:eastAsia="Times New Roman" w:hint="default"/>
          <w:spacing w:val="-2"/>
        </w:rPr>
        <w:t>19</w:t>
      </w:r>
      <w:r>
        <w:rPr>
          <w:spacing w:val="-2"/>
        </w:rPr>
        <w:t>日，公司召开第六届董事会第二十七次会议、第六届监事会第十六次会议，审议通过了《关于调整第三期</w:t>
      </w:r>
      <w:r>
        <w:rPr/>
        <w:t> </w:t>
      </w:r>
      <w:r>
        <w:rPr>
          <w:spacing w:val="-2"/>
        </w:rPr>
        <w:t>限制性股票激励计划相关事项的议案》《关于向激励对象授予第三期限制性股票的议案》，本次限制性股票激励计划的授予</w:t>
      </w:r>
      <w:r>
        <w:rPr>
          <w:spacing w:val="-64"/>
        </w:rPr>
        <w:t> </w:t>
      </w:r>
      <w:r>
        <w:rPr>
          <w:spacing w:val="-64"/>
        </w:rPr>
      </w:r>
      <w:r>
        <w:rPr/>
        <w:t>日为</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19</w:t>
      </w:r>
      <w:r>
        <w:rPr/>
        <w:t>日，向激励对象授予</w:t>
      </w:r>
      <w:r>
        <w:rPr>
          <w:rFonts w:ascii="Times New Roman" w:hAnsi="Times New Roman" w:cs="Times New Roman" w:eastAsia="Times New Roman" w:hint="default"/>
        </w:rPr>
        <w:t>3,288</w:t>
      </w:r>
      <w:r>
        <w:rPr/>
        <w:t>万股限制性股票。</w:t>
      </w:r>
    </w:p>
    <w:p>
      <w:pPr>
        <w:spacing w:line="240" w:lineRule="auto" w:before="10"/>
        <w:rPr>
          <w:rFonts w:ascii="宋体" w:hAnsi="宋体" w:cs="宋体" w:eastAsia="宋体" w:hint="default"/>
          <w:sz w:val="21"/>
          <w:szCs w:val="21"/>
        </w:rPr>
      </w:pPr>
    </w:p>
    <w:p>
      <w:pPr>
        <w:pStyle w:val="Heading4"/>
        <w:spacing w:line="240" w:lineRule="auto"/>
        <w:ind w:right="1133"/>
        <w:jc w:val="left"/>
        <w:rPr>
          <w:b w:val="0"/>
          <w:bCs w:val="0"/>
        </w:rPr>
      </w:pPr>
      <w:bookmarkStart w:name="34、资本公积" w:id="315"/>
      <w:bookmarkEnd w:id="315"/>
      <w:r>
        <w:rPr>
          <w:b w:val="0"/>
          <w:bCs w:val="0"/>
        </w:rPr>
      </w:r>
      <w:r>
        <w:rPr>
          <w:rFonts w:ascii="Times New Roman" w:hAnsi="Times New Roman" w:cs="Times New Roman" w:eastAsia="Times New Roman" w:hint="default"/>
        </w:rPr>
        <w:t>34</w:t>
      </w:r>
      <w:r>
        <w:rPr/>
        <w:t>、资本公积</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6"/>
        <w:gridCol w:w="1913"/>
        <w:gridCol w:w="1916"/>
      </w:tblGrid>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151,952,792.09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29,632,026.27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17,667,431.52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163,917,386.84</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1,462,766.32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5,114,319.57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17,765.00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6,559,320.89</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153,415,558.41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34,746,345.84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17,685,196.52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170,476,707.73</w:t>
            </w:r>
          </w:p>
        </w:tc>
      </w:tr>
    </w:tbl>
    <w:p>
      <w:pPr>
        <w:pStyle w:val="BodyText"/>
        <w:spacing w:line="240" w:lineRule="auto" w:before="49"/>
        <w:ind w:right="1133"/>
        <w:jc w:val="left"/>
      </w:pPr>
      <w:r>
        <w:rPr/>
        <w:t>其他说明，包括本期增减变动情况、变动原因说明：</w:t>
      </w:r>
    </w:p>
    <w:p>
      <w:pPr>
        <w:pStyle w:val="BodyText"/>
        <w:spacing w:line="300" w:lineRule="auto" w:before="115"/>
        <w:ind w:right="1113"/>
        <w:jc w:val="left"/>
      </w:pPr>
      <w:r>
        <w:rPr/>
        <w:t>（</w:t>
      </w:r>
      <w:r>
        <w:rPr>
          <w:rFonts w:ascii="Times New Roman" w:hAnsi="Times New Roman" w:cs="Times New Roman" w:eastAsia="Times New Roman" w:hint="default"/>
        </w:rPr>
        <w:t>1</w:t>
      </w:r>
      <w:r>
        <w:rPr/>
        <w:t>）本报告期资本溢价（股本溢价）增加系公司限制性股票激励形成的股本溢价</w:t>
      </w:r>
      <w:r>
        <w:rPr>
          <w:rFonts w:ascii="Times New Roman" w:hAnsi="Times New Roman" w:cs="Times New Roman" w:eastAsia="Times New Roman" w:hint="default"/>
        </w:rPr>
        <w:t>29,592,000.00</w:t>
      </w:r>
      <w:r>
        <w:rPr>
          <w:rFonts w:ascii="Times New Roman" w:hAnsi="Times New Roman" w:cs="Times New Roman" w:eastAsia="Times New Roman" w:hint="default"/>
          <w:spacing w:val="11"/>
        </w:rPr>
        <w:t> </w:t>
      </w:r>
      <w:r>
        <w:rPr/>
        <w:t>元；子公司达实租赁原少数 股东补缴出资形成股本溢价</w:t>
      </w:r>
      <w:r>
        <w:rPr>
          <w:rFonts w:ascii="Times New Roman" w:hAnsi="Times New Roman" w:cs="Times New Roman" w:eastAsia="Times New Roman" w:hint="default"/>
        </w:rPr>
        <w:t>40,026.27</w:t>
      </w:r>
      <w:r>
        <w:rPr/>
        <w:t>元。</w:t>
      </w:r>
    </w:p>
    <w:p>
      <w:pPr>
        <w:pStyle w:val="BodyText"/>
        <w:spacing w:line="240" w:lineRule="auto" w:before="13"/>
        <w:ind w:right="1133"/>
        <w:jc w:val="left"/>
      </w:pPr>
      <w:r>
        <w:rPr/>
        <w:t>（</w:t>
      </w:r>
      <w:r>
        <w:rPr>
          <w:rFonts w:ascii="Times New Roman" w:hAnsi="Times New Roman" w:cs="Times New Roman" w:eastAsia="Times New Roman" w:hint="default"/>
        </w:rPr>
        <w:t>2</w:t>
      </w:r>
      <w:r>
        <w:rPr/>
        <w:t>）本报告期资本溢价（股本溢价）减少系公司收购平行咨询股权减少资本公积</w:t>
      </w:r>
      <w:r>
        <w:rPr>
          <w:rFonts w:ascii="Times New Roman" w:hAnsi="Times New Roman" w:cs="Times New Roman" w:eastAsia="Times New Roman" w:hint="default"/>
        </w:rPr>
        <w:t>17,667,431.52</w:t>
      </w:r>
      <w:r>
        <w:rPr/>
        <w:t>元。</w:t>
      </w:r>
    </w:p>
    <w:p>
      <w:pPr>
        <w:pStyle w:val="BodyText"/>
        <w:spacing w:line="240" w:lineRule="auto" w:before="63"/>
        <w:ind w:right="1133"/>
        <w:jc w:val="left"/>
      </w:pPr>
      <w:r>
        <w:rPr/>
        <w:t>（</w:t>
      </w:r>
      <w:r>
        <w:rPr>
          <w:rFonts w:ascii="Times New Roman" w:hAnsi="Times New Roman" w:cs="Times New Roman" w:eastAsia="Times New Roman" w:hint="default"/>
        </w:rPr>
        <w:t>3</w:t>
      </w:r>
      <w:r>
        <w:rPr/>
        <w:t>）本报告期其他资本公积增加系公司限制性股票激励费用</w:t>
      </w:r>
      <w:r>
        <w:rPr>
          <w:rFonts w:ascii="Times New Roman" w:hAnsi="Times New Roman" w:cs="Times New Roman" w:eastAsia="Times New Roman" w:hint="default"/>
        </w:rPr>
        <w:t>5,092,633.33</w:t>
      </w:r>
      <w:r>
        <w:rPr/>
        <w:t>元；子公司股权处置增加资本公积</w:t>
      </w:r>
      <w:r>
        <w:rPr>
          <w:rFonts w:ascii="Times New Roman" w:hAnsi="Times New Roman" w:cs="Times New Roman" w:eastAsia="Times New Roman" w:hint="default"/>
        </w:rPr>
        <w:t>21,686.24</w:t>
      </w:r>
      <w:r>
        <w:rPr/>
        <w:t>元。</w:t>
      </w:r>
    </w:p>
    <w:p>
      <w:pPr>
        <w:pStyle w:val="BodyText"/>
        <w:spacing w:line="240" w:lineRule="auto" w:before="63"/>
        <w:ind w:right="1133"/>
        <w:jc w:val="left"/>
      </w:pPr>
      <w:r>
        <w:rPr/>
        <w:t>（</w:t>
      </w:r>
      <w:r>
        <w:rPr>
          <w:rFonts w:ascii="Times New Roman" w:hAnsi="Times New Roman" w:cs="Times New Roman" w:eastAsia="Times New Roman" w:hint="default"/>
        </w:rPr>
        <w:t>4</w:t>
      </w:r>
      <w:r>
        <w:rPr/>
        <w:t>）本报告期其他资本公积减少系公司限制性股票激励少数股东按持股比例应享有</w:t>
      </w:r>
      <w:r>
        <w:rPr>
          <w:rFonts w:ascii="Times New Roman" w:hAnsi="Times New Roman" w:cs="Times New Roman" w:eastAsia="Times New Roman" w:hint="default"/>
        </w:rPr>
        <w:t>17,765.00</w:t>
      </w:r>
      <w:r>
        <w:rPr/>
        <w:t>元。</w:t>
      </w:r>
    </w:p>
    <w:p>
      <w:pPr>
        <w:spacing w:line="240" w:lineRule="auto" w:before="3"/>
        <w:rPr>
          <w:rFonts w:ascii="宋体" w:hAnsi="宋体" w:cs="宋体" w:eastAsia="宋体" w:hint="default"/>
          <w:sz w:val="26"/>
          <w:szCs w:val="26"/>
        </w:rPr>
      </w:pPr>
    </w:p>
    <w:p>
      <w:pPr>
        <w:pStyle w:val="Heading4"/>
        <w:spacing w:line="240" w:lineRule="auto"/>
        <w:ind w:right="1133"/>
        <w:jc w:val="left"/>
        <w:rPr>
          <w:b w:val="0"/>
          <w:bCs w:val="0"/>
        </w:rPr>
      </w:pPr>
      <w:bookmarkStart w:name="35、库存股" w:id="316"/>
      <w:bookmarkEnd w:id="316"/>
      <w:r>
        <w:rPr>
          <w:b w:val="0"/>
          <w:bCs w:val="0"/>
        </w:rPr>
      </w:r>
      <w:r>
        <w:rPr>
          <w:rFonts w:ascii="Times New Roman" w:hAnsi="Times New Roman" w:cs="Times New Roman" w:eastAsia="Times New Roman" w:hint="default"/>
        </w:rPr>
        <w:t>35</w:t>
      </w:r>
      <w:r>
        <w:rPr/>
        <w:t>、库存股</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3"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7"/>
              <w:jc w:val="left"/>
              <w:rPr>
                <w:rFonts w:ascii="宋体" w:hAnsi="宋体" w:cs="宋体" w:eastAsia="宋体" w:hint="default"/>
                <w:sz w:val="18"/>
                <w:szCs w:val="18"/>
              </w:rPr>
            </w:pPr>
            <w:r>
              <w:rPr>
                <w:rFonts w:ascii="宋体" w:hAnsi="宋体" w:cs="宋体" w:eastAsia="宋体" w:hint="default"/>
                <w:sz w:val="18"/>
                <w:szCs w:val="18"/>
              </w:rPr>
              <w:t>股权激励授予限制性股 票的回购义务</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62,472,000.00</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62,472,000.00</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62,472,000.00</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62,472,000.00</w:t>
            </w:r>
          </w:p>
        </w:tc>
      </w:tr>
    </w:tbl>
    <w:p>
      <w:pPr>
        <w:pStyle w:val="BodyText"/>
        <w:spacing w:line="240" w:lineRule="auto" w:before="49"/>
        <w:ind w:right="1133"/>
        <w:jc w:val="left"/>
      </w:pPr>
      <w:r>
        <w:rPr/>
        <w:t>其他说明，包括本期增减变动情况、变动原因说明：</w:t>
      </w:r>
    </w:p>
    <w:p>
      <w:pPr>
        <w:spacing w:after="0" w:line="240" w:lineRule="auto"/>
        <w:jc w:val="left"/>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300" w:lineRule="auto" w:before="44"/>
        <w:ind w:right="1131" w:firstLine="420"/>
        <w:jc w:val="both"/>
      </w:pP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8</w:t>
      </w:r>
      <w:r>
        <w:rPr>
          <w:spacing w:val="-2"/>
        </w:rPr>
        <w:t>月</w:t>
      </w:r>
      <w:r>
        <w:rPr>
          <w:rFonts w:ascii="Times New Roman" w:hAnsi="Times New Roman" w:cs="Times New Roman" w:eastAsia="Times New Roman" w:hint="default"/>
          <w:spacing w:val="-2"/>
        </w:rPr>
        <w:t>19</w:t>
      </w:r>
      <w:r>
        <w:rPr>
          <w:spacing w:val="-2"/>
        </w:rPr>
        <w:t>日，公司向激励对象首次授予</w:t>
      </w:r>
      <w:r>
        <w:rPr>
          <w:rFonts w:ascii="Times New Roman" w:hAnsi="Times New Roman" w:cs="Times New Roman" w:eastAsia="Times New Roman" w:hint="default"/>
          <w:spacing w:val="-2"/>
        </w:rPr>
        <w:t>3,288</w:t>
      </w:r>
      <w:r>
        <w:rPr>
          <w:spacing w:val="-2"/>
        </w:rPr>
        <w:t>万股限制性股票，授予价格每股</w:t>
      </w:r>
      <w:r>
        <w:rPr>
          <w:rFonts w:ascii="Times New Roman" w:hAnsi="Times New Roman" w:cs="Times New Roman" w:eastAsia="Times New Roman" w:hint="default"/>
          <w:spacing w:val="-2"/>
        </w:rPr>
        <w:t>1.90</w:t>
      </w:r>
      <w:r>
        <w:rPr>
          <w:spacing w:val="-2"/>
        </w:rPr>
        <w:t>元，授予的限制性股票限售期分别</w:t>
      </w:r>
      <w:r>
        <w:rPr/>
        <w:t> </w:t>
      </w:r>
      <w:r>
        <w:rPr>
          <w:spacing w:val="-2"/>
        </w:rPr>
        <w:t>为授予登记完成日起</w:t>
      </w:r>
      <w:r>
        <w:rPr>
          <w:rFonts w:ascii="Times New Roman" w:hAnsi="Times New Roman" w:cs="Times New Roman" w:eastAsia="Times New Roman" w:hint="default"/>
          <w:spacing w:val="-2"/>
        </w:rPr>
        <w:t>12</w:t>
      </w:r>
      <w:r>
        <w:rPr>
          <w:spacing w:val="-2"/>
        </w:rPr>
        <w:t>个月、</w:t>
      </w:r>
      <w:r>
        <w:rPr>
          <w:rFonts w:ascii="Times New Roman" w:hAnsi="Times New Roman" w:cs="Times New Roman" w:eastAsia="Times New Roman" w:hint="default"/>
          <w:spacing w:val="-2"/>
        </w:rPr>
        <w:t>24</w:t>
      </w:r>
      <w:r>
        <w:rPr>
          <w:spacing w:val="-2"/>
        </w:rPr>
        <w:t>个月、</w:t>
      </w:r>
      <w:r>
        <w:rPr>
          <w:rFonts w:ascii="Times New Roman" w:hAnsi="Times New Roman" w:cs="Times New Roman" w:eastAsia="Times New Roman" w:hint="default"/>
          <w:spacing w:val="-2"/>
        </w:rPr>
        <w:t>36</w:t>
      </w:r>
      <w:r>
        <w:rPr>
          <w:spacing w:val="-2"/>
        </w:rPr>
        <w:t>个月。各个解锁期均需要达到规定的行权条件。限制性股票激励计划内容详见附注</w:t>
      </w:r>
      <w:r>
        <w:rPr>
          <w:spacing w:val="-61"/>
        </w:rPr>
        <w:t> </w:t>
      </w:r>
      <w:r>
        <w:rPr>
          <w:spacing w:val="-61"/>
        </w:rPr>
      </w:r>
      <w:r>
        <w:rPr>
          <w:rFonts w:ascii="Times New Roman" w:hAnsi="Times New Roman" w:cs="Times New Roman" w:eastAsia="Times New Roman" w:hint="default"/>
        </w:rPr>
        <w:t>“</w:t>
      </w:r>
      <w:r>
        <w:rPr/>
        <w:t>十二、股份支付</w:t>
      </w:r>
      <w:r>
        <w:rPr>
          <w:rFonts w:ascii="Times New Roman" w:hAnsi="Times New Roman" w:cs="Times New Roman" w:eastAsia="Times New Roman" w:hint="default"/>
        </w:rPr>
        <w:t>”</w:t>
      </w:r>
      <w:r>
        <w:rPr/>
        <w:t>。</w:t>
      </w:r>
    </w:p>
    <w:p>
      <w:pPr>
        <w:spacing w:line="240" w:lineRule="auto" w:before="4"/>
        <w:rPr>
          <w:rFonts w:ascii="宋体" w:hAnsi="宋体" w:cs="宋体" w:eastAsia="宋体" w:hint="default"/>
          <w:sz w:val="22"/>
          <w:szCs w:val="22"/>
        </w:rPr>
      </w:pPr>
    </w:p>
    <w:p>
      <w:pPr>
        <w:pStyle w:val="Heading4"/>
        <w:spacing w:line="240" w:lineRule="auto"/>
        <w:ind w:right="1133"/>
        <w:jc w:val="left"/>
        <w:rPr>
          <w:b w:val="0"/>
          <w:bCs w:val="0"/>
        </w:rPr>
      </w:pPr>
      <w:bookmarkStart w:name="36、其他综合收益" w:id="317"/>
      <w:bookmarkEnd w:id="317"/>
      <w:r>
        <w:rPr>
          <w:b w:val="0"/>
          <w:bCs w:val="0"/>
        </w:rPr>
      </w:r>
      <w:r>
        <w:rPr>
          <w:rFonts w:ascii="Times New Roman" w:hAnsi="Times New Roman" w:cs="Times New Roman" w:eastAsia="Times New Roman" w:hint="default"/>
        </w:rPr>
        <w:t>36</w:t>
      </w:r>
      <w:r>
        <w:rPr/>
        <w:t>、其他综合收益</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31" w:type="dxa"/>
        <w:tblLayout w:type="fixed"/>
        <w:tblCellMar>
          <w:top w:w="0" w:type="dxa"/>
          <w:left w:w="0" w:type="dxa"/>
          <w:bottom w:w="0" w:type="dxa"/>
          <w:right w:w="0" w:type="dxa"/>
        </w:tblCellMar>
        <w:tblLook w:val="01E0"/>
      </w:tblPr>
      <w:tblGrid>
        <w:gridCol w:w="1272"/>
        <w:gridCol w:w="425"/>
        <w:gridCol w:w="1323"/>
        <w:gridCol w:w="1354"/>
        <w:gridCol w:w="1472"/>
        <w:gridCol w:w="710"/>
        <w:gridCol w:w="1268"/>
        <w:gridCol w:w="708"/>
        <w:gridCol w:w="1154"/>
      </w:tblGrid>
      <w:tr>
        <w:trPr>
          <w:trHeight w:val="398" w:hRule="exact"/>
        </w:trPr>
        <w:tc>
          <w:tcPr>
            <w:tcW w:w="1272" w:type="dxa"/>
            <w:vMerge w:val="restart"/>
            <w:tcBorders>
              <w:top w:val="single" w:sz="4" w:space="0" w:color="000000"/>
              <w:left w:val="single" w:sz="4" w:space="0" w:color="000000"/>
              <w:right w:val="single" w:sz="4" w:space="0" w:color="000000"/>
            </w:tcBorders>
            <w:shd w:val="clear" w:color="auto" w:fill="D2D2D2"/>
          </w:tcPr>
          <w:p>
            <w:pPr/>
          </w:p>
        </w:tc>
        <w:tc>
          <w:tcPr>
            <w:tcW w:w="42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24" w:right="108"/>
              <w:jc w:val="both"/>
              <w:rPr>
                <w:rFonts w:ascii="宋体" w:hAnsi="宋体" w:cs="宋体" w:eastAsia="宋体" w:hint="default"/>
                <w:sz w:val="18"/>
                <w:szCs w:val="18"/>
              </w:rPr>
            </w:pPr>
            <w:r>
              <w:rPr>
                <w:rFonts w:ascii="宋体" w:hAnsi="宋体" w:cs="宋体" w:eastAsia="宋体" w:hint="default"/>
                <w:sz w:val="18"/>
                <w:szCs w:val="18"/>
              </w:rPr>
              <w:t>期 初 余 额</w:t>
            </w:r>
          </w:p>
        </w:tc>
        <w:tc>
          <w:tcPr>
            <w:tcW w:w="6834"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1154" w:type="dxa"/>
            <w:vMerge w:val="restart"/>
            <w:tcBorders>
              <w:top w:val="single" w:sz="4" w:space="0" w:color="000000"/>
              <w:left w:val="single" w:sz="4" w:space="0" w:color="000000"/>
              <w:right w:val="single" w:sz="4" w:space="0" w:color="000000"/>
            </w:tcBorders>
            <w:shd w:val="clear" w:color="auto" w:fill="D2D2D2"/>
          </w:tcPr>
          <w:p>
            <w:pPr/>
          </w:p>
        </w:tc>
      </w:tr>
      <w:tr>
        <w:trPr>
          <w:trHeight w:val="120" w:hRule="exact"/>
        </w:trPr>
        <w:tc>
          <w:tcPr>
            <w:tcW w:w="1272" w:type="dxa"/>
            <w:vMerge/>
            <w:tcBorders>
              <w:left w:val="single" w:sz="4" w:space="0" w:color="000000"/>
              <w:bottom w:val="nil" w:sz="6" w:space="0" w:color="auto"/>
              <w:right w:val="single" w:sz="4" w:space="0" w:color="000000"/>
            </w:tcBorders>
            <w:shd w:val="clear" w:color="auto" w:fill="D2D2D2"/>
          </w:tcPr>
          <w:p>
            <w:pPr/>
          </w:p>
        </w:tc>
        <w:tc>
          <w:tcPr>
            <w:tcW w:w="425" w:type="dxa"/>
            <w:vMerge/>
            <w:tcBorders>
              <w:left w:val="single" w:sz="4" w:space="0" w:color="000000"/>
              <w:right w:val="single" w:sz="4" w:space="0" w:color="000000"/>
            </w:tcBorders>
            <w:shd w:val="clear" w:color="auto" w:fill="D2D2D2"/>
          </w:tcPr>
          <w:p>
            <w:pPr/>
          </w:p>
        </w:tc>
        <w:tc>
          <w:tcPr>
            <w:tcW w:w="1323" w:type="dxa"/>
            <w:tcBorders>
              <w:top w:val="single" w:sz="4" w:space="0" w:color="000000"/>
              <w:left w:val="single" w:sz="4" w:space="0" w:color="000000"/>
              <w:bottom w:val="nil" w:sz="6" w:space="0" w:color="auto"/>
              <w:right w:val="single" w:sz="4" w:space="0" w:color="000000"/>
            </w:tcBorders>
            <w:shd w:val="clear" w:color="auto" w:fill="D2D2D2"/>
          </w:tcPr>
          <w:p>
            <w:pPr/>
          </w:p>
        </w:tc>
        <w:tc>
          <w:tcPr>
            <w:tcW w:w="135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40" w:right="41"/>
              <w:jc w:val="center"/>
              <w:rPr>
                <w:rFonts w:ascii="宋体" w:hAnsi="宋体" w:cs="宋体" w:eastAsia="宋体" w:hint="default"/>
                <w:sz w:val="18"/>
                <w:szCs w:val="18"/>
              </w:rPr>
            </w:pPr>
            <w:r>
              <w:rPr>
                <w:rFonts w:ascii="宋体" w:hAnsi="宋体" w:cs="宋体" w:eastAsia="宋体" w:hint="default"/>
                <w:sz w:val="18"/>
                <w:szCs w:val="18"/>
              </w:rPr>
              <w:t>减：前期计入其 他综合收益当期 转入损益</w:t>
            </w:r>
          </w:p>
        </w:tc>
        <w:tc>
          <w:tcPr>
            <w:tcW w:w="147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24" w:right="19"/>
              <w:jc w:val="center"/>
              <w:rPr>
                <w:rFonts w:ascii="宋体" w:hAnsi="宋体" w:cs="宋体" w:eastAsia="宋体" w:hint="default"/>
                <w:sz w:val="18"/>
                <w:szCs w:val="18"/>
              </w:rPr>
            </w:pPr>
            <w:r>
              <w:rPr>
                <w:rFonts w:ascii="宋体" w:hAnsi="宋体" w:cs="宋体" w:eastAsia="宋体" w:hint="default"/>
                <w:spacing w:val="-3"/>
                <w:sz w:val="18"/>
                <w:szCs w:val="18"/>
              </w:rPr>
              <w:t>减：前期计入其他</w:t>
            </w:r>
            <w:r>
              <w:rPr>
                <w:rFonts w:ascii="宋体" w:hAnsi="宋体" w:cs="宋体" w:eastAsia="宋体" w:hint="default"/>
                <w:sz w:val="18"/>
                <w:szCs w:val="18"/>
              </w:rPr>
              <w:t> 综合收益当期转 入留存收益</w:t>
            </w:r>
          </w:p>
        </w:tc>
        <w:tc>
          <w:tcPr>
            <w:tcW w:w="710" w:type="dxa"/>
            <w:tcBorders>
              <w:top w:val="single" w:sz="4" w:space="0" w:color="000000"/>
              <w:left w:val="single" w:sz="4" w:space="0" w:color="000000"/>
              <w:bottom w:val="nil" w:sz="6" w:space="0" w:color="auto"/>
              <w:right w:val="single" w:sz="4" w:space="0" w:color="000000"/>
            </w:tcBorders>
            <w:shd w:val="clear" w:color="auto" w:fill="D2D2D2"/>
          </w:tcPr>
          <w:p>
            <w:pPr/>
          </w:p>
        </w:tc>
        <w:tc>
          <w:tcPr>
            <w:tcW w:w="1268" w:type="dxa"/>
            <w:tcBorders>
              <w:top w:val="single" w:sz="4" w:space="0" w:color="000000"/>
              <w:left w:val="single" w:sz="4" w:space="0" w:color="000000"/>
              <w:bottom w:val="nil" w:sz="6" w:space="0" w:color="auto"/>
              <w:right w:val="single" w:sz="4" w:space="0" w:color="000000"/>
            </w:tcBorders>
            <w:shd w:val="clear" w:color="auto" w:fill="D2D2D2"/>
          </w:tcPr>
          <w:p>
            <w:pPr/>
          </w:p>
        </w:tc>
        <w:tc>
          <w:tcPr>
            <w:tcW w:w="70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79" w:right="77"/>
              <w:jc w:val="both"/>
              <w:rPr>
                <w:rFonts w:ascii="宋体" w:hAnsi="宋体" w:cs="宋体" w:eastAsia="宋体" w:hint="default"/>
                <w:sz w:val="18"/>
                <w:szCs w:val="18"/>
              </w:rPr>
            </w:pPr>
            <w:r>
              <w:rPr>
                <w:rFonts w:ascii="宋体" w:hAnsi="宋体" w:cs="宋体" w:eastAsia="宋体" w:hint="default"/>
                <w:sz w:val="18"/>
                <w:szCs w:val="18"/>
              </w:rPr>
              <w:t>税后归 属于少 数股东</w:t>
            </w:r>
          </w:p>
        </w:tc>
        <w:tc>
          <w:tcPr>
            <w:tcW w:w="1154" w:type="dxa"/>
            <w:vMerge/>
            <w:tcBorders>
              <w:left w:val="single" w:sz="4" w:space="0" w:color="000000"/>
              <w:bottom w:val="nil" w:sz="6" w:space="0" w:color="auto"/>
              <w:right w:val="single" w:sz="4" w:space="0" w:color="000000"/>
            </w:tcBorders>
            <w:shd w:val="clear" w:color="auto" w:fill="D2D2D2"/>
          </w:tcPr>
          <w:p>
            <w:pPr/>
          </w:p>
        </w:tc>
      </w:tr>
      <w:tr>
        <w:trPr>
          <w:trHeight w:val="357" w:hRule="exact"/>
        </w:trPr>
        <w:tc>
          <w:tcPr>
            <w:tcW w:w="127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25" w:type="dxa"/>
            <w:vMerge/>
            <w:tcBorders>
              <w:left w:val="single" w:sz="4" w:space="0" w:color="000000"/>
              <w:right w:val="single" w:sz="4" w:space="0" w:color="000000"/>
            </w:tcBorders>
            <w:shd w:val="clear" w:color="auto" w:fill="D2D2D2"/>
          </w:tcPr>
          <w:p>
            <w:pPr/>
          </w:p>
        </w:tc>
        <w:tc>
          <w:tcPr>
            <w:tcW w:w="132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60"/>
              <w:ind w:left="477" w:right="26" w:hanging="452"/>
              <w:jc w:val="left"/>
              <w:rPr>
                <w:rFonts w:ascii="宋体" w:hAnsi="宋体" w:cs="宋体" w:eastAsia="宋体" w:hint="default"/>
                <w:sz w:val="18"/>
                <w:szCs w:val="18"/>
              </w:rPr>
            </w:pPr>
            <w:r>
              <w:rPr>
                <w:rFonts w:ascii="宋体" w:hAnsi="宋体" w:cs="宋体" w:eastAsia="宋体" w:hint="default"/>
                <w:sz w:val="18"/>
                <w:szCs w:val="18"/>
              </w:rPr>
              <w:t>本期所得税前发 生额</w:t>
            </w:r>
          </w:p>
        </w:tc>
        <w:tc>
          <w:tcPr>
            <w:tcW w:w="1354" w:type="dxa"/>
            <w:vMerge/>
            <w:tcBorders>
              <w:left w:val="single" w:sz="4" w:space="0" w:color="000000"/>
              <w:right w:val="single" w:sz="4" w:space="0" w:color="000000"/>
            </w:tcBorders>
            <w:shd w:val="clear" w:color="auto" w:fill="D2D2D2"/>
          </w:tcPr>
          <w:p>
            <w:pPr/>
          </w:p>
        </w:tc>
        <w:tc>
          <w:tcPr>
            <w:tcW w:w="1472" w:type="dxa"/>
            <w:vMerge/>
            <w:tcBorders>
              <w:left w:val="single" w:sz="4" w:space="0" w:color="000000"/>
              <w:right w:val="single" w:sz="4" w:space="0" w:color="000000"/>
            </w:tcBorders>
            <w:shd w:val="clear" w:color="auto" w:fill="D2D2D2"/>
          </w:tcPr>
          <w:p>
            <w:pPr/>
          </w:p>
        </w:tc>
        <w:tc>
          <w:tcPr>
            <w:tcW w:w="710"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60"/>
              <w:ind w:left="79" w:right="21" w:hanging="56"/>
              <w:jc w:val="left"/>
              <w:rPr>
                <w:rFonts w:ascii="宋体" w:hAnsi="宋体" w:cs="宋体" w:eastAsia="宋体" w:hint="default"/>
                <w:sz w:val="18"/>
                <w:szCs w:val="18"/>
              </w:rPr>
            </w:pPr>
            <w:r>
              <w:rPr>
                <w:rFonts w:ascii="宋体" w:hAnsi="宋体" w:cs="宋体" w:eastAsia="宋体" w:hint="default"/>
                <w:spacing w:val="-17"/>
                <w:sz w:val="18"/>
                <w:szCs w:val="18"/>
              </w:rPr>
              <w:t>减：所得</w:t>
            </w:r>
            <w:r>
              <w:rPr>
                <w:rFonts w:ascii="宋体" w:hAnsi="宋体" w:cs="宋体" w:eastAsia="宋体" w:hint="default"/>
                <w:sz w:val="18"/>
                <w:szCs w:val="18"/>
              </w:rPr>
              <w:t> 税费用</w:t>
            </w:r>
          </w:p>
        </w:tc>
        <w:tc>
          <w:tcPr>
            <w:tcW w:w="1268"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60"/>
              <w:ind w:left="448" w:right="87" w:hanging="360"/>
              <w:jc w:val="left"/>
              <w:rPr>
                <w:rFonts w:ascii="宋体" w:hAnsi="宋体" w:cs="宋体" w:eastAsia="宋体" w:hint="default"/>
                <w:sz w:val="18"/>
                <w:szCs w:val="18"/>
              </w:rPr>
            </w:pPr>
            <w:r>
              <w:rPr>
                <w:rFonts w:ascii="宋体" w:hAnsi="宋体" w:cs="宋体" w:eastAsia="宋体" w:hint="default"/>
                <w:sz w:val="18"/>
                <w:szCs w:val="18"/>
              </w:rPr>
              <w:t>税后归属于母 公司</w:t>
            </w:r>
          </w:p>
        </w:tc>
        <w:tc>
          <w:tcPr>
            <w:tcW w:w="708" w:type="dxa"/>
            <w:vMerge/>
            <w:tcBorders>
              <w:left w:val="single" w:sz="4" w:space="0" w:color="000000"/>
              <w:right w:val="single" w:sz="4" w:space="0" w:color="000000"/>
            </w:tcBorders>
            <w:shd w:val="clear" w:color="auto" w:fill="D2D2D2"/>
          </w:tcPr>
          <w:p>
            <w:pPr/>
          </w:p>
        </w:tc>
        <w:tc>
          <w:tcPr>
            <w:tcW w:w="115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6"/>
              <w:ind w:left="21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58" w:hRule="exact"/>
        </w:trPr>
        <w:tc>
          <w:tcPr>
            <w:tcW w:w="1272" w:type="dxa"/>
            <w:vMerge w:val="restart"/>
            <w:tcBorders>
              <w:top w:val="nil" w:sz="6" w:space="0" w:color="auto"/>
              <w:left w:val="single" w:sz="4" w:space="0" w:color="000000"/>
              <w:right w:val="single" w:sz="4" w:space="0" w:color="000000"/>
            </w:tcBorders>
            <w:shd w:val="clear" w:color="auto" w:fill="D2D2D2"/>
          </w:tcPr>
          <w:p>
            <w:pPr/>
          </w:p>
        </w:tc>
        <w:tc>
          <w:tcPr>
            <w:tcW w:w="425" w:type="dxa"/>
            <w:vMerge/>
            <w:tcBorders>
              <w:left w:val="single" w:sz="4" w:space="0" w:color="000000"/>
              <w:right w:val="single" w:sz="4" w:space="0" w:color="000000"/>
            </w:tcBorders>
            <w:shd w:val="clear" w:color="auto" w:fill="D2D2D2"/>
          </w:tcPr>
          <w:p>
            <w:pPr/>
          </w:p>
        </w:tc>
        <w:tc>
          <w:tcPr>
            <w:tcW w:w="1323" w:type="dxa"/>
            <w:vMerge/>
            <w:tcBorders>
              <w:left w:val="single" w:sz="4" w:space="0" w:color="000000"/>
              <w:bottom w:val="nil" w:sz="6" w:space="0" w:color="auto"/>
              <w:right w:val="single" w:sz="4" w:space="0" w:color="000000"/>
            </w:tcBorders>
            <w:shd w:val="clear" w:color="auto" w:fill="D2D2D2"/>
          </w:tcPr>
          <w:p>
            <w:pPr/>
          </w:p>
        </w:tc>
        <w:tc>
          <w:tcPr>
            <w:tcW w:w="1354" w:type="dxa"/>
            <w:vMerge/>
            <w:tcBorders>
              <w:left w:val="single" w:sz="4" w:space="0" w:color="000000"/>
              <w:right w:val="single" w:sz="4" w:space="0" w:color="000000"/>
            </w:tcBorders>
            <w:shd w:val="clear" w:color="auto" w:fill="D2D2D2"/>
          </w:tcPr>
          <w:p>
            <w:pPr/>
          </w:p>
        </w:tc>
        <w:tc>
          <w:tcPr>
            <w:tcW w:w="1472" w:type="dxa"/>
            <w:vMerge/>
            <w:tcBorders>
              <w:left w:val="single" w:sz="4" w:space="0" w:color="000000"/>
              <w:right w:val="single" w:sz="4" w:space="0" w:color="000000"/>
            </w:tcBorders>
            <w:shd w:val="clear" w:color="auto" w:fill="D2D2D2"/>
          </w:tcPr>
          <w:p>
            <w:pPr/>
          </w:p>
        </w:tc>
        <w:tc>
          <w:tcPr>
            <w:tcW w:w="710" w:type="dxa"/>
            <w:vMerge/>
            <w:tcBorders>
              <w:left w:val="single" w:sz="4" w:space="0" w:color="000000"/>
              <w:bottom w:val="nil" w:sz="6" w:space="0" w:color="auto"/>
              <w:right w:val="single" w:sz="4" w:space="0" w:color="000000"/>
            </w:tcBorders>
            <w:shd w:val="clear" w:color="auto" w:fill="D2D2D2"/>
          </w:tcPr>
          <w:p>
            <w:pPr/>
          </w:p>
        </w:tc>
        <w:tc>
          <w:tcPr>
            <w:tcW w:w="1268" w:type="dxa"/>
            <w:vMerge/>
            <w:tcBorders>
              <w:left w:val="single" w:sz="4" w:space="0" w:color="000000"/>
              <w:bottom w:val="nil" w:sz="6" w:space="0" w:color="auto"/>
              <w:right w:val="single" w:sz="4" w:space="0" w:color="000000"/>
            </w:tcBorders>
            <w:shd w:val="clear" w:color="auto" w:fill="D2D2D2"/>
          </w:tcPr>
          <w:p>
            <w:pPr/>
          </w:p>
        </w:tc>
        <w:tc>
          <w:tcPr>
            <w:tcW w:w="708" w:type="dxa"/>
            <w:vMerge/>
            <w:tcBorders>
              <w:left w:val="single" w:sz="4" w:space="0" w:color="000000"/>
              <w:right w:val="single" w:sz="4" w:space="0" w:color="000000"/>
            </w:tcBorders>
            <w:shd w:val="clear" w:color="auto" w:fill="D2D2D2"/>
          </w:tcPr>
          <w:p>
            <w:pPr/>
          </w:p>
        </w:tc>
        <w:tc>
          <w:tcPr>
            <w:tcW w:w="1154"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272" w:type="dxa"/>
            <w:vMerge/>
            <w:tcBorders>
              <w:left w:val="single" w:sz="4" w:space="0" w:color="000000"/>
              <w:bottom w:val="single" w:sz="4" w:space="0" w:color="000000"/>
              <w:right w:val="single" w:sz="4" w:space="0" w:color="000000"/>
            </w:tcBorders>
            <w:shd w:val="clear" w:color="auto" w:fill="D2D2D2"/>
          </w:tcPr>
          <w:p>
            <w:pPr/>
          </w:p>
        </w:tc>
        <w:tc>
          <w:tcPr>
            <w:tcW w:w="425" w:type="dxa"/>
            <w:vMerge/>
            <w:tcBorders>
              <w:left w:val="single" w:sz="4" w:space="0" w:color="000000"/>
              <w:bottom w:val="single" w:sz="4" w:space="0" w:color="000000"/>
              <w:right w:val="single" w:sz="4" w:space="0" w:color="000000"/>
            </w:tcBorders>
            <w:shd w:val="clear" w:color="auto" w:fill="D2D2D2"/>
          </w:tcPr>
          <w:p>
            <w:pPr/>
          </w:p>
        </w:tc>
        <w:tc>
          <w:tcPr>
            <w:tcW w:w="1323" w:type="dxa"/>
            <w:tcBorders>
              <w:top w:val="nil" w:sz="6" w:space="0" w:color="auto"/>
              <w:left w:val="single" w:sz="4" w:space="0" w:color="000000"/>
              <w:bottom w:val="single" w:sz="4" w:space="0" w:color="000000"/>
              <w:right w:val="single" w:sz="4" w:space="0" w:color="000000"/>
            </w:tcBorders>
            <w:shd w:val="clear" w:color="auto" w:fill="D2D2D2"/>
          </w:tcPr>
          <w:p>
            <w:pPr/>
          </w:p>
        </w:tc>
        <w:tc>
          <w:tcPr>
            <w:tcW w:w="1354" w:type="dxa"/>
            <w:vMerge/>
            <w:tcBorders>
              <w:left w:val="single" w:sz="4" w:space="0" w:color="000000"/>
              <w:bottom w:val="single" w:sz="4" w:space="0" w:color="000000"/>
              <w:right w:val="single" w:sz="4" w:space="0" w:color="000000"/>
            </w:tcBorders>
            <w:shd w:val="clear" w:color="auto" w:fill="D2D2D2"/>
          </w:tcPr>
          <w:p>
            <w:pPr/>
          </w:p>
        </w:tc>
        <w:tc>
          <w:tcPr>
            <w:tcW w:w="1472" w:type="dxa"/>
            <w:vMerge/>
            <w:tcBorders>
              <w:left w:val="single" w:sz="4" w:space="0" w:color="000000"/>
              <w:bottom w:val="single" w:sz="4" w:space="0" w:color="000000"/>
              <w:right w:val="single" w:sz="4" w:space="0" w:color="000000"/>
            </w:tcBorders>
            <w:shd w:val="clear" w:color="auto" w:fill="D2D2D2"/>
          </w:tcPr>
          <w:p>
            <w:pPr/>
          </w:p>
        </w:tc>
        <w:tc>
          <w:tcPr>
            <w:tcW w:w="710" w:type="dxa"/>
            <w:tcBorders>
              <w:top w:val="nil" w:sz="6" w:space="0" w:color="auto"/>
              <w:left w:val="single" w:sz="4" w:space="0" w:color="000000"/>
              <w:bottom w:val="single" w:sz="4" w:space="0" w:color="000000"/>
              <w:right w:val="single" w:sz="4" w:space="0" w:color="000000"/>
            </w:tcBorders>
            <w:shd w:val="clear" w:color="auto" w:fill="D2D2D2"/>
          </w:tcPr>
          <w:p>
            <w:pPr/>
          </w:p>
        </w:tc>
        <w:tc>
          <w:tcPr>
            <w:tcW w:w="1268" w:type="dxa"/>
            <w:tcBorders>
              <w:top w:val="nil" w:sz="6" w:space="0" w:color="auto"/>
              <w:left w:val="single" w:sz="4" w:space="0" w:color="000000"/>
              <w:bottom w:val="single" w:sz="4" w:space="0" w:color="000000"/>
              <w:right w:val="single" w:sz="4" w:space="0" w:color="000000"/>
            </w:tcBorders>
            <w:shd w:val="clear" w:color="auto" w:fill="D2D2D2"/>
          </w:tcPr>
          <w:p>
            <w:pPr/>
          </w:p>
        </w:tc>
        <w:tc>
          <w:tcPr>
            <w:tcW w:w="708" w:type="dxa"/>
            <w:vMerge/>
            <w:tcBorders>
              <w:left w:val="single" w:sz="4" w:space="0" w:color="000000"/>
              <w:bottom w:val="single" w:sz="4" w:space="0" w:color="000000"/>
              <w:right w:val="single" w:sz="4" w:space="0" w:color="000000"/>
            </w:tcBorders>
            <w:shd w:val="clear" w:color="auto" w:fill="D2D2D2"/>
          </w:tcPr>
          <w:p>
            <w:pPr/>
          </w:p>
        </w:tc>
        <w:tc>
          <w:tcPr>
            <w:tcW w:w="1154" w:type="dxa"/>
            <w:vMerge/>
            <w:tcBorders>
              <w:left w:val="single" w:sz="4" w:space="0" w:color="000000"/>
              <w:bottom w:val="single" w:sz="4" w:space="0" w:color="000000"/>
              <w:right w:val="single" w:sz="4" w:space="0" w:color="000000"/>
            </w:tcBorders>
            <w:shd w:val="clear" w:color="auto" w:fill="D2D2D2"/>
          </w:tcPr>
          <w:p>
            <w:pPr/>
          </w:p>
        </w:tc>
      </w:tr>
      <w:tr>
        <w:trPr>
          <w:trHeight w:val="1028" w:hRule="exact"/>
        </w:trPr>
        <w:tc>
          <w:tcPr>
            <w:tcW w:w="1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10"/>
              <w:jc w:val="left"/>
              <w:rPr>
                <w:rFonts w:ascii="宋体" w:hAnsi="宋体" w:cs="宋体" w:eastAsia="宋体" w:hint="default"/>
                <w:sz w:val="18"/>
                <w:szCs w:val="18"/>
              </w:rPr>
            </w:pPr>
            <w:r>
              <w:rPr>
                <w:rFonts w:ascii="宋体" w:hAnsi="宋体" w:cs="宋体" w:eastAsia="宋体" w:hint="default"/>
                <w:spacing w:val="-4"/>
                <w:sz w:val="18"/>
                <w:szCs w:val="18"/>
              </w:rPr>
              <w:t>一、不能重分类</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进损益的其他 综合收益</w:t>
            </w:r>
          </w:p>
        </w:tc>
        <w:tc>
          <w:tcPr>
            <w:tcW w:w="425" w:type="dxa"/>
            <w:tcBorders>
              <w:top w:val="single" w:sz="22" w:space="0" w:color="D2D2D2"/>
              <w:left w:val="single" w:sz="13" w:space="0" w:color="D2D2D2"/>
              <w:bottom w:val="single" w:sz="4" w:space="0" w:color="000000"/>
              <w:right w:val="single" w:sz="4" w:space="0" w:color="000000"/>
            </w:tcBorders>
          </w:tcPr>
          <w:p>
            <w:pP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-28,391,180.51</w:t>
            </w:r>
          </w:p>
        </w:tc>
        <w:tc>
          <w:tcPr>
            <w:tcW w:w="135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-28,391,180.51</w:t>
            </w:r>
          </w:p>
        </w:tc>
        <w:tc>
          <w:tcPr>
            <w:tcW w:w="708"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-28,391,180.51</w:t>
            </w:r>
          </w:p>
        </w:tc>
      </w:tr>
      <w:tr>
        <w:trPr>
          <w:trHeight w:val="1025" w:hRule="exact"/>
        </w:trPr>
        <w:tc>
          <w:tcPr>
            <w:tcW w:w="1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68" w:firstLine="540"/>
              <w:jc w:val="both"/>
              <w:rPr>
                <w:rFonts w:ascii="宋体" w:hAnsi="宋体" w:cs="宋体" w:eastAsia="宋体" w:hint="default"/>
                <w:sz w:val="18"/>
                <w:szCs w:val="18"/>
              </w:rPr>
            </w:pPr>
            <w:r>
              <w:rPr>
                <w:rFonts w:ascii="宋体" w:hAnsi="宋体" w:cs="宋体" w:eastAsia="宋体" w:hint="default"/>
                <w:sz w:val="18"/>
                <w:szCs w:val="18"/>
              </w:rPr>
              <w:t>其他权 益工具投资公 允价值变动</w:t>
            </w:r>
          </w:p>
        </w:tc>
        <w:tc>
          <w:tcPr>
            <w:tcW w:w="425" w:type="dxa"/>
            <w:tcBorders>
              <w:top w:val="single" w:sz="4" w:space="0" w:color="000000"/>
              <w:left w:val="single" w:sz="13" w:space="0" w:color="D2D2D2"/>
              <w:bottom w:val="single" w:sz="4" w:space="0" w:color="000000"/>
              <w:right w:val="single" w:sz="4" w:space="0" w:color="000000"/>
            </w:tcBorders>
          </w:tcPr>
          <w:p>
            <w:pP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-28,391,180.51</w:t>
            </w:r>
          </w:p>
        </w:tc>
        <w:tc>
          <w:tcPr>
            <w:tcW w:w="135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-28,391,180.51</w:t>
            </w:r>
          </w:p>
        </w:tc>
        <w:tc>
          <w:tcPr>
            <w:tcW w:w="708"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-28,391,180.51</w:t>
            </w:r>
          </w:p>
        </w:tc>
      </w:tr>
      <w:tr>
        <w:trPr>
          <w:trHeight w:val="1027" w:hRule="exact"/>
        </w:trPr>
        <w:tc>
          <w:tcPr>
            <w:tcW w:w="1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0"/>
              <w:jc w:val="left"/>
              <w:rPr>
                <w:rFonts w:ascii="宋体" w:hAnsi="宋体" w:cs="宋体" w:eastAsia="宋体" w:hint="default"/>
                <w:sz w:val="18"/>
                <w:szCs w:val="18"/>
              </w:rPr>
            </w:pPr>
            <w:r>
              <w:rPr>
                <w:rFonts w:ascii="宋体" w:hAnsi="宋体" w:cs="宋体" w:eastAsia="宋体" w:hint="default"/>
                <w:spacing w:val="-4"/>
                <w:sz w:val="18"/>
                <w:szCs w:val="18"/>
              </w:rPr>
              <w:t>二、将重分类进</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损益的其他综 合收益</w:t>
            </w:r>
          </w:p>
        </w:tc>
        <w:tc>
          <w:tcPr>
            <w:tcW w:w="425" w:type="dxa"/>
            <w:tcBorders>
              <w:top w:val="single" w:sz="4" w:space="0" w:color="000000"/>
              <w:left w:val="single" w:sz="13" w:space="0" w:color="D2D2D2"/>
              <w:bottom w:val="single" w:sz="4" w:space="0" w:color="000000"/>
              <w:right w:val="single" w:sz="4" w:space="0" w:color="000000"/>
            </w:tcBorders>
          </w:tcPr>
          <w:p>
            <w:pP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95.22</w:t>
            </w:r>
          </w:p>
        </w:tc>
        <w:tc>
          <w:tcPr>
            <w:tcW w:w="135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95.22</w:t>
            </w:r>
          </w:p>
        </w:tc>
        <w:tc>
          <w:tcPr>
            <w:tcW w:w="708"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95.22</w:t>
            </w:r>
          </w:p>
        </w:tc>
      </w:tr>
      <w:tr>
        <w:trPr>
          <w:trHeight w:val="1025" w:hRule="exact"/>
        </w:trPr>
        <w:tc>
          <w:tcPr>
            <w:tcW w:w="1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168" w:firstLine="540"/>
              <w:jc w:val="both"/>
              <w:rPr>
                <w:rFonts w:ascii="宋体" w:hAnsi="宋体" w:cs="宋体" w:eastAsia="宋体" w:hint="default"/>
                <w:sz w:val="18"/>
                <w:szCs w:val="18"/>
              </w:rPr>
            </w:pPr>
            <w:r>
              <w:rPr>
                <w:rFonts w:ascii="宋体" w:hAnsi="宋体" w:cs="宋体" w:eastAsia="宋体" w:hint="default"/>
                <w:sz w:val="18"/>
                <w:szCs w:val="18"/>
              </w:rPr>
              <w:t>外币财 务报表折算差 额</w:t>
            </w:r>
          </w:p>
        </w:tc>
        <w:tc>
          <w:tcPr>
            <w:tcW w:w="425" w:type="dxa"/>
            <w:tcBorders>
              <w:top w:val="single" w:sz="4" w:space="0" w:color="000000"/>
              <w:left w:val="single" w:sz="13" w:space="0" w:color="D2D2D2"/>
              <w:bottom w:val="single" w:sz="4" w:space="0" w:color="000000"/>
              <w:right w:val="single" w:sz="4" w:space="0" w:color="000000"/>
            </w:tcBorders>
          </w:tcPr>
          <w:p>
            <w:pP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95.22</w:t>
            </w:r>
          </w:p>
        </w:tc>
        <w:tc>
          <w:tcPr>
            <w:tcW w:w="135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95.22</w:t>
            </w:r>
          </w:p>
        </w:tc>
        <w:tc>
          <w:tcPr>
            <w:tcW w:w="708"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95.22</w:t>
            </w:r>
          </w:p>
        </w:tc>
      </w:tr>
      <w:tr>
        <w:trPr>
          <w:trHeight w:val="715" w:hRule="exact"/>
        </w:trPr>
        <w:tc>
          <w:tcPr>
            <w:tcW w:w="1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68"/>
              <w:jc w:val="left"/>
              <w:rPr>
                <w:rFonts w:ascii="宋体" w:hAnsi="宋体" w:cs="宋体" w:eastAsia="宋体" w:hint="default"/>
                <w:sz w:val="18"/>
                <w:szCs w:val="18"/>
              </w:rPr>
            </w:pPr>
            <w:r>
              <w:rPr>
                <w:rFonts w:ascii="宋体" w:hAnsi="宋体" w:cs="宋体" w:eastAsia="宋体" w:hint="default"/>
                <w:sz w:val="18"/>
                <w:szCs w:val="18"/>
              </w:rPr>
              <w:t>其他综合收益 合计</w:t>
            </w:r>
          </w:p>
        </w:tc>
        <w:tc>
          <w:tcPr>
            <w:tcW w:w="425" w:type="dxa"/>
            <w:tcBorders>
              <w:top w:val="single" w:sz="4" w:space="0" w:color="000000"/>
              <w:left w:val="single" w:sz="13" w:space="0" w:color="D2D2D2"/>
              <w:bottom w:val="single" w:sz="4" w:space="0" w:color="000000"/>
              <w:right w:val="single" w:sz="4" w:space="0" w:color="000000"/>
            </w:tcBorders>
          </w:tcPr>
          <w:p>
            <w:pP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-28,391,085.29</w:t>
            </w:r>
          </w:p>
        </w:tc>
        <w:tc>
          <w:tcPr>
            <w:tcW w:w="135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-28,391,085.29</w:t>
            </w:r>
          </w:p>
        </w:tc>
        <w:tc>
          <w:tcPr>
            <w:tcW w:w="708"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-28,391,085.29</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37、盈余公积" w:id="318"/>
      <w:bookmarkEnd w:id="318"/>
      <w:r>
        <w:rPr>
          <w:b w:val="0"/>
          <w:bCs w:val="0"/>
        </w:rPr>
      </w:r>
      <w:r>
        <w:rPr>
          <w:rFonts w:ascii="Times New Roman" w:hAnsi="Times New Roman" w:cs="Times New Roman" w:eastAsia="Times New Roman" w:hint="default"/>
        </w:rPr>
        <w:t>37</w:t>
      </w:r>
      <w:r>
        <w:rPr/>
        <w:t>、盈余公积</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6"/>
        <w:gridCol w:w="1913"/>
        <w:gridCol w:w="1916"/>
      </w:tblGrid>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96,417,455.37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10,981,737.80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160,367.59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107,238,825.58</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96,417,455.37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10,981,737.80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160,367.59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107,238,825.58</w:t>
            </w:r>
          </w:p>
        </w:tc>
      </w:tr>
    </w:tbl>
    <w:p>
      <w:pPr>
        <w:pStyle w:val="BodyText"/>
        <w:spacing w:line="357" w:lineRule="auto" w:before="49"/>
        <w:ind w:left="573" w:right="1183" w:hanging="421"/>
        <w:jc w:val="left"/>
      </w:pPr>
      <w:r>
        <w:rPr/>
        <w:t>盈余公积说明，包括本期增减变动情况、变动原因说明： 根据《公司法》、公司章程的规定，本公司按净利润的</w:t>
      </w:r>
      <w:r>
        <w:rPr>
          <w:rFonts w:ascii="Times New Roman" w:hAnsi="Times New Roman" w:cs="Times New Roman" w:eastAsia="Times New Roman" w:hint="default"/>
        </w:rPr>
        <w:t>10%</w:t>
      </w:r>
      <w:r>
        <w:rPr/>
        <w:t>提取法定盈余公积。法定盈余公积累计额达到本公司注册</w:t>
      </w:r>
    </w:p>
    <w:p>
      <w:pPr>
        <w:pStyle w:val="BodyText"/>
        <w:spacing w:line="214" w:lineRule="exact"/>
        <w:ind w:right="0"/>
        <w:jc w:val="left"/>
      </w:pPr>
      <w:r>
        <w:rPr/>
        <w:t>资本</w:t>
      </w:r>
      <w:r>
        <w:rPr>
          <w:rFonts w:ascii="Times New Roman" w:hAnsi="Times New Roman" w:cs="Times New Roman" w:eastAsia="Times New Roman" w:hint="default"/>
        </w:rPr>
        <w:t>50%</w:t>
      </w:r>
      <w:r>
        <w:rPr/>
        <w:t>以上的，不再提取。在提取法定盈余公积金后，可提取任意盈余公积金。经批准，任意盈余公积金可用于弥补以前</w:t>
      </w:r>
    </w:p>
    <w:p>
      <w:pPr>
        <w:pStyle w:val="BodyText"/>
        <w:spacing w:line="316" w:lineRule="auto" w:before="63"/>
        <w:ind w:left="573" w:right="2263" w:hanging="421"/>
        <w:jc w:val="left"/>
      </w:pPr>
      <w:r>
        <w:rPr/>
        <w:t>年度亏损或增加股本。 本公司按母公司口径本年实现净利润</w:t>
      </w:r>
      <w:r>
        <w:rPr>
          <w:rFonts w:ascii="Times New Roman" w:hAnsi="Times New Roman" w:cs="Times New Roman" w:eastAsia="Times New Roman" w:hint="default"/>
        </w:rPr>
        <w:t>109,817,377.98</w:t>
      </w:r>
      <w:r>
        <w:rPr/>
        <w:t>元，按照</w:t>
      </w:r>
      <w:r>
        <w:rPr>
          <w:rFonts w:ascii="Times New Roman" w:hAnsi="Times New Roman" w:cs="Times New Roman" w:eastAsia="Times New Roman" w:hint="default"/>
        </w:rPr>
        <w:t>10%</w:t>
      </w:r>
      <w:r>
        <w:rPr/>
        <w:t>的比例提取盈余公积</w:t>
      </w:r>
      <w:r>
        <w:rPr>
          <w:rFonts w:ascii="Times New Roman" w:hAnsi="Times New Roman" w:cs="Times New Roman" w:eastAsia="Times New Roman" w:hint="default"/>
        </w:rPr>
        <w:t>10,981,737.80</w:t>
      </w:r>
      <w:r>
        <w:rPr/>
        <w:t>元。</w:t>
      </w:r>
    </w:p>
    <w:p>
      <w:pPr>
        <w:spacing w:line="240" w:lineRule="auto" w:before="4"/>
        <w:rPr>
          <w:rFonts w:ascii="宋体" w:hAnsi="宋体" w:cs="宋体" w:eastAsia="宋体" w:hint="default"/>
          <w:sz w:val="21"/>
          <w:szCs w:val="21"/>
        </w:rPr>
      </w:pPr>
    </w:p>
    <w:p>
      <w:pPr>
        <w:pStyle w:val="Heading4"/>
        <w:spacing w:line="240" w:lineRule="auto"/>
        <w:ind w:right="1133"/>
        <w:jc w:val="left"/>
        <w:rPr>
          <w:b w:val="0"/>
          <w:bCs w:val="0"/>
        </w:rPr>
      </w:pPr>
      <w:bookmarkStart w:name="38、未分配利润" w:id="319"/>
      <w:bookmarkEnd w:id="319"/>
      <w:r>
        <w:rPr>
          <w:b w:val="0"/>
          <w:bCs w:val="0"/>
        </w:rPr>
      </w:r>
      <w:r>
        <w:rPr>
          <w:rFonts w:ascii="Times New Roman" w:hAnsi="Times New Roman" w:cs="Times New Roman" w:eastAsia="Times New Roman" w:hint="default"/>
        </w:rPr>
        <w:t>38</w:t>
      </w:r>
      <w:r>
        <w:rPr/>
        <w:t>、未分配利润</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after="0" w:line="240" w:lineRule="auto"/>
        <w:jc w:val="right"/>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3703"/>
        <w:gridCol w:w="2934"/>
        <w:gridCol w:w="2919"/>
      </w:tblGrid>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9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1,054,820,247.30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915,758,650.75</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1,054,820,247.30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915,758,650.75</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-342,885,845.54</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216,769,784.07</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10,981,737.80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20,823,886.91</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934" w:type="dxa"/>
            <w:tcBorders>
              <w:top w:val="single" w:sz="4" w:space="0" w:color="000000"/>
              <w:left w:val="single" w:sz="9" w:space="0" w:color="D2D2D2"/>
              <w:bottom w:val="single" w:sz="4" w:space="0" w:color="000000"/>
              <w:right w:val="single" w:sz="4" w:space="0" w:color="000000"/>
            </w:tcBorders>
          </w:tcPr>
          <w:p>
            <w:pP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56,884,300.61</w:t>
            </w:r>
          </w:p>
        </w:tc>
      </w:tr>
      <w:tr>
        <w:trPr>
          <w:trHeight w:val="403"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700,952,663.96</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1,054,820,247.30</w:t>
            </w:r>
          </w:p>
        </w:tc>
      </w:tr>
    </w:tbl>
    <w:p>
      <w:pPr>
        <w:pStyle w:val="BodyText"/>
        <w:spacing w:line="240" w:lineRule="auto" w:before="49"/>
        <w:ind w:right="1133"/>
        <w:jc w:val="left"/>
      </w:pPr>
      <w:r>
        <w:rPr/>
        <w:t>调整期初未分配利润明细：</w:t>
      </w:r>
    </w:p>
    <w:p>
      <w:pPr>
        <w:pStyle w:val="BodyText"/>
        <w:spacing w:line="240" w:lineRule="auto" w:before="115"/>
        <w:ind w:right="1133"/>
        <w:jc w:val="left"/>
      </w:pPr>
      <w:r>
        <w:rPr>
          <w:rFonts w:ascii="Times New Roman" w:hAnsi="Times New Roman" w:cs="Times New Roman" w:eastAsia="Times New Roman" w:hint="default"/>
        </w:rPr>
        <w:t>1)</w:t>
      </w:r>
      <w:r>
        <w:rPr/>
        <w:t>、由于《企业会计准则》及其相关新规定进行追溯调整，影响期初未分配利润</w:t>
      </w:r>
      <w:r>
        <w:rPr>
          <w:spacing w:val="-44"/>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pStyle w:val="BodyText"/>
        <w:spacing w:line="240" w:lineRule="auto" w:before="103"/>
        <w:ind w:right="1133"/>
        <w:jc w:val="left"/>
      </w:pPr>
      <w:r>
        <w:rPr>
          <w:rFonts w:ascii="Times New Roman" w:hAnsi="Times New Roman" w:cs="Times New Roman" w:eastAsia="Times New Roman" w:hint="default"/>
        </w:rPr>
        <w:t>2)</w:t>
      </w:r>
      <w:r>
        <w:rPr/>
        <w:t>、由于会计政策变更，影响期初未分配利润</w:t>
      </w:r>
      <w:r>
        <w:rPr>
          <w:spacing w:val="-44"/>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pStyle w:val="BodyText"/>
        <w:spacing w:line="240" w:lineRule="auto" w:before="102"/>
        <w:ind w:right="1133"/>
        <w:jc w:val="left"/>
      </w:pPr>
      <w:r>
        <w:rPr>
          <w:rFonts w:ascii="Times New Roman" w:hAnsi="Times New Roman" w:cs="Times New Roman" w:eastAsia="Times New Roman" w:hint="default"/>
        </w:rPr>
        <w:t>3)</w:t>
      </w:r>
      <w:r>
        <w:rPr/>
        <w:t>、由于重大会计差错更正，影响期初未分配利润</w:t>
      </w:r>
      <w:r>
        <w:rPr>
          <w:spacing w:val="-44"/>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pStyle w:val="BodyText"/>
        <w:spacing w:line="240" w:lineRule="auto" w:before="103"/>
        <w:ind w:right="1133"/>
        <w:jc w:val="left"/>
      </w:pPr>
      <w:r>
        <w:rPr>
          <w:rFonts w:ascii="Times New Roman" w:hAnsi="Times New Roman" w:cs="Times New Roman" w:eastAsia="Times New Roman" w:hint="default"/>
        </w:rPr>
        <w:t>4)</w:t>
      </w:r>
      <w:r>
        <w:rPr/>
        <w:t>、由于同一控制导致的合并范围变更，影响期初未分配利润</w:t>
      </w:r>
      <w:r>
        <w:rPr>
          <w:spacing w:val="-44"/>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pStyle w:val="BodyText"/>
        <w:spacing w:line="240" w:lineRule="auto" w:before="103"/>
        <w:ind w:right="1133"/>
        <w:jc w:val="left"/>
      </w:pPr>
      <w:r>
        <w:rPr>
          <w:rFonts w:ascii="Times New Roman" w:hAnsi="Times New Roman" w:cs="Times New Roman" w:eastAsia="Times New Roman" w:hint="default"/>
        </w:rPr>
        <w:t>5)</w:t>
      </w:r>
      <w:r>
        <w:rPr/>
        <w:t>、其他调整合计影响期初未分配利润</w:t>
      </w:r>
      <w:r>
        <w:rPr>
          <w:spacing w:val="-44"/>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spacing w:line="240" w:lineRule="auto" w:before="13"/>
        <w:rPr>
          <w:rFonts w:ascii="宋体" w:hAnsi="宋体" w:cs="宋体" w:eastAsia="宋体" w:hint="default"/>
          <w:sz w:val="25"/>
          <w:szCs w:val="25"/>
        </w:rPr>
      </w:pPr>
    </w:p>
    <w:p>
      <w:pPr>
        <w:pStyle w:val="Heading4"/>
        <w:spacing w:line="240" w:lineRule="auto"/>
        <w:ind w:right="1133"/>
        <w:jc w:val="left"/>
        <w:rPr>
          <w:b w:val="0"/>
          <w:bCs w:val="0"/>
        </w:rPr>
      </w:pPr>
      <w:bookmarkStart w:name="39、营业收入和营业成本" w:id="320"/>
      <w:bookmarkEnd w:id="320"/>
      <w:r>
        <w:rPr>
          <w:b w:val="0"/>
          <w:bCs w:val="0"/>
        </w:rPr>
      </w:r>
      <w:r>
        <w:rPr>
          <w:rFonts w:ascii="Times New Roman" w:hAnsi="Times New Roman" w:cs="Times New Roman" w:eastAsia="Times New Roman" w:hint="default"/>
        </w:rPr>
        <w:t>39</w:t>
      </w:r>
      <w:r>
        <w:rPr/>
        <w:t>、营业收入和营业成本</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206" w:hRule="exact"/>
        </w:trPr>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6" w:hRule="exact"/>
        </w:trPr>
        <w:tc>
          <w:tcPr>
            <w:tcW w:w="19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vMerge/>
            <w:tcBorders>
              <w:left w:val="single" w:sz="4" w:space="0" w:color="000000"/>
              <w:bottom w:val="single" w:sz="4" w:space="0" w:color="000000"/>
              <w:right w:val="single" w:sz="4" w:space="0" w:color="000000"/>
            </w:tcBorders>
            <w:shd w:val="clear" w:color="auto" w:fill="D2D2D2"/>
          </w:tcPr>
          <w:p>
            <w:pPr/>
          </w:p>
        </w:tc>
        <w:tc>
          <w:tcPr>
            <w:tcW w:w="3829" w:type="dxa"/>
            <w:gridSpan w:val="2"/>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1913" w:type="dxa"/>
            <w:vMerge/>
            <w:tcBorders>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6" w:hRule="exact"/>
        </w:trPr>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2,195,197,645.48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1,509,576,569.65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2,512,555,112.68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1,712,184,136.03</w:t>
            </w:r>
          </w:p>
        </w:tc>
      </w:tr>
      <w:tr>
        <w:trPr>
          <w:trHeight w:val="404"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10,654,903.79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2,621,644.33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14,860,162.42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7,439,807.91</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2,205,852,549.27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1,512,198,213.98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2,527,415,275.10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1,719,623,943.94</w:t>
            </w:r>
          </w:p>
        </w:tc>
      </w:tr>
    </w:tbl>
    <w:p>
      <w:pPr>
        <w:pStyle w:val="BodyText"/>
        <w:spacing w:line="240" w:lineRule="auto" w:before="49"/>
        <w:ind w:right="1133"/>
        <w:jc w:val="left"/>
      </w:pPr>
      <w:r>
        <w:rPr/>
        <w:t>是否已执行新收入准则</w:t>
      </w:r>
    </w:p>
    <w:p>
      <w:pPr>
        <w:pStyle w:val="BodyText"/>
        <w:spacing w:line="240" w:lineRule="auto" w:before="115"/>
        <w:ind w:right="1133"/>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2"/>
        <w:rPr>
          <w:rFonts w:ascii="宋体" w:hAnsi="宋体" w:cs="宋体" w:eastAsia="宋体" w:hint="default"/>
          <w:sz w:val="26"/>
          <w:szCs w:val="26"/>
        </w:rPr>
      </w:pPr>
    </w:p>
    <w:p>
      <w:pPr>
        <w:pStyle w:val="Heading4"/>
        <w:spacing w:line="240" w:lineRule="auto"/>
        <w:ind w:right="1133"/>
        <w:jc w:val="left"/>
        <w:rPr>
          <w:b w:val="0"/>
          <w:bCs w:val="0"/>
        </w:rPr>
      </w:pPr>
      <w:bookmarkStart w:name="40、税金及附加" w:id="321"/>
      <w:bookmarkEnd w:id="321"/>
      <w:r>
        <w:rPr>
          <w:b w:val="0"/>
          <w:bCs w:val="0"/>
        </w:rPr>
      </w:r>
      <w:r>
        <w:rPr>
          <w:rFonts w:ascii="Times New Roman" w:hAnsi="Times New Roman" w:cs="Times New Roman" w:eastAsia="Times New Roman" w:hint="default"/>
        </w:rPr>
        <w:t>40</w:t>
      </w:r>
      <w:r>
        <w:rPr/>
        <w:t>、税金及附加</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3,925,485.16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3,015,317.71</w:t>
            </w:r>
          </w:p>
        </w:tc>
      </w:tr>
      <w:tr>
        <w:trPr>
          <w:trHeight w:val="404"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1,649,104.03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1,352,002.32</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1,192,425.21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1,388,906.30</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420,378.24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428,851.24</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车船使用税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21,135.00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18,342.90</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1,639,098.25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1,648,553.42</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3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1,125,395.53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909,982.54</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河道费</w:t>
            </w:r>
          </w:p>
        </w:tc>
        <w:tc>
          <w:tcPr>
            <w:tcW w:w="3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63,299.69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18,720.00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438,564.44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50,940.06</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10,474,885.55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8,831,616.49</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41、销售费用" w:id="322"/>
      <w:bookmarkEnd w:id="322"/>
      <w:r>
        <w:rPr>
          <w:b w:val="0"/>
          <w:bCs w:val="0"/>
        </w:rPr>
      </w:r>
      <w:r>
        <w:rPr>
          <w:rFonts w:ascii="Times New Roman" w:hAnsi="Times New Roman" w:cs="Times New Roman" w:eastAsia="Times New Roman" w:hint="default"/>
        </w:rPr>
        <w:t>41</w:t>
      </w:r>
      <w:r>
        <w:rPr/>
        <w:t>、销售费用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179,799,363.00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155,663,252.72</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业务及劳务费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28,651,525.29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23,066,815.20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25,934,007.76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25,131,036.80</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折旧及摊销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13,144,676.36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4,705,685.89</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工程及售后维护费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12,218,653.68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13,643,761.72</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房租费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8,226,290.20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4,617,066.88</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会务及展览费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7,444,120.80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6,239,406.19</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咨询会员费、设计费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2,573,690.97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5,362,134.53</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办公印刷费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2,940,118.17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3,760,656.49</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汽车运杂费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3,657,575.15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3,839,065.51</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其他项小计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2"/>
                <w:sz w:val="18"/>
              </w:rPr>
              <w:t>11,190,110.29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7,740,327.35</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295,780,131.67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253,769,209.28</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42、管理费用" w:id="323"/>
      <w:bookmarkEnd w:id="323"/>
      <w:r>
        <w:rPr>
          <w:b w:val="0"/>
          <w:bCs w:val="0"/>
        </w:rPr>
      </w:r>
      <w:r>
        <w:rPr>
          <w:rFonts w:ascii="Times New Roman" w:hAnsi="Times New Roman" w:cs="Times New Roman" w:eastAsia="Times New Roman" w:hint="default"/>
        </w:rPr>
        <w:t>42</w:t>
      </w:r>
      <w:r>
        <w:rPr/>
        <w:t>、管理费用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74,830,589.46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71,109,683.97</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折旧及摊销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33,527,010.82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21,730,070.21</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房租及水电物管费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12,752,961.89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9,889,579.63</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咨询及审计费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8,557,614.98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8,826,292.17</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业务费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4,651,663.41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3,059,178.93</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4,538,681.80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5,954,433.68</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2,984,497.29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3,583,995.22</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其他项小计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17,572,301.90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11,994,566.37</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159,415,321.55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136,147,800.18</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43、研发费用" w:id="324"/>
      <w:bookmarkEnd w:id="324"/>
      <w:r>
        <w:rPr>
          <w:b w:val="0"/>
          <w:bCs w:val="0"/>
        </w:rPr>
      </w:r>
      <w:r>
        <w:rPr>
          <w:rFonts w:ascii="Times New Roman" w:hAnsi="Times New Roman" w:cs="Times New Roman" w:eastAsia="Times New Roman" w:hint="default"/>
        </w:rPr>
        <w:t>43</w:t>
      </w:r>
      <w:r>
        <w:rPr/>
        <w:t>、研发费用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after="0" w:line="240" w:lineRule="auto"/>
        <w:jc w:val="right"/>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19" w:type="dxa"/>
        <w:tblLayout w:type="fixed"/>
        <w:tblCellMar>
          <w:top w:w="0" w:type="dxa"/>
          <w:left w:w="0" w:type="dxa"/>
          <w:bottom w:w="0" w:type="dxa"/>
          <w:right w:w="0" w:type="dxa"/>
        </w:tblCellMar>
        <w:tblLook w:val="01E0"/>
      </w:tblPr>
      <w:tblGrid>
        <w:gridCol w:w="6558"/>
        <w:gridCol w:w="1570"/>
        <w:gridCol w:w="1570"/>
      </w:tblGrid>
      <w:tr>
        <w:trPr>
          <w:trHeight w:val="401" w:hRule="exact"/>
        </w:trPr>
        <w:tc>
          <w:tcPr>
            <w:tcW w:w="6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3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5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2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医院轨道物流系统集成与样机研发</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10,345,701.30</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17,346,708.95</w:t>
            </w:r>
          </w:p>
        </w:tc>
      </w:tr>
      <w:tr>
        <w:trPr>
          <w:trHeight w:val="401"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高洁净手术室智能成套系统的研发</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6,034,320.17</w:t>
            </w:r>
          </w:p>
        </w:tc>
        <w:tc>
          <w:tcPr>
            <w:tcW w:w="157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城市轨道交通智慧运维设备健康管理平台系统</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5,335,932.49</w:t>
            </w:r>
          </w:p>
        </w:tc>
        <w:tc>
          <w:tcPr>
            <w:tcW w:w="157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CPS</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的医院轨道物流信息采集与传输技术研究</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4,083,728.55</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7,425,176.03</w:t>
            </w:r>
          </w:p>
        </w:tc>
      </w:tr>
      <w:tr>
        <w:trPr>
          <w:trHeight w:val="403"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Linux</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系统人脸识别门禁控制器</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3,923,612.37</w:t>
            </w:r>
          </w:p>
        </w:tc>
        <w:tc>
          <w:tcPr>
            <w:tcW w:w="157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基于医疗大数据的医学诊断知识图谱构建系统</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3,695,212.36</w:t>
            </w:r>
          </w:p>
        </w:tc>
        <w:tc>
          <w:tcPr>
            <w:tcW w:w="157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基于边缘计算的轨道交通节能控制系统</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2,165,930.34</w:t>
            </w:r>
          </w:p>
        </w:tc>
        <w:tc>
          <w:tcPr>
            <w:tcW w:w="157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基于强化学习的中央空调制冷系统优化控制平台</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2,155,845.91</w:t>
            </w:r>
          </w:p>
        </w:tc>
        <w:tc>
          <w:tcPr>
            <w:tcW w:w="1570"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二维码梯控管理系统</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1,966,155.82</w:t>
            </w:r>
          </w:p>
        </w:tc>
        <w:tc>
          <w:tcPr>
            <w:tcW w:w="157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SAM</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卡的国密门禁系统</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1,440,477.77</w:t>
            </w:r>
          </w:p>
        </w:tc>
        <w:tc>
          <w:tcPr>
            <w:tcW w:w="157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基于多源信息融合的中央空调制冷系统设备健康状况评估</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1,435,242.80</w:t>
            </w:r>
          </w:p>
        </w:tc>
        <w:tc>
          <w:tcPr>
            <w:tcW w:w="157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自助票务处理机研发</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1,057,940.77</w:t>
            </w:r>
          </w:p>
        </w:tc>
        <w:tc>
          <w:tcPr>
            <w:tcW w:w="157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达实云门禁系统</w:t>
            </w:r>
          </w:p>
        </w:tc>
        <w:tc>
          <w:tcPr>
            <w:tcW w:w="1570" w:type="dxa"/>
            <w:tcBorders>
              <w:top w:val="single" w:sz="4" w:space="0" w:color="000000"/>
              <w:left w:val="single" w:sz="4" w:space="0" w:color="000000"/>
              <w:bottom w:val="single" w:sz="4" w:space="0" w:color="000000"/>
              <w:right w:val="single" w:sz="4" w:space="0" w:color="000000"/>
            </w:tcBorders>
          </w:tcPr>
          <w:p>
            <w:pP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4,668,164.53</w:t>
            </w:r>
          </w:p>
        </w:tc>
      </w:tr>
      <w:tr>
        <w:trPr>
          <w:trHeight w:val="401"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机场智慧行李分拣中心监控平台研发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ABSS</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sz w:val="18"/>
                <w:szCs w:val="18"/>
              </w:rPr>
              <w:t>V1.0</w:t>
            </w:r>
          </w:p>
        </w:tc>
        <w:tc>
          <w:tcPr>
            <w:tcW w:w="1570" w:type="dxa"/>
            <w:tcBorders>
              <w:top w:val="single" w:sz="4" w:space="0" w:color="000000"/>
              <w:left w:val="single" w:sz="4" w:space="0" w:color="000000"/>
              <w:bottom w:val="single" w:sz="4" w:space="0" w:color="000000"/>
              <w:right w:val="single" w:sz="4" w:space="0" w:color="000000"/>
            </w:tcBorders>
          </w:tcPr>
          <w:p>
            <w:pP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2,841,646.28</w:t>
            </w:r>
          </w:p>
        </w:tc>
      </w:tr>
      <w:tr>
        <w:trPr>
          <w:trHeight w:val="403"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4K </w:t>
            </w:r>
            <w:r>
              <w:rPr>
                <w:rFonts w:ascii="宋体" w:hAnsi="宋体" w:cs="宋体" w:eastAsia="宋体" w:hint="default"/>
                <w:sz w:val="18"/>
                <w:szCs w:val="18"/>
              </w:rPr>
              <w:t>高清数字一体化手术室系统</w:t>
            </w:r>
          </w:p>
        </w:tc>
        <w:tc>
          <w:tcPr>
            <w:tcW w:w="1570" w:type="dxa"/>
            <w:tcBorders>
              <w:top w:val="single" w:sz="4" w:space="0" w:color="000000"/>
              <w:left w:val="single" w:sz="4" w:space="0" w:color="000000"/>
              <w:bottom w:val="single" w:sz="4" w:space="0" w:color="000000"/>
              <w:right w:val="single" w:sz="4" w:space="0" w:color="000000"/>
            </w:tcBorders>
          </w:tcPr>
          <w:p>
            <w:pP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1,432,046.92</w:t>
            </w:r>
          </w:p>
        </w:tc>
      </w:tr>
      <w:tr>
        <w:trPr>
          <w:trHeight w:val="401"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基于物联网大数据的智慧能源监控系统关键技术研发</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167,676.42</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1,170,294.87</w:t>
            </w:r>
          </w:p>
        </w:tc>
      </w:tr>
      <w:tr>
        <w:trPr>
          <w:trHeight w:val="403"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无人机电力线巡检系统</w:t>
            </w:r>
          </w:p>
        </w:tc>
        <w:tc>
          <w:tcPr>
            <w:tcW w:w="1570" w:type="dxa"/>
            <w:tcBorders>
              <w:top w:val="single" w:sz="4" w:space="0" w:color="000000"/>
              <w:left w:val="single" w:sz="4" w:space="0" w:color="000000"/>
              <w:bottom w:val="single" w:sz="4" w:space="0" w:color="000000"/>
              <w:right w:val="single" w:sz="4" w:space="0" w:color="000000"/>
            </w:tcBorders>
          </w:tcPr>
          <w:p>
            <w:pP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1,041,680.35</w:t>
            </w:r>
          </w:p>
        </w:tc>
      </w:tr>
      <w:tr>
        <w:trPr>
          <w:trHeight w:val="401"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达实联欣视频分析的主控室智能监控系统</w:t>
            </w:r>
          </w:p>
        </w:tc>
        <w:tc>
          <w:tcPr>
            <w:tcW w:w="1570" w:type="dxa"/>
            <w:tcBorders>
              <w:top w:val="single" w:sz="4" w:space="0" w:color="000000"/>
              <w:left w:val="single" w:sz="4" w:space="0" w:color="000000"/>
              <w:bottom w:val="single" w:sz="4" w:space="0" w:color="000000"/>
              <w:right w:val="single" w:sz="4" w:space="0" w:color="000000"/>
            </w:tcBorders>
          </w:tcPr>
          <w:p>
            <w:pP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987,563.94</w:t>
            </w:r>
          </w:p>
        </w:tc>
      </w:tr>
      <w:tr>
        <w:trPr>
          <w:trHeight w:val="403"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手术部资产定位管理系统</w:t>
            </w:r>
          </w:p>
        </w:tc>
        <w:tc>
          <w:tcPr>
            <w:tcW w:w="1570" w:type="dxa"/>
            <w:tcBorders>
              <w:top w:val="single" w:sz="4" w:space="0" w:color="000000"/>
              <w:left w:val="single" w:sz="4" w:space="0" w:color="000000"/>
              <w:bottom w:val="single" w:sz="4" w:space="0" w:color="000000"/>
              <w:right w:val="single" w:sz="4" w:space="0" w:color="000000"/>
            </w:tcBorders>
          </w:tcPr>
          <w:p>
            <w:pP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987,109.33</w:t>
            </w:r>
          </w:p>
        </w:tc>
      </w:tr>
      <w:tr>
        <w:trPr>
          <w:trHeight w:val="401"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SmartIBMS</w:t>
            </w:r>
          </w:p>
        </w:tc>
        <w:tc>
          <w:tcPr>
            <w:tcW w:w="1570" w:type="dxa"/>
            <w:tcBorders>
              <w:top w:val="single" w:sz="4" w:space="0" w:color="000000"/>
              <w:left w:val="single" w:sz="4" w:space="0" w:color="000000"/>
              <w:bottom w:val="single" w:sz="4" w:space="0" w:color="000000"/>
              <w:right w:val="single" w:sz="4" w:space="0" w:color="000000"/>
            </w:tcBorders>
          </w:tcPr>
          <w:p>
            <w:pP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969,025.03</w:t>
            </w:r>
          </w:p>
        </w:tc>
      </w:tr>
      <w:tr>
        <w:trPr>
          <w:trHeight w:val="403"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BIM</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智能空调控制系统</w:t>
            </w:r>
          </w:p>
        </w:tc>
        <w:tc>
          <w:tcPr>
            <w:tcW w:w="1570" w:type="dxa"/>
            <w:tcBorders>
              <w:top w:val="single" w:sz="4" w:space="0" w:color="000000"/>
              <w:left w:val="single" w:sz="4" w:space="0" w:color="000000"/>
              <w:bottom w:val="single" w:sz="4" w:space="0" w:color="000000"/>
              <w:right w:val="single" w:sz="4" w:space="0" w:color="000000"/>
            </w:tcBorders>
          </w:tcPr>
          <w:p>
            <w:pP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749,301.12</w:t>
            </w:r>
          </w:p>
        </w:tc>
      </w:tr>
      <w:tr>
        <w:trPr>
          <w:trHeight w:val="401"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中央空调模糊控制系统</w:t>
            </w:r>
            <w:r>
              <w:rPr>
                <w:rFonts w:ascii="宋体" w:hAnsi="宋体" w:cs="宋体" w:eastAsia="宋体" w:hint="default"/>
                <w:spacing w:val="-38"/>
                <w:sz w:val="18"/>
                <w:szCs w:val="18"/>
              </w:rPr>
              <w:t> </w:t>
            </w:r>
            <w:r>
              <w:rPr>
                <w:rFonts w:ascii="Times New Roman" w:hAnsi="Times New Roman" w:cs="Times New Roman" w:eastAsia="Times New Roman" w:hint="default"/>
                <w:spacing w:val="-3"/>
                <w:sz w:val="18"/>
                <w:szCs w:val="18"/>
              </w:rPr>
              <w:t>HVAC-FCS1.0</w:t>
            </w:r>
          </w:p>
        </w:tc>
        <w:tc>
          <w:tcPr>
            <w:tcW w:w="1570" w:type="dxa"/>
            <w:tcBorders>
              <w:top w:val="single" w:sz="4" w:space="0" w:color="000000"/>
              <w:left w:val="single" w:sz="4" w:space="0" w:color="000000"/>
              <w:bottom w:val="single" w:sz="4" w:space="0" w:color="000000"/>
              <w:right w:val="single" w:sz="4" w:space="0" w:color="000000"/>
            </w:tcBorders>
          </w:tcPr>
          <w:p>
            <w:pP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279,031.93</w:t>
            </w:r>
          </w:p>
        </w:tc>
      </w:tr>
      <w:tr>
        <w:trPr>
          <w:trHeight w:val="403"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BIM</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的环境监测系统管理软件</w:t>
            </w:r>
          </w:p>
        </w:tc>
        <w:tc>
          <w:tcPr>
            <w:tcW w:w="1570" w:type="dxa"/>
            <w:tcBorders>
              <w:top w:val="single" w:sz="4" w:space="0" w:color="000000"/>
              <w:left w:val="single" w:sz="4" w:space="0" w:color="000000"/>
              <w:bottom w:val="single" w:sz="4" w:space="0" w:color="000000"/>
              <w:right w:val="single" w:sz="4" w:space="0" w:color="000000"/>
            </w:tcBorders>
          </w:tcPr>
          <w:p>
            <w:pP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261,821.92</w:t>
            </w:r>
          </w:p>
        </w:tc>
      </w:tr>
      <w:tr>
        <w:trPr>
          <w:trHeight w:val="401"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BIM </w:t>
            </w:r>
            <w:r>
              <w:rPr>
                <w:rFonts w:ascii="宋体" w:hAnsi="宋体" w:cs="宋体" w:eastAsia="宋体" w:hint="default"/>
                <w:sz w:val="18"/>
                <w:szCs w:val="18"/>
              </w:rPr>
              <w:t>的空调管理系统软件</w:t>
            </w:r>
          </w:p>
        </w:tc>
        <w:tc>
          <w:tcPr>
            <w:tcW w:w="1570" w:type="dxa"/>
            <w:tcBorders>
              <w:top w:val="single" w:sz="4" w:space="0" w:color="000000"/>
              <w:left w:val="single" w:sz="4" w:space="0" w:color="000000"/>
              <w:bottom w:val="single" w:sz="4" w:space="0" w:color="000000"/>
              <w:right w:val="single" w:sz="4" w:space="0" w:color="000000"/>
            </w:tcBorders>
          </w:tcPr>
          <w:p>
            <w:pP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103,788.15</w:t>
            </w:r>
          </w:p>
        </w:tc>
      </w:tr>
      <w:tr>
        <w:trPr>
          <w:trHeight w:val="403" w:hRule="exact"/>
        </w:trPr>
        <w:tc>
          <w:tcPr>
            <w:tcW w:w="6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其他项目</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8,243,326.46</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7,310,047.07</w:t>
            </w:r>
          </w:p>
        </w:tc>
      </w:tr>
      <w:tr>
        <w:trPr>
          <w:trHeight w:val="402" w:hRule="exact"/>
        </w:trPr>
        <w:tc>
          <w:tcPr>
            <w:tcW w:w="6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7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52,051,103.53</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47,573,406.42</w:t>
            </w:r>
          </w:p>
        </w:tc>
      </w:tr>
    </w:tbl>
    <w:p>
      <w:pPr>
        <w:spacing w:line="240" w:lineRule="auto" w:before="4"/>
        <w:rPr>
          <w:rFonts w:ascii="宋体" w:hAnsi="宋体" w:cs="宋体" w:eastAsia="宋体" w:hint="default"/>
          <w:sz w:val="19"/>
          <w:szCs w:val="19"/>
        </w:rPr>
      </w:pPr>
    </w:p>
    <w:p>
      <w:pPr>
        <w:pStyle w:val="Heading4"/>
        <w:spacing w:line="240" w:lineRule="auto" w:before="36"/>
        <w:ind w:right="1133"/>
        <w:jc w:val="left"/>
        <w:rPr>
          <w:b w:val="0"/>
          <w:bCs w:val="0"/>
        </w:rPr>
      </w:pPr>
      <w:bookmarkStart w:name="44、财务费用" w:id="325"/>
      <w:bookmarkEnd w:id="325"/>
      <w:r>
        <w:rPr>
          <w:b w:val="0"/>
          <w:bCs w:val="0"/>
        </w:rPr>
      </w:r>
      <w:r>
        <w:rPr>
          <w:rFonts w:ascii="Times New Roman" w:hAnsi="Times New Roman" w:cs="Times New Roman" w:eastAsia="Times New Roman" w:hint="default"/>
        </w:rPr>
        <w:t>44</w:t>
      </w:r>
      <w:r>
        <w:rPr/>
        <w:t>、财务费用</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66,651,279.02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29,888,739.08</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6,887,063.55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6,009,102.95</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5"/>
                <w:sz w:val="18"/>
              </w:rPr>
              <w:t>5,341.34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501,256.17</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减：未确认融资收益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49,461.73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231,684.34</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手续费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353,628.14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2,426,318.74</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60,073,723.22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26,575,526.70</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45、其他收益" w:id="326"/>
      <w:bookmarkEnd w:id="326"/>
      <w:r>
        <w:rPr>
          <w:b w:val="0"/>
          <w:bCs w:val="0"/>
        </w:rPr>
      </w:r>
      <w:r>
        <w:rPr>
          <w:rFonts w:ascii="Times New Roman" w:hAnsi="Times New Roman" w:cs="Times New Roman" w:eastAsia="Times New Roman" w:hint="default"/>
        </w:rPr>
        <w:t>45</w:t>
      </w:r>
      <w:r>
        <w:rPr/>
        <w:t>、其他收益</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6928"/>
        <w:gridCol w:w="1385"/>
        <w:gridCol w:w="1385"/>
      </w:tblGrid>
      <w:tr>
        <w:trPr>
          <w:trHeight w:val="401" w:hRule="exact"/>
        </w:trPr>
        <w:tc>
          <w:tcPr>
            <w:tcW w:w="6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产生其他收益的来源</w:t>
            </w:r>
          </w:p>
        </w:tc>
        <w:tc>
          <w:tcPr>
            <w:tcW w:w="13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7"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3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7"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即征即退增值税</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17,663,409.41</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12,451,673.94</w:t>
            </w:r>
          </w:p>
        </w:tc>
      </w:tr>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深圳集中式空调能效管控技术工程实验室补助</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5,000,000.00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深圳市投资推广署</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年产业链薄弱环节资金奖励</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3,000,000.00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深圳市经济贸易和信息化委员会于鹏飞工信发展领域补助</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2,436,000.00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大型建筑主动冷空调系统产业化项目补助</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2,220,000.00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深圳市科技创新委员会</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BKlpnAB2018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年第一批企业研发资助</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1,989,000.00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深圳市南山区经济促进局产业链薄弱环节投资项目补助</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1,500,000.00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年度省级现代服务业发展专项资金</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1,000,000.00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深圳市科技创新委员会研发费加计扣除资助</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793,000.00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品牌提升补助款</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590,000.00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深圳市南山区经济促进局</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年稳增长资助项目款</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480,000.00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常州市人才项目</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400,000.00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税务手续费返还</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322,127.65</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373,257.14</w:t>
            </w:r>
          </w:p>
        </w:tc>
      </w:tr>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深圳市南山区经济促进局稳增长资助项目补助</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316,100.00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创新人才补助</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300,000.00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300,000.00</w:t>
            </w:r>
          </w:p>
        </w:tc>
      </w:tr>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企业重大贡献奖励</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300,000.00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重点项目增效年税收增量贡献奖</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300,000.00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深圳市南山区科学技术局大型工业创新能力培育提升支持款</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204,400.00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深圳市南山区经济促进局中小企业上规模奖励</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200,000.00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深圳市中小企业服务署信息化项目补助</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190,000.00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稳岗补贴</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170,624.34</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261,718.08</w:t>
            </w:r>
          </w:p>
        </w:tc>
      </w:tr>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科技进步配套奖励</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150,000.00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其他专项政府补助</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115,000.00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268,380.00</w:t>
            </w:r>
          </w:p>
        </w:tc>
      </w:tr>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深圳市南山区人力资源局人才实训基地资助</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102,000.00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国家高新技术企业倍增支持计划款</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100,000.00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容城县工业和信息化局消费体验中心专项补助资金</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100,000.00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年现代服务业十佳企业奖励</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50,000.00</w:t>
            </w:r>
          </w:p>
        </w:tc>
        <w:tc>
          <w:tcPr>
            <w:tcW w:w="1385"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19" w:type="dxa"/>
        <w:tblLayout w:type="fixed"/>
        <w:tblCellMar>
          <w:top w:w="0" w:type="dxa"/>
          <w:left w:w="0" w:type="dxa"/>
          <w:bottom w:w="0" w:type="dxa"/>
          <w:right w:w="0" w:type="dxa"/>
        </w:tblCellMar>
        <w:tblLook w:val="01E0"/>
      </w:tblPr>
      <w:tblGrid>
        <w:gridCol w:w="6928"/>
        <w:gridCol w:w="1385"/>
        <w:gridCol w:w="1385"/>
      </w:tblGrid>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深圳市中小企业服务署开拓项目资助</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42,600.00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国家高新技术企业奖补资金</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30,000.00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专利资助</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21,100.00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299,680.00</w:t>
            </w:r>
          </w:p>
        </w:tc>
      </w:tr>
      <w:tr>
        <w:trPr>
          <w:trHeight w:val="403"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计算机软件资助</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w w:val="95"/>
                <w:sz w:val="18"/>
              </w:rPr>
              <w:t>8,100.00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企业岗前培训补贴</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w w:val="95"/>
                <w:sz w:val="18"/>
              </w:rPr>
              <w:t>2,200.00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增值税税控系统专用设备和技术维护费用抵减增值税税额</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480.00</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深圳市财政委员会节能环保补贴款</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3,000,000.00</w:t>
            </w:r>
          </w:p>
        </w:tc>
      </w:tr>
      <w:tr>
        <w:trPr>
          <w:trHeight w:val="403"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动态冰蓄冷及其节能控制技术在商用建筑中的应用示范政府项目补助</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3,000,000.00</w:t>
            </w:r>
          </w:p>
        </w:tc>
      </w:tr>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深圳市南山区财政局工业增加值奖励</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2,411,300.00</w:t>
            </w:r>
          </w:p>
        </w:tc>
      </w:tr>
      <w:tr>
        <w:trPr>
          <w:trHeight w:val="404"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深圳市科技创新委员会资助款</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1,871,000.00</w:t>
            </w:r>
          </w:p>
        </w:tc>
      </w:tr>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智能建筑人工环境下的实时机电节能控制技术产业化项目</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1,300,000.00</w:t>
            </w:r>
          </w:p>
        </w:tc>
      </w:tr>
      <w:tr>
        <w:trPr>
          <w:trHeight w:val="403"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 </w:t>
            </w:r>
            <w:r>
              <w:rPr>
                <w:rFonts w:ascii="宋体" w:hAnsi="宋体" w:cs="宋体" w:eastAsia="宋体" w:hint="default"/>
                <w:sz w:val="18"/>
                <w:szCs w:val="18"/>
              </w:rPr>
              <w:t>年南山区自主创新产业发展专项资金</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700,000.00</w:t>
            </w:r>
          </w:p>
        </w:tc>
      </w:tr>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上海市青浦区扶持资金</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546,800.00</w:t>
            </w:r>
          </w:p>
        </w:tc>
      </w:tr>
      <w:tr>
        <w:trPr>
          <w:trHeight w:val="403"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深圳市企业研究开发资助款</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534,000.00</w:t>
            </w:r>
          </w:p>
        </w:tc>
      </w:tr>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省级工业和信息产业转型升级专项资金</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500,000.00</w:t>
            </w:r>
          </w:p>
        </w:tc>
      </w:tr>
      <w:tr>
        <w:trPr>
          <w:trHeight w:val="403"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增值税扶持资金</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363,148.70</w:t>
            </w:r>
          </w:p>
        </w:tc>
      </w:tr>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深圳市南山区经济促进局工业旅游资助</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200,000.00</w:t>
            </w:r>
          </w:p>
        </w:tc>
      </w:tr>
      <w:tr>
        <w:trPr>
          <w:trHeight w:val="403"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人才实训基地计划资助</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134,500.00</w:t>
            </w:r>
          </w:p>
        </w:tc>
      </w:tr>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杨浦财政局科技专项资金</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106,000.00</w:t>
            </w:r>
          </w:p>
        </w:tc>
      </w:tr>
      <w:tr>
        <w:trPr>
          <w:trHeight w:val="403"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企业倍增支持计划项目补助</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100,000.00</w:t>
            </w:r>
          </w:p>
        </w:tc>
      </w:tr>
      <w:tr>
        <w:trPr>
          <w:trHeight w:val="401"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科学技术进步奖</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w:t>
            </w:r>
          </w:p>
        </w:tc>
      </w:tr>
      <w:tr>
        <w:trPr>
          <w:trHeight w:val="403" w:hRule="exact"/>
        </w:trPr>
        <w:tc>
          <w:tcPr>
            <w:tcW w:w="6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40,096,141.40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28,821,457.86</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46、投资收益" w:id="327"/>
      <w:bookmarkEnd w:id="327"/>
      <w:r>
        <w:rPr>
          <w:b w:val="0"/>
          <w:bCs w:val="0"/>
        </w:rPr>
      </w:r>
      <w:r>
        <w:rPr>
          <w:rFonts w:ascii="Times New Roman" w:hAnsi="Times New Roman" w:cs="Times New Roman" w:eastAsia="Times New Roman" w:hint="default"/>
        </w:rPr>
        <w:t>46</w:t>
      </w:r>
      <w:r>
        <w:rPr/>
        <w:t>、投资收益</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438"/>
        <w:gridCol w:w="3202"/>
        <w:gridCol w:w="2919"/>
      </w:tblGrid>
      <w:tr>
        <w:trPr>
          <w:trHeight w:val="403" w:hRule="exact"/>
        </w:trPr>
        <w:tc>
          <w:tcPr>
            <w:tcW w:w="3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4,355,001.23</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701,495.18</w:t>
            </w:r>
          </w:p>
        </w:tc>
      </w:tr>
      <w:tr>
        <w:trPr>
          <w:trHeight w:val="404" w:hRule="exact"/>
        </w:trPr>
        <w:tc>
          <w:tcPr>
            <w:tcW w:w="3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141,288.20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-13,432,428.28</w:t>
            </w:r>
          </w:p>
        </w:tc>
      </w:tr>
      <w:tr>
        <w:trPr>
          <w:trHeight w:val="401" w:hRule="exact"/>
        </w:trPr>
        <w:tc>
          <w:tcPr>
            <w:tcW w:w="3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3202" w:type="dxa"/>
            <w:tcBorders>
              <w:top w:val="single" w:sz="4" w:space="0" w:color="000000"/>
              <w:left w:val="single" w:sz="13" w:space="0" w:color="D2D2D2"/>
              <w:bottom w:val="single" w:sz="4" w:space="0" w:color="000000"/>
              <w:right w:val="single" w:sz="4" w:space="0" w:color="000000"/>
            </w:tcBorders>
          </w:tcPr>
          <w:p>
            <w:pP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323,365.63</w:t>
            </w:r>
          </w:p>
        </w:tc>
      </w:tr>
      <w:tr>
        <w:trPr>
          <w:trHeight w:val="715" w:hRule="exact"/>
        </w:trPr>
        <w:tc>
          <w:tcPr>
            <w:tcW w:w="3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10"/>
              <w:jc w:val="left"/>
              <w:rPr>
                <w:rFonts w:ascii="宋体" w:hAnsi="宋体" w:cs="宋体" w:eastAsia="宋体" w:hint="default"/>
                <w:sz w:val="18"/>
                <w:szCs w:val="18"/>
              </w:rPr>
            </w:pPr>
            <w:r>
              <w:rPr>
                <w:rFonts w:ascii="宋体" w:hAnsi="宋体" w:cs="宋体" w:eastAsia="宋体" w:hint="default"/>
                <w:spacing w:val="-1"/>
                <w:sz w:val="18"/>
                <w:szCs w:val="18"/>
              </w:rPr>
              <w:t>丧失控制权后，剩余股权按公允价值重新计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量产生的利得</w:t>
            </w:r>
          </w:p>
        </w:tc>
        <w:tc>
          <w:tcPr>
            <w:tcW w:w="3202" w:type="dxa"/>
            <w:tcBorders>
              <w:top w:val="single" w:sz="4" w:space="0" w:color="000000"/>
              <w:left w:val="single" w:sz="13" w:space="0" w:color="D2D2D2"/>
              <w:bottom w:val="single" w:sz="4" w:space="0" w:color="000000"/>
              <w:right w:val="single" w:sz="4" w:space="0" w:color="000000"/>
            </w:tcBorders>
          </w:tcPr>
          <w:p>
            <w:pP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-3,138,656.35</w:t>
            </w:r>
          </w:p>
        </w:tc>
      </w:tr>
      <w:tr>
        <w:trPr>
          <w:trHeight w:val="403" w:hRule="exact"/>
        </w:trPr>
        <w:tc>
          <w:tcPr>
            <w:tcW w:w="3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4,496,289.43</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-15,546,223.82</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1133"/>
        <w:jc w:val="left"/>
        <w:rPr>
          <w:b w:val="0"/>
          <w:bCs w:val="0"/>
        </w:rPr>
      </w:pPr>
      <w:bookmarkStart w:name="47、信用减值损失" w:id="328"/>
      <w:bookmarkEnd w:id="328"/>
      <w:r>
        <w:rPr>
          <w:b w:val="0"/>
          <w:bCs w:val="0"/>
        </w:rPr>
      </w:r>
      <w:r>
        <w:rPr>
          <w:rFonts w:ascii="Times New Roman" w:hAnsi="Times New Roman" w:cs="Times New Roman" w:eastAsia="Times New Roman" w:hint="default"/>
        </w:rPr>
        <w:t>47</w:t>
      </w:r>
      <w:r>
        <w:rPr/>
        <w:t>、信用减值损失</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其他应收款坏账损失</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-4,588,595.72</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应收票据坏账损失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-9,385,807.04</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应收账款坏账损失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-15,891,369.26</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-29,865,772.02</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48、资产减值损失" w:id="329"/>
      <w:bookmarkEnd w:id="329"/>
      <w:r>
        <w:rPr>
          <w:b w:val="0"/>
          <w:bCs w:val="0"/>
        </w:rPr>
      </w:r>
      <w:r>
        <w:rPr>
          <w:rFonts w:ascii="Times New Roman" w:hAnsi="Times New Roman" w:cs="Times New Roman" w:eastAsia="Times New Roman" w:hint="default"/>
        </w:rPr>
        <w:t>48</w:t>
      </w:r>
      <w:r>
        <w:rPr/>
        <w:t>、资产减值损失</w:t>
      </w:r>
      <w:r>
        <w:rPr>
          <w:b w:val="0"/>
          <w:bCs w:val="0"/>
        </w:rPr>
      </w:r>
    </w:p>
    <w:p>
      <w:pPr>
        <w:spacing w:line="240" w:lineRule="auto" w:before="10"/>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80" w:top="1060" w:bottom="1160" w:left="980" w:right="0"/>
        </w:sectPr>
      </w:pPr>
    </w:p>
    <w:p>
      <w:pPr>
        <w:pStyle w:val="BodyText"/>
        <w:spacing w:line="240" w:lineRule="auto" w:before="44"/>
        <w:ind w:right="-20"/>
        <w:jc w:val="left"/>
      </w:pPr>
      <w:r>
        <w:rPr/>
        <w:t>是否已执行新收入准则</w:t>
      </w:r>
    </w:p>
    <w:p>
      <w:pPr>
        <w:pStyle w:val="BodyText"/>
        <w:spacing w:line="240" w:lineRule="auto" w:before="117"/>
        <w:ind w:right="-2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1953" w:space="6876"/>
            <w:col w:w="2101"/>
          </w:cols>
        </w:sectPr>
      </w:pP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203" w:type="dxa"/>
            <w:tcBorders>
              <w:top w:val="single" w:sz="4" w:space="0" w:color="000000"/>
              <w:left w:val="single" w:sz="12"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-85,829,529.79</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二、存货跌价损失</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-635,183.99</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十三、商誉减值损失</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-472,994,820.21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-2,826,403.28</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-473,630,004.20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-88,655,933.07</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49、资产处置收益" w:id="330"/>
      <w:bookmarkEnd w:id="330"/>
      <w:r>
        <w:rPr>
          <w:b w:val="0"/>
          <w:bCs w:val="0"/>
        </w:rPr>
      </w:r>
      <w:r>
        <w:rPr>
          <w:rFonts w:ascii="Times New Roman" w:hAnsi="Times New Roman" w:cs="Times New Roman" w:eastAsia="Times New Roman" w:hint="default"/>
        </w:rPr>
        <w:t>49</w:t>
      </w:r>
      <w:r>
        <w:rPr/>
        <w:t>、资产处置收益</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6136"/>
        <w:gridCol w:w="1781"/>
        <w:gridCol w:w="1781"/>
      </w:tblGrid>
      <w:tr>
        <w:trPr>
          <w:trHeight w:val="403" w:hRule="exact"/>
        </w:trPr>
        <w:tc>
          <w:tcPr>
            <w:tcW w:w="6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资产处置收益的来源</w:t>
            </w:r>
          </w:p>
        </w:tc>
        <w:tc>
          <w:tcPr>
            <w:tcW w:w="1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4"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未划分为持有待售的资产处置利得或损失</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-278,835.81</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140,347.93</w:t>
            </w:r>
          </w:p>
        </w:tc>
      </w:tr>
      <w:tr>
        <w:trPr>
          <w:trHeight w:val="403" w:hRule="exact"/>
        </w:trPr>
        <w:tc>
          <w:tcPr>
            <w:tcW w:w="6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其中：固定资产处置收益</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-278,835.81</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140,347.93</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50、营业外收入" w:id="331"/>
      <w:bookmarkEnd w:id="331"/>
      <w:r>
        <w:rPr>
          <w:b w:val="0"/>
          <w:bCs w:val="0"/>
        </w:rPr>
      </w:r>
      <w:r>
        <w:rPr>
          <w:rFonts w:ascii="Times New Roman" w:hAnsi="Times New Roman" w:cs="Times New Roman" w:eastAsia="Times New Roman" w:hint="default"/>
        </w:rPr>
        <w:t>50</w:t>
      </w:r>
      <w:r>
        <w:rPr/>
        <w:t>、营业外收入</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88"/>
        <w:gridCol w:w="2396"/>
        <w:gridCol w:w="2393"/>
        <w:gridCol w:w="2393"/>
      </w:tblGrid>
      <w:tr>
        <w:trPr>
          <w:trHeight w:val="716"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74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741"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102" w:right="111" w:hanging="992"/>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违约金收入</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3,931,977.40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17,322.59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3,931,977.40</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党群经费补助</w:t>
            </w:r>
          </w:p>
        </w:tc>
        <w:tc>
          <w:tcPr>
            <w:tcW w:w="2396"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206,000.00</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3,297,077.79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789,130.59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3,297,077.79</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7,229,055.19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1,012,453.18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7,229,055.19</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1133"/>
        <w:jc w:val="left"/>
        <w:rPr>
          <w:b w:val="0"/>
          <w:bCs w:val="0"/>
        </w:rPr>
      </w:pPr>
      <w:bookmarkStart w:name="51、营业外支出" w:id="332"/>
      <w:bookmarkEnd w:id="332"/>
      <w:r>
        <w:rPr>
          <w:b w:val="0"/>
          <w:bCs w:val="0"/>
        </w:rPr>
      </w:r>
      <w:r>
        <w:rPr>
          <w:rFonts w:ascii="Times New Roman" w:hAnsi="Times New Roman" w:cs="Times New Roman" w:eastAsia="Times New Roman" w:hint="default"/>
        </w:rPr>
        <w:t>51</w:t>
      </w:r>
      <w:r>
        <w:rPr/>
        <w:t>、营业外支出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88"/>
        <w:gridCol w:w="2396"/>
        <w:gridCol w:w="2393"/>
        <w:gridCol w:w="2393"/>
      </w:tblGrid>
      <w:tr>
        <w:trPr>
          <w:trHeight w:val="161" w:hRule="exact"/>
        </w:trPr>
        <w:tc>
          <w:tcPr>
            <w:tcW w:w="2388"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6"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3"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1102" w:right="111" w:hanging="992"/>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394" w:hRule="exact"/>
        </w:trPr>
        <w:tc>
          <w:tcPr>
            <w:tcW w:w="238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74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741"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3" w:type="dxa"/>
            <w:vMerge/>
            <w:tcBorders>
              <w:left w:val="single" w:sz="4" w:space="0" w:color="000000"/>
              <w:right w:val="single" w:sz="4" w:space="0" w:color="000000"/>
            </w:tcBorders>
            <w:shd w:val="clear" w:color="auto" w:fill="D2D2D2"/>
          </w:tcPr>
          <w:p>
            <w:pPr/>
          </w:p>
        </w:tc>
      </w:tr>
      <w:tr>
        <w:trPr>
          <w:trHeight w:val="161" w:hRule="exact"/>
        </w:trPr>
        <w:tc>
          <w:tcPr>
            <w:tcW w:w="2388"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债务重组损失</w:t>
            </w:r>
          </w:p>
        </w:tc>
        <w:tc>
          <w:tcPr>
            <w:tcW w:w="2396" w:type="dxa"/>
            <w:tcBorders>
              <w:top w:val="single" w:sz="4" w:space="0" w:color="000000"/>
              <w:left w:val="single" w:sz="10" w:space="0" w:color="D2D2D2"/>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1,327,659.56</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39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471,500.00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845,710.00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471,500.00</w:t>
            </w: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罚没支出</w:t>
            </w:r>
          </w:p>
        </w:tc>
        <w:tc>
          <w:tcPr>
            <w:tcW w:w="2396"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47,438.69</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存货毁损报废损失</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591,090.94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288,743.20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591,090.94</w:t>
            </w: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531,795.27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2,601,770.60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531,795.27</w:t>
            </w:r>
          </w:p>
        </w:tc>
      </w:tr>
      <w:tr>
        <w:trPr>
          <w:trHeight w:val="404"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1,594,386.21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5,111,322.05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1,594,386.21</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52、所得税费用" w:id="333"/>
      <w:bookmarkEnd w:id="333"/>
      <w:r>
        <w:rPr>
          <w:b w:val="0"/>
          <w:bCs w:val="0"/>
        </w:rPr>
      </w:r>
      <w:r>
        <w:rPr>
          <w:rFonts w:ascii="Times New Roman" w:hAnsi="Times New Roman" w:cs="Times New Roman" w:eastAsia="Times New Roman" w:hint="default"/>
        </w:rPr>
        <w:t>52</w:t>
      </w:r>
      <w:r>
        <w:rPr/>
        <w:t>、所得税费用</w:t>
      </w:r>
      <w:r>
        <w:rPr>
          <w:b w:val="0"/>
          <w:bCs w:val="0"/>
        </w:rPr>
      </w:r>
    </w:p>
    <w:p>
      <w:pPr>
        <w:spacing w:line="240" w:lineRule="auto" w:before="7"/>
        <w:rPr>
          <w:rFonts w:ascii="宋体" w:hAnsi="宋体" w:cs="宋体" w:eastAsia="宋体" w:hint="default"/>
          <w:b/>
          <w:bCs/>
          <w:sz w:val="24"/>
          <w:szCs w:val="24"/>
        </w:rPr>
      </w:pPr>
    </w:p>
    <w:p>
      <w:pPr>
        <w:pStyle w:val="Heading4"/>
        <w:spacing w:line="240" w:lineRule="auto"/>
        <w:ind w:right="1133"/>
        <w:jc w:val="left"/>
        <w:rPr>
          <w:b w:val="0"/>
          <w:bCs w:val="0"/>
        </w:rPr>
      </w:pPr>
      <w:bookmarkStart w:name="（1）所得税费用表" w:id="334"/>
      <w:bookmarkEnd w:id="334"/>
      <w:r>
        <w:rPr>
          <w:b w:val="0"/>
          <w:bCs w:val="0"/>
        </w:rPr>
      </w:r>
      <w:r>
        <w:rPr/>
        <w:t>（</w:t>
      </w:r>
      <w:r>
        <w:rPr>
          <w:rFonts w:ascii="Times New Roman" w:hAnsi="Times New Roman" w:cs="Times New Roman" w:eastAsia="Times New Roman" w:hint="default"/>
        </w:rPr>
        <w:t>1</w:t>
      </w:r>
      <w:r>
        <w:rPr/>
        <w:t>）所得税费用表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13,097,526.46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62,063,636.40</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-7,508,058.99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-20,321,680.17</w:t>
            </w:r>
          </w:p>
        </w:tc>
      </w:tr>
      <w:tr>
        <w:trPr>
          <w:trHeight w:val="404"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5,589,467.47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41,741,956.23</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会计利润与所得税费用调整过程" w:id="335"/>
      <w:bookmarkEnd w:id="335"/>
      <w:r>
        <w:rPr>
          <w:b w:val="0"/>
          <w:bCs w:val="0"/>
        </w:rPr>
      </w:r>
      <w:r>
        <w:rPr/>
        <w:t>（</w:t>
      </w:r>
      <w:r>
        <w:rPr>
          <w:rFonts w:ascii="Times New Roman" w:hAnsi="Times New Roman" w:cs="Times New Roman" w:eastAsia="Times New Roman" w:hint="default"/>
        </w:rPr>
        <w:t>2</w:t>
      </w:r>
      <w:r>
        <w:rPr/>
        <w:t>）会计利润与所得税费用调整过程</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757"/>
        <w:gridCol w:w="4802"/>
      </w:tblGrid>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8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-337,688,342.45</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适用税率计算的所得税费用</w:t>
            </w:r>
          </w:p>
        </w:tc>
        <w:tc>
          <w:tcPr>
            <w:tcW w:w="48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-50,653,251.37</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48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432,171.40</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48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-14,049,739.04</w:t>
            </w:r>
          </w:p>
        </w:tc>
      </w:tr>
      <w:tr>
        <w:trPr>
          <w:trHeight w:val="403"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48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-653,250.18</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48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73,478,888.71</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使用前期未确认递延所得税资产的可抵扣亏损的影响</w:t>
            </w:r>
          </w:p>
        </w:tc>
        <w:tc>
          <w:tcPr>
            <w:tcW w:w="48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-3,761.41</w:t>
            </w:r>
          </w:p>
        </w:tc>
      </w:tr>
      <w:tr>
        <w:trPr>
          <w:trHeight w:val="713"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54"/>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本期未确认递延所得税资产的可抵扣暂时性差异或可抵扣亏 损的影响</w:t>
            </w:r>
          </w:p>
        </w:tc>
        <w:tc>
          <w:tcPr>
            <w:tcW w:w="48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11,130,430.53</w:t>
            </w:r>
          </w:p>
        </w:tc>
      </w:tr>
      <w:tr>
        <w:trPr>
          <w:trHeight w:val="403" w:hRule="exact"/>
        </w:trPr>
        <w:tc>
          <w:tcPr>
            <w:tcW w:w="4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税率调整导致年初递延所得税资产</w:t>
            </w:r>
            <w:r>
              <w:rPr>
                <w:rFonts w:ascii="Times New Roman" w:hAnsi="Times New Roman" w:cs="Times New Roman" w:eastAsia="Times New Roman" w:hint="default"/>
                <w:sz w:val="18"/>
                <w:szCs w:val="18"/>
              </w:rPr>
              <w:t>/</w:t>
            </w:r>
            <w:r>
              <w:rPr>
                <w:rFonts w:ascii="宋体" w:hAnsi="宋体" w:cs="宋体" w:eastAsia="宋体" w:hint="default"/>
                <w:sz w:val="18"/>
                <w:szCs w:val="18"/>
              </w:rPr>
              <w:t>负债余额的变化</w:t>
            </w:r>
          </w:p>
        </w:tc>
        <w:tc>
          <w:tcPr>
            <w:tcW w:w="4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-100,788.85</w:t>
            </w:r>
            <w:r>
              <w:rPr>
                <w:rFonts w:ascii="Times New Roman"/>
                <w:sz w:val="18"/>
              </w:rPr>
            </w:r>
          </w:p>
        </w:tc>
      </w:tr>
      <w:tr>
        <w:trPr>
          <w:trHeight w:val="403" w:hRule="exact"/>
        </w:trPr>
        <w:tc>
          <w:tcPr>
            <w:tcW w:w="4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税法规定的额外可扣除费用</w:t>
            </w:r>
          </w:p>
        </w:tc>
        <w:tc>
          <w:tcPr>
            <w:tcW w:w="4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-13,991,232.32</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4778"/>
        <w:gridCol w:w="4791"/>
      </w:tblGrid>
      <w:tr>
        <w:trPr>
          <w:trHeight w:val="404" w:hRule="exact"/>
        </w:trPr>
        <w:tc>
          <w:tcPr>
            <w:tcW w:w="4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5,589,467.47</w:t>
            </w:r>
          </w:p>
        </w:tc>
      </w:tr>
    </w:tbl>
    <w:p>
      <w:pPr>
        <w:spacing w:line="240" w:lineRule="auto" w:before="3"/>
        <w:rPr>
          <w:rFonts w:ascii="宋体" w:hAnsi="宋体" w:cs="宋体" w:eastAsia="宋体" w:hint="default"/>
          <w:sz w:val="19"/>
          <w:szCs w:val="19"/>
        </w:rPr>
      </w:pPr>
    </w:p>
    <w:p>
      <w:pPr>
        <w:spacing w:line="544" w:lineRule="auto" w:before="36"/>
        <w:ind w:left="152" w:right="8190" w:firstLine="0"/>
        <w:jc w:val="left"/>
        <w:rPr>
          <w:rFonts w:ascii="宋体" w:hAnsi="宋体" w:cs="宋体" w:eastAsia="宋体" w:hint="default"/>
          <w:sz w:val="21"/>
          <w:szCs w:val="21"/>
        </w:rPr>
      </w:pPr>
      <w:bookmarkStart w:name="53、其他综合收益" w:id="336"/>
      <w:bookmarkEnd w:id="336"/>
      <w:r>
        <w:rPr/>
      </w:r>
      <w:r>
        <w:rPr>
          <w:rFonts w:ascii="Times New Roman" w:hAnsi="Times New Roman" w:cs="Times New Roman" w:eastAsia="Times New Roman" w:hint="default"/>
          <w:b/>
          <w:bCs/>
          <w:sz w:val="21"/>
          <w:szCs w:val="21"/>
        </w:rPr>
        <w:t>53</w:t>
      </w:r>
      <w:r>
        <w:rPr>
          <w:rFonts w:ascii="宋体" w:hAnsi="宋体" w:cs="宋体" w:eastAsia="宋体" w:hint="default"/>
          <w:b/>
          <w:bCs/>
          <w:sz w:val="21"/>
          <w:szCs w:val="21"/>
        </w:rPr>
        <w:t>、其他综合收益</w:t>
      </w:r>
      <w:r>
        <w:rPr>
          <w:rFonts w:ascii="宋体" w:hAnsi="宋体" w:cs="宋体" w:eastAsia="宋体" w:hint="default"/>
          <w:b/>
          <w:bCs/>
          <w:w w:val="100"/>
          <w:sz w:val="21"/>
          <w:szCs w:val="21"/>
        </w:rPr>
        <w:t> </w:t>
      </w:r>
      <w:r>
        <w:rPr>
          <w:rFonts w:ascii="宋体" w:hAnsi="宋体" w:cs="宋体" w:eastAsia="宋体" w:hint="default"/>
          <w:sz w:val="18"/>
          <w:szCs w:val="18"/>
        </w:rPr>
        <w:t>详见附注七、</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其他综合收益。 </w:t>
      </w:r>
      <w:bookmarkStart w:name="54、现金流量表项目" w:id="337"/>
      <w:bookmarkEnd w:id="337"/>
      <w:r>
        <w:rPr>
          <w:rFonts w:ascii="宋体" w:hAnsi="宋体" w:cs="宋体" w:eastAsia="宋体" w:hint="default"/>
          <w:sz w:val="18"/>
          <w:szCs w:val="18"/>
        </w:rPr>
      </w:r>
      <w:r>
        <w:rPr>
          <w:rFonts w:ascii="Times New Roman" w:hAnsi="Times New Roman" w:cs="Times New Roman" w:eastAsia="Times New Roman" w:hint="default"/>
          <w:b/>
          <w:bCs/>
          <w:sz w:val="21"/>
          <w:szCs w:val="21"/>
        </w:rPr>
        <w:t>54</w:t>
      </w:r>
      <w:r>
        <w:rPr>
          <w:rFonts w:ascii="宋体" w:hAnsi="宋体" w:cs="宋体" w:eastAsia="宋体" w:hint="default"/>
          <w:b/>
          <w:bCs/>
          <w:sz w:val="21"/>
          <w:szCs w:val="21"/>
        </w:rPr>
        <w:t>、现金流量表项目</w:t>
      </w:r>
      <w:r>
        <w:rPr>
          <w:rFonts w:ascii="宋体" w:hAnsi="宋体" w:cs="宋体" w:eastAsia="宋体" w:hint="default"/>
          <w:sz w:val="21"/>
          <w:szCs w:val="21"/>
        </w:rPr>
      </w:r>
    </w:p>
    <w:p>
      <w:pPr>
        <w:pStyle w:val="Heading4"/>
        <w:spacing w:line="240" w:lineRule="auto" w:before="28"/>
        <w:ind w:right="1133"/>
        <w:jc w:val="left"/>
        <w:rPr>
          <w:b w:val="0"/>
          <w:bCs w:val="0"/>
        </w:rPr>
      </w:pPr>
      <w:bookmarkStart w:name="（1）收到的其他与经营活动有关的现金" w:id="338"/>
      <w:bookmarkEnd w:id="338"/>
      <w:r>
        <w:rPr>
          <w:b w:val="0"/>
          <w:bCs w:val="0"/>
        </w:rPr>
      </w:r>
      <w:r>
        <w:rPr/>
        <w:t>（</w:t>
      </w:r>
      <w:r>
        <w:rPr>
          <w:rFonts w:ascii="Times New Roman" w:hAnsi="Times New Roman" w:cs="Times New Roman" w:eastAsia="Times New Roman" w:hint="default"/>
        </w:rPr>
        <w:t>1</w:t>
      </w:r>
      <w:r>
        <w:rPr/>
        <w:t>）收到的其他与经营活动有关的现金</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施工、投标等保证金收支净额</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27,665,343.75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22,544,340.05</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其他收益、递延收益收到的政府补助</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19,943,618.70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12,345,231.48</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6,887,063.55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4,129,713.25</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保函及票据保证金收支净额</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3,429,765.81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1,778,361.33</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26,982,733.91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9,383,297.40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84,908,525.72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50,180,943.51</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支付的其他与经营活动有关的现金" w:id="339"/>
      <w:bookmarkEnd w:id="339"/>
      <w:r>
        <w:rPr>
          <w:b w:val="0"/>
          <w:bCs w:val="0"/>
        </w:rPr>
      </w:r>
      <w:r>
        <w:rPr/>
        <w:t>（</w:t>
      </w:r>
      <w:r>
        <w:rPr>
          <w:rFonts w:ascii="Times New Roman" w:hAnsi="Times New Roman" w:cs="Times New Roman" w:eastAsia="Times New Roman" w:hint="default"/>
        </w:rPr>
        <w:t>2</w:t>
      </w:r>
      <w:r>
        <w:rPr/>
        <w:t>）支付的其他与经营活动有关的现金</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管理费用、销售费用等</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142,385,423.76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123,989,925.93</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471,500.00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845,710.00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施工、投标等保证金收支净额</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21,586,494.69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63,506,246.61</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保函保证金收支净额</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35,496,746.01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14,280,199.38</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13,882,690.64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3,941,382.92</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213,822,855.10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206,563,464.84</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3）收到的其他与投资活动有关的现金" w:id="340"/>
      <w:bookmarkEnd w:id="340"/>
      <w:r>
        <w:rPr>
          <w:b w:val="0"/>
          <w:bCs w:val="0"/>
        </w:rPr>
      </w:r>
      <w:r>
        <w:rPr/>
        <w:t>（</w:t>
      </w:r>
      <w:r>
        <w:rPr>
          <w:rFonts w:ascii="Times New Roman" w:hAnsi="Times New Roman" w:cs="Times New Roman" w:eastAsia="Times New Roman" w:hint="default"/>
        </w:rPr>
        <w:t>3</w:t>
      </w:r>
      <w:r>
        <w:rPr/>
        <w:t>）收到的其他与投资活动有关的现金</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保本型银行理财款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873,500,000.00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692,050,000.00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外部公司拆借还款</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16,103,972.22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858,523.10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873,500,000.00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709,012,495.32</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1133"/>
        <w:jc w:val="left"/>
        <w:rPr>
          <w:b w:val="0"/>
          <w:bCs w:val="0"/>
        </w:rPr>
      </w:pPr>
      <w:bookmarkStart w:name="（4）支付的其他与投资活动有关的现金" w:id="341"/>
      <w:bookmarkEnd w:id="341"/>
      <w:r>
        <w:rPr>
          <w:b w:val="0"/>
          <w:bCs w:val="0"/>
        </w:rPr>
      </w:r>
      <w:r>
        <w:rPr/>
        <w:t>（</w:t>
      </w:r>
      <w:r>
        <w:rPr>
          <w:rFonts w:ascii="Times New Roman" w:hAnsi="Times New Roman" w:cs="Times New Roman" w:eastAsia="Times New Roman" w:hint="default"/>
        </w:rPr>
        <w:t>4</w:t>
      </w:r>
      <w:r>
        <w:rPr/>
        <w:t>）支付的其他与投资活动有关的现金</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保本型银行理财款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828,500,000.00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737,050,000.00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外部公司拆借还款</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9,000,000.00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处置子公司收到的现金净额</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9,857,657.78</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1,003,748.64</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829,503,748.64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755,907,657.78</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5）收到的其他与筹资活动有关的现金" w:id="342"/>
      <w:bookmarkEnd w:id="342"/>
      <w:r>
        <w:rPr>
          <w:b w:val="0"/>
          <w:bCs w:val="0"/>
        </w:rPr>
      </w:r>
      <w:r>
        <w:rPr/>
        <w:t>（</w:t>
      </w:r>
      <w:r>
        <w:rPr>
          <w:rFonts w:ascii="Times New Roman" w:hAnsi="Times New Roman" w:cs="Times New Roman" w:eastAsia="Times New Roman" w:hint="default"/>
        </w:rPr>
        <w:t>5</w:t>
      </w:r>
      <w:r>
        <w:rPr/>
        <w:t>）收到的其他与筹资活动有关的现金</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外部资金拆借款</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6,000,000.00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出质银行定期存单收回</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6,000,000.00</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6）支付的其他与筹资活动有关的现金" w:id="343"/>
      <w:bookmarkEnd w:id="343"/>
      <w:r>
        <w:rPr>
          <w:b w:val="0"/>
          <w:bCs w:val="0"/>
        </w:rPr>
      </w:r>
      <w:r>
        <w:rPr/>
        <w:t>（</w:t>
      </w:r>
      <w:r>
        <w:rPr>
          <w:rFonts w:ascii="Times New Roman" w:hAnsi="Times New Roman" w:cs="Times New Roman" w:eastAsia="Times New Roman" w:hint="default"/>
        </w:rPr>
        <w:t>6</w:t>
      </w:r>
      <w:r>
        <w:rPr/>
        <w:t>）支付的其他与筹资活动有关的现金</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5"/>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出质银行定期存单</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限制性股票回购款</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105,136,974.35</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收购少数股东股权款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88,000,000.00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外部资金拆借款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银行融资费用</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6,000,000.00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426,565.61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1,030,000.00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100,426,565.61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116,166,974.35</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55、现金流量表补充资料" w:id="344"/>
      <w:bookmarkEnd w:id="344"/>
      <w:r>
        <w:rPr>
          <w:b w:val="0"/>
          <w:bCs w:val="0"/>
        </w:rPr>
      </w:r>
      <w:r>
        <w:rPr>
          <w:rFonts w:ascii="Times New Roman" w:hAnsi="Times New Roman" w:cs="Times New Roman" w:eastAsia="Times New Roman" w:hint="default"/>
        </w:rPr>
        <w:t>55</w:t>
      </w:r>
      <w:r>
        <w:rPr/>
        <w:t>、现金流量表补充资料</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33"/>
        <w:jc w:val="left"/>
        <w:rPr>
          <w:b w:val="0"/>
          <w:bCs w:val="0"/>
        </w:rPr>
      </w:pPr>
      <w:bookmarkStart w:name="（1）现金流量表补充资料" w:id="345"/>
      <w:bookmarkEnd w:id="345"/>
      <w:r>
        <w:rPr>
          <w:b w:val="0"/>
          <w:bCs w:val="0"/>
        </w:rPr>
      </w:r>
      <w:r>
        <w:rPr/>
        <w:t>（</w:t>
      </w:r>
      <w:r>
        <w:rPr>
          <w:rFonts w:ascii="Times New Roman" w:hAnsi="Times New Roman" w:cs="Times New Roman" w:eastAsia="Times New Roman" w:hint="default"/>
        </w:rPr>
        <w:t>1</w:t>
      </w:r>
      <w:r>
        <w:rPr/>
        <w:t>）现金流量表补充资料</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17"/>
        <w:gridCol w:w="3058"/>
        <w:gridCol w:w="3172"/>
      </w:tblGrid>
      <w:tr>
        <w:trPr>
          <w:trHeight w:val="402" w:hRule="exact"/>
        </w:trPr>
        <w:tc>
          <w:tcPr>
            <w:tcW w:w="33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1"/>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1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2" w:hRule="exact"/>
        </w:trPr>
        <w:tc>
          <w:tcPr>
            <w:tcW w:w="33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31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9"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33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05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830" w:right="0"/>
              <w:jc w:val="left"/>
              <w:rPr>
                <w:rFonts w:ascii="Times New Roman" w:hAnsi="Times New Roman" w:cs="Times New Roman" w:eastAsia="Times New Roman" w:hint="default"/>
                <w:sz w:val="18"/>
                <w:szCs w:val="18"/>
              </w:rPr>
            </w:pPr>
            <w:r>
              <w:rPr>
                <w:rFonts w:ascii="Times New Roman"/>
                <w:sz w:val="18"/>
              </w:rPr>
              <w:t>-343,277,809.92</w:t>
            </w:r>
          </w:p>
        </w:tc>
        <w:tc>
          <w:tcPr>
            <w:tcW w:w="3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24" w:right="0"/>
              <w:jc w:val="left"/>
              <w:rPr>
                <w:rFonts w:ascii="Times New Roman" w:hAnsi="Times New Roman" w:cs="Times New Roman" w:eastAsia="Times New Roman" w:hint="default"/>
                <w:sz w:val="18"/>
                <w:szCs w:val="18"/>
              </w:rPr>
            </w:pPr>
            <w:r>
              <w:rPr>
                <w:rFonts w:ascii="Times New Roman"/>
                <w:sz w:val="18"/>
              </w:rPr>
              <w:t>213,812,595.89</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r>
        <w:rPr/>
        <w:pict>
          <v:group style="position:absolute;margin-left:223.369995pt;margin-top:315.349976pt;width:151.25pt;height:20.65pt;mso-position-horizontal-relative:page;mso-position-vertical-relative:page;z-index:-1094464" coordorigin="4467,6307" coordsize="3025,413">
            <v:group style="position:absolute;left:4478;top:6318;width:2;height:392" coordorigin="4478,6318" coordsize="2,392">
              <v:shape style="position:absolute;left:4478;top:6318;width:2;height:392" coordorigin="4478,6318" coordsize="0,392" path="m4478,6318l4478,6709e" filled="false" stroked="true" strokeweight="1.08pt" strokecolor="#ffffff">
                <v:path arrowok="t"/>
              </v:shape>
            </v:group>
            <v:group style="position:absolute;left:4489;top:6318;width:3003;height:392" coordorigin="4489,6318" coordsize="3003,392">
              <v:shape style="position:absolute;left:4489;top:6318;width:3003;height:392" coordorigin="4489,6318" coordsize="3003,392" path="m4489,6709l7492,6709,7492,6318,4489,6318,4489,6709xe" filled="true" fillcolor="#ffffff" stroked="false">
                <v:path arrowok="t"/>
                <v:fill type="solid"/>
              </v:shape>
            </v:group>
            <w10:wrap type="none"/>
          </v:group>
        </w:pict>
      </w:r>
    </w:p>
    <w:tbl>
      <w:tblPr>
        <w:tblW w:w="0" w:type="auto"/>
        <w:jc w:val="left"/>
        <w:tblInd w:w="160" w:type="dxa"/>
        <w:tblLayout w:type="fixed"/>
        <w:tblCellMar>
          <w:top w:w="0" w:type="dxa"/>
          <w:left w:w="0" w:type="dxa"/>
          <w:bottom w:w="0" w:type="dxa"/>
          <w:right w:w="0" w:type="dxa"/>
        </w:tblCellMar>
        <w:tblLook w:val="01E0"/>
      </w:tblPr>
      <w:tblGrid>
        <w:gridCol w:w="3305"/>
        <w:gridCol w:w="964"/>
        <w:gridCol w:w="2105"/>
        <w:gridCol w:w="3185"/>
      </w:tblGrid>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902" w:right="0"/>
              <w:jc w:val="left"/>
              <w:rPr>
                <w:rFonts w:ascii="Times New Roman" w:hAnsi="Times New Roman" w:cs="Times New Roman" w:eastAsia="Times New Roman" w:hint="default"/>
                <w:sz w:val="18"/>
                <w:szCs w:val="18"/>
              </w:rPr>
            </w:pPr>
            <w:r>
              <w:rPr>
                <w:rFonts w:ascii="Times New Roman"/>
                <w:sz w:val="18"/>
              </w:rPr>
              <w:t>503,495,776.22</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88,655,933.07</w:t>
            </w:r>
          </w:p>
        </w:tc>
      </w:tr>
      <w:tr>
        <w:trPr>
          <w:trHeight w:val="715"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0" w:firstLine="720"/>
              <w:jc w:val="left"/>
              <w:rPr>
                <w:rFonts w:ascii="宋体" w:hAnsi="宋体" w:cs="宋体" w:eastAsia="宋体" w:hint="default"/>
                <w:sz w:val="18"/>
                <w:szCs w:val="18"/>
              </w:rPr>
            </w:pPr>
            <w:r>
              <w:rPr>
                <w:rFonts w:ascii="宋体" w:hAnsi="宋体" w:cs="宋体" w:eastAsia="宋体" w:hint="default"/>
                <w:sz w:val="18"/>
                <w:szCs w:val="18"/>
              </w:rPr>
              <w:t>固定资产折旧、油气资产折耗、 生产性生物资产折旧</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993" w:right="0"/>
              <w:jc w:val="left"/>
              <w:rPr>
                <w:rFonts w:ascii="Times New Roman" w:hAnsi="Times New Roman" w:cs="Times New Roman" w:eastAsia="Times New Roman" w:hint="default"/>
                <w:sz w:val="18"/>
                <w:szCs w:val="18"/>
              </w:rPr>
            </w:pPr>
            <w:r>
              <w:rPr>
                <w:rFonts w:ascii="Times New Roman"/>
                <w:sz w:val="18"/>
              </w:rPr>
              <w:t>66,572,490.44</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40,452,960.49</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993" w:right="0"/>
              <w:jc w:val="left"/>
              <w:rPr>
                <w:rFonts w:ascii="Times New Roman" w:hAnsi="Times New Roman" w:cs="Times New Roman" w:eastAsia="Times New Roman" w:hint="default"/>
                <w:sz w:val="18"/>
                <w:szCs w:val="18"/>
              </w:rPr>
            </w:pPr>
            <w:r>
              <w:rPr>
                <w:rFonts w:ascii="Times New Roman"/>
                <w:sz w:val="18"/>
              </w:rPr>
              <w:t>35,089,173.50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23,356,040.30</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left="1993" w:right="0"/>
              <w:jc w:val="left"/>
              <w:rPr>
                <w:rFonts w:ascii="Times New Roman" w:hAnsi="Times New Roman" w:cs="Times New Roman" w:eastAsia="Times New Roman" w:hint="default"/>
                <w:sz w:val="18"/>
                <w:szCs w:val="18"/>
              </w:rPr>
            </w:pPr>
            <w:r>
              <w:rPr>
                <w:rFonts w:ascii="Times New Roman"/>
                <w:sz w:val="18"/>
              </w:rPr>
              <w:t>16,256,229.58</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4,250,388.11</w:t>
            </w:r>
          </w:p>
        </w:tc>
      </w:tr>
      <w:tr>
        <w:trPr>
          <w:trHeight w:val="71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firstLine="72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278,835.81</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-140,347.93</w:t>
            </w:r>
          </w:p>
        </w:tc>
      </w:tr>
      <w:tr>
        <w:trPr>
          <w:trHeight w:val="715"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p>
          <w:p>
            <w:pPr>
              <w:pStyle w:val="TableParagraph"/>
              <w:spacing w:line="240" w:lineRule="auto" w:before="60"/>
              <w:ind w:left="12"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161,841.55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658.95</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62"/>
              <w:jc w:val="right"/>
              <w:rPr>
                <w:rFonts w:ascii="宋体" w:hAnsi="宋体" w:cs="宋体" w:eastAsia="宋体" w:hint="default"/>
                <w:sz w:val="18"/>
                <w:szCs w:val="18"/>
              </w:rPr>
            </w:pPr>
            <w:r>
              <w:rPr>
                <w:rFonts w:ascii="宋体" w:hAnsi="宋体" w:cs="宋体" w:eastAsia="宋体" w:hint="default"/>
                <w:spacing w:val="-1"/>
                <w:sz w:val="18"/>
                <w:szCs w:val="18"/>
              </w:rPr>
              <w:t>财务费用（收益以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号填列）</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993" w:right="0"/>
              <w:jc w:val="left"/>
              <w:rPr>
                <w:rFonts w:ascii="Times New Roman" w:hAnsi="Times New Roman" w:cs="Times New Roman" w:eastAsia="Times New Roman" w:hint="default"/>
                <w:sz w:val="18"/>
                <w:szCs w:val="18"/>
              </w:rPr>
            </w:pPr>
            <w:r>
              <w:rPr>
                <w:rFonts w:ascii="Times New Roman"/>
                <w:sz w:val="18"/>
              </w:rPr>
              <w:t>66,651,279.02</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27,460,437.65</w:t>
            </w:r>
          </w:p>
        </w:tc>
      </w:tr>
      <w:tr>
        <w:trPr>
          <w:trHeight w:val="40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62"/>
              <w:jc w:val="right"/>
              <w:rPr>
                <w:rFonts w:ascii="宋体" w:hAnsi="宋体" w:cs="宋体" w:eastAsia="宋体" w:hint="default"/>
                <w:sz w:val="18"/>
                <w:szCs w:val="18"/>
              </w:rPr>
            </w:pPr>
            <w:r>
              <w:rPr>
                <w:rFonts w:ascii="宋体" w:hAnsi="宋体" w:cs="宋体" w:eastAsia="宋体" w:hint="default"/>
                <w:spacing w:val="-1"/>
                <w:sz w:val="18"/>
                <w:szCs w:val="18"/>
              </w:rPr>
              <w:t>投资损失（收益以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号填列）</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4"/>
              <w:ind w:left="2022" w:right="0"/>
              <w:jc w:val="left"/>
              <w:rPr>
                <w:rFonts w:ascii="Times New Roman" w:hAnsi="Times New Roman" w:cs="Times New Roman" w:eastAsia="Times New Roman" w:hint="default"/>
                <w:sz w:val="18"/>
                <w:szCs w:val="18"/>
              </w:rPr>
            </w:pPr>
            <w:r>
              <w:rPr>
                <w:rFonts w:ascii="Times New Roman"/>
                <w:sz w:val="18"/>
              </w:rPr>
              <w:t>-4,496,289.43</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15,546,223.82</w:t>
            </w:r>
          </w:p>
        </w:tc>
      </w:tr>
      <w:tr>
        <w:trPr>
          <w:trHeight w:val="71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p>
          <w:p>
            <w:pPr>
              <w:pStyle w:val="TableParagraph"/>
              <w:spacing w:line="240" w:lineRule="auto" w:before="76"/>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22" w:right="0"/>
              <w:jc w:val="left"/>
              <w:rPr>
                <w:rFonts w:ascii="Times New Roman" w:hAnsi="Times New Roman" w:cs="Times New Roman" w:eastAsia="Times New Roman" w:hint="default"/>
                <w:sz w:val="18"/>
                <w:szCs w:val="18"/>
              </w:rPr>
            </w:pPr>
            <w:r>
              <w:rPr>
                <w:rFonts w:ascii="Times New Roman"/>
                <w:sz w:val="18"/>
              </w:rPr>
              <w:t>-7,506,452.14</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-19,997,621.48</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1"/>
              <w:jc w:val="right"/>
              <w:rPr>
                <w:rFonts w:ascii="宋体" w:hAnsi="宋体" w:cs="宋体" w:eastAsia="宋体" w:hint="default"/>
                <w:sz w:val="18"/>
                <w:szCs w:val="18"/>
              </w:rPr>
            </w:pPr>
            <w:r>
              <w:rPr>
                <w:rFonts w:ascii="宋体" w:hAnsi="宋体" w:cs="宋体" w:eastAsia="宋体" w:hint="default"/>
                <w:spacing w:val="-3"/>
                <w:sz w:val="18"/>
                <w:szCs w:val="18"/>
              </w:rPr>
              <w:t>存货的减少（增加以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964" w:type="dxa"/>
            <w:tcBorders>
              <w:top w:val="single" w:sz="4" w:space="0" w:color="000000"/>
              <w:left w:val="single" w:sz="10" w:space="0" w:color="D2D2D2"/>
              <w:bottom w:val="single" w:sz="4" w:space="0" w:color="000000"/>
              <w:right w:val="nil" w:sz="6" w:space="0" w:color="auto"/>
            </w:tcBorders>
          </w:tcPr>
          <w:p>
            <w:pPr>
              <w:pStyle w:val="TableParagraph"/>
              <w:spacing w:line="240" w:lineRule="auto" w:before="51"/>
              <w:ind w:left="-119" w:right="0"/>
              <w:jc w:val="left"/>
              <w:rPr>
                <w:rFonts w:ascii="宋体" w:hAnsi="宋体" w:cs="宋体" w:eastAsia="宋体" w:hint="default"/>
                <w:sz w:val="18"/>
                <w:szCs w:val="18"/>
              </w:rPr>
            </w:pPr>
            <w:r>
              <w:rPr>
                <w:rFonts w:ascii="宋体" w:hAnsi="宋体" w:cs="宋体" w:eastAsia="宋体" w:hint="default"/>
                <w:sz w:val="18"/>
                <w:szCs w:val="18"/>
              </w:rPr>
              <w:t>）</w:t>
            </w:r>
          </w:p>
        </w:tc>
        <w:tc>
          <w:tcPr>
            <w:tcW w:w="210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3"/>
              <w:ind w:left="890" w:right="0"/>
              <w:jc w:val="left"/>
              <w:rPr>
                <w:rFonts w:ascii="Times New Roman" w:hAnsi="Times New Roman" w:cs="Times New Roman" w:eastAsia="Times New Roman" w:hint="default"/>
                <w:sz w:val="18"/>
                <w:szCs w:val="18"/>
              </w:rPr>
            </w:pPr>
            <w:r>
              <w:rPr>
                <w:rFonts w:ascii="Times New Roman"/>
                <w:sz w:val="18"/>
              </w:rPr>
              <w:t>-178,281,481.29</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-86,408,628.84</w:t>
            </w:r>
          </w:p>
        </w:tc>
      </w:tr>
      <w:tr>
        <w:trPr>
          <w:trHeight w:val="71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p>
          <w:p>
            <w:pPr>
              <w:pStyle w:val="TableParagraph"/>
              <w:spacing w:line="240" w:lineRule="auto" w:before="76"/>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902" w:right="0"/>
              <w:jc w:val="left"/>
              <w:rPr>
                <w:rFonts w:ascii="Times New Roman" w:hAnsi="Times New Roman" w:cs="Times New Roman" w:eastAsia="Times New Roman" w:hint="default"/>
                <w:sz w:val="18"/>
                <w:szCs w:val="18"/>
              </w:rPr>
            </w:pPr>
            <w:r>
              <w:rPr>
                <w:rFonts w:ascii="Times New Roman"/>
                <w:sz w:val="18"/>
              </w:rPr>
              <w:t>535,759,395.33</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-656,823,979.58</w:t>
            </w:r>
          </w:p>
        </w:tc>
      </w:tr>
      <w:tr>
        <w:trPr>
          <w:trHeight w:val="715"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2"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p>
          <w:p>
            <w:pPr>
              <w:pStyle w:val="TableParagraph"/>
              <w:spacing w:line="240" w:lineRule="auto" w:before="74"/>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842" w:right="0"/>
              <w:jc w:val="left"/>
              <w:rPr>
                <w:rFonts w:ascii="Times New Roman" w:hAnsi="Times New Roman" w:cs="Times New Roman" w:eastAsia="Times New Roman" w:hint="default"/>
                <w:sz w:val="18"/>
                <w:szCs w:val="18"/>
              </w:rPr>
            </w:pPr>
            <w:r>
              <w:rPr>
                <w:rFonts w:ascii="Times New Roman"/>
                <w:sz w:val="18"/>
              </w:rPr>
              <w:t>-221,827,314.00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158,860,321.03</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5,092,633.33</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0"/>
              <w:jc w:val="righ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left="1902" w:right="0"/>
              <w:jc w:val="left"/>
              <w:rPr>
                <w:rFonts w:ascii="Times New Roman" w:hAnsi="Times New Roman" w:cs="Times New Roman" w:eastAsia="Times New Roman" w:hint="default"/>
                <w:sz w:val="18"/>
                <w:szCs w:val="18"/>
              </w:rPr>
            </w:pPr>
            <w:r>
              <w:rPr>
                <w:rFonts w:ascii="Times New Roman"/>
                <w:sz w:val="18"/>
              </w:rPr>
              <w:t>473,968,308.00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-190,975,018.52</w:t>
            </w:r>
          </w:p>
        </w:tc>
      </w:tr>
      <w:tr>
        <w:trPr>
          <w:trHeight w:val="161" w:hRule="exact"/>
        </w:trPr>
        <w:tc>
          <w:tcPr>
            <w:tcW w:w="3305" w:type="dxa"/>
            <w:vMerge w:val="restart"/>
            <w:tcBorders>
              <w:top w:val="single" w:sz="4" w:space="0" w:color="000000"/>
              <w:left w:val="single" w:sz="4" w:space="0" w:color="000000"/>
              <w:right w:val="single" w:sz="4" w:space="0" w:color="000000"/>
            </w:tcBorders>
            <w:shd w:val="clear" w:color="auto" w:fill="D2D2D2"/>
          </w:tcPr>
          <w:p>
            <w:pPr>
              <w:pStyle w:val="TableParagraph"/>
              <w:spacing w:line="300" w:lineRule="auto" w:before="49"/>
              <w:ind w:left="12" w:right="12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 动：</w:t>
            </w:r>
          </w:p>
        </w:tc>
        <w:tc>
          <w:tcPr>
            <w:tcW w:w="3069"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318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1" w:hRule="exact"/>
        </w:trPr>
        <w:tc>
          <w:tcPr>
            <w:tcW w:w="3305" w:type="dxa"/>
            <w:vMerge/>
            <w:tcBorders>
              <w:left w:val="single" w:sz="4" w:space="0" w:color="000000"/>
              <w:right w:val="single" w:sz="4" w:space="0" w:color="000000"/>
            </w:tcBorders>
            <w:shd w:val="clear" w:color="auto" w:fill="D2D2D2"/>
          </w:tcPr>
          <w:p>
            <w:pPr/>
          </w:p>
        </w:tc>
        <w:tc>
          <w:tcPr>
            <w:tcW w:w="3069"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318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162" w:hRule="exact"/>
        </w:trPr>
        <w:tc>
          <w:tcPr>
            <w:tcW w:w="3305" w:type="dxa"/>
            <w:vMerge/>
            <w:tcBorders>
              <w:left w:val="single" w:sz="4" w:space="0" w:color="000000"/>
              <w:bottom w:val="single" w:sz="4" w:space="0" w:color="000000"/>
              <w:right w:val="single" w:sz="4" w:space="0" w:color="000000"/>
            </w:tcBorders>
            <w:shd w:val="clear" w:color="auto" w:fill="D2D2D2"/>
          </w:tcPr>
          <w:p>
            <w:pPr/>
          </w:p>
        </w:tc>
        <w:tc>
          <w:tcPr>
            <w:tcW w:w="3069"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318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30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0" w:right="0"/>
              <w:jc w:val="center"/>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902" w:right="0"/>
              <w:jc w:val="left"/>
              <w:rPr>
                <w:rFonts w:ascii="Times New Roman" w:hAnsi="Times New Roman" w:cs="Times New Roman" w:eastAsia="Times New Roman" w:hint="default"/>
                <w:sz w:val="18"/>
                <w:szCs w:val="18"/>
              </w:rPr>
            </w:pPr>
            <w:r>
              <w:rPr>
                <w:rFonts w:ascii="Times New Roman"/>
                <w:sz w:val="18"/>
              </w:rPr>
              <w:t>909,414,049.44</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820,062,796.84</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left="1902" w:right="0"/>
              <w:jc w:val="left"/>
              <w:rPr>
                <w:rFonts w:ascii="Times New Roman" w:hAnsi="Times New Roman" w:cs="Times New Roman" w:eastAsia="Times New Roman" w:hint="default"/>
                <w:sz w:val="18"/>
                <w:szCs w:val="18"/>
              </w:rPr>
            </w:pPr>
            <w:r>
              <w:rPr>
                <w:rFonts w:ascii="Times New Roman"/>
                <w:sz w:val="18"/>
              </w:rPr>
              <w:t>820,062,796.84</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662,555,637.29</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993" w:right="0"/>
              <w:jc w:val="left"/>
              <w:rPr>
                <w:rFonts w:ascii="Times New Roman" w:hAnsi="Times New Roman" w:cs="Times New Roman" w:eastAsia="Times New Roman" w:hint="default"/>
                <w:sz w:val="18"/>
                <w:szCs w:val="18"/>
              </w:rPr>
            </w:pPr>
            <w:r>
              <w:rPr>
                <w:rFonts w:ascii="Times New Roman"/>
                <w:sz w:val="18"/>
              </w:rPr>
              <w:t>89,351,252.60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157,507,159.55</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本期收到的处置子公司的现金净额" w:id="346"/>
      <w:bookmarkEnd w:id="346"/>
      <w:r>
        <w:rPr>
          <w:b w:val="0"/>
          <w:bCs w:val="0"/>
        </w:rPr>
      </w:r>
      <w:r>
        <w:rPr/>
        <w:t>（</w:t>
      </w:r>
      <w:r>
        <w:rPr>
          <w:rFonts w:ascii="Times New Roman" w:hAnsi="Times New Roman" w:cs="Times New Roman" w:eastAsia="Times New Roman" w:hint="default"/>
        </w:rPr>
        <w:t>2</w:t>
      </w:r>
      <w:r>
        <w:rPr/>
        <w:t>）本期收到的处置子公司的现金净额</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5"/>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965"/>
        <w:gridCol w:w="4593"/>
      </w:tblGrid>
      <w:tr>
        <w:trPr>
          <w:trHeight w:val="402" w:hRule="exact"/>
        </w:trPr>
        <w:tc>
          <w:tcPr>
            <w:tcW w:w="496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2" w:hRule="exact"/>
        </w:trPr>
        <w:tc>
          <w:tcPr>
            <w:tcW w:w="49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8"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加：以前期间处置子公司于本期收到的现金或现金等价物</w:t>
            </w:r>
          </w:p>
        </w:tc>
        <w:tc>
          <w:tcPr>
            <w:tcW w:w="459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42,400,000.00</w:t>
            </w:r>
          </w:p>
        </w:tc>
      </w:tr>
      <w:tr>
        <w:trPr>
          <w:trHeight w:val="401" w:hRule="exact"/>
        </w:trPr>
        <w:tc>
          <w:tcPr>
            <w:tcW w:w="49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4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上海达实联欣科技发展有限公司</w:t>
            </w:r>
          </w:p>
        </w:tc>
        <w:tc>
          <w:tcPr>
            <w:tcW w:w="4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42,400,000.00</w:t>
            </w:r>
          </w:p>
        </w:tc>
      </w:tr>
      <w:tr>
        <w:trPr>
          <w:trHeight w:val="401" w:hRule="exact"/>
        </w:trPr>
        <w:tc>
          <w:tcPr>
            <w:tcW w:w="49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处置子公司收到的现金净额</w:t>
            </w:r>
          </w:p>
        </w:tc>
        <w:tc>
          <w:tcPr>
            <w:tcW w:w="4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42,400,000.00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1133"/>
        <w:jc w:val="left"/>
        <w:rPr>
          <w:b w:val="0"/>
          <w:bCs w:val="0"/>
        </w:rPr>
      </w:pPr>
      <w:bookmarkStart w:name="（3）现金和现金等价物的构成" w:id="347"/>
      <w:bookmarkEnd w:id="347"/>
      <w:r>
        <w:rPr>
          <w:b w:val="0"/>
          <w:bCs w:val="0"/>
        </w:rPr>
      </w:r>
      <w:r>
        <w:rPr/>
        <w:t>（</w:t>
      </w:r>
      <w:r>
        <w:rPr>
          <w:rFonts w:ascii="Times New Roman" w:hAnsi="Times New Roman" w:cs="Times New Roman" w:eastAsia="Times New Roman" w:hint="default"/>
        </w:rPr>
        <w:t>3</w:t>
      </w:r>
      <w:r>
        <w:rPr/>
        <w:t>）现金和现金等价物的构成</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5"/>
      </w:tblGrid>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909,414,049.44</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820,062,796.84</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405,267.17</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397,235.80</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4"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909,008,782.27</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819,665,561.04</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909,414,049.44</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820,062,796.84</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56、所有者权益变动表项目注释" w:id="348"/>
      <w:bookmarkEnd w:id="348"/>
      <w:r>
        <w:rPr>
          <w:b w:val="0"/>
          <w:bCs w:val="0"/>
        </w:rPr>
      </w:r>
      <w:r>
        <w:rPr>
          <w:rFonts w:ascii="Times New Roman" w:hAnsi="Times New Roman" w:cs="Times New Roman" w:eastAsia="Times New Roman" w:hint="default"/>
        </w:rPr>
        <w:t>56</w:t>
      </w:r>
      <w:r>
        <w:rPr/>
        <w:t>、所有者权益变动表项目注释</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1133"/>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1133"/>
        <w:jc w:val="left"/>
        <w:rPr>
          <w:b w:val="0"/>
          <w:bCs w:val="0"/>
        </w:rPr>
      </w:pPr>
      <w:bookmarkStart w:name="57、所有权或使用权受到限制的资产" w:id="349"/>
      <w:bookmarkEnd w:id="349"/>
      <w:r>
        <w:rPr>
          <w:b w:val="0"/>
          <w:bCs w:val="0"/>
        </w:rPr>
      </w:r>
      <w:r>
        <w:rPr>
          <w:rFonts w:ascii="Times New Roman" w:hAnsi="Times New Roman" w:cs="Times New Roman" w:eastAsia="Times New Roman" w:hint="default"/>
        </w:rPr>
        <w:t>57</w:t>
      </w:r>
      <w:r>
        <w:rPr/>
        <w:t>、所有权或使用权受到限制的资产</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327"/>
        <w:gridCol w:w="3058"/>
        <w:gridCol w:w="3185"/>
      </w:tblGrid>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83"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161" w:hRule="exact"/>
        </w:trPr>
        <w:tc>
          <w:tcPr>
            <w:tcW w:w="3327" w:type="dxa"/>
            <w:tcBorders>
              <w:top w:val="single" w:sz="4" w:space="0" w:color="000000"/>
              <w:left w:val="single" w:sz="4" w:space="0" w:color="000000"/>
              <w:bottom w:val="nil" w:sz="6" w:space="0" w:color="auto"/>
              <w:right w:val="single" w:sz="4" w:space="0" w:color="000000"/>
            </w:tcBorders>
            <w:shd w:val="clear" w:color="auto" w:fill="D2D2D2"/>
          </w:tcPr>
          <w:p>
            <w:pPr/>
          </w:p>
        </w:tc>
        <w:tc>
          <w:tcPr>
            <w:tcW w:w="3058" w:type="dxa"/>
            <w:vMerge w:val="restart"/>
            <w:tcBorders>
              <w:top w:val="single" w:sz="4" w:space="0" w:color="000000"/>
              <w:left w:val="single" w:sz="10"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982" w:right="0"/>
              <w:jc w:val="left"/>
              <w:rPr>
                <w:rFonts w:ascii="Times New Roman" w:hAnsi="Times New Roman" w:cs="Times New Roman" w:eastAsia="Times New Roman" w:hint="default"/>
                <w:sz w:val="18"/>
                <w:szCs w:val="18"/>
              </w:rPr>
            </w:pPr>
            <w:r>
              <w:rPr>
                <w:rFonts w:ascii="Times New Roman"/>
                <w:sz w:val="18"/>
              </w:rPr>
              <w:t>60,975,778.59</w:t>
            </w:r>
          </w:p>
        </w:tc>
        <w:tc>
          <w:tcPr>
            <w:tcW w:w="3185" w:type="dxa"/>
            <w:vMerge w:val="restart"/>
            <w:tcBorders>
              <w:top w:val="single" w:sz="4" w:space="0" w:color="000000"/>
              <w:left w:val="single" w:sz="4" w:space="0" w:color="000000"/>
              <w:right w:val="single" w:sz="4" w:space="0" w:color="000000"/>
            </w:tcBorders>
          </w:tcPr>
          <w:p>
            <w:pPr>
              <w:pStyle w:val="TableParagraph"/>
              <w:spacing w:line="316" w:lineRule="auto" w:before="49"/>
              <w:ind w:left="23" w:right="89"/>
              <w:jc w:val="left"/>
              <w:rPr>
                <w:rFonts w:ascii="宋体" w:hAnsi="宋体" w:cs="宋体" w:eastAsia="宋体" w:hint="default"/>
                <w:sz w:val="18"/>
                <w:szCs w:val="18"/>
              </w:rPr>
            </w:pPr>
            <w:r>
              <w:rPr>
                <w:rFonts w:ascii="宋体" w:hAnsi="宋体" w:cs="宋体" w:eastAsia="宋体" w:hint="default"/>
                <w:sz w:val="18"/>
                <w:szCs w:val="18"/>
              </w:rPr>
              <w:t>保函及票据保证金、农民工保证金、定 期存款质押，详见附注七、</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货币资金</w:t>
            </w:r>
          </w:p>
        </w:tc>
      </w:tr>
      <w:tr>
        <w:trPr>
          <w:trHeight w:val="394" w:hRule="exact"/>
        </w:trPr>
        <w:tc>
          <w:tcPr>
            <w:tcW w:w="332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58" w:type="dxa"/>
            <w:vMerge/>
            <w:tcBorders>
              <w:left w:val="single" w:sz="10" w:space="0" w:color="D2D2D2"/>
              <w:right w:val="single" w:sz="4" w:space="0" w:color="000000"/>
            </w:tcBorders>
          </w:tcPr>
          <w:p>
            <w:pPr/>
          </w:p>
        </w:tc>
        <w:tc>
          <w:tcPr>
            <w:tcW w:w="3185" w:type="dxa"/>
            <w:vMerge/>
            <w:tcBorders>
              <w:left w:val="single" w:sz="4" w:space="0" w:color="000000"/>
              <w:right w:val="single" w:sz="4" w:space="0" w:color="000000"/>
            </w:tcBorders>
          </w:tcPr>
          <w:p>
            <w:pPr/>
          </w:p>
        </w:tc>
      </w:tr>
      <w:tr>
        <w:trPr>
          <w:trHeight w:val="161" w:hRule="exact"/>
        </w:trPr>
        <w:tc>
          <w:tcPr>
            <w:tcW w:w="3327" w:type="dxa"/>
            <w:tcBorders>
              <w:top w:val="nil" w:sz="6" w:space="0" w:color="auto"/>
              <w:left w:val="single" w:sz="4" w:space="0" w:color="000000"/>
              <w:bottom w:val="single" w:sz="4" w:space="0" w:color="000000"/>
              <w:right w:val="single" w:sz="4" w:space="0" w:color="000000"/>
            </w:tcBorders>
            <w:shd w:val="clear" w:color="auto" w:fill="D2D2D2"/>
          </w:tcPr>
          <w:p>
            <w:pPr/>
          </w:p>
        </w:tc>
        <w:tc>
          <w:tcPr>
            <w:tcW w:w="3058" w:type="dxa"/>
            <w:vMerge/>
            <w:tcBorders>
              <w:left w:val="single" w:sz="10" w:space="0" w:color="D2D2D2"/>
              <w:bottom w:val="single" w:sz="4" w:space="0" w:color="000000"/>
              <w:right w:val="single" w:sz="4" w:space="0" w:color="000000"/>
            </w:tcBorders>
          </w:tcPr>
          <w:p>
            <w:pPr/>
          </w:p>
        </w:tc>
        <w:tc>
          <w:tcPr>
            <w:tcW w:w="3185" w:type="dxa"/>
            <w:vMerge/>
            <w:tcBorders>
              <w:left w:val="single" w:sz="4" w:space="0" w:color="000000"/>
              <w:bottom w:val="single" w:sz="4" w:space="0" w:color="000000"/>
              <w:right w:val="single" w:sz="4" w:space="0" w:color="000000"/>
            </w:tcBorders>
          </w:tcPr>
          <w:p>
            <w:pP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05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405,870,020.09</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抵押贷款</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395,948,291.42</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抵押贷款</w:t>
            </w: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118,451,871.02</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抵押贷款</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8"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pacing w:val="-1"/>
                <w:sz w:val="18"/>
              </w:rPr>
              <w:t>981,245,961.12</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58、外币货币性项目" w:id="350"/>
      <w:bookmarkEnd w:id="350"/>
      <w:r>
        <w:rPr>
          <w:b w:val="0"/>
          <w:bCs w:val="0"/>
        </w:rPr>
      </w:r>
      <w:r>
        <w:rPr>
          <w:rFonts w:ascii="Times New Roman" w:hAnsi="Times New Roman" w:cs="Times New Roman" w:eastAsia="Times New Roman" w:hint="default"/>
        </w:rPr>
        <w:t>58</w:t>
      </w:r>
      <w:r>
        <w:rPr/>
        <w:t>、外币货币性项目</w:t>
      </w:r>
      <w:r>
        <w:rPr>
          <w:b w:val="0"/>
          <w:bCs w:val="0"/>
        </w:rPr>
      </w:r>
    </w:p>
    <w:p>
      <w:pPr>
        <w:spacing w:line="240" w:lineRule="auto" w:before="7"/>
        <w:rPr>
          <w:rFonts w:ascii="宋体" w:hAnsi="宋体" w:cs="宋体" w:eastAsia="宋体" w:hint="default"/>
          <w:b/>
          <w:bCs/>
          <w:sz w:val="24"/>
          <w:szCs w:val="24"/>
        </w:rPr>
      </w:pPr>
    </w:p>
    <w:p>
      <w:pPr>
        <w:pStyle w:val="Heading4"/>
        <w:spacing w:line="240" w:lineRule="auto"/>
        <w:ind w:right="1133"/>
        <w:jc w:val="left"/>
        <w:rPr>
          <w:b w:val="0"/>
          <w:bCs w:val="0"/>
        </w:rPr>
      </w:pPr>
      <w:bookmarkStart w:name="（1）外币货币性项目" w:id="351"/>
      <w:bookmarkEnd w:id="351"/>
      <w:r>
        <w:rPr>
          <w:b w:val="0"/>
          <w:bCs w:val="0"/>
        </w:rPr>
      </w:r>
      <w:r>
        <w:rPr/>
        <w:t>（</w:t>
      </w:r>
      <w:r>
        <w:rPr>
          <w:rFonts w:ascii="Times New Roman" w:hAnsi="Times New Roman" w:cs="Times New Roman" w:eastAsia="Times New Roman" w:hint="default"/>
        </w:rPr>
        <w:t>1</w:t>
      </w:r>
      <w:r>
        <w:rPr/>
        <w:t>）外币货币性项目</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496"/>
        <w:gridCol w:w="2293"/>
        <w:gridCol w:w="2391"/>
        <w:gridCol w:w="2391"/>
      </w:tblGrid>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03" w:right="0"/>
              <w:jc w:val="left"/>
              <w:rPr>
                <w:rFonts w:ascii="宋体" w:hAnsi="宋体" w:cs="宋体" w:eastAsia="宋体" w:hint="default"/>
                <w:sz w:val="18"/>
                <w:szCs w:val="18"/>
              </w:rPr>
            </w:pPr>
            <w:r>
              <w:rPr>
                <w:rFonts w:ascii="宋体" w:hAnsi="宋体" w:cs="宋体" w:eastAsia="宋体" w:hint="default"/>
                <w:sz w:val="18"/>
                <w:szCs w:val="18"/>
              </w:rPr>
              <w:t>期末外币余额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9"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2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4,047,082.47</w:t>
            </w:r>
          </w:p>
        </w:tc>
      </w:tr>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w w:val="95"/>
                <w:sz w:val="18"/>
              </w:rPr>
              <w:t>12,011.94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5" w:right="0"/>
              <w:jc w:val="left"/>
              <w:rPr>
                <w:rFonts w:ascii="Times New Roman" w:hAnsi="Times New Roman" w:cs="Times New Roman" w:eastAsia="Times New Roman" w:hint="default"/>
                <w:sz w:val="18"/>
                <w:szCs w:val="18"/>
              </w:rPr>
            </w:pPr>
            <w:r>
              <w:rPr>
                <w:rFonts w:ascii="Times New Roman"/>
                <w:sz w:val="18"/>
              </w:rPr>
              <w:t>6.976200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83,797.70</w:t>
            </w: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4"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9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499,973.07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5" w:right="0"/>
              <w:jc w:val="left"/>
              <w:rPr>
                <w:rFonts w:ascii="Times New Roman" w:hAnsi="Times New Roman" w:cs="Times New Roman" w:eastAsia="Times New Roman" w:hint="default"/>
                <w:sz w:val="18"/>
                <w:szCs w:val="18"/>
              </w:rPr>
            </w:pPr>
            <w:r>
              <w:rPr>
                <w:rFonts w:ascii="Times New Roman"/>
                <w:sz w:val="18"/>
              </w:rPr>
              <w:t>7.815500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3,907,539.53</w:t>
            </w:r>
          </w:p>
        </w:tc>
      </w:tr>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4"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49,353.37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5" w:right="0"/>
              <w:jc w:val="left"/>
              <w:rPr>
                <w:rFonts w:ascii="Times New Roman" w:hAnsi="Times New Roman" w:cs="Times New Roman" w:eastAsia="Times New Roman" w:hint="default"/>
                <w:sz w:val="18"/>
                <w:szCs w:val="18"/>
              </w:rPr>
            </w:pPr>
            <w:r>
              <w:rPr>
                <w:rFonts w:ascii="Times New Roman"/>
                <w:sz w:val="18"/>
              </w:rPr>
              <w:t>0.895780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44,209.76</w:t>
            </w: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48"/>
              <w:jc w:val="center"/>
              <w:rPr>
                <w:rFonts w:ascii="宋体" w:hAnsi="宋体" w:cs="宋体" w:eastAsia="宋体" w:hint="default"/>
                <w:sz w:val="18"/>
                <w:szCs w:val="18"/>
              </w:rPr>
            </w:pPr>
            <w:r>
              <w:rPr>
                <w:rFonts w:ascii="宋体" w:hAnsi="宋体" w:cs="宋体" w:eastAsia="宋体" w:hint="default"/>
                <w:sz w:val="18"/>
                <w:szCs w:val="18"/>
              </w:rPr>
              <w:t>日元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180,000.00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5" w:right="0"/>
              <w:jc w:val="left"/>
              <w:rPr>
                <w:rFonts w:ascii="Times New Roman" w:hAnsi="Times New Roman" w:cs="Times New Roman" w:eastAsia="Times New Roman" w:hint="default"/>
                <w:sz w:val="18"/>
                <w:szCs w:val="18"/>
              </w:rPr>
            </w:pPr>
            <w:r>
              <w:rPr>
                <w:rFonts w:ascii="Times New Roman"/>
                <w:sz w:val="18"/>
              </w:rPr>
              <w:t>0.064086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w w:val="95"/>
                <w:sz w:val="18"/>
              </w:rPr>
              <w:t>11,535.48</w:t>
            </w:r>
          </w:p>
        </w:tc>
      </w:tr>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2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29,500,085.95</w:t>
            </w: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3" w:type="dxa"/>
            <w:tcBorders>
              <w:top w:val="single" w:sz="4" w:space="0" w:color="000000"/>
              <w:left w:val="single" w:sz="10" w:space="0" w:color="D2D2D2"/>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4"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9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3,774,561.57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5" w:right="0"/>
              <w:jc w:val="left"/>
              <w:rPr>
                <w:rFonts w:ascii="Times New Roman" w:hAnsi="Times New Roman" w:cs="Times New Roman" w:eastAsia="Times New Roman" w:hint="default"/>
                <w:sz w:val="18"/>
                <w:szCs w:val="18"/>
              </w:rPr>
            </w:pPr>
            <w:r>
              <w:rPr>
                <w:rFonts w:ascii="Times New Roman"/>
                <w:sz w:val="18"/>
              </w:rPr>
              <w:t>7.815500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29,500,085.95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2496"/>
        <w:gridCol w:w="2293"/>
        <w:gridCol w:w="2391"/>
        <w:gridCol w:w="2391"/>
      </w:tblGrid>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560"/>
              <w:jc w:val="right"/>
              <w:rPr>
                <w:rFonts w:ascii="宋体" w:hAnsi="宋体" w:cs="宋体" w:eastAsia="宋体" w:hint="default"/>
                <w:sz w:val="18"/>
                <w:szCs w:val="18"/>
              </w:rPr>
            </w:pPr>
            <w:r>
              <w:rPr>
                <w:rFonts w:ascii="宋体" w:hAnsi="宋体" w:cs="宋体" w:eastAsia="宋体" w:hint="default"/>
                <w:sz w:val="18"/>
                <w:szCs w:val="18"/>
              </w:rPr>
              <w:t>港币</w:t>
            </w:r>
          </w:p>
        </w:tc>
        <w:tc>
          <w:tcPr>
            <w:tcW w:w="2293" w:type="dxa"/>
            <w:tcBorders>
              <w:top w:val="single" w:sz="4" w:space="0" w:color="000000"/>
              <w:left w:val="single" w:sz="10" w:space="0" w:color="D2D2D2"/>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tcPr>
          <w:p>
            <w:pPr/>
          </w:p>
        </w:tc>
        <w:tc>
          <w:tcPr>
            <w:tcW w:w="2293"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2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12" w:space="0" w:color="D2D2D2"/>
              <w:bottom w:val="single" w:sz="4" w:space="0" w:color="000000"/>
              <w:right w:val="single" w:sz="4" w:space="0" w:color="000000"/>
            </w:tcBorders>
          </w:tcPr>
          <w:p>
            <w:pP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3" w:type="dxa"/>
            <w:tcBorders>
              <w:top w:val="single" w:sz="4" w:space="0" w:color="000000"/>
              <w:left w:val="single" w:sz="10" w:space="0" w:color="D2D2D2"/>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560"/>
              <w:jc w:val="right"/>
              <w:rPr>
                <w:rFonts w:ascii="宋体" w:hAnsi="宋体" w:cs="宋体" w:eastAsia="宋体" w:hint="default"/>
                <w:sz w:val="18"/>
                <w:szCs w:val="18"/>
              </w:rPr>
            </w:pPr>
            <w:r>
              <w:rPr>
                <w:rFonts w:ascii="宋体" w:hAnsi="宋体" w:cs="宋体" w:eastAsia="宋体" w:hint="default"/>
                <w:sz w:val="18"/>
                <w:szCs w:val="18"/>
              </w:rPr>
              <w:t>欧元</w:t>
            </w:r>
          </w:p>
        </w:tc>
        <w:tc>
          <w:tcPr>
            <w:tcW w:w="2293" w:type="dxa"/>
            <w:tcBorders>
              <w:top w:val="single" w:sz="4" w:space="0" w:color="000000"/>
              <w:left w:val="single" w:sz="10" w:space="0" w:color="D2D2D2"/>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60"/>
              <w:jc w:val="right"/>
              <w:rPr>
                <w:rFonts w:ascii="宋体" w:hAnsi="宋体" w:cs="宋体" w:eastAsia="宋体" w:hint="default"/>
                <w:sz w:val="18"/>
                <w:szCs w:val="18"/>
              </w:rPr>
            </w:pPr>
            <w:r>
              <w:rPr>
                <w:rFonts w:ascii="宋体" w:hAnsi="宋体" w:cs="宋体" w:eastAsia="宋体" w:hint="default"/>
                <w:sz w:val="18"/>
                <w:szCs w:val="18"/>
              </w:rPr>
              <w:t>港币</w:t>
            </w:r>
          </w:p>
        </w:tc>
        <w:tc>
          <w:tcPr>
            <w:tcW w:w="2293" w:type="dxa"/>
            <w:tcBorders>
              <w:top w:val="single" w:sz="4" w:space="0" w:color="000000"/>
              <w:left w:val="single" w:sz="10" w:space="0" w:color="D2D2D2"/>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tcPr>
          <w:p>
            <w:pPr/>
          </w:p>
        </w:tc>
        <w:tc>
          <w:tcPr>
            <w:tcW w:w="2293"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56" w:lineRule="auto" w:before="36"/>
        <w:ind w:right="1133"/>
        <w:jc w:val="left"/>
        <w:rPr>
          <w:b w:val="0"/>
          <w:bCs w:val="0"/>
        </w:rPr>
      </w:pPr>
      <w:bookmarkStart w:name="（2）境外经营实体说明，包括对于重要的境外经营实体，应披露其境外主要经营地、记账" w:id="352"/>
      <w:bookmarkEnd w:id="352"/>
      <w:r>
        <w:rPr>
          <w:b w:val="0"/>
          <w:bCs w:val="0"/>
        </w:rPr>
      </w:r>
      <w:r>
        <w:rPr/>
        <w:t>（</w:t>
      </w:r>
      <w:r>
        <w:rPr>
          <w:rFonts w:ascii="Times New Roman" w:hAnsi="Times New Roman" w:cs="Times New Roman" w:eastAsia="Times New Roman" w:hint="default"/>
        </w:rPr>
        <w:t>2</w:t>
      </w:r>
      <w:r>
        <w:rPr/>
        <w:t>）境外经营实体说明，包括对于重要的境外经营实体，应披露其境外主要经营地、记账本位币及选择</w:t>
      </w:r>
      <w:r>
        <w:rPr>
          <w:spacing w:val="-65"/>
        </w:rPr>
        <w:t> </w:t>
      </w:r>
      <w:r>
        <w:rPr>
          <w:spacing w:val="-65"/>
        </w:rPr>
      </w:r>
      <w:r>
        <w:rPr/>
        <w:t>依据，记账本位币发生变化的还应披露原因。</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4"/>
        <w:spacing w:line="240" w:lineRule="auto"/>
        <w:ind w:right="1133"/>
        <w:jc w:val="left"/>
        <w:rPr>
          <w:b w:val="0"/>
          <w:bCs w:val="0"/>
        </w:rPr>
      </w:pPr>
      <w:bookmarkStart w:name="59、政府补助" w:id="353"/>
      <w:bookmarkEnd w:id="353"/>
      <w:r>
        <w:rPr>
          <w:b w:val="0"/>
          <w:bCs w:val="0"/>
        </w:rPr>
      </w:r>
      <w:r>
        <w:rPr>
          <w:rFonts w:ascii="Times New Roman" w:hAnsi="Times New Roman" w:cs="Times New Roman" w:eastAsia="Times New Roman" w:hint="default"/>
        </w:rPr>
        <w:t>59</w:t>
      </w:r>
      <w:r>
        <w:rPr/>
        <w:t>、政府补助</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33"/>
        <w:jc w:val="left"/>
        <w:rPr>
          <w:b w:val="0"/>
          <w:bCs w:val="0"/>
        </w:rPr>
      </w:pPr>
      <w:bookmarkStart w:name="（1）政府补助基本情况" w:id="354"/>
      <w:bookmarkEnd w:id="354"/>
      <w:r>
        <w:rPr>
          <w:b w:val="0"/>
          <w:bCs w:val="0"/>
        </w:rPr>
      </w:r>
      <w:r>
        <w:rPr/>
        <w:t>（</w:t>
      </w:r>
      <w:r>
        <w:rPr>
          <w:rFonts w:ascii="Times New Roman" w:hAnsi="Times New Roman" w:cs="Times New Roman" w:eastAsia="Times New Roman" w:hint="default"/>
        </w:rPr>
        <w:t>1</w:t>
      </w:r>
      <w:r>
        <w:rPr/>
        <w:t>）政府补助基本情况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5601"/>
        <w:gridCol w:w="1258"/>
        <w:gridCol w:w="898"/>
        <w:gridCol w:w="1942"/>
      </w:tblGrid>
      <w:tr>
        <w:trPr>
          <w:trHeight w:val="402" w:hRule="exact"/>
        </w:trPr>
        <w:tc>
          <w:tcPr>
            <w:tcW w:w="56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1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8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84" w:right="0"/>
              <w:jc w:val="left"/>
              <w:rPr>
                <w:rFonts w:ascii="宋体" w:hAnsi="宋体" w:cs="宋体" w:eastAsia="宋体" w:hint="default"/>
                <w:sz w:val="18"/>
                <w:szCs w:val="18"/>
              </w:rPr>
            </w:pPr>
            <w:r>
              <w:rPr>
                <w:rFonts w:ascii="宋体" w:hAnsi="宋体" w:cs="宋体" w:eastAsia="宋体" w:hint="default"/>
                <w:sz w:val="18"/>
                <w:szCs w:val="18"/>
              </w:rPr>
              <w:t>列报项目</w:t>
            </w:r>
          </w:p>
        </w:tc>
        <w:tc>
          <w:tcPr>
            <w:tcW w:w="19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55" w:right="0"/>
              <w:jc w:val="left"/>
              <w:rPr>
                <w:rFonts w:ascii="宋体" w:hAnsi="宋体" w:cs="宋体" w:eastAsia="宋体" w:hint="default"/>
                <w:sz w:val="18"/>
                <w:szCs w:val="18"/>
              </w:rPr>
            </w:pPr>
            <w:r>
              <w:rPr>
                <w:rFonts w:ascii="宋体" w:hAnsi="宋体" w:cs="宋体" w:eastAsia="宋体" w:hint="default"/>
                <w:sz w:val="18"/>
                <w:szCs w:val="18"/>
              </w:rPr>
              <w:t>计入当期损益的金额</w:t>
            </w:r>
          </w:p>
        </w:tc>
      </w:tr>
      <w:tr>
        <w:trPr>
          <w:trHeight w:val="401"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深圳集中式空调能效管控技术工程实验室补助</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5,000,000.00</w:t>
            </w:r>
          </w:p>
        </w:tc>
      </w:tr>
      <w:tr>
        <w:trPr>
          <w:trHeight w:val="403"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深圳市投资推广署</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年产业链薄弱环节资金奖励</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3,000,000.00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3,000,000.00</w:t>
            </w:r>
          </w:p>
        </w:tc>
      </w:tr>
      <w:tr>
        <w:trPr>
          <w:trHeight w:val="401"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深圳市经济贸易和信息化委员会于鹏飞工信发展领域补助</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2,436,000.00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2,436,000.00</w:t>
            </w:r>
          </w:p>
        </w:tc>
      </w:tr>
      <w:tr>
        <w:trPr>
          <w:trHeight w:val="403"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大型建筑主动冷空调系统产业化项目补助</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2,220,000.00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2,220,000.00</w:t>
            </w:r>
          </w:p>
        </w:tc>
      </w:tr>
      <w:tr>
        <w:trPr>
          <w:trHeight w:val="401"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深圳市科技创新委员会</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BKlpnAB2018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年第一批企业研发资助</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1,989,000.00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1,989,000.00</w:t>
            </w:r>
          </w:p>
        </w:tc>
      </w:tr>
      <w:tr>
        <w:trPr>
          <w:trHeight w:val="403"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深圳市南山区经济促进局产业链薄弱环节投资项目补助</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1,500,000.00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1,500,000.00</w:t>
            </w:r>
          </w:p>
        </w:tc>
      </w:tr>
      <w:tr>
        <w:trPr>
          <w:trHeight w:val="401"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年度省级现代服务业发展专项资金</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w:t>
            </w:r>
          </w:p>
        </w:tc>
      </w:tr>
      <w:tr>
        <w:trPr>
          <w:trHeight w:val="403"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深圳市科技创新委员会研发费加计扣除资助</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793,000.00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793,000.00</w:t>
            </w:r>
          </w:p>
        </w:tc>
      </w:tr>
      <w:tr>
        <w:trPr>
          <w:trHeight w:val="401"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品牌提升补助款</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590,000.00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590,000.00</w:t>
            </w:r>
          </w:p>
        </w:tc>
      </w:tr>
      <w:tr>
        <w:trPr>
          <w:trHeight w:val="403"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深圳市南山区经济促进局</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年稳增长资助项目款</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480,000.00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480,000.00</w:t>
            </w:r>
          </w:p>
        </w:tc>
      </w:tr>
      <w:tr>
        <w:trPr>
          <w:trHeight w:val="401"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常州市人才项目</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400,000.00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400,000.00</w:t>
            </w:r>
          </w:p>
        </w:tc>
      </w:tr>
      <w:tr>
        <w:trPr>
          <w:trHeight w:val="403"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深圳市南山区经济促进局稳增长资助项目补助</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316,100.00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316,100.00</w:t>
            </w:r>
          </w:p>
        </w:tc>
      </w:tr>
      <w:tr>
        <w:trPr>
          <w:trHeight w:val="401"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创新人才补助</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300,000.00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300,000.00</w:t>
            </w:r>
          </w:p>
        </w:tc>
      </w:tr>
      <w:tr>
        <w:trPr>
          <w:trHeight w:val="403"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企业重大贡献奖励</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300,000.00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300,000.00</w:t>
            </w:r>
          </w:p>
        </w:tc>
      </w:tr>
      <w:tr>
        <w:trPr>
          <w:trHeight w:val="401"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重点项目增效年税收增量贡献奖</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300,000.00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300,000.00</w:t>
            </w:r>
          </w:p>
        </w:tc>
      </w:tr>
      <w:tr>
        <w:trPr>
          <w:trHeight w:val="403"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深圳市南山区科学技术局大型工业创新能力培育提升支持款</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204,400.00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204,400.00</w:t>
            </w:r>
          </w:p>
        </w:tc>
      </w:tr>
      <w:tr>
        <w:trPr>
          <w:trHeight w:val="401"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深圳市南山区经济促进局中小企业上规模奖励</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200,000.00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200,000.00</w:t>
            </w:r>
          </w:p>
        </w:tc>
      </w:tr>
      <w:tr>
        <w:trPr>
          <w:trHeight w:val="403"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深圳市中小企业服务署信息化项目补助</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190,000.00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190,000.00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19" w:type="dxa"/>
        <w:tblLayout w:type="fixed"/>
        <w:tblCellMar>
          <w:top w:w="0" w:type="dxa"/>
          <w:left w:w="0" w:type="dxa"/>
          <w:bottom w:w="0" w:type="dxa"/>
          <w:right w:w="0" w:type="dxa"/>
        </w:tblCellMar>
        <w:tblLook w:val="01E0"/>
      </w:tblPr>
      <w:tblGrid>
        <w:gridCol w:w="5601"/>
        <w:gridCol w:w="1258"/>
        <w:gridCol w:w="898"/>
        <w:gridCol w:w="1942"/>
      </w:tblGrid>
      <w:tr>
        <w:trPr>
          <w:trHeight w:val="401"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稳岗补贴</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170,624.34</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170,624.34</w:t>
            </w:r>
          </w:p>
        </w:tc>
      </w:tr>
      <w:tr>
        <w:trPr>
          <w:trHeight w:val="403"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科技进步配套奖励</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150,000.00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150,000.00</w:t>
            </w:r>
          </w:p>
        </w:tc>
      </w:tr>
      <w:tr>
        <w:trPr>
          <w:trHeight w:val="401"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其他专项政府补助</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115,000.00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115,000.00</w:t>
            </w:r>
          </w:p>
        </w:tc>
      </w:tr>
      <w:tr>
        <w:trPr>
          <w:trHeight w:val="403"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深圳市南山区人力资源局人才实训基地资助</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102,000.00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102,000.00</w:t>
            </w:r>
          </w:p>
        </w:tc>
      </w:tr>
      <w:tr>
        <w:trPr>
          <w:trHeight w:val="401"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国家高新技术企业倍增支持计划款</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w:t>
            </w:r>
          </w:p>
        </w:tc>
      </w:tr>
      <w:tr>
        <w:trPr>
          <w:trHeight w:val="403"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容城县工业和信息化局消费体验中心专项补助资金</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100,000.00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100,000.00</w:t>
            </w:r>
          </w:p>
        </w:tc>
      </w:tr>
      <w:tr>
        <w:trPr>
          <w:trHeight w:val="401"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年现代服务业十佳企业奖励</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50,000.00</w:t>
            </w:r>
          </w:p>
        </w:tc>
      </w:tr>
      <w:tr>
        <w:trPr>
          <w:trHeight w:val="403"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深圳市中小企业服务署开拓项目资助</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42,600.00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42,600.00</w:t>
            </w:r>
          </w:p>
        </w:tc>
      </w:tr>
      <w:tr>
        <w:trPr>
          <w:trHeight w:val="401"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国家高新技术企业奖补资金</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30,000.00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30,000.00</w:t>
            </w:r>
          </w:p>
        </w:tc>
      </w:tr>
      <w:tr>
        <w:trPr>
          <w:trHeight w:val="404"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专利资助</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21,100.00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21,100.00</w:t>
            </w:r>
          </w:p>
        </w:tc>
      </w:tr>
      <w:tr>
        <w:trPr>
          <w:trHeight w:val="401"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计算机软件资助</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8,100.00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8,100.00</w:t>
            </w:r>
          </w:p>
        </w:tc>
      </w:tr>
      <w:tr>
        <w:trPr>
          <w:trHeight w:val="403"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企业岗前培训补贴</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w w:val="95"/>
                <w:sz w:val="18"/>
              </w:rPr>
              <w:t>2,200.00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w w:val="95"/>
                <w:sz w:val="18"/>
              </w:rPr>
              <w:t>2,200.00</w:t>
            </w:r>
          </w:p>
        </w:tc>
      </w:tr>
      <w:tr>
        <w:trPr>
          <w:trHeight w:val="401"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增值税税控系统专用设备和技术维护费用抵减增值税税额</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480.00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480.00</w:t>
            </w:r>
          </w:p>
        </w:tc>
      </w:tr>
      <w:tr>
        <w:trPr>
          <w:trHeight w:val="403" w:hRule="exact"/>
        </w:trPr>
        <w:tc>
          <w:tcPr>
            <w:tcW w:w="5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pacing w:val="-1"/>
                <w:sz w:val="18"/>
              </w:rPr>
              <w:t>22,110,604.34</w:t>
            </w:r>
          </w:p>
        </w:tc>
        <w:tc>
          <w:tcPr>
            <w:tcW w:w="898" w:type="dxa"/>
            <w:tcBorders>
              <w:top w:val="single" w:sz="4" w:space="0" w:color="000000"/>
              <w:left w:val="single" w:sz="4" w:space="0" w:color="000000"/>
              <w:bottom w:val="single" w:sz="4" w:space="0" w:color="000000"/>
              <w:right w:val="single" w:sz="4" w:space="0" w:color="000000"/>
            </w:tcBorders>
          </w:tcPr>
          <w:p>
            <w:pP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pacing w:val="-1"/>
                <w:sz w:val="18"/>
              </w:rPr>
              <w:t>22,110,604.34</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政府补助退回情况" w:id="355"/>
      <w:bookmarkEnd w:id="355"/>
      <w:r>
        <w:rPr>
          <w:b w:val="0"/>
          <w:bCs w:val="0"/>
        </w:rPr>
      </w:r>
      <w:r>
        <w:rPr/>
        <w:t>（</w:t>
      </w:r>
      <w:r>
        <w:rPr>
          <w:rFonts w:ascii="Times New Roman" w:hAnsi="Times New Roman" w:cs="Times New Roman" w:eastAsia="Times New Roman" w:hint="default"/>
        </w:rPr>
        <w:t>2</w:t>
      </w:r>
      <w:r>
        <w:rPr/>
        <w:t>）政府补助退回情况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24"/>
          <w:szCs w:val="24"/>
        </w:rPr>
      </w:pPr>
    </w:p>
    <w:p>
      <w:pPr>
        <w:pStyle w:val="Heading2"/>
        <w:spacing w:line="240" w:lineRule="auto"/>
        <w:ind w:right="1133"/>
        <w:jc w:val="left"/>
        <w:rPr>
          <w:b w:val="0"/>
          <w:bCs w:val="0"/>
        </w:rPr>
      </w:pPr>
      <w:bookmarkStart w:name="八、合并范围的变更" w:id="356"/>
      <w:bookmarkEnd w:id="356"/>
      <w:r>
        <w:rPr>
          <w:b w:val="0"/>
          <w:bCs w:val="0"/>
        </w:rPr>
      </w:r>
      <w:r>
        <w:rPr/>
        <w:t>八、合并范围的变更</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1133"/>
        <w:jc w:val="left"/>
        <w:rPr>
          <w:b w:val="0"/>
          <w:bCs w:val="0"/>
        </w:rPr>
      </w:pPr>
      <w:bookmarkStart w:name="1、处置子公司" w:id="357"/>
      <w:bookmarkEnd w:id="357"/>
      <w:r>
        <w:rPr>
          <w:b w:val="0"/>
          <w:bCs w:val="0"/>
        </w:rPr>
      </w:r>
      <w:r>
        <w:rPr>
          <w:rFonts w:ascii="Times New Roman" w:hAnsi="Times New Roman" w:cs="Times New Roman" w:eastAsia="Times New Roman" w:hint="default"/>
        </w:rPr>
        <w:t>1</w:t>
      </w:r>
      <w:r>
        <w:rPr/>
        <w:t>、处置子公司</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t>是否存在单次处置对子公司投资即丧失控制权的情形</w:t>
      </w:r>
    </w:p>
    <w:p>
      <w:pPr>
        <w:pStyle w:val="BodyText"/>
        <w:spacing w:line="340" w:lineRule="auto" w:before="115"/>
        <w:ind w:right="499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否 是否存在通过多次交易分步处置对子公司投资且在本期丧失控制权的情形</w:t>
      </w:r>
    </w:p>
    <w:p>
      <w:pPr>
        <w:pStyle w:val="BodyText"/>
        <w:spacing w:line="240" w:lineRule="auto" w:before="41"/>
        <w:ind w:right="1133"/>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13"/>
        <w:rPr>
          <w:rFonts w:ascii="宋体" w:hAnsi="宋体" w:cs="宋体" w:eastAsia="宋体" w:hint="default"/>
          <w:sz w:val="25"/>
          <w:szCs w:val="25"/>
        </w:rPr>
      </w:pPr>
    </w:p>
    <w:p>
      <w:pPr>
        <w:pStyle w:val="Heading4"/>
        <w:spacing w:line="240" w:lineRule="auto"/>
        <w:ind w:right="1133"/>
        <w:jc w:val="left"/>
        <w:rPr>
          <w:b w:val="0"/>
          <w:bCs w:val="0"/>
        </w:rPr>
      </w:pPr>
      <w:bookmarkStart w:name="2、其他原因的合并范围变动" w:id="358"/>
      <w:bookmarkEnd w:id="358"/>
      <w:r>
        <w:rPr>
          <w:b w:val="0"/>
          <w:bCs w:val="0"/>
        </w:rPr>
      </w:r>
      <w:r>
        <w:rPr>
          <w:rFonts w:ascii="Times New Roman" w:hAnsi="Times New Roman" w:cs="Times New Roman" w:eastAsia="Times New Roman" w:hint="default"/>
        </w:rPr>
        <w:t>2</w:t>
      </w:r>
      <w:r>
        <w:rPr/>
        <w:t>、其他原因的合并范围变动</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t>说明其他原因导致的合并范围变动（如，新设子公司、清算子公司等）及其相关情况：</w:t>
      </w:r>
    </w:p>
    <w:p>
      <w:pPr>
        <w:pStyle w:val="BodyText"/>
        <w:spacing w:line="240" w:lineRule="auto" w:before="118"/>
        <w:ind w:left="573" w:right="1133"/>
        <w:jc w:val="left"/>
      </w:pPr>
      <w:r>
        <w:rPr/>
        <w:t>（</w:t>
      </w:r>
      <w:r>
        <w:rPr>
          <w:rFonts w:ascii="Times New Roman" w:hAnsi="Times New Roman" w:cs="Times New Roman" w:eastAsia="Times New Roman" w:hint="default"/>
        </w:rPr>
        <w:t>1</w:t>
      </w:r>
      <w:r>
        <w:rPr/>
        <w:t>）注销</w:t>
      </w:r>
    </w:p>
    <w:p>
      <w:pPr>
        <w:spacing w:line="240" w:lineRule="auto" w:before="7"/>
        <w:rPr>
          <w:rFonts w:ascii="宋体" w:hAnsi="宋体" w:cs="宋体" w:eastAsia="宋体" w:hint="default"/>
          <w:sz w:val="4"/>
          <w:szCs w:val="4"/>
        </w:rPr>
      </w:pPr>
    </w:p>
    <w:tbl>
      <w:tblPr>
        <w:tblW w:w="0" w:type="auto"/>
        <w:jc w:val="left"/>
        <w:tblInd w:w="138" w:type="dxa"/>
        <w:tblLayout w:type="fixed"/>
        <w:tblCellMar>
          <w:top w:w="0" w:type="dxa"/>
          <w:left w:w="0" w:type="dxa"/>
          <w:bottom w:w="0" w:type="dxa"/>
          <w:right w:w="0" w:type="dxa"/>
        </w:tblCellMar>
        <w:tblLook w:val="01E0"/>
      </w:tblPr>
      <w:tblGrid>
        <w:gridCol w:w="4050"/>
        <w:gridCol w:w="1757"/>
        <w:gridCol w:w="1769"/>
        <w:gridCol w:w="2084"/>
      </w:tblGrid>
      <w:tr>
        <w:trPr>
          <w:trHeight w:val="415" w:hRule="exact"/>
        </w:trPr>
        <w:tc>
          <w:tcPr>
            <w:tcW w:w="40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24" w:right="0"/>
              <w:jc w:val="left"/>
              <w:rPr>
                <w:rFonts w:ascii="宋体" w:hAnsi="宋体" w:cs="宋体" w:eastAsia="宋体" w:hint="default"/>
                <w:sz w:val="18"/>
                <w:szCs w:val="18"/>
              </w:rPr>
            </w:pPr>
            <w:r>
              <w:rPr>
                <w:rFonts w:ascii="宋体" w:hAnsi="宋体" w:cs="宋体" w:eastAsia="宋体" w:hint="default"/>
                <w:sz w:val="18"/>
                <w:szCs w:val="18"/>
              </w:rPr>
              <w:t>子公司级次</w:t>
            </w:r>
          </w:p>
        </w:tc>
        <w:tc>
          <w:tcPr>
            <w:tcW w:w="17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518" w:right="0"/>
              <w:jc w:val="left"/>
              <w:rPr>
                <w:rFonts w:ascii="宋体" w:hAnsi="宋体" w:cs="宋体" w:eastAsia="宋体" w:hint="default"/>
                <w:sz w:val="18"/>
                <w:szCs w:val="18"/>
              </w:rPr>
            </w:pPr>
            <w:r>
              <w:rPr>
                <w:rFonts w:ascii="宋体" w:hAnsi="宋体" w:cs="宋体" w:eastAsia="宋体" w:hint="default"/>
                <w:sz w:val="18"/>
                <w:szCs w:val="18"/>
              </w:rPr>
              <w:t>变动原因</w:t>
            </w:r>
          </w:p>
        </w:tc>
        <w:tc>
          <w:tcPr>
            <w:tcW w:w="20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注销时点</w:t>
            </w:r>
          </w:p>
        </w:tc>
      </w:tr>
      <w:tr>
        <w:trPr>
          <w:trHeight w:val="422" w:hRule="exact"/>
        </w:trPr>
        <w:tc>
          <w:tcPr>
            <w:tcW w:w="4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上海达实自动化工程有限公司</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24" w:right="0"/>
              <w:jc w:val="left"/>
              <w:rPr>
                <w:rFonts w:ascii="宋体" w:hAnsi="宋体" w:cs="宋体" w:eastAsia="宋体" w:hint="default"/>
                <w:sz w:val="18"/>
                <w:szCs w:val="18"/>
              </w:rPr>
            </w:pPr>
            <w:r>
              <w:rPr>
                <w:rFonts w:ascii="宋体" w:hAnsi="宋体" w:cs="宋体" w:eastAsia="宋体" w:hint="default"/>
                <w:sz w:val="18"/>
                <w:szCs w:val="18"/>
              </w:rPr>
              <w:t>一级子公司</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518" w:right="0"/>
              <w:jc w:val="left"/>
              <w:rPr>
                <w:rFonts w:ascii="宋体" w:hAnsi="宋体" w:cs="宋体" w:eastAsia="宋体" w:hint="default"/>
                <w:sz w:val="18"/>
                <w:szCs w:val="18"/>
              </w:rPr>
            </w:pPr>
            <w:r>
              <w:rPr>
                <w:rFonts w:ascii="宋体" w:hAnsi="宋体" w:cs="宋体" w:eastAsia="宋体" w:hint="default"/>
                <w:sz w:val="18"/>
                <w:szCs w:val="18"/>
              </w:rPr>
              <w:t>清算注销</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2" w:right="0"/>
              <w:jc w:val="center"/>
              <w:rPr>
                <w:rFonts w:ascii="Times New Roman" w:hAnsi="Times New Roman" w:cs="Times New Roman" w:eastAsia="Times New Roman" w:hint="default"/>
                <w:sz w:val="18"/>
                <w:szCs w:val="18"/>
              </w:rPr>
            </w:pPr>
            <w:r>
              <w:rPr>
                <w:rFonts w:ascii="Times New Roman"/>
                <w:sz w:val="18"/>
              </w:rPr>
              <w:t>2019-08-13</w:t>
            </w:r>
          </w:p>
        </w:tc>
      </w:tr>
      <w:tr>
        <w:trPr>
          <w:trHeight w:val="420" w:hRule="exact"/>
        </w:trPr>
        <w:tc>
          <w:tcPr>
            <w:tcW w:w="4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汕头达实智慧医疗投资发展有限公司</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24" w:right="0"/>
              <w:jc w:val="left"/>
              <w:rPr>
                <w:rFonts w:ascii="宋体" w:hAnsi="宋体" w:cs="宋体" w:eastAsia="宋体" w:hint="default"/>
                <w:sz w:val="18"/>
                <w:szCs w:val="18"/>
              </w:rPr>
            </w:pPr>
            <w:r>
              <w:rPr>
                <w:rFonts w:ascii="宋体" w:hAnsi="宋体" w:cs="宋体" w:eastAsia="宋体" w:hint="default"/>
                <w:sz w:val="18"/>
                <w:szCs w:val="18"/>
              </w:rPr>
              <w:t>一级子公司</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18" w:right="0"/>
              <w:jc w:val="left"/>
              <w:rPr>
                <w:rFonts w:ascii="宋体" w:hAnsi="宋体" w:cs="宋体" w:eastAsia="宋体" w:hint="default"/>
                <w:sz w:val="18"/>
                <w:szCs w:val="18"/>
              </w:rPr>
            </w:pPr>
            <w:r>
              <w:rPr>
                <w:rFonts w:ascii="宋体" w:hAnsi="宋体" w:cs="宋体" w:eastAsia="宋体" w:hint="default"/>
                <w:sz w:val="18"/>
                <w:szCs w:val="18"/>
              </w:rPr>
              <w:t>清算注销</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2019-11-12</w:t>
            </w:r>
          </w:p>
        </w:tc>
      </w:tr>
    </w:tbl>
    <w:p>
      <w:pPr>
        <w:pStyle w:val="BodyText"/>
        <w:spacing w:line="240" w:lineRule="auto" w:before="8"/>
        <w:ind w:left="573" w:right="1133"/>
        <w:jc w:val="left"/>
      </w:pPr>
      <w:r>
        <w:rPr/>
        <w:t>（</w:t>
      </w:r>
      <w:r>
        <w:rPr>
          <w:rFonts w:ascii="Times New Roman" w:hAnsi="Times New Roman" w:cs="Times New Roman" w:eastAsia="Times New Roman" w:hint="default"/>
        </w:rPr>
        <w:t>2</w:t>
      </w:r>
      <w:r>
        <w:rPr/>
        <w:t>）新设</w:t>
      </w:r>
    </w:p>
    <w:p>
      <w:pPr>
        <w:spacing w:line="240" w:lineRule="auto" w:before="8"/>
        <w:rPr>
          <w:rFonts w:ascii="宋体" w:hAnsi="宋体" w:cs="宋体" w:eastAsia="宋体" w:hint="default"/>
          <w:sz w:val="4"/>
          <w:szCs w:val="4"/>
        </w:rPr>
      </w:pPr>
    </w:p>
    <w:tbl>
      <w:tblPr>
        <w:tblW w:w="0" w:type="auto"/>
        <w:jc w:val="left"/>
        <w:tblInd w:w="138" w:type="dxa"/>
        <w:tblLayout w:type="fixed"/>
        <w:tblCellMar>
          <w:top w:w="0" w:type="dxa"/>
          <w:left w:w="0" w:type="dxa"/>
          <w:bottom w:w="0" w:type="dxa"/>
          <w:right w:w="0" w:type="dxa"/>
        </w:tblCellMar>
        <w:tblLook w:val="01E0"/>
      </w:tblPr>
      <w:tblGrid>
        <w:gridCol w:w="3284"/>
        <w:gridCol w:w="1282"/>
        <w:gridCol w:w="2283"/>
        <w:gridCol w:w="1781"/>
        <w:gridCol w:w="1030"/>
      </w:tblGrid>
      <w:tr>
        <w:trPr>
          <w:trHeight w:val="416" w:hRule="exact"/>
        </w:trPr>
        <w:tc>
          <w:tcPr>
            <w:tcW w:w="3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2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sz w:val="18"/>
                <w:szCs w:val="18"/>
              </w:rPr>
              <w:t>子公司级次</w:t>
            </w:r>
          </w:p>
        </w:tc>
        <w:tc>
          <w:tcPr>
            <w:tcW w:w="2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sz w:val="18"/>
                <w:szCs w:val="18"/>
              </w:rPr>
              <w:t>股权取得方式</w:t>
            </w:r>
          </w:p>
        </w:tc>
        <w:tc>
          <w:tcPr>
            <w:tcW w:w="1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sz w:val="18"/>
                <w:szCs w:val="18"/>
              </w:rPr>
              <w:t>股权取得时点</w:t>
            </w:r>
          </w:p>
        </w:tc>
        <w:tc>
          <w:tcPr>
            <w:tcW w:w="10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sz w:val="18"/>
                <w:szCs w:val="18"/>
              </w:rPr>
              <w:t>新增方式</w:t>
            </w:r>
          </w:p>
        </w:tc>
      </w:tr>
      <w:tr>
        <w:trPr>
          <w:trHeight w:val="420"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深圳达实物联网技术有限公司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一级子公司</w:t>
            </w:r>
          </w:p>
        </w:tc>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子公司达实信息分立</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2019-01-11</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新设</w:t>
            </w:r>
          </w:p>
        </w:tc>
      </w:tr>
    </w:tbl>
    <w:p>
      <w:pPr>
        <w:spacing w:after="0" w:line="240" w:lineRule="auto"/>
        <w:jc w:val="center"/>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r>
        <w:rPr/>
        <w:pict>
          <v:shape style="position:absolute;margin-left:375.910004pt;margin-top:441.52597pt;width:85.75pt;height:54.65pt;mso-position-horizontal-relative:page;mso-position-vertical-relative:page;z-index:-1094416" type="#_x0000_t202" filled="false" stroked="false">
            <v:textbox inset="0,0,0,0">
              <w:txbxContent>
                <w:p>
                  <w:pPr>
                    <w:spacing w:line="240" w:lineRule="auto" w:before="0"/>
                    <w:rPr>
                      <w:rFonts w:ascii="宋体" w:hAnsi="宋体" w:cs="宋体" w:eastAsia="宋体" w:hint="default"/>
                      <w:b/>
                      <w:bCs/>
                      <w:sz w:val="18"/>
                      <w:szCs w:val="18"/>
                    </w:rPr>
                  </w:pPr>
                </w:p>
                <w:p>
                  <w:pPr>
                    <w:spacing w:line="240" w:lineRule="auto" w:before="4"/>
                    <w:rPr>
                      <w:rFonts w:ascii="宋体" w:hAnsi="宋体" w:cs="宋体" w:eastAsia="宋体" w:hint="default"/>
                      <w:b/>
                      <w:bCs/>
                      <w:sz w:val="15"/>
                      <w:szCs w:val="15"/>
                    </w:rPr>
                  </w:pPr>
                </w:p>
                <w:p>
                  <w:pPr>
                    <w:pStyle w:val="BodyText"/>
                    <w:spacing w:line="240" w:lineRule="auto"/>
                    <w:ind w:left="0" w:right="0"/>
                    <w:jc w:val="left"/>
                  </w:pPr>
                  <w:r>
                    <w:rPr/>
                    <w:t>类医疗器械：</w:t>
                  </w:r>
                </w:p>
              </w:txbxContent>
            </v:textbox>
            <w10:wrap type="none"/>
          </v:shape>
        </w:pict>
      </w:r>
      <w:r>
        <w:rPr/>
        <w:pict>
          <v:shape style="position:absolute;margin-left:402.890015pt;margin-top:666.219971pt;width:58.75pt;height:31.2pt;mso-position-horizontal-relative:page;mso-position-vertical-relative:page;z-index:-1094392" type="#_x0000_t202" filled="false" stroked="false">
            <v:textbox inset="0,0,0,0">
              <w:txbxContent>
                <w:p>
                  <w:pPr>
                    <w:pStyle w:val="BodyText"/>
                    <w:spacing w:line="240" w:lineRule="auto" w:before="49"/>
                    <w:ind w:left="0" w:right="0"/>
                    <w:jc w:val="left"/>
                  </w:pPr>
                  <w:r>
                    <w:rPr/>
                    <w:t>销售、</w:t>
                  </w:r>
                </w:p>
              </w:txbxContent>
            </v:textbox>
            <w10:wrap type="none"/>
          </v:shape>
        </w:pict>
      </w:r>
      <w:r>
        <w:rPr/>
        <w:pict>
          <v:group style="position:absolute;margin-left:427.029999pt;margin-top:716.976013pt;width:34.6pt;height:31.2pt;mso-position-horizontal-relative:page;mso-position-vertical-relative:page;z-index:-1094344" coordorigin="8541,14340" coordsize="692,624">
            <v:shape style="position:absolute;left:8541;top:14340;width:692;height:624" coordorigin="8541,14340" coordsize="692,624" path="m8541,14964l9232,14964,9232,14340,8541,14340,8541,14964xe" filled="true" fillcolor="#ffffff" stroked="false">
              <v:path arrowok="t"/>
              <v:fill type="solid"/>
            </v:shape>
            <w10:wrap type="none"/>
          </v:group>
        </w:pict>
      </w:r>
    </w:p>
    <w:tbl>
      <w:tblPr>
        <w:tblW w:w="0" w:type="auto"/>
        <w:jc w:val="left"/>
        <w:tblInd w:w="138" w:type="dxa"/>
        <w:tblLayout w:type="fixed"/>
        <w:tblCellMar>
          <w:top w:w="0" w:type="dxa"/>
          <w:left w:w="0" w:type="dxa"/>
          <w:bottom w:w="0" w:type="dxa"/>
          <w:right w:w="0" w:type="dxa"/>
        </w:tblCellMar>
        <w:tblLook w:val="01E0"/>
      </w:tblPr>
      <w:tblGrid>
        <w:gridCol w:w="3284"/>
        <w:gridCol w:w="1282"/>
        <w:gridCol w:w="2283"/>
        <w:gridCol w:w="1781"/>
        <w:gridCol w:w="1030"/>
      </w:tblGrid>
      <w:tr>
        <w:trPr>
          <w:trHeight w:val="420"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青岛达实智慧科技有限公司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一级子公司</w:t>
            </w:r>
          </w:p>
        </w:tc>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
              <w:jc w:val="center"/>
              <w:rPr>
                <w:rFonts w:ascii="宋体" w:hAnsi="宋体" w:cs="宋体" w:eastAsia="宋体" w:hint="default"/>
                <w:sz w:val="18"/>
                <w:szCs w:val="18"/>
              </w:rPr>
            </w:pPr>
            <w:r>
              <w:rPr>
                <w:rFonts w:ascii="宋体" w:hAnsi="宋体" w:cs="宋体" w:eastAsia="宋体" w:hint="default"/>
                <w:sz w:val="18"/>
                <w:szCs w:val="18"/>
              </w:rPr>
              <w:t>货币出资</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2019-01-21</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新设</w:t>
            </w:r>
          </w:p>
        </w:tc>
      </w:tr>
      <w:tr>
        <w:trPr>
          <w:trHeight w:val="422"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淮南达实智慧医疗有限公司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一级子公司</w:t>
            </w:r>
          </w:p>
        </w:tc>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货币出资</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2" w:right="0"/>
              <w:jc w:val="center"/>
              <w:rPr>
                <w:rFonts w:ascii="Times New Roman" w:hAnsi="Times New Roman" w:cs="Times New Roman" w:eastAsia="Times New Roman" w:hint="default"/>
                <w:sz w:val="18"/>
                <w:szCs w:val="18"/>
              </w:rPr>
            </w:pPr>
            <w:r>
              <w:rPr>
                <w:rFonts w:ascii="Times New Roman"/>
                <w:sz w:val="18"/>
              </w:rPr>
              <w:t>2019-03-22</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新设</w:t>
            </w:r>
          </w:p>
        </w:tc>
      </w:tr>
    </w:tbl>
    <w:p>
      <w:pPr>
        <w:pStyle w:val="BodyText"/>
        <w:spacing w:line="240" w:lineRule="auto" w:before="8"/>
        <w:ind w:left="573" w:right="1133"/>
        <w:jc w:val="left"/>
      </w:pPr>
      <w:r>
        <w:rPr/>
        <w:t>（</w:t>
      </w:r>
      <w:r>
        <w:rPr>
          <w:rFonts w:ascii="Times New Roman" w:hAnsi="Times New Roman" w:cs="Times New Roman" w:eastAsia="Times New Roman" w:hint="default"/>
        </w:rPr>
        <w:t>3</w:t>
      </w:r>
      <w:r>
        <w:rPr/>
        <w:t>）其他</w:t>
      </w:r>
    </w:p>
    <w:p>
      <w:pPr>
        <w:spacing w:line="240" w:lineRule="auto" w:before="7"/>
        <w:rPr>
          <w:rFonts w:ascii="宋体" w:hAnsi="宋体" w:cs="宋体" w:eastAsia="宋体" w:hint="default"/>
          <w:sz w:val="4"/>
          <w:szCs w:val="4"/>
        </w:rPr>
      </w:pPr>
    </w:p>
    <w:tbl>
      <w:tblPr>
        <w:tblW w:w="0" w:type="auto"/>
        <w:jc w:val="left"/>
        <w:tblInd w:w="138" w:type="dxa"/>
        <w:tblLayout w:type="fixed"/>
        <w:tblCellMar>
          <w:top w:w="0" w:type="dxa"/>
          <w:left w:w="0" w:type="dxa"/>
          <w:bottom w:w="0" w:type="dxa"/>
          <w:right w:w="0" w:type="dxa"/>
        </w:tblCellMar>
        <w:tblLook w:val="01E0"/>
      </w:tblPr>
      <w:tblGrid>
        <w:gridCol w:w="2300"/>
        <w:gridCol w:w="1450"/>
        <w:gridCol w:w="1733"/>
        <w:gridCol w:w="1874"/>
        <w:gridCol w:w="2302"/>
      </w:tblGrid>
      <w:tr>
        <w:trPr>
          <w:trHeight w:val="415" w:hRule="exact"/>
        </w:trPr>
        <w:tc>
          <w:tcPr>
            <w:tcW w:w="2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4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71" w:right="0"/>
              <w:jc w:val="left"/>
              <w:rPr>
                <w:rFonts w:ascii="宋体" w:hAnsi="宋体" w:cs="宋体" w:eastAsia="宋体" w:hint="default"/>
                <w:sz w:val="18"/>
                <w:szCs w:val="18"/>
              </w:rPr>
            </w:pPr>
            <w:r>
              <w:rPr>
                <w:rFonts w:ascii="宋体" w:hAnsi="宋体" w:cs="宋体" w:eastAsia="宋体" w:hint="default"/>
                <w:sz w:val="18"/>
                <w:szCs w:val="18"/>
              </w:rPr>
              <w:t>子公司级次</w:t>
            </w:r>
          </w:p>
        </w:tc>
        <w:tc>
          <w:tcPr>
            <w:tcW w:w="17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股权取得方式</w:t>
            </w:r>
          </w:p>
        </w:tc>
        <w:tc>
          <w:tcPr>
            <w:tcW w:w="18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股权取得时点</w:t>
            </w:r>
          </w:p>
        </w:tc>
        <w:tc>
          <w:tcPr>
            <w:tcW w:w="2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新增方式</w:t>
            </w:r>
          </w:p>
        </w:tc>
      </w:tr>
      <w:tr>
        <w:trPr>
          <w:trHeight w:val="422" w:hRule="exact"/>
        </w:trPr>
        <w:tc>
          <w:tcPr>
            <w:tcW w:w="2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平行咨询有限公司</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71" w:right="0"/>
              <w:jc w:val="left"/>
              <w:rPr>
                <w:rFonts w:ascii="宋体" w:hAnsi="宋体" w:cs="宋体" w:eastAsia="宋体" w:hint="default"/>
                <w:sz w:val="18"/>
                <w:szCs w:val="18"/>
              </w:rPr>
            </w:pPr>
            <w:r>
              <w:rPr>
                <w:rFonts w:ascii="宋体" w:hAnsi="宋体" w:cs="宋体" w:eastAsia="宋体" w:hint="default"/>
                <w:sz w:val="18"/>
                <w:szCs w:val="18"/>
              </w:rPr>
              <w:t>一级子公司</w:t>
            </w:r>
          </w:p>
        </w:tc>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货币支付</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center"/>
              <w:rPr>
                <w:rFonts w:ascii="Times New Roman" w:hAnsi="Times New Roman" w:cs="Times New Roman" w:eastAsia="Times New Roman" w:hint="default"/>
                <w:sz w:val="18"/>
                <w:szCs w:val="18"/>
              </w:rPr>
            </w:pPr>
            <w:r>
              <w:rPr>
                <w:rFonts w:ascii="Times New Roman"/>
                <w:sz w:val="18"/>
              </w:rPr>
              <w:t>2019-09-01</w:t>
            </w:r>
          </w:p>
        </w:tc>
        <w:tc>
          <w:tcPr>
            <w:tcW w:w="2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宋体" w:hAnsi="宋体" w:cs="宋体" w:eastAsia="宋体" w:hint="default"/>
                <w:sz w:val="18"/>
                <w:szCs w:val="18"/>
              </w:rPr>
              <w:t>购买少数股东权益</w:t>
            </w:r>
          </w:p>
        </w:tc>
      </w:tr>
    </w:tbl>
    <w:p>
      <w:pPr>
        <w:pStyle w:val="BodyText"/>
        <w:spacing w:line="300" w:lineRule="auto" w:before="8"/>
        <w:ind w:right="1126" w:firstLine="420"/>
        <w:jc w:val="both"/>
      </w:pPr>
      <w:r>
        <w:rPr/>
        <w:t>注：平行咨询有限公司为在香港注册的公司，购买日，该公司唯一资产为持有本公司子公司达实租赁</w:t>
      </w:r>
      <w:r>
        <w:rPr>
          <w:rFonts w:ascii="Times New Roman" w:hAnsi="Times New Roman" w:cs="Times New Roman" w:eastAsia="Times New Roman" w:hint="default"/>
        </w:rPr>
        <w:t>25%</w:t>
      </w:r>
      <w:r>
        <w:rPr/>
        <w:t>股权。本公 </w:t>
      </w:r>
      <w:r>
        <w:rPr>
          <w:spacing w:val="-2"/>
        </w:rPr>
        <w:t>司购买平行咨询有限公司</w:t>
      </w:r>
      <w:r>
        <w:rPr>
          <w:rFonts w:ascii="Times New Roman" w:hAnsi="Times New Roman" w:cs="Times New Roman" w:eastAsia="Times New Roman" w:hint="default"/>
          <w:spacing w:val="-2"/>
        </w:rPr>
        <w:t>100%</w:t>
      </w:r>
      <w:r>
        <w:rPr>
          <w:spacing w:val="-2"/>
        </w:rPr>
        <w:t>股权后，间接持有达实租赁</w:t>
      </w:r>
      <w:r>
        <w:rPr>
          <w:rFonts w:ascii="Times New Roman" w:hAnsi="Times New Roman" w:cs="Times New Roman" w:eastAsia="Times New Roman" w:hint="default"/>
          <w:spacing w:val="-2"/>
        </w:rPr>
        <w:t>25%</w:t>
      </w:r>
      <w:r>
        <w:rPr>
          <w:spacing w:val="-2"/>
        </w:rPr>
        <w:t>股权，加上直接持有达实租赁</w:t>
      </w:r>
      <w:r>
        <w:rPr>
          <w:rFonts w:ascii="Times New Roman" w:hAnsi="Times New Roman" w:cs="Times New Roman" w:eastAsia="Times New Roman" w:hint="default"/>
          <w:spacing w:val="-2"/>
        </w:rPr>
        <w:t>75%</w:t>
      </w:r>
      <w:r>
        <w:rPr>
          <w:spacing w:val="-2"/>
        </w:rPr>
        <w:t>股权，合并对达实租赁持股</w:t>
      </w:r>
      <w:r>
        <w:rPr>
          <w:spacing w:val="-61"/>
        </w:rPr>
        <w:t> </w:t>
      </w:r>
      <w:r>
        <w:rPr>
          <w:spacing w:val="-61"/>
        </w:rPr>
      </w:r>
      <w:r>
        <w:rPr>
          <w:rFonts w:ascii="Times New Roman" w:hAnsi="Times New Roman" w:cs="Times New Roman" w:eastAsia="Times New Roman" w:hint="default"/>
        </w:rPr>
        <w:t>100%</w:t>
      </w:r>
      <w:r>
        <w:rPr/>
        <w:t>。本公司对并购平行咨询有限公司</w:t>
      </w:r>
      <w:r>
        <w:rPr>
          <w:rFonts w:ascii="Times New Roman" w:hAnsi="Times New Roman" w:cs="Times New Roman" w:eastAsia="Times New Roman" w:hint="default"/>
        </w:rPr>
        <w:t>100%</w:t>
      </w:r>
      <w:r>
        <w:rPr/>
        <w:t>股权在财务报表合并层按并购少数股东权益进行会计处理。</w:t>
      </w:r>
    </w:p>
    <w:p>
      <w:pPr>
        <w:spacing w:line="240" w:lineRule="auto" w:before="5"/>
        <w:rPr>
          <w:rFonts w:ascii="宋体" w:hAnsi="宋体" w:cs="宋体" w:eastAsia="宋体" w:hint="default"/>
          <w:sz w:val="20"/>
          <w:szCs w:val="20"/>
        </w:rPr>
      </w:pPr>
    </w:p>
    <w:p>
      <w:pPr>
        <w:pStyle w:val="Heading2"/>
        <w:spacing w:line="240" w:lineRule="auto"/>
        <w:ind w:right="1133"/>
        <w:jc w:val="left"/>
        <w:rPr>
          <w:b w:val="0"/>
          <w:bCs w:val="0"/>
        </w:rPr>
      </w:pPr>
      <w:bookmarkStart w:name="九、在其他主体中的权益" w:id="359"/>
      <w:bookmarkEnd w:id="359"/>
      <w:r>
        <w:rPr>
          <w:b w:val="0"/>
          <w:bCs w:val="0"/>
        </w:rPr>
      </w:r>
      <w:r>
        <w:rPr/>
        <w:t>九、在其他主体中的权益</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1133"/>
        <w:jc w:val="left"/>
        <w:rPr>
          <w:b w:val="0"/>
          <w:bCs w:val="0"/>
        </w:rPr>
      </w:pPr>
      <w:bookmarkStart w:name="1、在子公司中的权益" w:id="360"/>
      <w:bookmarkEnd w:id="360"/>
      <w:r>
        <w:rPr>
          <w:b w:val="0"/>
          <w:bCs w:val="0"/>
        </w:rPr>
      </w:r>
      <w:r>
        <w:rPr>
          <w:rFonts w:ascii="Times New Roman" w:hAnsi="Times New Roman" w:cs="Times New Roman" w:eastAsia="Times New Roman" w:hint="default"/>
        </w:rPr>
        <w:t>1</w:t>
      </w:r>
      <w:r>
        <w:rPr/>
        <w:t>、在子公司中的权益</w:t>
      </w:r>
      <w:r>
        <w:rPr>
          <w:b w:val="0"/>
          <w:bCs w:val="0"/>
        </w:rPr>
      </w:r>
    </w:p>
    <w:p>
      <w:pPr>
        <w:spacing w:line="240" w:lineRule="auto" w:before="7"/>
        <w:rPr>
          <w:rFonts w:ascii="宋体" w:hAnsi="宋体" w:cs="宋体" w:eastAsia="宋体" w:hint="default"/>
          <w:b/>
          <w:bCs/>
          <w:sz w:val="24"/>
          <w:szCs w:val="24"/>
        </w:rPr>
      </w:pPr>
    </w:p>
    <w:p>
      <w:pPr>
        <w:pStyle w:val="Heading4"/>
        <w:spacing w:line="240" w:lineRule="auto"/>
        <w:ind w:right="1133"/>
        <w:jc w:val="left"/>
        <w:rPr>
          <w:b w:val="0"/>
          <w:bCs w:val="0"/>
        </w:rPr>
      </w:pPr>
      <w:r>
        <w:rPr/>
        <w:pict>
          <v:group style="position:absolute;margin-left:427.029999pt;margin-top:72.023666pt;width:34.6pt;height:128.8pt;mso-position-horizontal-relative:page;mso-position-vertical-relative:paragraph;z-index:-1094368" coordorigin="8541,1440" coordsize="692,2576">
            <v:group style="position:absolute;left:8541;top:1440;width:692;height:1092" coordorigin="8541,1440" coordsize="692,1092">
              <v:shape style="position:absolute;left:8541;top:1440;width:692;height:1092" coordorigin="8541,1440" coordsize="692,1092" path="m8541,2532l9232,2532,9232,1440,8541,1440,8541,2532xe" filled="true" fillcolor="#ffffff" stroked="false">
                <v:path arrowok="t"/>
                <v:fill type="solid"/>
              </v:shape>
            </v:group>
            <v:group style="position:absolute;left:8553;top:2532;width:2;height:392" coordorigin="8553,2532" coordsize="2,392">
              <v:shape style="position:absolute;left:8553;top:2532;width:2;height:392" coordorigin="8553,2532" coordsize="0,392" path="m8553,2532l8553,2924e" filled="false" stroked="true" strokeweight="1.2pt" strokecolor="#ffffff">
                <v:path arrowok="t"/>
              </v:shape>
            </v:group>
            <v:group style="position:absolute;left:8541;top:2924;width:692;height:1093" coordorigin="8541,2924" coordsize="692,1093">
              <v:shape style="position:absolute;left:8541;top:2924;width:692;height:1093" coordorigin="8541,2924" coordsize="692,1093" path="m8541,4016l9232,4016,9232,2924,8541,2924,8541,4016xe" filled="true" fillcolor="#ffffff" stroked="false">
                <v:path arrowok="t"/>
                <v:fill type="solid"/>
              </v:shape>
            </v:group>
            <v:group style="position:absolute;left:8565;top:2532;width:647;height:392" coordorigin="8565,2532" coordsize="647,392">
              <v:shape style="position:absolute;left:8565;top:2532;width:647;height:392" coordorigin="8565,2532" coordsize="647,392" path="m8565,2924l9211,2924,9211,2532,8565,2532,8565,2924xe" filled="true" fillcolor="#ffffff" stroked="false">
                <v:path arrowok="t"/>
                <v:fill type="solid"/>
              </v:shape>
            </v:group>
            <w10:wrap type="none"/>
          </v:group>
        </w:pict>
      </w:r>
      <w:bookmarkStart w:name="（1）企业集团的构成" w:id="361"/>
      <w:bookmarkEnd w:id="361"/>
      <w:r>
        <w:rPr>
          <w:b w:val="0"/>
          <w:bCs w:val="0"/>
        </w:rPr>
      </w:r>
      <w:r>
        <w:rPr/>
        <w:t>（</w:t>
      </w:r>
      <w:r>
        <w:rPr>
          <w:rFonts w:ascii="Times New Roman" w:hAnsi="Times New Roman" w:cs="Times New Roman" w:eastAsia="Times New Roman" w:hint="default"/>
        </w:rPr>
        <w:t>1</w:t>
      </w:r>
      <w:r>
        <w:rPr/>
        <w:t>）企业集团的构成</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968"/>
        <w:gridCol w:w="689"/>
        <w:gridCol w:w="552"/>
        <w:gridCol w:w="5195"/>
        <w:gridCol w:w="701"/>
        <w:gridCol w:w="701"/>
        <w:gridCol w:w="864"/>
      </w:tblGrid>
      <w:tr>
        <w:trPr>
          <w:trHeight w:val="401" w:hRule="exact"/>
        </w:trPr>
        <w:tc>
          <w:tcPr>
            <w:tcW w:w="9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689"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94"/>
              <w:ind w:left="158" w:right="67" w:hanging="89"/>
              <w:jc w:val="left"/>
              <w:rPr>
                <w:rFonts w:ascii="宋体" w:hAnsi="宋体" w:cs="宋体" w:eastAsia="宋体" w:hint="default"/>
                <w:sz w:val="18"/>
                <w:szCs w:val="18"/>
              </w:rPr>
            </w:pPr>
            <w:r>
              <w:rPr>
                <w:rFonts w:ascii="宋体" w:hAnsi="宋体" w:cs="宋体" w:eastAsia="宋体" w:hint="default"/>
                <w:sz w:val="18"/>
                <w:szCs w:val="18"/>
              </w:rPr>
              <w:t>主要经 营地</w:t>
            </w:r>
          </w:p>
        </w:tc>
        <w:tc>
          <w:tcPr>
            <w:tcW w:w="552"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94"/>
              <w:ind w:left="182" w:right="89" w:hanging="92"/>
              <w:jc w:val="left"/>
              <w:rPr>
                <w:rFonts w:ascii="宋体" w:hAnsi="宋体" w:cs="宋体" w:eastAsia="宋体" w:hint="default"/>
                <w:sz w:val="18"/>
                <w:szCs w:val="18"/>
              </w:rPr>
            </w:pPr>
            <w:r>
              <w:rPr>
                <w:rFonts w:ascii="宋体" w:hAnsi="宋体" w:cs="宋体" w:eastAsia="宋体" w:hint="default"/>
                <w:sz w:val="18"/>
                <w:szCs w:val="18"/>
              </w:rPr>
              <w:t>注册 地</w:t>
            </w:r>
          </w:p>
        </w:tc>
        <w:tc>
          <w:tcPr>
            <w:tcW w:w="5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业务性质</w:t>
            </w:r>
          </w:p>
        </w:tc>
        <w:tc>
          <w:tcPr>
            <w:tcW w:w="140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36"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86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67"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3" w:hRule="exact"/>
        </w:trPr>
        <w:tc>
          <w:tcPr>
            <w:tcW w:w="968" w:type="dxa"/>
            <w:vMerge/>
            <w:tcBorders>
              <w:left w:val="single" w:sz="4" w:space="0" w:color="000000"/>
              <w:bottom w:val="single" w:sz="4" w:space="0" w:color="000000"/>
              <w:right w:val="single" w:sz="4" w:space="0" w:color="000000"/>
            </w:tcBorders>
            <w:shd w:val="clear" w:color="auto" w:fill="D2D2D2"/>
          </w:tcPr>
          <w:p>
            <w:pPr/>
          </w:p>
        </w:tc>
        <w:tc>
          <w:tcPr>
            <w:tcW w:w="689" w:type="dxa"/>
            <w:vMerge/>
            <w:tcBorders>
              <w:left w:val="single" w:sz="4" w:space="0" w:color="000000"/>
              <w:bottom w:val="single" w:sz="4" w:space="0" w:color="000000"/>
              <w:right w:val="single" w:sz="4" w:space="0" w:color="000000"/>
            </w:tcBorders>
            <w:shd w:val="clear" w:color="auto" w:fill="D2D2D2"/>
          </w:tcPr>
          <w:p>
            <w:pPr/>
          </w:p>
        </w:tc>
        <w:tc>
          <w:tcPr>
            <w:tcW w:w="552" w:type="dxa"/>
            <w:vMerge/>
            <w:tcBorders>
              <w:left w:val="single" w:sz="4" w:space="0" w:color="000000"/>
              <w:bottom w:val="single" w:sz="4" w:space="0" w:color="000000"/>
              <w:right w:val="single" w:sz="4" w:space="0" w:color="000000"/>
            </w:tcBorders>
            <w:shd w:val="clear" w:color="auto" w:fill="D2D2D2"/>
          </w:tcPr>
          <w:p>
            <w:pPr/>
          </w:p>
        </w:tc>
        <w:tc>
          <w:tcPr>
            <w:tcW w:w="5195" w:type="dxa"/>
            <w:vMerge/>
            <w:tcBorders>
              <w:left w:val="single" w:sz="4" w:space="0" w:color="000000"/>
              <w:bottom w:val="single" w:sz="4" w:space="0" w:color="000000"/>
              <w:right w:val="single" w:sz="4" w:space="0" w:color="000000"/>
            </w:tcBorders>
            <w:shd w:val="clear" w:color="auto" w:fill="D2D2D2"/>
          </w:tcPr>
          <w:p>
            <w:pPr/>
          </w:p>
        </w:tc>
        <w:tc>
          <w:tcPr>
            <w:tcW w:w="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5" w:right="0"/>
              <w:jc w:val="left"/>
              <w:rPr>
                <w:rFonts w:ascii="宋体" w:hAnsi="宋体" w:cs="宋体" w:eastAsia="宋体" w:hint="default"/>
                <w:sz w:val="18"/>
                <w:szCs w:val="18"/>
              </w:rPr>
            </w:pPr>
            <w:r>
              <w:rPr>
                <w:rFonts w:ascii="宋体" w:hAnsi="宋体" w:cs="宋体" w:eastAsia="宋体" w:hint="default"/>
                <w:sz w:val="18"/>
                <w:szCs w:val="18"/>
              </w:rPr>
              <w:t>直接</w:t>
            </w:r>
          </w:p>
        </w:tc>
        <w:tc>
          <w:tcPr>
            <w:tcW w:w="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864" w:type="dxa"/>
            <w:vMerge/>
            <w:tcBorders>
              <w:left w:val="single" w:sz="4" w:space="0" w:color="000000"/>
              <w:bottom w:val="single" w:sz="4" w:space="0" w:color="000000"/>
              <w:right w:val="single" w:sz="4" w:space="0" w:color="000000"/>
            </w:tcBorders>
            <w:shd w:val="clear" w:color="auto" w:fill="D2D2D2"/>
          </w:tcPr>
          <w:p>
            <w:pPr/>
          </w:p>
        </w:tc>
      </w:tr>
      <w:tr>
        <w:trPr>
          <w:trHeight w:val="354" w:hRule="exact"/>
        </w:trPr>
        <w:tc>
          <w:tcPr>
            <w:tcW w:w="968" w:type="dxa"/>
            <w:tcBorders>
              <w:top w:val="single" w:sz="4" w:space="0" w:color="000000"/>
              <w:left w:val="single" w:sz="4" w:space="0" w:color="000000"/>
              <w:bottom w:val="nil" w:sz="6" w:space="0" w:color="auto"/>
              <w:right w:val="single" w:sz="4" w:space="0" w:color="000000"/>
            </w:tcBorders>
          </w:tcPr>
          <w:p>
            <w:pPr/>
          </w:p>
        </w:tc>
        <w:tc>
          <w:tcPr>
            <w:tcW w:w="689" w:type="dxa"/>
            <w:tcBorders>
              <w:top w:val="single" w:sz="4" w:space="0" w:color="000000"/>
              <w:left w:val="single" w:sz="4" w:space="0" w:color="000000"/>
              <w:bottom w:val="nil" w:sz="6" w:space="0" w:color="auto"/>
              <w:right w:val="single" w:sz="4" w:space="0" w:color="000000"/>
            </w:tcBorders>
          </w:tcPr>
          <w:p>
            <w:pPr/>
          </w:p>
        </w:tc>
        <w:tc>
          <w:tcPr>
            <w:tcW w:w="552" w:type="dxa"/>
            <w:tcBorders>
              <w:top w:val="single" w:sz="4" w:space="0" w:color="000000"/>
              <w:left w:val="single" w:sz="4" w:space="0" w:color="000000"/>
              <w:bottom w:val="nil" w:sz="6" w:space="0" w:color="auto"/>
              <w:right w:val="single" w:sz="4" w:space="0" w:color="000000"/>
            </w:tcBorders>
          </w:tcPr>
          <w:p>
            <w:pPr/>
          </w:p>
        </w:tc>
        <w:tc>
          <w:tcPr>
            <w:tcW w:w="519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pacing w:val="-3"/>
                <w:sz w:val="18"/>
                <w:szCs w:val="18"/>
              </w:rPr>
              <w:t>数字化手术室的研发、医用机器人导航系统的研发、微创手术平台</w:t>
            </w:r>
          </w:p>
        </w:tc>
        <w:tc>
          <w:tcPr>
            <w:tcW w:w="701" w:type="dxa"/>
            <w:tcBorders>
              <w:top w:val="single" w:sz="4" w:space="0" w:color="000000"/>
              <w:left w:val="single" w:sz="4" w:space="0" w:color="000000"/>
              <w:bottom w:val="nil" w:sz="6" w:space="0" w:color="auto"/>
              <w:right w:val="single" w:sz="4" w:space="0" w:color="000000"/>
            </w:tcBorders>
          </w:tcPr>
          <w:p>
            <w:pPr/>
          </w:p>
        </w:tc>
        <w:tc>
          <w:tcPr>
            <w:tcW w:w="701" w:type="dxa"/>
            <w:vMerge w:val="restart"/>
            <w:tcBorders>
              <w:top w:val="single" w:sz="4" w:space="0" w:color="000000"/>
              <w:left w:val="single" w:sz="4" w:space="0" w:color="000000"/>
              <w:right w:val="single" w:sz="4" w:space="0" w:color="000000"/>
            </w:tcBorders>
          </w:tcPr>
          <w:p>
            <w:pPr/>
          </w:p>
        </w:tc>
        <w:tc>
          <w:tcPr>
            <w:tcW w:w="864" w:type="dxa"/>
            <w:tcBorders>
              <w:top w:val="single" w:sz="4" w:space="0" w:color="000000"/>
              <w:left w:val="single" w:sz="4" w:space="0" w:color="000000"/>
              <w:bottom w:val="nil" w:sz="6" w:space="0" w:color="auto"/>
              <w:right w:val="single" w:sz="4" w:space="0" w:color="000000"/>
            </w:tcBorders>
          </w:tcPr>
          <w:p>
            <w:pPr/>
          </w:p>
        </w:tc>
      </w:tr>
      <w:tr>
        <w:trPr>
          <w:trHeight w:val="311" w:hRule="exact"/>
        </w:trPr>
        <w:tc>
          <w:tcPr>
            <w:tcW w:w="968"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single" w:sz="4" w:space="0" w:color="000000"/>
            </w:tcBorders>
          </w:tcPr>
          <w:p>
            <w:pPr/>
          </w:p>
        </w:tc>
        <w:tc>
          <w:tcPr>
            <w:tcW w:w="552" w:type="dxa"/>
            <w:tcBorders>
              <w:top w:val="nil" w:sz="6" w:space="0" w:color="auto"/>
              <w:left w:val="single" w:sz="4" w:space="0" w:color="000000"/>
              <w:bottom w:val="nil" w:sz="6" w:space="0" w:color="auto"/>
              <w:right w:val="single" w:sz="4" w:space="0" w:color="000000"/>
            </w:tcBorders>
          </w:tcPr>
          <w:p>
            <w:pPr/>
          </w:p>
        </w:tc>
        <w:tc>
          <w:tcPr>
            <w:tcW w:w="519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pacing w:val="-3"/>
                <w:sz w:val="18"/>
                <w:szCs w:val="18"/>
              </w:rPr>
              <w:t>系统的研发；空气净化处理机、不锈钢柜橱、保温柜、保冷柜的制</w:t>
            </w:r>
          </w:p>
        </w:tc>
        <w:tc>
          <w:tcPr>
            <w:tcW w:w="701" w:type="dxa"/>
            <w:tcBorders>
              <w:top w:val="nil" w:sz="6" w:space="0" w:color="auto"/>
              <w:left w:val="single" w:sz="4" w:space="0" w:color="000000"/>
              <w:bottom w:val="nil" w:sz="6" w:space="0" w:color="auto"/>
              <w:right w:val="single" w:sz="4" w:space="0" w:color="000000"/>
            </w:tcBorders>
          </w:tcPr>
          <w:p>
            <w:pPr/>
          </w:p>
        </w:tc>
        <w:tc>
          <w:tcPr>
            <w:tcW w:w="701" w:type="dxa"/>
            <w:vMerge/>
            <w:tcBorders>
              <w:left w:val="single" w:sz="4" w:space="0" w:color="000000"/>
              <w:right w:val="single" w:sz="4" w:space="0" w:color="000000"/>
            </w:tcBorders>
          </w:tcPr>
          <w:p>
            <w:pPr/>
          </w:p>
        </w:tc>
        <w:tc>
          <w:tcPr>
            <w:tcW w:w="864" w:type="dxa"/>
            <w:tcBorders>
              <w:top w:val="nil" w:sz="6" w:space="0" w:color="auto"/>
              <w:left w:val="single" w:sz="4" w:space="0" w:color="000000"/>
              <w:bottom w:val="nil" w:sz="6" w:space="0" w:color="auto"/>
              <w:right w:val="single" w:sz="4" w:space="0" w:color="000000"/>
            </w:tcBorders>
          </w:tcPr>
          <w:p>
            <w:pPr/>
          </w:p>
        </w:tc>
      </w:tr>
      <w:tr>
        <w:trPr>
          <w:trHeight w:val="1248" w:hRule="exact"/>
        </w:trPr>
        <w:tc>
          <w:tcPr>
            <w:tcW w:w="96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316" w:lineRule="auto"/>
              <w:ind w:left="24" w:right="33"/>
              <w:jc w:val="both"/>
              <w:rPr>
                <w:rFonts w:ascii="宋体" w:hAnsi="宋体" w:cs="宋体" w:eastAsia="宋体" w:hint="default"/>
                <w:sz w:val="18"/>
                <w:szCs w:val="18"/>
              </w:rPr>
            </w:pPr>
            <w:r>
              <w:rPr>
                <w:rFonts w:ascii="宋体" w:hAnsi="宋体" w:cs="宋体" w:eastAsia="宋体" w:hint="default"/>
                <w:sz w:val="18"/>
                <w:szCs w:val="18"/>
              </w:rPr>
              <w:t>江苏达实久 信医疗科技 有限公司</w:t>
            </w:r>
          </w:p>
        </w:tc>
        <w:tc>
          <w:tcPr>
            <w:tcW w:w="68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常州</w:t>
            </w:r>
          </w:p>
        </w:tc>
        <w:tc>
          <w:tcPr>
            <w:tcW w:w="5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常州</w:t>
            </w:r>
          </w:p>
        </w:tc>
        <w:tc>
          <w:tcPr>
            <w:tcW w:w="5195" w:type="dxa"/>
            <w:tcBorders>
              <w:top w:val="nil" w:sz="6" w:space="0" w:color="auto"/>
              <w:left w:val="single" w:sz="4" w:space="0" w:color="000000"/>
              <w:bottom w:val="nil" w:sz="6" w:space="0" w:color="auto"/>
              <w:right w:val="single" w:sz="4" w:space="0" w:color="000000"/>
            </w:tcBorders>
          </w:tcPr>
          <w:p>
            <w:pPr>
              <w:pStyle w:val="TableParagraph"/>
              <w:spacing w:line="312" w:lineRule="auto" w:before="10"/>
              <w:ind w:left="23" w:right="20"/>
              <w:jc w:val="both"/>
              <w:rPr>
                <w:rFonts w:ascii="宋体" w:hAnsi="宋体" w:cs="宋体" w:eastAsia="宋体" w:hint="default"/>
                <w:sz w:val="18"/>
                <w:szCs w:val="18"/>
              </w:rPr>
            </w:pPr>
            <w:r>
              <w:rPr>
                <w:rFonts w:ascii="宋体" w:hAnsi="宋体" w:cs="宋体" w:eastAsia="宋体" w:hint="default"/>
                <w:sz w:val="18"/>
                <w:szCs w:val="18"/>
              </w:rPr>
              <w:t>造、加工；一类医用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X</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射线附属设备及部件的制造；建筑装饰工 程、净化工程设计、施工；数字化手术室软件开发、销售、安装 </w:t>
            </w:r>
            <w:r>
              <w:rPr>
                <w:rFonts w:ascii="宋体" w:hAnsi="宋体" w:cs="宋体" w:eastAsia="宋体" w:hint="default"/>
                <w:spacing w:val="-3"/>
                <w:sz w:val="18"/>
                <w:szCs w:val="18"/>
              </w:rPr>
              <w:t>空气净化设备的销售、安装；物流传输系统的设计、安装及相关装</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3"/>
                <w:sz w:val="18"/>
                <w:szCs w:val="18"/>
              </w:rPr>
              <w:t>置的销售；信息管理系统软件与硬件开发、销售、技术服务；Ⅱ类</w:t>
            </w:r>
          </w:p>
        </w:tc>
        <w:tc>
          <w:tcPr>
            <w:tcW w:w="70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18" w:lineRule="exact"/>
              <w:ind w:left="-131"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90" w:lineRule="exact"/>
              <w:ind w:left="23" w:right="0"/>
              <w:jc w:val="left"/>
              <w:rPr>
                <w:rFonts w:ascii="Times New Roman" w:hAnsi="Times New Roman" w:cs="Times New Roman" w:eastAsia="Times New Roman" w:hint="default"/>
                <w:sz w:val="18"/>
                <w:szCs w:val="18"/>
              </w:rPr>
            </w:pPr>
            <w:r>
              <w:rPr>
                <w:rFonts w:ascii="Times New Roman"/>
                <w:sz w:val="18"/>
              </w:rPr>
              <w:t>100.00%</w:t>
            </w:r>
          </w:p>
        </w:tc>
        <w:tc>
          <w:tcPr>
            <w:tcW w:w="701" w:type="dxa"/>
            <w:vMerge/>
            <w:tcBorders>
              <w:left w:val="single" w:sz="4" w:space="0" w:color="000000"/>
              <w:right w:val="single" w:sz="4" w:space="0" w:color="000000"/>
            </w:tcBorders>
          </w:tcPr>
          <w:p>
            <w:pPr/>
          </w:p>
        </w:tc>
        <w:tc>
          <w:tcPr>
            <w:tcW w:w="8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316" w:lineRule="auto"/>
              <w:ind w:left="23" w:right="108"/>
              <w:jc w:val="both"/>
              <w:rPr>
                <w:rFonts w:ascii="宋体" w:hAnsi="宋体" w:cs="宋体" w:eastAsia="宋体" w:hint="default"/>
                <w:sz w:val="18"/>
                <w:szCs w:val="18"/>
              </w:rPr>
            </w:pPr>
            <w:r>
              <w:rPr>
                <w:rFonts w:ascii="宋体" w:hAnsi="宋体" w:cs="宋体" w:eastAsia="宋体" w:hint="default"/>
                <w:sz w:val="18"/>
                <w:szCs w:val="18"/>
              </w:rPr>
              <w:t>非同一控 制下企业 合并</w:t>
            </w:r>
          </w:p>
        </w:tc>
      </w:tr>
      <w:tr>
        <w:trPr>
          <w:trHeight w:val="317" w:hRule="exact"/>
        </w:trPr>
        <w:tc>
          <w:tcPr>
            <w:tcW w:w="968"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single" w:sz="4" w:space="0" w:color="000000"/>
            </w:tcBorders>
          </w:tcPr>
          <w:p>
            <w:pPr/>
          </w:p>
        </w:tc>
        <w:tc>
          <w:tcPr>
            <w:tcW w:w="552" w:type="dxa"/>
            <w:tcBorders>
              <w:top w:val="nil" w:sz="6" w:space="0" w:color="auto"/>
              <w:left w:val="single" w:sz="4" w:space="0" w:color="000000"/>
              <w:bottom w:val="nil" w:sz="6" w:space="0" w:color="auto"/>
              <w:right w:val="single" w:sz="4" w:space="0" w:color="000000"/>
            </w:tcBorders>
          </w:tcPr>
          <w:p>
            <w:pPr/>
          </w:p>
        </w:tc>
        <w:tc>
          <w:tcPr>
            <w:tcW w:w="51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4"/>
                <w:sz w:val="18"/>
                <w:szCs w:val="18"/>
              </w:rPr>
              <w:t>医疗器械：</w:t>
            </w:r>
            <w:r>
              <w:rPr>
                <w:rFonts w:ascii="Times New Roman" w:hAnsi="Times New Roman" w:cs="Times New Roman" w:eastAsia="Times New Roman" w:hint="default"/>
                <w:spacing w:val="-4"/>
                <w:sz w:val="18"/>
                <w:szCs w:val="18"/>
              </w:rPr>
              <w:t>6856 </w:t>
            </w:r>
            <w:r>
              <w:rPr>
                <w:rFonts w:ascii="宋体" w:hAnsi="宋体" w:cs="宋体" w:eastAsia="宋体" w:hint="default"/>
                <w:spacing w:val="-3"/>
                <w:sz w:val="18"/>
                <w:szCs w:val="18"/>
              </w:rPr>
              <w:t>病房护理设备及器具、</w:t>
            </w:r>
            <w:r>
              <w:rPr>
                <w:rFonts w:ascii="Times New Roman" w:hAnsi="Times New Roman" w:cs="Times New Roman" w:eastAsia="Times New Roman" w:hint="default"/>
                <w:spacing w:val="-3"/>
                <w:sz w:val="18"/>
                <w:szCs w:val="18"/>
              </w:rPr>
              <w:t>6870</w:t>
            </w:r>
            <w:r>
              <w:rPr>
                <w:rFonts w:ascii="Times New Roman" w:hAnsi="Times New Roman" w:cs="Times New Roman" w:eastAsia="Times New Roman" w:hint="default"/>
                <w:spacing w:val="28"/>
                <w:sz w:val="18"/>
                <w:szCs w:val="18"/>
              </w:rPr>
              <w:t> </w:t>
            </w:r>
            <w:r>
              <w:rPr>
                <w:rFonts w:ascii="宋体" w:hAnsi="宋体" w:cs="宋体" w:eastAsia="宋体" w:hint="default"/>
                <w:spacing w:val="-8"/>
                <w:sz w:val="18"/>
                <w:szCs w:val="18"/>
              </w:rPr>
              <w:t>软件，Ⅲ</w:t>
            </w:r>
          </w:p>
        </w:tc>
        <w:tc>
          <w:tcPr>
            <w:tcW w:w="701" w:type="dxa"/>
            <w:tcBorders>
              <w:top w:val="nil" w:sz="6" w:space="0" w:color="auto"/>
              <w:left w:val="single" w:sz="4" w:space="0" w:color="000000"/>
              <w:bottom w:val="nil" w:sz="6" w:space="0" w:color="auto"/>
              <w:right w:val="single" w:sz="4" w:space="0" w:color="000000"/>
            </w:tcBorders>
          </w:tcPr>
          <w:p>
            <w:pPr/>
          </w:p>
        </w:tc>
        <w:tc>
          <w:tcPr>
            <w:tcW w:w="701" w:type="dxa"/>
            <w:vMerge/>
            <w:tcBorders>
              <w:left w:val="single" w:sz="4" w:space="0" w:color="000000"/>
              <w:right w:val="single" w:sz="4" w:space="0" w:color="000000"/>
            </w:tcBorders>
          </w:tcPr>
          <w:p>
            <w:pPr/>
          </w:p>
        </w:tc>
        <w:tc>
          <w:tcPr>
            <w:tcW w:w="864" w:type="dxa"/>
            <w:tcBorders>
              <w:top w:val="nil" w:sz="6" w:space="0" w:color="auto"/>
              <w:left w:val="single" w:sz="4" w:space="0" w:color="000000"/>
              <w:bottom w:val="nil" w:sz="6" w:space="0" w:color="auto"/>
              <w:right w:val="single" w:sz="4" w:space="0" w:color="000000"/>
            </w:tcBorders>
          </w:tcPr>
          <w:p>
            <w:pPr/>
          </w:p>
        </w:tc>
      </w:tr>
      <w:tr>
        <w:trPr>
          <w:trHeight w:val="355" w:hRule="exact"/>
        </w:trPr>
        <w:tc>
          <w:tcPr>
            <w:tcW w:w="968" w:type="dxa"/>
            <w:tcBorders>
              <w:top w:val="nil" w:sz="6" w:space="0" w:color="auto"/>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
        </w:tc>
        <w:tc>
          <w:tcPr>
            <w:tcW w:w="552" w:type="dxa"/>
            <w:tcBorders>
              <w:top w:val="nil" w:sz="6" w:space="0" w:color="auto"/>
              <w:left w:val="single" w:sz="4" w:space="0" w:color="000000"/>
              <w:bottom w:val="single" w:sz="4" w:space="0" w:color="000000"/>
              <w:right w:val="single" w:sz="4" w:space="0" w:color="000000"/>
            </w:tcBorders>
          </w:tcPr>
          <w:p>
            <w:pPr/>
          </w:p>
        </w:tc>
        <w:tc>
          <w:tcPr>
            <w:tcW w:w="519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6854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手术室、急救室、诊疗室设备及器具的销售</w:t>
            </w:r>
          </w:p>
        </w:tc>
        <w:tc>
          <w:tcPr>
            <w:tcW w:w="701" w:type="dxa"/>
            <w:tcBorders>
              <w:top w:val="nil" w:sz="6" w:space="0" w:color="auto"/>
              <w:left w:val="single" w:sz="4" w:space="0" w:color="000000"/>
              <w:bottom w:val="single" w:sz="4" w:space="0" w:color="000000"/>
              <w:right w:val="single" w:sz="4" w:space="0" w:color="000000"/>
            </w:tcBorders>
          </w:tcPr>
          <w:p>
            <w:pPr/>
          </w:p>
        </w:tc>
        <w:tc>
          <w:tcPr>
            <w:tcW w:w="701" w:type="dxa"/>
            <w:vMerge/>
            <w:tcBorders>
              <w:left w:val="single" w:sz="4" w:space="0" w:color="000000"/>
              <w:bottom w:val="single" w:sz="4" w:space="0" w:color="000000"/>
              <w:right w:val="single" w:sz="4" w:space="0" w:color="000000"/>
            </w:tcBorders>
          </w:tcPr>
          <w:p>
            <w:pPr/>
          </w:p>
        </w:tc>
        <w:tc>
          <w:tcPr>
            <w:tcW w:w="864" w:type="dxa"/>
            <w:tcBorders>
              <w:top w:val="nil" w:sz="6" w:space="0" w:color="auto"/>
              <w:left w:val="single" w:sz="4" w:space="0" w:color="000000"/>
              <w:bottom w:val="single" w:sz="4" w:space="0" w:color="000000"/>
              <w:right w:val="single" w:sz="4" w:space="0" w:color="000000"/>
            </w:tcBorders>
          </w:tcPr>
          <w:p>
            <w:pPr/>
          </w:p>
        </w:tc>
      </w:tr>
      <w:tr>
        <w:trPr>
          <w:trHeight w:val="1027" w:hRule="exact"/>
        </w:trPr>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33"/>
              <w:jc w:val="both"/>
              <w:rPr>
                <w:rFonts w:ascii="宋体" w:hAnsi="宋体" w:cs="宋体" w:eastAsia="宋体" w:hint="default"/>
                <w:sz w:val="18"/>
                <w:szCs w:val="18"/>
              </w:rPr>
            </w:pPr>
            <w:r>
              <w:rPr>
                <w:rFonts w:ascii="宋体" w:hAnsi="宋体" w:cs="宋体" w:eastAsia="宋体" w:hint="default"/>
                <w:sz w:val="18"/>
                <w:szCs w:val="18"/>
              </w:rPr>
              <w:t>常州丹迪医 疗器械有限 公司</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常州</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常州</w:t>
            </w:r>
          </w:p>
        </w:tc>
        <w:tc>
          <w:tcPr>
            <w:tcW w:w="5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00" w:lineRule="auto"/>
              <w:ind w:left="23" w:right="77"/>
              <w:jc w:val="left"/>
              <w:rPr>
                <w:rFonts w:ascii="宋体" w:hAnsi="宋体" w:cs="宋体" w:eastAsia="宋体" w:hint="default"/>
                <w:sz w:val="18"/>
                <w:szCs w:val="18"/>
              </w:rPr>
            </w:pPr>
            <w:r>
              <w:rPr>
                <w:rFonts w:ascii="宋体" w:hAnsi="宋体" w:cs="宋体" w:eastAsia="宋体" w:hint="default"/>
                <w:sz w:val="18"/>
                <w:szCs w:val="18"/>
              </w:rPr>
              <w:t>一类医疗器械销售；医用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X </w:t>
            </w:r>
            <w:r>
              <w:rPr>
                <w:rFonts w:ascii="宋体" w:hAnsi="宋体" w:cs="宋体" w:eastAsia="宋体" w:hint="default"/>
                <w:sz w:val="18"/>
                <w:szCs w:val="18"/>
              </w:rPr>
              <w:t>射线胶片观察装置、不锈钢制品的制 造，加工</w:t>
            </w:r>
          </w:p>
        </w:tc>
        <w:tc>
          <w:tcPr>
            <w:tcW w:w="701"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100.00%</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08"/>
              <w:jc w:val="both"/>
              <w:rPr>
                <w:rFonts w:ascii="宋体" w:hAnsi="宋体" w:cs="宋体" w:eastAsia="宋体" w:hint="default"/>
                <w:sz w:val="18"/>
                <w:szCs w:val="18"/>
              </w:rPr>
            </w:pPr>
            <w:r>
              <w:rPr>
                <w:rFonts w:ascii="宋体" w:hAnsi="宋体" w:cs="宋体" w:eastAsia="宋体" w:hint="default"/>
                <w:sz w:val="18"/>
                <w:szCs w:val="18"/>
              </w:rPr>
              <w:t>非同一控 制下企业 合并</w:t>
            </w:r>
          </w:p>
        </w:tc>
      </w:tr>
      <w:tr>
        <w:trPr>
          <w:trHeight w:val="1025" w:hRule="exact"/>
        </w:trPr>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33"/>
              <w:jc w:val="both"/>
              <w:rPr>
                <w:rFonts w:ascii="宋体" w:hAnsi="宋体" w:cs="宋体" w:eastAsia="宋体" w:hint="default"/>
                <w:sz w:val="18"/>
                <w:szCs w:val="18"/>
              </w:rPr>
            </w:pPr>
            <w:r>
              <w:rPr>
                <w:rFonts w:ascii="宋体" w:hAnsi="宋体" w:cs="宋体" w:eastAsia="宋体" w:hint="default"/>
                <w:sz w:val="18"/>
                <w:szCs w:val="18"/>
              </w:rPr>
              <w:t>江苏久信净 化设备有限 公司</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常州</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常州</w:t>
            </w:r>
          </w:p>
        </w:tc>
        <w:tc>
          <w:tcPr>
            <w:tcW w:w="5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4" w:lineRule="auto"/>
              <w:ind w:left="23" w:right="21"/>
              <w:jc w:val="left"/>
              <w:rPr>
                <w:rFonts w:ascii="宋体" w:hAnsi="宋体" w:cs="宋体" w:eastAsia="宋体" w:hint="default"/>
                <w:sz w:val="18"/>
                <w:szCs w:val="18"/>
              </w:rPr>
            </w:pPr>
            <w:r>
              <w:rPr>
                <w:rFonts w:ascii="宋体" w:hAnsi="宋体" w:cs="宋体" w:eastAsia="宋体" w:hint="default"/>
                <w:spacing w:val="-3"/>
                <w:sz w:val="18"/>
                <w:szCs w:val="18"/>
              </w:rPr>
              <w:t>室内空气净化器、车载空气净化器、空气净化消毒设备的制造、销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售、安装。</w:t>
            </w:r>
          </w:p>
        </w:tc>
        <w:tc>
          <w:tcPr>
            <w:tcW w:w="701"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100.00%</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08"/>
              <w:jc w:val="both"/>
              <w:rPr>
                <w:rFonts w:ascii="宋体" w:hAnsi="宋体" w:cs="宋体" w:eastAsia="宋体" w:hint="default"/>
                <w:sz w:val="18"/>
                <w:szCs w:val="18"/>
              </w:rPr>
            </w:pPr>
            <w:r>
              <w:rPr>
                <w:rFonts w:ascii="宋体" w:hAnsi="宋体" w:cs="宋体" w:eastAsia="宋体" w:hint="default"/>
                <w:sz w:val="18"/>
                <w:szCs w:val="18"/>
              </w:rPr>
              <w:t>非同一控 制下企业 合并</w:t>
            </w:r>
          </w:p>
        </w:tc>
      </w:tr>
      <w:tr>
        <w:trPr>
          <w:trHeight w:val="1340" w:hRule="exact"/>
        </w:trPr>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33"/>
              <w:jc w:val="both"/>
              <w:rPr>
                <w:rFonts w:ascii="宋体" w:hAnsi="宋体" w:cs="宋体" w:eastAsia="宋体" w:hint="default"/>
                <w:sz w:val="18"/>
                <w:szCs w:val="18"/>
              </w:rPr>
            </w:pPr>
            <w:r>
              <w:rPr>
                <w:rFonts w:ascii="宋体" w:hAnsi="宋体" w:cs="宋体" w:eastAsia="宋体" w:hint="default"/>
                <w:sz w:val="18"/>
                <w:szCs w:val="18"/>
              </w:rPr>
              <w:t>江苏达实久 信智慧物流 系统有限公 司</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常州</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常州</w:t>
            </w:r>
          </w:p>
        </w:tc>
        <w:tc>
          <w:tcPr>
            <w:tcW w:w="5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传输物流系统的设计、安装及相关装置的销售。</w:t>
            </w:r>
          </w:p>
        </w:tc>
        <w:tc>
          <w:tcPr>
            <w:tcW w:w="701"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100.00%</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9" w:lineRule="auto"/>
              <w:ind w:left="23" w:right="108"/>
              <w:jc w:val="both"/>
              <w:rPr>
                <w:rFonts w:ascii="宋体" w:hAnsi="宋体" w:cs="宋体" w:eastAsia="宋体" w:hint="default"/>
                <w:sz w:val="18"/>
                <w:szCs w:val="18"/>
              </w:rPr>
            </w:pPr>
            <w:r>
              <w:rPr>
                <w:rFonts w:ascii="宋体" w:hAnsi="宋体" w:cs="宋体" w:eastAsia="宋体" w:hint="default"/>
                <w:sz w:val="18"/>
                <w:szCs w:val="18"/>
              </w:rPr>
              <w:t>非同一控 制下企业 合并</w:t>
            </w:r>
          </w:p>
        </w:tc>
      </w:tr>
      <w:tr>
        <w:trPr>
          <w:trHeight w:val="1649" w:hRule="exact"/>
        </w:trPr>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4" w:right="33"/>
              <w:jc w:val="both"/>
              <w:rPr>
                <w:rFonts w:ascii="宋体" w:hAnsi="宋体" w:cs="宋体" w:eastAsia="宋体" w:hint="default"/>
                <w:sz w:val="18"/>
                <w:szCs w:val="18"/>
              </w:rPr>
            </w:pPr>
            <w:r>
              <w:rPr>
                <w:rFonts w:ascii="宋体" w:hAnsi="宋体" w:cs="宋体" w:eastAsia="宋体" w:hint="default"/>
                <w:sz w:val="18"/>
                <w:szCs w:val="18"/>
              </w:rPr>
              <w:t>江苏达实久 信数字医疗 科技有限公 司</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常州</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常州</w:t>
            </w:r>
          </w:p>
        </w:tc>
        <w:tc>
          <w:tcPr>
            <w:tcW w:w="519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49"/>
              <w:ind w:left="23" w:right="21"/>
              <w:jc w:val="left"/>
              <w:rPr>
                <w:rFonts w:ascii="宋体" w:hAnsi="宋体" w:cs="宋体" w:eastAsia="宋体" w:hint="default"/>
                <w:sz w:val="18"/>
                <w:szCs w:val="18"/>
              </w:rPr>
            </w:pPr>
            <w:r>
              <w:rPr>
                <w:rFonts w:ascii="宋体" w:hAnsi="宋体" w:cs="宋体" w:eastAsia="宋体" w:hint="default"/>
                <w:sz w:val="18"/>
                <w:szCs w:val="18"/>
              </w:rPr>
              <w:t>二类</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6870</w:t>
            </w:r>
            <w:r>
              <w:rPr>
                <w:rFonts w:ascii="Times New Roman" w:hAnsi="Times New Roman" w:cs="Times New Roman" w:eastAsia="Times New Roman" w:hint="default"/>
                <w:spacing w:val="3"/>
                <w:sz w:val="18"/>
                <w:szCs w:val="18"/>
              </w:rPr>
              <w:t> </w:t>
            </w:r>
            <w:r>
              <w:rPr>
                <w:rFonts w:ascii="宋体" w:hAnsi="宋体" w:cs="宋体" w:eastAsia="宋体" w:hint="default"/>
                <w:spacing w:val="-3"/>
                <w:sz w:val="18"/>
                <w:szCs w:val="18"/>
              </w:rPr>
              <w:t>软件的生产；医疗信息管理系统软件与硬件开发、</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3"/>
                <w:sz w:val="18"/>
                <w:szCs w:val="18"/>
              </w:rPr>
              <w:t>技术服务；医疗器械（除三类）的销售与技术服务；医疗设备安装</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工程、楼宇智能化系统工程的设计、施工；数字化手术室系统软件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的研发、销售、安装；自营和代理各类商品和技术的进出口业务 国家限定公司经营或禁止进出口的商品除外</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624" w:lineRule="exact"/>
              <w:ind w:right="-51"/>
              <w:jc w:val="left"/>
              <w:rPr>
                <w:rFonts w:ascii="宋体" w:hAnsi="宋体" w:cs="宋体" w:eastAsia="宋体" w:hint="default"/>
                <w:sz w:val="20"/>
                <w:szCs w:val="20"/>
              </w:rPr>
            </w:pPr>
            <w:r>
              <w:rPr>
                <w:rFonts w:ascii="宋体" w:hAnsi="宋体" w:cs="宋体" w:eastAsia="宋体" w:hint="default"/>
                <w:position w:val="-11"/>
                <w:sz w:val="20"/>
                <w:szCs w:val="20"/>
              </w:rPr>
              <w:pict>
                <v:group style="width:34.6pt;height:31.2pt;mso-position-horizontal-relative:char;mso-position-vertical-relative:line" coordorigin="0,0" coordsize="692,624">
                  <v:group style="position:absolute;left:0;top:0;width:692;height:624" coordorigin="0,0" coordsize="692,624">
                    <v:shape style="position:absolute;left:0;top:0;width:692;height:624" coordorigin="0,0" coordsize="692,624" path="m0,624l692,624,692,0,0,0,0,624xe" filled="true" fillcolor="#ffffff" stroked="false">
                      <v:path arrowok="t"/>
                      <v:fill type="solid"/>
                    </v:shape>
                  </v:group>
                </v:group>
              </w:pict>
            </w:r>
            <w:r>
              <w:rPr>
                <w:rFonts w:ascii="宋体" w:hAnsi="宋体" w:cs="宋体" w:eastAsia="宋体" w:hint="default"/>
                <w:position w:val="-11"/>
                <w:sz w:val="20"/>
                <w:szCs w:val="20"/>
              </w:rPr>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3"/>
              <w:ind w:left="-131" w:right="0"/>
              <w:jc w:val="left"/>
              <w:rPr>
                <w:rFonts w:ascii="宋体" w:hAnsi="宋体" w:cs="宋体" w:eastAsia="宋体" w:hint="default"/>
                <w:sz w:val="18"/>
                <w:szCs w:val="18"/>
              </w:rPr>
            </w:pPr>
            <w:r>
              <w:rPr>
                <w:rFonts w:ascii="宋体" w:hAnsi="宋体" w:cs="宋体" w:eastAsia="宋体" w:hint="default"/>
                <w:sz w:val="18"/>
                <w:szCs w:val="18"/>
              </w:rPr>
              <w:t>，</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100.00%</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5"/>
              <w:ind w:left="23" w:right="108"/>
              <w:jc w:val="both"/>
              <w:rPr>
                <w:rFonts w:ascii="宋体" w:hAnsi="宋体" w:cs="宋体" w:eastAsia="宋体" w:hint="default"/>
                <w:sz w:val="18"/>
                <w:szCs w:val="18"/>
              </w:rPr>
            </w:pPr>
            <w:r>
              <w:rPr>
                <w:rFonts w:ascii="宋体" w:hAnsi="宋体" w:cs="宋体" w:eastAsia="宋体" w:hint="default"/>
                <w:sz w:val="18"/>
                <w:szCs w:val="18"/>
              </w:rPr>
              <w:t>非同一控 制下企业 合并</w:t>
            </w:r>
          </w:p>
        </w:tc>
      </w:tr>
      <w:tr>
        <w:trPr>
          <w:trHeight w:val="403" w:hRule="exact"/>
        </w:trPr>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4" w:right="0"/>
              <w:jc w:val="left"/>
              <w:rPr>
                <w:rFonts w:ascii="宋体" w:hAnsi="宋体" w:cs="宋体" w:eastAsia="宋体" w:hint="default"/>
                <w:sz w:val="18"/>
                <w:szCs w:val="18"/>
              </w:rPr>
            </w:pPr>
            <w:r>
              <w:rPr>
                <w:rFonts w:ascii="宋体" w:hAnsi="宋体" w:cs="宋体" w:eastAsia="宋体" w:hint="default"/>
                <w:sz w:val="18"/>
                <w:szCs w:val="18"/>
              </w:rPr>
              <w:t>深圳达实信</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5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3" w:right="0"/>
              <w:jc w:val="left"/>
              <w:rPr>
                <w:rFonts w:ascii="宋体" w:hAnsi="宋体" w:cs="宋体" w:eastAsia="宋体" w:hint="default"/>
                <w:sz w:val="18"/>
                <w:szCs w:val="18"/>
              </w:rPr>
            </w:pPr>
            <w:r>
              <w:rPr>
                <w:rFonts w:ascii="宋体" w:hAnsi="宋体" w:cs="宋体" w:eastAsia="宋体" w:hint="default"/>
                <w:spacing w:val="-3"/>
                <w:sz w:val="18"/>
                <w:szCs w:val="18"/>
              </w:rPr>
              <w:t>开发、销售非接触式智能卡应用产品及系统、计算机网络、计算机</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100.00%</w:t>
            </w:r>
          </w:p>
        </w:tc>
        <w:tc>
          <w:tcPr>
            <w:tcW w:w="70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3" w:right="0"/>
              <w:jc w:val="left"/>
              <w:rPr>
                <w:rFonts w:ascii="宋体" w:hAnsi="宋体" w:cs="宋体" w:eastAsia="宋体" w:hint="default"/>
                <w:sz w:val="18"/>
                <w:szCs w:val="18"/>
              </w:rPr>
            </w:pPr>
            <w:r>
              <w:rPr>
                <w:rFonts w:ascii="宋体" w:hAnsi="宋体" w:cs="宋体" w:eastAsia="宋体" w:hint="default"/>
                <w:sz w:val="18"/>
                <w:szCs w:val="18"/>
              </w:rPr>
              <w:t>非同一控</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375.860016pt;margin-top:72.475983pt;width:85.8pt;height:80.1pt;mso-position-horizontal-relative:page;mso-position-vertical-relative:page;z-index:-1094296"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9"/>
                      <w:szCs w:val="19"/>
                    </w:rPr>
                  </w:pPr>
                </w:p>
                <w:p>
                  <w:pPr>
                    <w:pStyle w:val="BodyText"/>
                    <w:spacing w:line="240" w:lineRule="auto"/>
                    <w:ind w:left="0" w:right="0"/>
                    <w:jc w:val="left"/>
                  </w:pPr>
                  <w:r>
                    <w:rPr/>
                    <w:t>计算机网络、</w:t>
                  </w:r>
                </w:p>
              </w:txbxContent>
            </v:textbox>
            <w10:wrap type="none"/>
          </v:shape>
        </w:pict>
      </w:r>
      <w:r>
        <w:rPr/>
        <w:pict>
          <v:shape style="position:absolute;margin-left:393.860016pt;margin-top:306.889984pt;width:67.8pt;height:46.8pt;mso-position-horizontal-relative:page;mso-position-vertical-relative:page;z-index:-1094272"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pStyle w:val="BodyText"/>
                    <w:spacing w:line="240" w:lineRule="auto" w:before="154"/>
                    <w:ind w:left="0" w:right="0"/>
                    <w:jc w:val="left"/>
                  </w:pPr>
                  <w:r>
                    <w:rPr/>
                    <w:t>互联网、</w:t>
                  </w:r>
                </w:p>
              </w:txbxContent>
            </v:textbox>
            <w10:wrap type="none"/>
          </v:shape>
        </w:pict>
      </w:r>
      <w:r>
        <w:rPr/>
        <w:pict>
          <v:shape style="position:absolute;margin-left:321.851013pt;margin-top:373.369995pt;width:139.8pt;height:46.8pt;mso-position-horizontal-relative:page;mso-position-vertical-relative:page;z-index:-1094248" type="#_x0000_t202" filled="false" stroked="false">
            <v:textbox inset="0,0,0,0">
              <w:txbxContent>
                <w:p>
                  <w:pPr>
                    <w:spacing w:line="240" w:lineRule="auto" w:before="3"/>
                    <w:rPr>
                      <w:rFonts w:ascii="Times New Roman" w:hAnsi="Times New Roman" w:cs="Times New Roman" w:eastAsia="Times New Roman" w:hint="default"/>
                      <w:sz w:val="24"/>
                      <w:szCs w:val="24"/>
                    </w:rPr>
                  </w:pPr>
                </w:p>
                <w:p>
                  <w:pPr>
                    <w:pStyle w:val="BodyText"/>
                    <w:spacing w:line="240" w:lineRule="auto"/>
                    <w:ind w:left="0" w:right="0"/>
                    <w:jc w:val="left"/>
                  </w:pPr>
                  <w:r>
                    <w:rPr/>
                    <w:t>智慧医院建设和运营管理；</w:t>
                  </w:r>
                </w:p>
              </w:txbxContent>
            </v:textbox>
            <w10:wrap type="none"/>
          </v:shape>
        </w:pict>
      </w:r>
      <w:r>
        <w:rPr/>
        <w:pict>
          <v:shape style="position:absolute;margin-left:393.860016pt;margin-top:420.645996pt;width:67.8pt;height:31.25pt;mso-position-horizontal-relative:page;mso-position-vertical-relative:page;z-index:-1094224"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pStyle w:val="BodyText"/>
                    <w:spacing w:line="240" w:lineRule="auto" w:before="154"/>
                    <w:ind w:left="0" w:right="0"/>
                    <w:jc w:val="left"/>
                  </w:pPr>
                  <w:r>
                    <w:rPr/>
                    <w:t>（审批）</w:t>
                  </w:r>
                </w:p>
              </w:txbxContent>
            </v:textbox>
            <w10:wrap type="none"/>
          </v:shape>
        </w:pict>
      </w:r>
      <w:r>
        <w:rPr/>
        <w:pict>
          <v:shape style="position:absolute;margin-left:402.833008pt;margin-top:585.675964pt;width:58.8pt;height:46.85pt;mso-position-horizontal-relative:page;mso-position-vertical-relative:page;z-index:-1094200"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pStyle w:val="BodyText"/>
                    <w:spacing w:line="240" w:lineRule="auto" w:before="154"/>
                    <w:ind w:left="0" w:right="0"/>
                    <w:jc w:val="left"/>
                  </w:pPr>
                  <w:r>
                    <w:rPr/>
                    <w:t>咨询，</w:t>
                  </w:r>
                </w:p>
              </w:txbxContent>
            </v:textbox>
            <w10:wrap type="none"/>
          </v:shape>
        </w:pict>
      </w:r>
      <w:r>
        <w:rPr/>
        <w:pict>
          <v:shape style="position:absolute;margin-left:366.860016pt;margin-top:652.059998pt;width:94.8pt;height:46.8pt;mso-position-horizontal-relative:page;mso-position-vertical-relative:page;z-index:-1094176"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7"/>
                    <w:rPr>
                      <w:rFonts w:ascii="Times New Roman" w:hAnsi="Times New Roman" w:cs="Times New Roman" w:eastAsia="Times New Roman" w:hint="default"/>
                      <w:sz w:val="15"/>
                      <w:szCs w:val="15"/>
                    </w:rPr>
                  </w:pPr>
                </w:p>
                <w:p>
                  <w:pPr>
                    <w:pStyle w:val="BodyText"/>
                    <w:spacing w:line="240" w:lineRule="auto"/>
                    <w:ind w:left="0" w:right="0"/>
                    <w:jc w:val="left"/>
                  </w:pPr>
                  <w:r>
                    <w:rPr/>
                    <w:t>节能咨询服务。</w:t>
                  </w:r>
                </w:p>
              </w:txbxContent>
            </v:textbox>
            <w10:wrap type="none"/>
          </v:shape>
        </w:pict>
      </w:r>
      <w:r>
        <w:rPr/>
        <w:pict>
          <v:group style="position:absolute;margin-left:427.029999pt;margin-top:306.889984pt;width:34.6pt;height:46.8pt;mso-position-horizontal-relative:page;mso-position-vertical-relative:page;z-index:-1094152" coordorigin="8541,6138" coordsize="692,936">
            <v:shape style="position:absolute;left:8541;top:6138;width:692;height:936" coordorigin="8541,6138" coordsize="692,936" path="m8541,7074l9232,7074,9232,6138,8541,6138,8541,7074xe" filled="true" fillcolor="#ffffff" stroked="false">
              <v:path arrowok="t"/>
              <v:fill type="solid"/>
            </v:shape>
            <w10:wrap type="none"/>
          </v:group>
        </w:pict>
      </w:r>
      <w:r>
        <w:rPr/>
        <w:pict>
          <v:group style="position:absolute;margin-left:427.029999pt;margin-top:373.369995pt;width:34.6pt;height:78.5pt;mso-position-horizontal-relative:page;mso-position-vertical-relative:page;z-index:-1094128" coordorigin="8541,7467" coordsize="692,1570">
            <v:group style="position:absolute;left:8541;top:7467;width:692;height:936" coordorigin="8541,7467" coordsize="692,936">
              <v:shape style="position:absolute;left:8541;top:7467;width:692;height:936" coordorigin="8541,7467" coordsize="692,936" path="m8541,8403l9232,8403,9232,7467,8541,7467,8541,8403xe" filled="true" fillcolor="#ffffff" stroked="false">
                <v:path arrowok="t"/>
                <v:fill type="solid"/>
              </v:shape>
            </v:group>
            <v:group style="position:absolute;left:8541;top:8413;width:692;height:625" coordorigin="8541,8413" coordsize="692,625">
              <v:shape style="position:absolute;left:8541;top:8413;width:692;height:625" coordorigin="8541,8413" coordsize="692,625" path="m8541,9037l9232,9037,9232,8413,8541,8413,8541,9037xe" filled="true" fillcolor="#ffffff" stroked="false">
                <v:path arrowok="t"/>
                <v:fill type="solid"/>
              </v:shape>
            </v:group>
            <w10:wrap type="none"/>
          </v:group>
        </w:pict>
      </w:r>
      <w:r>
        <w:rPr/>
        <w:pict>
          <v:group style="position:absolute;margin-left:427.029999pt;margin-top:585.675964pt;width:34.6pt;height:46.85pt;mso-position-horizontal-relative:page;mso-position-vertical-relative:page;z-index:-1094104" coordorigin="8541,11714" coordsize="692,937">
            <v:shape style="position:absolute;left:8541;top:11714;width:692;height:937" coordorigin="8541,11714" coordsize="692,937" path="m8541,12650l9232,12650,9232,11714,8541,11714,8541,12650xe" filled="true" fillcolor="#ffffff" stroked="false">
              <v:path arrowok="t"/>
              <v:fill type="solid"/>
            </v:shape>
            <w10:wrap type="none"/>
          </v:group>
        </w:pict>
      </w:r>
      <w:r>
        <w:rPr/>
        <w:pict>
          <v:group style="position:absolute;margin-left:427.029999pt;margin-top:652.059998pt;width:34.6pt;height:46.8pt;mso-position-horizontal-relative:page;mso-position-vertical-relative:page;z-index:-1094080" coordorigin="8541,13041" coordsize="692,936">
            <v:shape style="position:absolute;left:8541;top:13041;width:692;height:936" coordorigin="8541,13041" coordsize="692,936" path="m8541,13977l9232,13977,9232,13041,8541,13041,8541,13977xe" filled="true" fillcolor="#ffffff" stroked="false">
              <v:path arrowok="t"/>
              <v:fill type="solid"/>
            </v:shape>
            <w10:wrap type="none"/>
          </v:group>
        </w:pict>
      </w:r>
      <w:r>
        <w:rPr/>
        <w:pict>
          <v:group style="position:absolute;margin-left:427.029999pt;margin-top:735.096008pt;width:34.6pt;height:33.25pt;mso-position-horizontal-relative:page;mso-position-vertical-relative:page;z-index:-1094056" coordorigin="8541,14702" coordsize="692,665">
            <v:group style="position:absolute;left:8541;top:14702;width:692;height:137" coordorigin="8541,14702" coordsize="692,137">
              <v:shape style="position:absolute;left:8541;top:14702;width:692;height:137" coordorigin="8541,14702" coordsize="692,137" path="m8541,14839l9232,14839,9232,14702,8541,14702,8541,14839xe" filled="true" fillcolor="#ffffff" stroked="false">
                <v:path arrowok="t"/>
                <v:fill type="solid"/>
              </v:shape>
            </v:group>
            <v:group style="position:absolute;left:8553;top:14839;width:2;height:392" coordorigin="8553,14839" coordsize="2,392">
              <v:shape style="position:absolute;left:8553;top:14839;width:2;height:392" coordorigin="8553,14839" coordsize="0,392" path="m8553,14839l8553,15230e" filled="false" stroked="true" strokeweight="1.2pt" strokecolor="#ffffff">
                <v:path arrowok="t"/>
              </v:shape>
            </v:group>
            <v:group style="position:absolute;left:8541;top:15230;width:692;height:137" coordorigin="8541,15230" coordsize="692,137">
              <v:shape style="position:absolute;left:8541;top:15230;width:692;height:137" coordorigin="8541,15230" coordsize="692,137" path="m8541,15367l9232,15367,9232,15230,8541,15230,8541,15367xe" filled="true" fillcolor="#ffffff" stroked="false">
                <v:path arrowok="t"/>
                <v:fill type="solid"/>
              </v:shape>
            </v:group>
            <v:group style="position:absolute;left:8565;top:14839;width:647;height:392" coordorigin="8565,14839" coordsize="647,392">
              <v:shape style="position:absolute;left:8565;top:14839;width:647;height:392" coordorigin="8565,14839" coordsize="647,392" path="m8565,15230l9211,15230,9211,14839,8565,14839,8565,15230xe" filled="true" fillcolor="#ffffff" stroked="false">
                <v:path arrowok="t"/>
                <v:fill type="solid"/>
              </v:shape>
            </v:group>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968"/>
        <w:gridCol w:w="689"/>
        <w:gridCol w:w="552"/>
        <w:gridCol w:w="5195"/>
        <w:gridCol w:w="91"/>
        <w:gridCol w:w="611"/>
        <w:gridCol w:w="701"/>
        <w:gridCol w:w="864"/>
      </w:tblGrid>
      <w:tr>
        <w:trPr>
          <w:trHeight w:val="315" w:hRule="exact"/>
        </w:trPr>
        <w:tc>
          <w:tcPr>
            <w:tcW w:w="9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息技术有限</w:t>
            </w:r>
          </w:p>
        </w:tc>
        <w:tc>
          <w:tcPr>
            <w:tcW w:w="689" w:type="dxa"/>
            <w:vMerge w:val="restart"/>
            <w:tcBorders>
              <w:top w:val="single" w:sz="4" w:space="0" w:color="000000"/>
              <w:left w:val="single" w:sz="4" w:space="0" w:color="000000"/>
              <w:right w:val="single" w:sz="4" w:space="0" w:color="000000"/>
            </w:tcBorders>
          </w:tcPr>
          <w:p>
            <w:pPr/>
          </w:p>
        </w:tc>
        <w:tc>
          <w:tcPr>
            <w:tcW w:w="552" w:type="dxa"/>
            <w:vMerge w:val="restart"/>
            <w:tcBorders>
              <w:top w:val="single" w:sz="4" w:space="0" w:color="000000"/>
              <w:left w:val="single" w:sz="4" w:space="0" w:color="000000"/>
              <w:right w:val="single" w:sz="4" w:space="0" w:color="000000"/>
            </w:tcBorders>
          </w:tcPr>
          <w:p>
            <w:pPr/>
          </w:p>
        </w:tc>
        <w:tc>
          <w:tcPr>
            <w:tcW w:w="519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pacing w:val="-3"/>
                <w:sz w:val="18"/>
                <w:szCs w:val="18"/>
              </w:rPr>
              <w:t>软件、办公自动化设备、网络连接设备；提供上述产品相应的技术</w:t>
            </w:r>
          </w:p>
        </w:tc>
        <w:tc>
          <w:tcPr>
            <w:tcW w:w="701" w:type="dxa"/>
            <w:gridSpan w:val="2"/>
            <w:vMerge w:val="restart"/>
            <w:tcBorders>
              <w:top w:val="single" w:sz="4" w:space="0" w:color="000000"/>
              <w:left w:val="single" w:sz="4" w:space="0" w:color="000000"/>
              <w:right w:val="single" w:sz="4" w:space="0" w:color="000000"/>
            </w:tcBorders>
          </w:tcPr>
          <w:p>
            <w:pPr>
              <w:pStyle w:val="TableParagraph"/>
              <w:spacing w:line="1601"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31"/>
                <w:sz w:val="20"/>
                <w:szCs w:val="20"/>
              </w:rPr>
              <w:pict>
                <v:group style="width:34.6pt;height:80.1pt;mso-position-horizontal-relative:char;mso-position-vertical-relative:line" coordorigin="0,0" coordsize="692,1602">
                  <v:group style="position:absolute;left:0;top:0;width:692;height:1602" coordorigin="0,0" coordsize="692,1602">
                    <v:shape style="position:absolute;left:0;top:0;width:692;height:1602" coordorigin="0,0" coordsize="692,1602" path="m0,1601l692,1601,692,0,0,0,0,1601xe" filled="true" fillcolor="#ffffff" stroked="false">
                      <v:path arrowok="t"/>
                      <v:fill type="solid"/>
                    </v:shape>
                  </v:group>
                </v:group>
              </w:pict>
            </w:r>
            <w:r>
              <w:rPr>
                <w:rFonts w:ascii="Times New Roman" w:hAnsi="Times New Roman" w:cs="Times New Roman" w:eastAsia="Times New Roman" w:hint="default"/>
                <w:position w:val="-31"/>
                <w:sz w:val="20"/>
                <w:szCs w:val="20"/>
              </w:rPr>
            </w:r>
          </w:p>
        </w:tc>
        <w:tc>
          <w:tcPr>
            <w:tcW w:w="701" w:type="dxa"/>
            <w:vMerge w:val="restart"/>
            <w:tcBorders>
              <w:top w:val="single" w:sz="4" w:space="0" w:color="000000"/>
              <w:left w:val="single" w:sz="4" w:space="0" w:color="000000"/>
              <w:right w:val="single" w:sz="4" w:space="0" w:color="000000"/>
            </w:tcBorders>
          </w:tcPr>
          <w:p>
            <w:pPr/>
          </w:p>
        </w:tc>
        <w:tc>
          <w:tcPr>
            <w:tcW w:w="8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制下企业</w:t>
            </w:r>
          </w:p>
        </w:tc>
      </w:tr>
      <w:tr>
        <w:trPr>
          <w:trHeight w:val="312" w:hRule="exact"/>
        </w:trPr>
        <w:tc>
          <w:tcPr>
            <w:tcW w:w="9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689" w:type="dxa"/>
            <w:vMerge/>
            <w:tcBorders>
              <w:left w:val="single" w:sz="4" w:space="0" w:color="000000"/>
              <w:right w:val="single" w:sz="4" w:space="0" w:color="000000"/>
            </w:tcBorders>
          </w:tcPr>
          <w:p>
            <w:pPr/>
          </w:p>
        </w:tc>
        <w:tc>
          <w:tcPr>
            <w:tcW w:w="552" w:type="dxa"/>
            <w:vMerge/>
            <w:tcBorders>
              <w:left w:val="single" w:sz="4" w:space="0" w:color="000000"/>
              <w:right w:val="single" w:sz="4" w:space="0" w:color="000000"/>
            </w:tcBorders>
          </w:tcPr>
          <w:p>
            <w:pPr/>
          </w:p>
        </w:tc>
        <w:tc>
          <w:tcPr>
            <w:tcW w:w="51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服务；生产智能卡读写终端、智能控制设备（由分支机构生产</w:t>
            </w:r>
            <w:r>
              <w:rPr>
                <w:rFonts w:ascii="宋体" w:hAnsi="宋体" w:cs="宋体" w:eastAsia="宋体" w:hint="default"/>
                <w:spacing w:val="-92"/>
                <w:sz w:val="18"/>
                <w:szCs w:val="18"/>
              </w:rPr>
              <w:t>）</w:t>
            </w:r>
            <w:r>
              <w:rPr>
                <w:rFonts w:ascii="宋体" w:hAnsi="宋体" w:cs="宋体" w:eastAsia="宋体" w:hint="default"/>
                <w:sz w:val="18"/>
                <w:szCs w:val="18"/>
              </w:rPr>
              <w:t>；</w:t>
            </w:r>
          </w:p>
        </w:tc>
        <w:tc>
          <w:tcPr>
            <w:tcW w:w="701" w:type="dxa"/>
            <w:gridSpan w:val="2"/>
            <w:vMerge/>
            <w:tcBorders>
              <w:left w:val="single" w:sz="4" w:space="0" w:color="000000"/>
              <w:right w:val="single" w:sz="4" w:space="0" w:color="000000"/>
            </w:tcBorders>
          </w:tcPr>
          <w:p>
            <w:pPr/>
          </w:p>
        </w:tc>
        <w:tc>
          <w:tcPr>
            <w:tcW w:w="701" w:type="dxa"/>
            <w:vMerge/>
            <w:tcBorders>
              <w:left w:val="single" w:sz="4" w:space="0" w:color="000000"/>
              <w:right w:val="single" w:sz="4" w:space="0" w:color="000000"/>
            </w:tcBorders>
          </w:tcPr>
          <w:p>
            <w:pPr/>
          </w:p>
        </w:tc>
        <w:tc>
          <w:tcPr>
            <w:tcW w:w="86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合并</w:t>
            </w:r>
          </w:p>
        </w:tc>
      </w:tr>
      <w:tr>
        <w:trPr>
          <w:trHeight w:val="312" w:hRule="exact"/>
        </w:trPr>
        <w:tc>
          <w:tcPr>
            <w:tcW w:w="968" w:type="dxa"/>
            <w:tcBorders>
              <w:top w:val="nil" w:sz="6" w:space="0" w:color="auto"/>
              <w:left w:val="single" w:sz="4" w:space="0" w:color="000000"/>
              <w:bottom w:val="nil" w:sz="6" w:space="0" w:color="auto"/>
              <w:right w:val="single" w:sz="4" w:space="0" w:color="000000"/>
            </w:tcBorders>
          </w:tcPr>
          <w:p>
            <w:pPr/>
          </w:p>
        </w:tc>
        <w:tc>
          <w:tcPr>
            <w:tcW w:w="689" w:type="dxa"/>
            <w:vMerge/>
            <w:tcBorders>
              <w:left w:val="single" w:sz="4" w:space="0" w:color="000000"/>
              <w:right w:val="single" w:sz="4" w:space="0" w:color="000000"/>
            </w:tcBorders>
          </w:tcPr>
          <w:p>
            <w:pPr/>
          </w:p>
        </w:tc>
        <w:tc>
          <w:tcPr>
            <w:tcW w:w="552" w:type="dxa"/>
            <w:vMerge/>
            <w:tcBorders>
              <w:left w:val="single" w:sz="4" w:space="0" w:color="000000"/>
              <w:right w:val="single" w:sz="4" w:space="0" w:color="000000"/>
            </w:tcBorders>
          </w:tcPr>
          <w:p>
            <w:pPr/>
          </w:p>
        </w:tc>
        <w:tc>
          <w:tcPr>
            <w:tcW w:w="51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自有物业租赁</w:t>
            </w:r>
            <w:r>
              <w:rPr>
                <w:rFonts w:ascii="宋体" w:hAnsi="宋体" w:cs="宋体" w:eastAsia="宋体" w:hint="default"/>
                <w:spacing w:val="-87"/>
                <w:sz w:val="18"/>
                <w:szCs w:val="18"/>
              </w:rPr>
              <w:t>。</w:t>
            </w:r>
            <w:r>
              <w:rPr>
                <w:rFonts w:ascii="宋体" w:hAnsi="宋体" w:cs="宋体" w:eastAsia="宋体" w:hint="default"/>
                <w:sz w:val="18"/>
                <w:szCs w:val="18"/>
              </w:rPr>
              <w:t>生产非接触式智能卡应用产品及系统、</w:t>
            </w:r>
          </w:p>
        </w:tc>
        <w:tc>
          <w:tcPr>
            <w:tcW w:w="701" w:type="dxa"/>
            <w:gridSpan w:val="2"/>
            <w:vMerge/>
            <w:tcBorders>
              <w:left w:val="single" w:sz="4" w:space="0" w:color="000000"/>
              <w:right w:val="single" w:sz="4" w:space="0" w:color="000000"/>
            </w:tcBorders>
          </w:tcPr>
          <w:p>
            <w:pPr/>
          </w:p>
        </w:tc>
        <w:tc>
          <w:tcPr>
            <w:tcW w:w="701" w:type="dxa"/>
            <w:vMerge/>
            <w:tcBorders>
              <w:left w:val="single" w:sz="4" w:space="0" w:color="000000"/>
              <w:right w:val="single" w:sz="4" w:space="0" w:color="000000"/>
            </w:tcBorders>
          </w:tcPr>
          <w:p>
            <w:pPr/>
          </w:p>
        </w:tc>
        <w:tc>
          <w:tcPr>
            <w:tcW w:w="86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968" w:type="dxa"/>
            <w:tcBorders>
              <w:top w:val="nil" w:sz="6" w:space="0" w:color="auto"/>
              <w:left w:val="single" w:sz="4" w:space="0" w:color="000000"/>
              <w:bottom w:val="nil" w:sz="6" w:space="0" w:color="auto"/>
              <w:right w:val="single" w:sz="4" w:space="0" w:color="000000"/>
            </w:tcBorders>
          </w:tcPr>
          <w:p>
            <w:pPr/>
          </w:p>
        </w:tc>
        <w:tc>
          <w:tcPr>
            <w:tcW w:w="689" w:type="dxa"/>
            <w:vMerge/>
            <w:tcBorders>
              <w:left w:val="single" w:sz="4" w:space="0" w:color="000000"/>
              <w:right w:val="single" w:sz="4" w:space="0" w:color="000000"/>
            </w:tcBorders>
          </w:tcPr>
          <w:p>
            <w:pPr/>
          </w:p>
        </w:tc>
        <w:tc>
          <w:tcPr>
            <w:tcW w:w="552" w:type="dxa"/>
            <w:vMerge/>
            <w:tcBorders>
              <w:left w:val="single" w:sz="4" w:space="0" w:color="000000"/>
              <w:right w:val="single" w:sz="4" w:space="0" w:color="000000"/>
            </w:tcBorders>
          </w:tcPr>
          <w:p>
            <w:pPr/>
          </w:p>
        </w:tc>
        <w:tc>
          <w:tcPr>
            <w:tcW w:w="51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计算机软件、办公自动化设备、网络连接设备；提供上述产品相应</w:t>
            </w:r>
          </w:p>
        </w:tc>
        <w:tc>
          <w:tcPr>
            <w:tcW w:w="701" w:type="dxa"/>
            <w:gridSpan w:val="2"/>
            <w:vMerge/>
            <w:tcBorders>
              <w:left w:val="single" w:sz="4" w:space="0" w:color="000000"/>
              <w:right w:val="single" w:sz="4" w:space="0" w:color="000000"/>
            </w:tcBorders>
          </w:tcPr>
          <w:p>
            <w:pPr/>
          </w:p>
        </w:tc>
        <w:tc>
          <w:tcPr>
            <w:tcW w:w="701" w:type="dxa"/>
            <w:vMerge/>
            <w:tcBorders>
              <w:left w:val="single" w:sz="4" w:space="0" w:color="000000"/>
              <w:right w:val="single" w:sz="4" w:space="0" w:color="000000"/>
            </w:tcBorders>
          </w:tcPr>
          <w:p>
            <w:pPr/>
          </w:p>
        </w:tc>
        <w:tc>
          <w:tcPr>
            <w:tcW w:w="864" w:type="dxa"/>
            <w:tcBorders>
              <w:top w:val="nil" w:sz="6" w:space="0" w:color="auto"/>
              <w:left w:val="single" w:sz="4" w:space="0" w:color="000000"/>
              <w:bottom w:val="nil" w:sz="6" w:space="0" w:color="auto"/>
              <w:right w:val="single" w:sz="4" w:space="0" w:color="000000"/>
            </w:tcBorders>
          </w:tcPr>
          <w:p>
            <w:pPr/>
          </w:p>
        </w:tc>
      </w:tr>
      <w:tr>
        <w:trPr>
          <w:trHeight w:val="360" w:hRule="exact"/>
        </w:trPr>
        <w:tc>
          <w:tcPr>
            <w:tcW w:w="968" w:type="dxa"/>
            <w:tcBorders>
              <w:top w:val="nil" w:sz="6" w:space="0" w:color="auto"/>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552" w:type="dxa"/>
            <w:vMerge/>
            <w:tcBorders>
              <w:left w:val="single" w:sz="4" w:space="0" w:color="000000"/>
              <w:bottom w:val="single" w:sz="4" w:space="0" w:color="000000"/>
              <w:right w:val="single" w:sz="4" w:space="0" w:color="000000"/>
            </w:tcBorders>
          </w:tcPr>
          <w:p>
            <w:pPr/>
          </w:p>
        </w:tc>
        <w:tc>
          <w:tcPr>
            <w:tcW w:w="519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的安装、维修服务</w:t>
            </w:r>
            <w:r>
              <w:rPr>
                <w:rFonts w:ascii="Times New Roman" w:hAnsi="Times New Roman" w:cs="Times New Roman" w:eastAsia="Times New Roman" w:hint="default"/>
                <w:sz w:val="18"/>
                <w:szCs w:val="18"/>
              </w:rPr>
              <w:t>.</w:t>
            </w:r>
          </w:p>
        </w:tc>
        <w:tc>
          <w:tcPr>
            <w:tcW w:w="701" w:type="dxa"/>
            <w:gridSpan w:val="2"/>
            <w:vMerge/>
            <w:tcBorders>
              <w:left w:val="single" w:sz="4" w:space="0" w:color="000000"/>
              <w:bottom w:val="single" w:sz="4" w:space="0" w:color="000000"/>
              <w:right w:val="single" w:sz="4" w:space="0" w:color="000000"/>
            </w:tcBorders>
          </w:tcPr>
          <w:p>
            <w:pPr/>
          </w:p>
        </w:tc>
        <w:tc>
          <w:tcPr>
            <w:tcW w:w="701" w:type="dxa"/>
            <w:vMerge/>
            <w:tcBorders>
              <w:left w:val="single" w:sz="4" w:space="0" w:color="000000"/>
              <w:bottom w:val="single" w:sz="4" w:space="0" w:color="000000"/>
              <w:right w:val="single" w:sz="4" w:space="0" w:color="000000"/>
            </w:tcBorders>
          </w:tcPr>
          <w:p>
            <w:pPr/>
          </w:p>
        </w:tc>
        <w:tc>
          <w:tcPr>
            <w:tcW w:w="864" w:type="dxa"/>
            <w:tcBorders>
              <w:top w:val="nil" w:sz="6" w:space="0" w:color="auto"/>
              <w:left w:val="single" w:sz="4" w:space="0" w:color="000000"/>
              <w:bottom w:val="single" w:sz="4" w:space="0" w:color="000000"/>
              <w:right w:val="single" w:sz="4" w:space="0" w:color="000000"/>
            </w:tcBorders>
          </w:tcPr>
          <w:p>
            <w:pPr/>
          </w:p>
        </w:tc>
      </w:tr>
      <w:tr>
        <w:trPr>
          <w:trHeight w:val="1025" w:hRule="exact"/>
        </w:trPr>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33"/>
              <w:jc w:val="both"/>
              <w:rPr>
                <w:rFonts w:ascii="宋体" w:hAnsi="宋体" w:cs="宋体" w:eastAsia="宋体" w:hint="default"/>
                <w:sz w:val="18"/>
                <w:szCs w:val="18"/>
              </w:rPr>
            </w:pPr>
            <w:r>
              <w:rPr>
                <w:rFonts w:ascii="宋体" w:hAnsi="宋体" w:cs="宋体" w:eastAsia="宋体" w:hint="default"/>
                <w:sz w:val="18"/>
                <w:szCs w:val="18"/>
              </w:rPr>
              <w:t>深圳达实融 资租赁有限 公司</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51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0"/>
              <w:jc w:val="both"/>
              <w:rPr>
                <w:rFonts w:ascii="宋体" w:hAnsi="宋体" w:cs="宋体" w:eastAsia="宋体" w:hint="default"/>
                <w:sz w:val="18"/>
                <w:szCs w:val="18"/>
              </w:rPr>
            </w:pPr>
            <w:r>
              <w:rPr>
                <w:rFonts w:ascii="宋体" w:hAnsi="宋体" w:cs="宋体" w:eastAsia="宋体" w:hint="default"/>
                <w:spacing w:val="-3"/>
                <w:sz w:val="18"/>
                <w:szCs w:val="18"/>
              </w:rPr>
              <w:t>融资租赁业务；租赁业务；向国内外购买租赁资产；租赁资产的残</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3"/>
                <w:sz w:val="18"/>
                <w:szCs w:val="18"/>
              </w:rPr>
              <w:t>值处理及维修；租赁交易咨询和担保；从事与主营业务有关的商业</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保理业务（非银行融资类）</w:t>
            </w:r>
          </w:p>
        </w:tc>
        <w:tc>
          <w:tcPr>
            <w:tcW w:w="7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75.00%</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25.00%</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108"/>
              <w:jc w:val="left"/>
              <w:rPr>
                <w:rFonts w:ascii="宋体" w:hAnsi="宋体" w:cs="宋体" w:eastAsia="宋体" w:hint="default"/>
                <w:sz w:val="18"/>
                <w:szCs w:val="18"/>
              </w:rPr>
            </w:pPr>
            <w:r>
              <w:rPr>
                <w:rFonts w:ascii="宋体" w:hAnsi="宋体" w:cs="宋体" w:eastAsia="宋体" w:hint="default"/>
                <w:sz w:val="18"/>
                <w:szCs w:val="18"/>
              </w:rPr>
              <w:t>通过设立 方式取得</w:t>
            </w:r>
          </w:p>
        </w:tc>
      </w:tr>
      <w:tr>
        <w:trPr>
          <w:trHeight w:val="1027" w:hRule="exact"/>
        </w:trPr>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33"/>
              <w:jc w:val="both"/>
              <w:rPr>
                <w:rFonts w:ascii="宋体" w:hAnsi="宋体" w:cs="宋体" w:eastAsia="宋体" w:hint="default"/>
                <w:sz w:val="18"/>
                <w:szCs w:val="18"/>
              </w:rPr>
            </w:pPr>
            <w:r>
              <w:rPr>
                <w:rFonts w:ascii="宋体" w:hAnsi="宋体" w:cs="宋体" w:eastAsia="宋体" w:hint="default"/>
                <w:sz w:val="18"/>
                <w:szCs w:val="18"/>
              </w:rPr>
              <w:t>昌都市达实 投资咨询有 限公司</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昌都</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昌都</w:t>
            </w:r>
          </w:p>
        </w:tc>
        <w:tc>
          <w:tcPr>
            <w:tcW w:w="51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1"/>
              <w:jc w:val="both"/>
              <w:rPr>
                <w:rFonts w:ascii="宋体" w:hAnsi="宋体" w:cs="宋体" w:eastAsia="宋体" w:hint="default"/>
                <w:sz w:val="18"/>
                <w:szCs w:val="18"/>
              </w:rPr>
            </w:pPr>
            <w:r>
              <w:rPr>
                <w:rFonts w:ascii="宋体" w:hAnsi="宋体" w:cs="宋体" w:eastAsia="宋体" w:hint="default"/>
                <w:spacing w:val="-3"/>
                <w:sz w:val="18"/>
                <w:szCs w:val="18"/>
              </w:rPr>
              <w:t>财务咨询、投资咨询、管理咨询、税务咨询、商务咨询兼并重组咨</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询（咨询不含证券、保险、基金、金融业务、人才中介服务及其限</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制项目）</w:t>
            </w:r>
          </w:p>
        </w:tc>
        <w:tc>
          <w:tcPr>
            <w:tcW w:w="701" w:type="dxa"/>
            <w:gridSpan w:val="2"/>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108"/>
              <w:jc w:val="left"/>
              <w:rPr>
                <w:rFonts w:ascii="宋体" w:hAnsi="宋体" w:cs="宋体" w:eastAsia="宋体" w:hint="default"/>
                <w:sz w:val="18"/>
                <w:szCs w:val="18"/>
              </w:rPr>
            </w:pPr>
            <w:r>
              <w:rPr>
                <w:rFonts w:ascii="宋体" w:hAnsi="宋体" w:cs="宋体" w:eastAsia="宋体" w:hint="default"/>
                <w:sz w:val="18"/>
                <w:szCs w:val="18"/>
              </w:rPr>
              <w:t>通过设立 方式取得</w:t>
            </w:r>
          </w:p>
        </w:tc>
      </w:tr>
      <w:tr>
        <w:trPr>
          <w:trHeight w:val="1025" w:hRule="exact"/>
        </w:trPr>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33"/>
              <w:jc w:val="both"/>
              <w:rPr>
                <w:rFonts w:ascii="宋体" w:hAnsi="宋体" w:cs="宋体" w:eastAsia="宋体" w:hint="default"/>
                <w:sz w:val="18"/>
                <w:szCs w:val="18"/>
              </w:rPr>
            </w:pPr>
            <w:r>
              <w:rPr>
                <w:rFonts w:ascii="宋体" w:hAnsi="宋体" w:cs="宋体" w:eastAsia="宋体" w:hint="default"/>
                <w:sz w:val="18"/>
                <w:szCs w:val="18"/>
              </w:rPr>
              <w:t>云浮市济天 企业管理有 限公司</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云浮</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云浮</w:t>
            </w:r>
          </w:p>
        </w:tc>
        <w:tc>
          <w:tcPr>
            <w:tcW w:w="5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企业管理服务</w:t>
            </w:r>
          </w:p>
        </w:tc>
        <w:tc>
          <w:tcPr>
            <w:tcW w:w="701" w:type="dxa"/>
            <w:gridSpan w:val="2"/>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23" w:right="108"/>
              <w:jc w:val="left"/>
              <w:rPr>
                <w:rFonts w:ascii="宋体" w:hAnsi="宋体" w:cs="宋体" w:eastAsia="宋体" w:hint="default"/>
                <w:sz w:val="18"/>
                <w:szCs w:val="18"/>
              </w:rPr>
            </w:pPr>
            <w:r>
              <w:rPr>
                <w:rFonts w:ascii="宋体" w:hAnsi="宋体" w:cs="宋体" w:eastAsia="宋体" w:hint="default"/>
                <w:sz w:val="18"/>
                <w:szCs w:val="18"/>
              </w:rPr>
              <w:t>通过设立 方式取得</w:t>
            </w:r>
          </w:p>
        </w:tc>
      </w:tr>
      <w:tr>
        <w:trPr>
          <w:trHeight w:val="355" w:hRule="exact"/>
        </w:trPr>
        <w:tc>
          <w:tcPr>
            <w:tcW w:w="968" w:type="dxa"/>
            <w:tcBorders>
              <w:top w:val="single" w:sz="4" w:space="0" w:color="000000"/>
              <w:left w:val="single" w:sz="4" w:space="0" w:color="000000"/>
              <w:bottom w:val="nil" w:sz="6" w:space="0" w:color="auto"/>
              <w:right w:val="single" w:sz="4" w:space="0" w:color="000000"/>
            </w:tcBorders>
          </w:tcPr>
          <w:p>
            <w:pPr/>
          </w:p>
        </w:tc>
        <w:tc>
          <w:tcPr>
            <w:tcW w:w="689" w:type="dxa"/>
            <w:tcBorders>
              <w:top w:val="single" w:sz="4" w:space="0" w:color="000000"/>
              <w:left w:val="single" w:sz="4" w:space="0" w:color="000000"/>
              <w:bottom w:val="nil" w:sz="6" w:space="0" w:color="auto"/>
              <w:right w:val="single" w:sz="4" w:space="0" w:color="000000"/>
            </w:tcBorders>
          </w:tcPr>
          <w:p>
            <w:pPr/>
          </w:p>
        </w:tc>
        <w:tc>
          <w:tcPr>
            <w:tcW w:w="552" w:type="dxa"/>
            <w:tcBorders>
              <w:top w:val="single" w:sz="4" w:space="0" w:color="000000"/>
              <w:left w:val="single" w:sz="4" w:space="0" w:color="000000"/>
              <w:bottom w:val="nil" w:sz="6" w:space="0" w:color="auto"/>
              <w:right w:val="single" w:sz="4" w:space="0" w:color="000000"/>
            </w:tcBorders>
          </w:tcPr>
          <w:p>
            <w:pPr/>
          </w:p>
        </w:tc>
        <w:tc>
          <w:tcPr>
            <w:tcW w:w="519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pacing w:val="-3"/>
                <w:sz w:val="18"/>
                <w:szCs w:val="18"/>
              </w:rPr>
              <w:t>能源监测与节能服务；合同能源管理服务；新能源技术开发和咨询</w:t>
            </w:r>
          </w:p>
        </w:tc>
        <w:tc>
          <w:tcPr>
            <w:tcW w:w="701" w:type="dxa"/>
            <w:gridSpan w:val="2"/>
            <w:tcBorders>
              <w:top w:val="single" w:sz="4" w:space="0" w:color="000000"/>
              <w:left w:val="single" w:sz="4" w:space="0" w:color="000000"/>
              <w:bottom w:val="nil" w:sz="6" w:space="0" w:color="auto"/>
              <w:right w:val="single" w:sz="4" w:space="0" w:color="000000"/>
            </w:tcBorders>
          </w:tcPr>
          <w:p>
            <w:pPr/>
          </w:p>
        </w:tc>
        <w:tc>
          <w:tcPr>
            <w:tcW w:w="701" w:type="dxa"/>
            <w:vMerge w:val="restart"/>
            <w:tcBorders>
              <w:top w:val="single" w:sz="4" w:space="0" w:color="000000"/>
              <w:left w:val="single" w:sz="4" w:space="0" w:color="000000"/>
              <w:right w:val="single" w:sz="4" w:space="0" w:color="000000"/>
            </w:tcBorders>
          </w:tcPr>
          <w:p>
            <w:pPr/>
          </w:p>
        </w:tc>
        <w:tc>
          <w:tcPr>
            <w:tcW w:w="864"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968"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single" w:sz="4" w:space="0" w:color="000000"/>
            </w:tcBorders>
          </w:tcPr>
          <w:p>
            <w:pPr/>
          </w:p>
        </w:tc>
        <w:tc>
          <w:tcPr>
            <w:tcW w:w="552" w:type="dxa"/>
            <w:tcBorders>
              <w:top w:val="nil" w:sz="6" w:space="0" w:color="auto"/>
              <w:left w:val="single" w:sz="4" w:space="0" w:color="000000"/>
              <w:bottom w:val="nil" w:sz="6" w:space="0" w:color="auto"/>
              <w:right w:val="single" w:sz="4" w:space="0" w:color="000000"/>
            </w:tcBorders>
          </w:tcPr>
          <w:p>
            <w:pPr/>
          </w:p>
        </w:tc>
        <w:tc>
          <w:tcPr>
            <w:tcW w:w="51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5"/>
                <w:sz w:val="18"/>
                <w:szCs w:val="18"/>
              </w:rPr>
              <w:t>设计服务（以上均不含需许可审批项目）互联网医疗服务、</w:t>
            </w:r>
          </w:p>
        </w:tc>
        <w:tc>
          <w:tcPr>
            <w:tcW w:w="701" w:type="dxa"/>
            <w:gridSpan w:val="2"/>
            <w:tcBorders>
              <w:top w:val="nil" w:sz="6" w:space="0" w:color="auto"/>
              <w:left w:val="single" w:sz="4" w:space="0" w:color="000000"/>
              <w:bottom w:val="nil" w:sz="6" w:space="0" w:color="auto"/>
              <w:right w:val="single" w:sz="4" w:space="0" w:color="000000"/>
            </w:tcBorders>
          </w:tcPr>
          <w:p>
            <w:pPr/>
          </w:p>
        </w:tc>
        <w:tc>
          <w:tcPr>
            <w:tcW w:w="701" w:type="dxa"/>
            <w:vMerge/>
            <w:tcBorders>
              <w:left w:val="single" w:sz="4" w:space="0" w:color="000000"/>
              <w:right w:val="single" w:sz="4" w:space="0" w:color="000000"/>
            </w:tcBorders>
          </w:tcPr>
          <w:p>
            <w:pPr/>
          </w:p>
        </w:tc>
        <w:tc>
          <w:tcPr>
            <w:tcW w:w="864" w:type="dxa"/>
            <w:tcBorders>
              <w:top w:val="nil" w:sz="6" w:space="0" w:color="auto"/>
              <w:left w:val="single" w:sz="4" w:space="0" w:color="000000"/>
              <w:bottom w:val="nil" w:sz="6" w:space="0" w:color="auto"/>
              <w:right w:val="single" w:sz="4" w:space="0" w:color="000000"/>
            </w:tcBorders>
          </w:tcPr>
          <w:p>
            <w:pPr/>
          </w:p>
        </w:tc>
      </w:tr>
      <w:tr>
        <w:trPr>
          <w:trHeight w:val="936" w:hRule="exact"/>
        </w:trPr>
        <w:tc>
          <w:tcPr>
            <w:tcW w:w="968"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4" w:right="33"/>
              <w:jc w:val="both"/>
              <w:rPr>
                <w:rFonts w:ascii="宋体" w:hAnsi="宋体" w:cs="宋体" w:eastAsia="宋体" w:hint="default"/>
                <w:sz w:val="18"/>
                <w:szCs w:val="18"/>
              </w:rPr>
            </w:pPr>
            <w:r>
              <w:rPr>
                <w:rFonts w:ascii="宋体" w:hAnsi="宋体" w:cs="宋体" w:eastAsia="宋体" w:hint="default"/>
                <w:sz w:val="18"/>
                <w:szCs w:val="18"/>
              </w:rPr>
              <w:t>深圳达实智 慧医疗有限 公司</w:t>
            </w:r>
          </w:p>
        </w:tc>
        <w:tc>
          <w:tcPr>
            <w:tcW w:w="68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3"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5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4"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5195"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3" w:right="19"/>
              <w:jc w:val="both"/>
              <w:rPr>
                <w:rFonts w:ascii="宋体" w:hAnsi="宋体" w:cs="宋体" w:eastAsia="宋体" w:hint="default"/>
                <w:sz w:val="18"/>
                <w:szCs w:val="18"/>
              </w:rPr>
            </w:pPr>
            <w:r>
              <w:rPr>
                <w:rFonts w:ascii="宋体" w:hAnsi="宋体" w:cs="宋体" w:eastAsia="宋体" w:hint="default"/>
                <w:spacing w:val="-3"/>
                <w:sz w:val="18"/>
                <w:szCs w:val="18"/>
              </w:rPr>
              <w:t>云计算软件与平台服务；物联网系统研发与应用服务；智慧医疗信</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3"/>
                <w:sz w:val="18"/>
                <w:szCs w:val="18"/>
              </w:rPr>
              <w:t>息系统研发与集成服务；医疗大数据开发与应用服务；医疗专业系</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3"/>
                <w:sz w:val="18"/>
                <w:szCs w:val="18"/>
              </w:rPr>
              <w:t>统咨询、设计、集成服务；医疗大数据与人工智能开发和生产（不</w:t>
            </w:r>
          </w:p>
        </w:tc>
        <w:tc>
          <w:tcPr>
            <w:tcW w:w="701"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23" w:right="0"/>
              <w:jc w:val="left"/>
              <w:rPr>
                <w:rFonts w:ascii="Times New Roman" w:hAnsi="Times New Roman" w:cs="Times New Roman" w:eastAsia="Times New Roman" w:hint="default"/>
                <w:sz w:val="18"/>
                <w:szCs w:val="18"/>
              </w:rPr>
            </w:pPr>
            <w:r>
              <w:rPr>
                <w:rFonts w:ascii="Times New Roman"/>
                <w:sz w:val="18"/>
              </w:rPr>
              <w:t>100.00%</w:t>
            </w:r>
          </w:p>
        </w:tc>
        <w:tc>
          <w:tcPr>
            <w:tcW w:w="701" w:type="dxa"/>
            <w:vMerge/>
            <w:tcBorders>
              <w:left w:val="single" w:sz="4" w:space="0" w:color="000000"/>
              <w:right w:val="single" w:sz="4" w:space="0" w:color="000000"/>
            </w:tcBorders>
          </w:tcPr>
          <w:p>
            <w:pPr/>
          </w:p>
        </w:tc>
        <w:tc>
          <w:tcPr>
            <w:tcW w:w="86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16" w:lineRule="auto"/>
              <w:ind w:left="23" w:right="108"/>
              <w:jc w:val="left"/>
              <w:rPr>
                <w:rFonts w:ascii="宋体" w:hAnsi="宋体" w:cs="宋体" w:eastAsia="宋体" w:hint="default"/>
                <w:sz w:val="18"/>
                <w:szCs w:val="18"/>
              </w:rPr>
            </w:pPr>
            <w:r>
              <w:rPr>
                <w:rFonts w:ascii="宋体" w:hAnsi="宋体" w:cs="宋体" w:eastAsia="宋体" w:hint="default"/>
                <w:sz w:val="18"/>
                <w:szCs w:val="18"/>
              </w:rPr>
              <w:t>通过设立 方式取得</w:t>
            </w:r>
          </w:p>
        </w:tc>
      </w:tr>
      <w:tr>
        <w:trPr>
          <w:trHeight w:val="312" w:hRule="exact"/>
        </w:trPr>
        <w:tc>
          <w:tcPr>
            <w:tcW w:w="968"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single" w:sz="4" w:space="0" w:color="000000"/>
            </w:tcBorders>
          </w:tcPr>
          <w:p>
            <w:pPr/>
          </w:p>
        </w:tc>
        <w:tc>
          <w:tcPr>
            <w:tcW w:w="552" w:type="dxa"/>
            <w:tcBorders>
              <w:top w:val="nil" w:sz="6" w:space="0" w:color="auto"/>
              <w:left w:val="single" w:sz="4" w:space="0" w:color="000000"/>
              <w:bottom w:val="nil" w:sz="6" w:space="0" w:color="auto"/>
              <w:right w:val="single" w:sz="4" w:space="0" w:color="000000"/>
            </w:tcBorders>
          </w:tcPr>
          <w:p>
            <w:pPr/>
          </w:p>
        </w:tc>
        <w:tc>
          <w:tcPr>
            <w:tcW w:w="51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含限制项目</w:t>
            </w:r>
            <w:r>
              <w:rPr>
                <w:rFonts w:ascii="宋体" w:hAnsi="宋体" w:cs="宋体" w:eastAsia="宋体" w:hint="default"/>
                <w:spacing w:val="-92"/>
                <w:sz w:val="18"/>
                <w:szCs w:val="18"/>
              </w:rPr>
              <w:t>）</w:t>
            </w:r>
            <w:r>
              <w:rPr>
                <w:rFonts w:ascii="宋体" w:hAnsi="宋体" w:cs="宋体" w:eastAsia="宋体" w:hint="default"/>
                <w:spacing w:val="-41"/>
                <w:sz w:val="18"/>
                <w:szCs w:val="18"/>
              </w:rPr>
              <w:t>；</w:t>
            </w:r>
            <w:r>
              <w:rPr>
                <w:rFonts w:ascii="宋体" w:hAnsi="宋体" w:cs="宋体" w:eastAsia="宋体" w:hint="default"/>
                <w:sz w:val="18"/>
                <w:szCs w:val="18"/>
              </w:rPr>
              <w:t>城市智慧医疗创新研究；</w:t>
            </w:r>
          </w:p>
        </w:tc>
        <w:tc>
          <w:tcPr>
            <w:tcW w:w="701" w:type="dxa"/>
            <w:gridSpan w:val="2"/>
            <w:tcBorders>
              <w:top w:val="nil" w:sz="6" w:space="0" w:color="auto"/>
              <w:left w:val="single" w:sz="4" w:space="0" w:color="000000"/>
              <w:bottom w:val="nil" w:sz="6" w:space="0" w:color="auto"/>
              <w:right w:val="single" w:sz="4" w:space="0" w:color="000000"/>
            </w:tcBorders>
          </w:tcPr>
          <w:p>
            <w:pPr/>
          </w:p>
        </w:tc>
        <w:tc>
          <w:tcPr>
            <w:tcW w:w="701" w:type="dxa"/>
            <w:vMerge/>
            <w:tcBorders>
              <w:left w:val="single" w:sz="4" w:space="0" w:color="000000"/>
              <w:right w:val="single" w:sz="4" w:space="0" w:color="000000"/>
            </w:tcBorders>
          </w:tcPr>
          <w:p>
            <w:pPr/>
          </w:p>
        </w:tc>
        <w:tc>
          <w:tcPr>
            <w:tcW w:w="864" w:type="dxa"/>
            <w:tcBorders>
              <w:top w:val="nil" w:sz="6" w:space="0" w:color="auto"/>
              <w:left w:val="single" w:sz="4" w:space="0" w:color="000000"/>
              <w:bottom w:val="nil" w:sz="6" w:space="0" w:color="auto"/>
              <w:right w:val="single" w:sz="4" w:space="0" w:color="000000"/>
            </w:tcBorders>
          </w:tcPr>
          <w:p>
            <w:pPr/>
          </w:p>
        </w:tc>
      </w:tr>
      <w:tr>
        <w:trPr>
          <w:trHeight w:val="360" w:hRule="exact"/>
        </w:trPr>
        <w:tc>
          <w:tcPr>
            <w:tcW w:w="968" w:type="dxa"/>
            <w:tcBorders>
              <w:top w:val="nil" w:sz="6" w:space="0" w:color="auto"/>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
        </w:tc>
        <w:tc>
          <w:tcPr>
            <w:tcW w:w="552" w:type="dxa"/>
            <w:tcBorders>
              <w:top w:val="nil" w:sz="6" w:space="0" w:color="auto"/>
              <w:left w:val="single" w:sz="4" w:space="0" w:color="000000"/>
              <w:bottom w:val="single" w:sz="4" w:space="0" w:color="000000"/>
              <w:right w:val="single" w:sz="4" w:space="0" w:color="000000"/>
            </w:tcBorders>
          </w:tcPr>
          <w:p>
            <w:pPr/>
          </w:p>
        </w:tc>
        <w:tc>
          <w:tcPr>
            <w:tcW w:w="519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智慧医疗展览和体验</w:t>
            </w:r>
          </w:p>
        </w:tc>
        <w:tc>
          <w:tcPr>
            <w:tcW w:w="701" w:type="dxa"/>
            <w:gridSpan w:val="2"/>
            <w:tcBorders>
              <w:top w:val="nil" w:sz="6" w:space="0" w:color="auto"/>
              <w:left w:val="single" w:sz="4" w:space="0" w:color="000000"/>
              <w:bottom w:val="single" w:sz="4" w:space="0" w:color="000000"/>
              <w:right w:val="single" w:sz="4" w:space="0" w:color="000000"/>
            </w:tcBorders>
          </w:tcPr>
          <w:p>
            <w:pPr/>
          </w:p>
        </w:tc>
        <w:tc>
          <w:tcPr>
            <w:tcW w:w="701" w:type="dxa"/>
            <w:vMerge/>
            <w:tcBorders>
              <w:left w:val="single" w:sz="4" w:space="0" w:color="000000"/>
              <w:bottom w:val="single" w:sz="4" w:space="0" w:color="000000"/>
              <w:right w:val="single" w:sz="4" w:space="0" w:color="000000"/>
            </w:tcBorders>
          </w:tcPr>
          <w:p>
            <w:pPr/>
          </w:p>
        </w:tc>
        <w:tc>
          <w:tcPr>
            <w:tcW w:w="864" w:type="dxa"/>
            <w:tcBorders>
              <w:top w:val="nil" w:sz="6" w:space="0" w:color="auto"/>
              <w:left w:val="single" w:sz="4" w:space="0" w:color="000000"/>
              <w:bottom w:val="single" w:sz="4" w:space="0" w:color="000000"/>
              <w:right w:val="single" w:sz="4" w:space="0" w:color="000000"/>
            </w:tcBorders>
          </w:tcPr>
          <w:p>
            <w:pPr/>
          </w:p>
        </w:tc>
      </w:tr>
      <w:tr>
        <w:trPr>
          <w:trHeight w:val="356" w:hRule="exact"/>
        </w:trPr>
        <w:tc>
          <w:tcPr>
            <w:tcW w:w="968" w:type="dxa"/>
            <w:tcBorders>
              <w:top w:val="single" w:sz="4" w:space="0" w:color="000000"/>
              <w:left w:val="single" w:sz="4" w:space="0" w:color="000000"/>
              <w:bottom w:val="nil" w:sz="6" w:space="0" w:color="auto"/>
              <w:right w:val="single" w:sz="4" w:space="0" w:color="000000"/>
            </w:tcBorders>
          </w:tcPr>
          <w:p>
            <w:pPr/>
          </w:p>
        </w:tc>
        <w:tc>
          <w:tcPr>
            <w:tcW w:w="689" w:type="dxa"/>
            <w:tcBorders>
              <w:top w:val="single" w:sz="4" w:space="0" w:color="000000"/>
              <w:left w:val="single" w:sz="4" w:space="0" w:color="000000"/>
              <w:bottom w:val="nil" w:sz="6" w:space="0" w:color="auto"/>
              <w:right w:val="single" w:sz="4" w:space="0" w:color="000000"/>
            </w:tcBorders>
          </w:tcPr>
          <w:p>
            <w:pPr/>
          </w:p>
        </w:tc>
        <w:tc>
          <w:tcPr>
            <w:tcW w:w="552" w:type="dxa"/>
            <w:tcBorders>
              <w:top w:val="single" w:sz="4" w:space="0" w:color="000000"/>
              <w:left w:val="single" w:sz="4" w:space="0" w:color="000000"/>
              <w:bottom w:val="nil" w:sz="6" w:space="0" w:color="auto"/>
              <w:right w:val="single" w:sz="4" w:space="0" w:color="000000"/>
            </w:tcBorders>
          </w:tcPr>
          <w:p>
            <w:pPr/>
          </w:p>
        </w:tc>
        <w:tc>
          <w:tcPr>
            <w:tcW w:w="519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pacing w:val="-3"/>
                <w:sz w:val="18"/>
                <w:szCs w:val="18"/>
              </w:rPr>
              <w:t>法律、法规、国务院决定规定禁止的不得经营；法律、法规、国务</w:t>
            </w:r>
          </w:p>
        </w:tc>
        <w:tc>
          <w:tcPr>
            <w:tcW w:w="701" w:type="dxa"/>
            <w:gridSpan w:val="2"/>
            <w:tcBorders>
              <w:top w:val="single" w:sz="4" w:space="0" w:color="000000"/>
              <w:left w:val="single" w:sz="4" w:space="0" w:color="000000"/>
              <w:bottom w:val="nil" w:sz="6" w:space="0" w:color="auto"/>
              <w:right w:val="single" w:sz="4" w:space="0" w:color="000000"/>
            </w:tcBorders>
          </w:tcPr>
          <w:p>
            <w:pPr/>
          </w:p>
        </w:tc>
        <w:tc>
          <w:tcPr>
            <w:tcW w:w="701" w:type="dxa"/>
            <w:vMerge w:val="restart"/>
            <w:tcBorders>
              <w:top w:val="single" w:sz="4" w:space="0" w:color="000000"/>
              <w:left w:val="single" w:sz="4" w:space="0" w:color="000000"/>
              <w:right w:val="single" w:sz="4" w:space="0" w:color="000000"/>
            </w:tcBorders>
          </w:tcPr>
          <w:p>
            <w:pPr/>
          </w:p>
        </w:tc>
        <w:tc>
          <w:tcPr>
            <w:tcW w:w="864"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968"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4" w:right="33"/>
              <w:jc w:val="both"/>
              <w:rPr>
                <w:rFonts w:ascii="宋体" w:hAnsi="宋体" w:cs="宋体" w:eastAsia="宋体" w:hint="default"/>
                <w:sz w:val="18"/>
                <w:szCs w:val="18"/>
              </w:rPr>
            </w:pPr>
            <w:r>
              <w:rPr>
                <w:rFonts w:ascii="宋体" w:hAnsi="宋体" w:cs="宋体" w:eastAsia="宋体" w:hint="default"/>
                <w:sz w:val="18"/>
                <w:szCs w:val="18"/>
              </w:rPr>
              <w:t>遵义达实绿 色智慧发展 有限公司</w:t>
            </w:r>
          </w:p>
        </w:tc>
        <w:tc>
          <w:tcPr>
            <w:tcW w:w="68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3" w:right="0"/>
              <w:jc w:val="left"/>
              <w:rPr>
                <w:rFonts w:ascii="宋体" w:hAnsi="宋体" w:cs="宋体" w:eastAsia="宋体" w:hint="default"/>
                <w:sz w:val="18"/>
                <w:szCs w:val="18"/>
              </w:rPr>
            </w:pPr>
            <w:r>
              <w:rPr>
                <w:rFonts w:ascii="宋体" w:hAnsi="宋体" w:cs="宋体" w:eastAsia="宋体" w:hint="default"/>
                <w:sz w:val="18"/>
                <w:szCs w:val="18"/>
              </w:rPr>
              <w:t>遵义</w:t>
            </w:r>
          </w:p>
        </w:tc>
        <w:tc>
          <w:tcPr>
            <w:tcW w:w="5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4" w:right="0"/>
              <w:jc w:val="left"/>
              <w:rPr>
                <w:rFonts w:ascii="宋体" w:hAnsi="宋体" w:cs="宋体" w:eastAsia="宋体" w:hint="default"/>
                <w:sz w:val="18"/>
                <w:szCs w:val="18"/>
              </w:rPr>
            </w:pPr>
            <w:r>
              <w:rPr>
                <w:rFonts w:ascii="宋体" w:hAnsi="宋体" w:cs="宋体" w:eastAsia="宋体" w:hint="default"/>
                <w:sz w:val="18"/>
                <w:szCs w:val="18"/>
              </w:rPr>
              <w:t>遵义</w:t>
            </w:r>
          </w:p>
        </w:tc>
        <w:tc>
          <w:tcPr>
            <w:tcW w:w="5195" w:type="dxa"/>
            <w:tcBorders>
              <w:top w:val="nil" w:sz="6" w:space="0" w:color="auto"/>
              <w:left w:val="single" w:sz="4" w:space="0" w:color="000000"/>
              <w:bottom w:val="nil" w:sz="6" w:space="0" w:color="auto"/>
              <w:right w:val="single" w:sz="4" w:space="0" w:color="000000"/>
            </w:tcBorders>
          </w:tcPr>
          <w:p>
            <w:pPr>
              <w:pStyle w:val="TableParagraph"/>
              <w:spacing w:line="309" w:lineRule="auto" w:before="10"/>
              <w:ind w:left="23" w:right="26"/>
              <w:jc w:val="left"/>
              <w:rPr>
                <w:rFonts w:ascii="宋体" w:hAnsi="宋体" w:cs="宋体" w:eastAsia="宋体" w:hint="default"/>
                <w:sz w:val="18"/>
                <w:szCs w:val="18"/>
              </w:rPr>
            </w:pPr>
            <w:r>
              <w:rPr>
                <w:rFonts w:ascii="宋体" w:hAnsi="宋体" w:cs="宋体" w:eastAsia="宋体" w:hint="default"/>
                <w:spacing w:val="-6"/>
                <w:sz w:val="18"/>
                <w:szCs w:val="18"/>
              </w:rPr>
              <w:t>院决定规定应当许可（审批）的，经审批机关批准后凭许可</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文件经营</w:t>
            </w:r>
            <w:r>
              <w:rPr>
                <w:rFonts w:ascii="Times New Roman" w:hAnsi="Times New Roman" w:cs="Times New Roman" w:eastAsia="Times New Roman" w:hint="default"/>
                <w:sz w:val="18"/>
                <w:szCs w:val="18"/>
              </w:rPr>
              <w:t>;</w:t>
            </w:r>
            <w:r>
              <w:rPr>
                <w:rFonts w:ascii="宋体" w:hAnsi="宋体" w:cs="宋体" w:eastAsia="宋体" w:hint="default"/>
                <w:sz w:val="18"/>
                <w:szCs w:val="18"/>
              </w:rPr>
              <w:t>法律、法规、国务院决定规定无需许可（审批）的，市 </w:t>
            </w:r>
            <w:r>
              <w:rPr>
                <w:rFonts w:ascii="宋体" w:hAnsi="宋体" w:cs="宋体" w:eastAsia="宋体" w:hint="default"/>
                <w:spacing w:val="-4"/>
                <w:sz w:val="18"/>
                <w:szCs w:val="18"/>
              </w:rPr>
              <w:t>场主体自主选择经营。（智慧城市建设、基础设施建设、科普设施</w:t>
            </w:r>
          </w:p>
        </w:tc>
        <w:tc>
          <w:tcPr>
            <w:tcW w:w="701"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23" w:right="0"/>
              <w:jc w:val="left"/>
              <w:rPr>
                <w:rFonts w:ascii="Times New Roman" w:hAnsi="Times New Roman" w:cs="Times New Roman" w:eastAsia="Times New Roman" w:hint="default"/>
                <w:sz w:val="18"/>
                <w:szCs w:val="18"/>
              </w:rPr>
            </w:pPr>
            <w:r>
              <w:rPr>
                <w:rFonts w:ascii="Times New Roman"/>
                <w:sz w:val="18"/>
              </w:rPr>
              <w:t>100.00%</w:t>
            </w:r>
          </w:p>
        </w:tc>
        <w:tc>
          <w:tcPr>
            <w:tcW w:w="701" w:type="dxa"/>
            <w:vMerge/>
            <w:tcBorders>
              <w:left w:val="single" w:sz="4" w:space="0" w:color="000000"/>
              <w:right w:val="single" w:sz="4" w:space="0" w:color="000000"/>
            </w:tcBorders>
          </w:tcPr>
          <w:p>
            <w:pPr/>
          </w:p>
        </w:tc>
        <w:tc>
          <w:tcPr>
            <w:tcW w:w="86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316" w:lineRule="auto"/>
              <w:ind w:left="23" w:right="108"/>
              <w:jc w:val="left"/>
              <w:rPr>
                <w:rFonts w:ascii="宋体" w:hAnsi="宋体" w:cs="宋体" w:eastAsia="宋体" w:hint="default"/>
                <w:sz w:val="18"/>
                <w:szCs w:val="18"/>
              </w:rPr>
            </w:pPr>
            <w:r>
              <w:rPr>
                <w:rFonts w:ascii="宋体" w:hAnsi="宋体" w:cs="宋体" w:eastAsia="宋体" w:hint="default"/>
                <w:sz w:val="18"/>
                <w:szCs w:val="18"/>
              </w:rPr>
              <w:t>通过设立 方式取得</w:t>
            </w:r>
          </w:p>
        </w:tc>
      </w:tr>
      <w:tr>
        <w:trPr>
          <w:trHeight w:val="357" w:hRule="exact"/>
        </w:trPr>
        <w:tc>
          <w:tcPr>
            <w:tcW w:w="968" w:type="dxa"/>
            <w:tcBorders>
              <w:top w:val="nil" w:sz="6" w:space="0" w:color="auto"/>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
        </w:tc>
        <w:tc>
          <w:tcPr>
            <w:tcW w:w="552" w:type="dxa"/>
            <w:tcBorders>
              <w:top w:val="nil" w:sz="6" w:space="0" w:color="auto"/>
              <w:left w:val="single" w:sz="4" w:space="0" w:color="000000"/>
              <w:bottom w:val="single" w:sz="4" w:space="0" w:color="000000"/>
              <w:right w:val="single" w:sz="4" w:space="0" w:color="000000"/>
            </w:tcBorders>
          </w:tcPr>
          <w:p>
            <w:pPr/>
          </w:p>
        </w:tc>
        <w:tc>
          <w:tcPr>
            <w:tcW w:w="519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建设、展览设施建设、绿色节能项目建设；项目咨询及管理</w:t>
            </w:r>
          </w:p>
        </w:tc>
        <w:tc>
          <w:tcPr>
            <w:tcW w:w="701" w:type="dxa"/>
            <w:gridSpan w:val="2"/>
            <w:tcBorders>
              <w:top w:val="nil" w:sz="6" w:space="0" w:color="auto"/>
              <w:left w:val="single" w:sz="4" w:space="0" w:color="000000"/>
              <w:bottom w:val="single" w:sz="4" w:space="0" w:color="000000"/>
              <w:right w:val="single" w:sz="4" w:space="0" w:color="000000"/>
            </w:tcBorders>
          </w:tcPr>
          <w:p>
            <w:pPr/>
          </w:p>
        </w:tc>
        <w:tc>
          <w:tcPr>
            <w:tcW w:w="701" w:type="dxa"/>
            <w:vMerge/>
            <w:tcBorders>
              <w:left w:val="single" w:sz="4" w:space="0" w:color="000000"/>
              <w:bottom w:val="single" w:sz="4" w:space="0" w:color="000000"/>
              <w:right w:val="single" w:sz="4" w:space="0" w:color="000000"/>
            </w:tcBorders>
          </w:tcPr>
          <w:p>
            <w:pPr/>
          </w:p>
        </w:tc>
        <w:tc>
          <w:tcPr>
            <w:tcW w:w="864" w:type="dxa"/>
            <w:tcBorders>
              <w:top w:val="nil" w:sz="6" w:space="0" w:color="auto"/>
              <w:left w:val="single" w:sz="4" w:space="0" w:color="000000"/>
              <w:bottom w:val="single" w:sz="4" w:space="0" w:color="000000"/>
              <w:right w:val="single" w:sz="4" w:space="0" w:color="000000"/>
            </w:tcBorders>
          </w:tcPr>
          <w:p>
            <w:pPr/>
          </w:p>
        </w:tc>
      </w:tr>
      <w:tr>
        <w:trPr>
          <w:trHeight w:val="360" w:hRule="exact"/>
        </w:trPr>
        <w:tc>
          <w:tcPr>
            <w:tcW w:w="968" w:type="dxa"/>
            <w:tcBorders>
              <w:top w:val="single" w:sz="4" w:space="0" w:color="000000"/>
              <w:left w:val="single" w:sz="4" w:space="0" w:color="000000"/>
              <w:bottom w:val="nil" w:sz="6" w:space="0" w:color="auto"/>
              <w:right w:val="single" w:sz="4" w:space="0" w:color="000000"/>
            </w:tcBorders>
          </w:tcPr>
          <w:p>
            <w:pPr/>
          </w:p>
        </w:tc>
        <w:tc>
          <w:tcPr>
            <w:tcW w:w="689" w:type="dxa"/>
            <w:tcBorders>
              <w:top w:val="single" w:sz="4" w:space="0" w:color="000000"/>
              <w:left w:val="single" w:sz="4" w:space="0" w:color="000000"/>
              <w:bottom w:val="nil" w:sz="6" w:space="0" w:color="auto"/>
              <w:right w:val="single" w:sz="4" w:space="0" w:color="000000"/>
            </w:tcBorders>
          </w:tcPr>
          <w:p>
            <w:pPr/>
          </w:p>
        </w:tc>
        <w:tc>
          <w:tcPr>
            <w:tcW w:w="552" w:type="dxa"/>
            <w:tcBorders>
              <w:top w:val="single" w:sz="4" w:space="0" w:color="000000"/>
              <w:left w:val="single" w:sz="4" w:space="0" w:color="000000"/>
              <w:bottom w:val="nil" w:sz="6" w:space="0" w:color="auto"/>
              <w:right w:val="single" w:sz="4" w:space="0" w:color="000000"/>
            </w:tcBorders>
          </w:tcPr>
          <w:p>
            <w:pPr/>
          </w:p>
        </w:tc>
        <w:tc>
          <w:tcPr>
            <w:tcW w:w="519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研发能源管理产品；</w:t>
            </w:r>
            <w:r>
              <w:rPr>
                <w:rFonts w:ascii="Times New Roman" w:hAnsi="Times New Roman" w:cs="Times New Roman" w:eastAsia="Times New Roman" w:hint="default"/>
                <w:sz w:val="18"/>
                <w:szCs w:val="18"/>
              </w:rPr>
              <w:t>IC </w:t>
            </w:r>
            <w:r>
              <w:rPr>
                <w:rFonts w:ascii="宋体" w:hAnsi="宋体" w:cs="宋体" w:eastAsia="宋体" w:hint="default"/>
                <w:sz w:val="18"/>
                <w:szCs w:val="18"/>
              </w:rPr>
              <w:t>卡读写机具产品、安装监控设备和信息终</w:t>
            </w:r>
          </w:p>
        </w:tc>
        <w:tc>
          <w:tcPr>
            <w:tcW w:w="701" w:type="dxa"/>
            <w:gridSpan w:val="2"/>
            <w:tcBorders>
              <w:top w:val="single" w:sz="4" w:space="0" w:color="000000"/>
              <w:left w:val="single" w:sz="4" w:space="0" w:color="000000"/>
              <w:bottom w:val="nil" w:sz="6" w:space="0" w:color="auto"/>
              <w:right w:val="single" w:sz="4" w:space="0" w:color="000000"/>
            </w:tcBorders>
          </w:tcPr>
          <w:p>
            <w:pPr/>
          </w:p>
        </w:tc>
        <w:tc>
          <w:tcPr>
            <w:tcW w:w="701" w:type="dxa"/>
            <w:vMerge w:val="restart"/>
            <w:tcBorders>
              <w:top w:val="single" w:sz="4" w:space="0" w:color="000000"/>
              <w:left w:val="single" w:sz="4" w:space="0" w:color="000000"/>
              <w:right w:val="single" w:sz="4" w:space="0" w:color="000000"/>
            </w:tcBorders>
          </w:tcPr>
          <w:p>
            <w:pPr/>
          </w:p>
        </w:tc>
        <w:tc>
          <w:tcPr>
            <w:tcW w:w="864" w:type="dxa"/>
            <w:tcBorders>
              <w:top w:val="single" w:sz="4" w:space="0" w:color="000000"/>
              <w:left w:val="single" w:sz="4" w:space="0" w:color="000000"/>
              <w:bottom w:val="nil" w:sz="6" w:space="0" w:color="auto"/>
              <w:right w:val="single" w:sz="4" w:space="0" w:color="000000"/>
            </w:tcBorders>
          </w:tcPr>
          <w:p>
            <w:pPr/>
          </w:p>
        </w:tc>
      </w:tr>
      <w:tr>
        <w:trPr>
          <w:trHeight w:val="931" w:hRule="exact"/>
        </w:trPr>
        <w:tc>
          <w:tcPr>
            <w:tcW w:w="968" w:type="dxa"/>
            <w:tcBorders>
              <w:top w:val="nil" w:sz="6" w:space="0" w:color="auto"/>
              <w:left w:val="single" w:sz="4" w:space="0" w:color="000000"/>
              <w:bottom w:val="nil" w:sz="6" w:space="0" w:color="auto"/>
              <w:right w:val="single" w:sz="4" w:space="0" w:color="000000"/>
            </w:tcBorders>
          </w:tcPr>
          <w:p>
            <w:pPr>
              <w:pStyle w:val="TableParagraph"/>
              <w:spacing w:line="316" w:lineRule="auto" w:before="5"/>
              <w:ind w:left="24" w:right="33"/>
              <w:jc w:val="both"/>
              <w:rPr>
                <w:rFonts w:ascii="宋体" w:hAnsi="宋体" w:cs="宋体" w:eastAsia="宋体" w:hint="default"/>
                <w:sz w:val="18"/>
                <w:szCs w:val="18"/>
              </w:rPr>
            </w:pPr>
            <w:r>
              <w:rPr>
                <w:rFonts w:ascii="宋体" w:hAnsi="宋体" w:cs="宋体" w:eastAsia="宋体" w:hint="default"/>
                <w:sz w:val="18"/>
                <w:szCs w:val="18"/>
              </w:rPr>
              <w:t>珠海达实科 技发展有限 公司</w:t>
            </w:r>
          </w:p>
        </w:tc>
        <w:tc>
          <w:tcPr>
            <w:tcW w:w="68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23" w:right="0"/>
              <w:jc w:val="left"/>
              <w:rPr>
                <w:rFonts w:ascii="宋体" w:hAnsi="宋体" w:cs="宋体" w:eastAsia="宋体" w:hint="default"/>
                <w:sz w:val="18"/>
                <w:szCs w:val="18"/>
              </w:rPr>
            </w:pPr>
            <w:r>
              <w:rPr>
                <w:rFonts w:ascii="宋体" w:hAnsi="宋体" w:cs="宋体" w:eastAsia="宋体" w:hint="default"/>
                <w:sz w:val="18"/>
                <w:szCs w:val="18"/>
              </w:rPr>
              <w:t>珠海</w:t>
            </w:r>
          </w:p>
        </w:tc>
        <w:tc>
          <w:tcPr>
            <w:tcW w:w="5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24" w:right="0"/>
              <w:jc w:val="left"/>
              <w:rPr>
                <w:rFonts w:ascii="宋体" w:hAnsi="宋体" w:cs="宋体" w:eastAsia="宋体" w:hint="default"/>
                <w:sz w:val="18"/>
                <w:szCs w:val="18"/>
              </w:rPr>
            </w:pPr>
            <w:r>
              <w:rPr>
                <w:rFonts w:ascii="宋体" w:hAnsi="宋体" w:cs="宋体" w:eastAsia="宋体" w:hint="default"/>
                <w:sz w:val="18"/>
                <w:szCs w:val="18"/>
              </w:rPr>
              <w:t>珠海</w:t>
            </w:r>
          </w:p>
        </w:tc>
        <w:tc>
          <w:tcPr>
            <w:tcW w:w="5195" w:type="dxa"/>
            <w:tcBorders>
              <w:top w:val="nil" w:sz="6" w:space="0" w:color="auto"/>
              <w:left w:val="single" w:sz="4" w:space="0" w:color="000000"/>
              <w:bottom w:val="nil" w:sz="6" w:space="0" w:color="auto"/>
              <w:right w:val="single" w:sz="4" w:space="0" w:color="000000"/>
            </w:tcBorders>
          </w:tcPr>
          <w:p>
            <w:pPr>
              <w:pStyle w:val="TableParagraph"/>
              <w:spacing w:line="316" w:lineRule="auto" w:before="5"/>
              <w:ind w:left="23" w:right="21"/>
              <w:jc w:val="both"/>
              <w:rPr>
                <w:rFonts w:ascii="宋体" w:hAnsi="宋体" w:cs="宋体" w:eastAsia="宋体" w:hint="default"/>
                <w:sz w:val="18"/>
                <w:szCs w:val="18"/>
              </w:rPr>
            </w:pPr>
            <w:r>
              <w:rPr>
                <w:rFonts w:ascii="宋体" w:hAnsi="宋体" w:cs="宋体" w:eastAsia="宋体" w:hint="default"/>
                <w:spacing w:val="-3"/>
                <w:sz w:val="18"/>
                <w:szCs w:val="18"/>
              </w:rPr>
              <w:t>端、智能大厦监控系统、现场网络控制设备、机电设备和仪器仪表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3"/>
                <w:sz w:val="18"/>
                <w:szCs w:val="18"/>
              </w:rPr>
              <w:t>的技术开发及相关系统软件销售；承接建筑智能化系统和工业自动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化系统的设计、集成、安装、技术咨询；提供能源监测、节能咨询</w:t>
            </w:r>
          </w:p>
        </w:tc>
        <w:tc>
          <w:tcPr>
            <w:tcW w:w="701"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left="23" w:right="0"/>
              <w:jc w:val="left"/>
              <w:rPr>
                <w:rFonts w:ascii="Times New Roman" w:hAnsi="Times New Roman" w:cs="Times New Roman" w:eastAsia="Times New Roman" w:hint="default"/>
                <w:sz w:val="18"/>
                <w:szCs w:val="18"/>
              </w:rPr>
            </w:pPr>
            <w:r>
              <w:rPr>
                <w:rFonts w:ascii="Times New Roman"/>
                <w:sz w:val="18"/>
              </w:rPr>
              <w:t>100.00%</w:t>
            </w:r>
          </w:p>
        </w:tc>
        <w:tc>
          <w:tcPr>
            <w:tcW w:w="701" w:type="dxa"/>
            <w:vMerge/>
            <w:tcBorders>
              <w:left w:val="single" w:sz="4" w:space="0" w:color="000000"/>
              <w:right w:val="single" w:sz="4" w:space="0" w:color="000000"/>
            </w:tcBorders>
          </w:tcPr>
          <w:p>
            <w:pPr/>
          </w:p>
        </w:tc>
        <w:tc>
          <w:tcPr>
            <w:tcW w:w="864" w:type="dxa"/>
            <w:tcBorders>
              <w:top w:val="nil" w:sz="6" w:space="0" w:color="auto"/>
              <w:left w:val="single" w:sz="4" w:space="0" w:color="000000"/>
              <w:bottom w:val="nil" w:sz="6" w:space="0" w:color="auto"/>
              <w:right w:val="single" w:sz="4" w:space="0" w:color="000000"/>
            </w:tcBorders>
          </w:tcPr>
          <w:p>
            <w:pPr>
              <w:pStyle w:val="TableParagraph"/>
              <w:spacing w:line="316" w:lineRule="auto" w:before="161"/>
              <w:ind w:left="23" w:right="108"/>
              <w:jc w:val="left"/>
              <w:rPr>
                <w:rFonts w:ascii="宋体" w:hAnsi="宋体" w:cs="宋体" w:eastAsia="宋体" w:hint="default"/>
                <w:sz w:val="18"/>
                <w:szCs w:val="18"/>
              </w:rPr>
            </w:pPr>
            <w:r>
              <w:rPr>
                <w:rFonts w:ascii="宋体" w:hAnsi="宋体" w:cs="宋体" w:eastAsia="宋体" w:hint="default"/>
                <w:sz w:val="18"/>
                <w:szCs w:val="18"/>
              </w:rPr>
              <w:t>通过设立 方式取得</w:t>
            </w:r>
          </w:p>
        </w:tc>
      </w:tr>
      <w:tr>
        <w:trPr>
          <w:trHeight w:val="360" w:hRule="exact"/>
        </w:trPr>
        <w:tc>
          <w:tcPr>
            <w:tcW w:w="968" w:type="dxa"/>
            <w:tcBorders>
              <w:top w:val="nil" w:sz="6" w:space="0" w:color="auto"/>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
        </w:tc>
        <w:tc>
          <w:tcPr>
            <w:tcW w:w="552" w:type="dxa"/>
            <w:tcBorders>
              <w:top w:val="nil" w:sz="6" w:space="0" w:color="auto"/>
              <w:left w:val="single" w:sz="4" w:space="0" w:color="000000"/>
              <w:bottom w:val="single" w:sz="4" w:space="0" w:color="000000"/>
              <w:right w:val="single" w:sz="4" w:space="0" w:color="000000"/>
            </w:tcBorders>
          </w:tcPr>
          <w:p>
            <w:pPr/>
          </w:p>
        </w:tc>
        <w:tc>
          <w:tcPr>
            <w:tcW w:w="519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服务</w:t>
            </w:r>
          </w:p>
        </w:tc>
        <w:tc>
          <w:tcPr>
            <w:tcW w:w="701" w:type="dxa"/>
            <w:gridSpan w:val="2"/>
            <w:tcBorders>
              <w:top w:val="nil" w:sz="6" w:space="0" w:color="auto"/>
              <w:left w:val="single" w:sz="4" w:space="0" w:color="000000"/>
              <w:bottom w:val="single" w:sz="4" w:space="0" w:color="000000"/>
              <w:right w:val="single" w:sz="4" w:space="0" w:color="000000"/>
            </w:tcBorders>
          </w:tcPr>
          <w:p>
            <w:pPr/>
          </w:p>
        </w:tc>
        <w:tc>
          <w:tcPr>
            <w:tcW w:w="701" w:type="dxa"/>
            <w:vMerge/>
            <w:tcBorders>
              <w:left w:val="single" w:sz="4" w:space="0" w:color="000000"/>
              <w:bottom w:val="single" w:sz="4" w:space="0" w:color="000000"/>
              <w:right w:val="single" w:sz="4" w:space="0" w:color="000000"/>
            </w:tcBorders>
          </w:tcPr>
          <w:p>
            <w:pPr/>
          </w:p>
        </w:tc>
        <w:tc>
          <w:tcPr>
            <w:tcW w:w="864" w:type="dxa"/>
            <w:tcBorders>
              <w:top w:val="nil" w:sz="6" w:space="0" w:color="auto"/>
              <w:left w:val="single" w:sz="4" w:space="0" w:color="000000"/>
              <w:bottom w:val="single" w:sz="4" w:space="0" w:color="000000"/>
              <w:right w:val="single" w:sz="4" w:space="0" w:color="000000"/>
            </w:tcBorders>
          </w:tcPr>
          <w:p>
            <w:pPr/>
          </w:p>
        </w:tc>
      </w:tr>
      <w:tr>
        <w:trPr>
          <w:trHeight w:val="360" w:hRule="exact"/>
        </w:trPr>
        <w:tc>
          <w:tcPr>
            <w:tcW w:w="968" w:type="dxa"/>
            <w:tcBorders>
              <w:top w:val="single" w:sz="4" w:space="0" w:color="000000"/>
              <w:left w:val="single" w:sz="4" w:space="0" w:color="000000"/>
              <w:bottom w:val="nil" w:sz="6" w:space="0" w:color="auto"/>
              <w:right w:val="single" w:sz="4" w:space="0" w:color="000000"/>
            </w:tcBorders>
          </w:tcPr>
          <w:p>
            <w:pPr/>
          </w:p>
        </w:tc>
        <w:tc>
          <w:tcPr>
            <w:tcW w:w="689" w:type="dxa"/>
            <w:tcBorders>
              <w:top w:val="single" w:sz="4" w:space="0" w:color="000000"/>
              <w:left w:val="single" w:sz="4" w:space="0" w:color="000000"/>
              <w:bottom w:val="nil" w:sz="6" w:space="0" w:color="auto"/>
              <w:right w:val="single" w:sz="4" w:space="0" w:color="000000"/>
            </w:tcBorders>
          </w:tcPr>
          <w:p>
            <w:pPr/>
          </w:p>
        </w:tc>
        <w:tc>
          <w:tcPr>
            <w:tcW w:w="552" w:type="dxa"/>
            <w:tcBorders>
              <w:top w:val="single" w:sz="4" w:space="0" w:color="000000"/>
              <w:left w:val="single" w:sz="4" w:space="0" w:color="000000"/>
              <w:bottom w:val="nil" w:sz="6" w:space="0" w:color="auto"/>
              <w:right w:val="single" w:sz="4" w:space="0" w:color="000000"/>
            </w:tcBorders>
          </w:tcPr>
          <w:p>
            <w:pPr/>
          </w:p>
        </w:tc>
        <w:tc>
          <w:tcPr>
            <w:tcW w:w="519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智慧城市</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PPP</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项目投资，智慧医疗</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PPP</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项目投资，智慧教育</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PPP</w:t>
            </w:r>
          </w:p>
        </w:tc>
        <w:tc>
          <w:tcPr>
            <w:tcW w:w="91" w:type="dxa"/>
            <w:vMerge w:val="restart"/>
            <w:tcBorders>
              <w:top w:val="single" w:sz="4" w:space="0" w:color="000000"/>
              <w:left w:val="single" w:sz="4" w:space="0" w:color="000000"/>
              <w:right w:val="nil" w:sz="6" w:space="0" w:color="auto"/>
            </w:tcBorders>
          </w:tcPr>
          <w:p>
            <w:pPr/>
          </w:p>
        </w:tc>
        <w:tc>
          <w:tcPr>
            <w:tcW w:w="611" w:type="dxa"/>
            <w:tcBorders>
              <w:top w:val="single" w:sz="4" w:space="0" w:color="000000"/>
              <w:left w:val="nil" w:sz="6" w:space="0" w:color="auto"/>
              <w:bottom w:val="nil" w:sz="6" w:space="0" w:color="auto"/>
              <w:right w:val="single" w:sz="4" w:space="0" w:color="000000"/>
            </w:tcBorders>
          </w:tcPr>
          <w:p>
            <w:pPr/>
          </w:p>
        </w:tc>
        <w:tc>
          <w:tcPr>
            <w:tcW w:w="701" w:type="dxa"/>
            <w:vMerge w:val="restart"/>
            <w:tcBorders>
              <w:top w:val="single" w:sz="4" w:space="0" w:color="000000"/>
              <w:left w:val="single" w:sz="4" w:space="0" w:color="000000"/>
              <w:right w:val="single" w:sz="4" w:space="0" w:color="000000"/>
            </w:tcBorders>
          </w:tcPr>
          <w:p>
            <w:pPr/>
          </w:p>
        </w:tc>
        <w:tc>
          <w:tcPr>
            <w:tcW w:w="864" w:type="dxa"/>
            <w:tcBorders>
              <w:top w:val="single" w:sz="4" w:space="0" w:color="000000"/>
              <w:left w:val="single" w:sz="4" w:space="0" w:color="000000"/>
              <w:bottom w:val="nil" w:sz="6" w:space="0" w:color="auto"/>
              <w:right w:val="single" w:sz="4" w:space="0" w:color="000000"/>
            </w:tcBorders>
          </w:tcPr>
          <w:p>
            <w:pPr/>
          </w:p>
        </w:tc>
      </w:tr>
      <w:tr>
        <w:trPr>
          <w:trHeight w:val="1556" w:hRule="exact"/>
        </w:trPr>
        <w:tc>
          <w:tcPr>
            <w:tcW w:w="968" w:type="dxa"/>
            <w:tcBorders>
              <w:top w:val="nil" w:sz="6" w:space="0" w:color="auto"/>
              <w:left w:val="single" w:sz="4" w:space="0" w:color="000000"/>
              <w:bottom w:val="nil" w:sz="6" w:space="0" w:color="auto"/>
              <w:right w:val="single" w:sz="4" w:space="0" w:color="000000"/>
            </w:tcBorders>
          </w:tcPr>
          <w:p>
            <w:pPr>
              <w:pStyle w:val="TableParagraph"/>
              <w:spacing w:line="319" w:lineRule="auto" w:before="161"/>
              <w:ind w:left="24" w:right="33"/>
              <w:jc w:val="both"/>
              <w:rPr>
                <w:rFonts w:ascii="宋体" w:hAnsi="宋体" w:cs="宋体" w:eastAsia="宋体" w:hint="default"/>
                <w:sz w:val="18"/>
                <w:szCs w:val="18"/>
              </w:rPr>
            </w:pPr>
            <w:r>
              <w:rPr>
                <w:rFonts w:ascii="宋体" w:hAnsi="宋体" w:cs="宋体" w:eastAsia="宋体" w:hint="default"/>
                <w:sz w:val="18"/>
                <w:szCs w:val="18"/>
              </w:rPr>
              <w:t>淮南达实智 慧城市投资 发展有限公 司</w:t>
            </w:r>
          </w:p>
        </w:tc>
        <w:tc>
          <w:tcPr>
            <w:tcW w:w="68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淮南</w:t>
            </w:r>
          </w:p>
        </w:tc>
        <w:tc>
          <w:tcPr>
            <w:tcW w:w="5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淮南</w:t>
            </w:r>
          </w:p>
        </w:tc>
        <w:tc>
          <w:tcPr>
            <w:tcW w:w="5195" w:type="dxa"/>
            <w:tcBorders>
              <w:top w:val="nil" w:sz="6" w:space="0" w:color="auto"/>
              <w:left w:val="single" w:sz="4" w:space="0" w:color="000000"/>
              <w:bottom w:val="nil" w:sz="6" w:space="0" w:color="auto"/>
              <w:right w:val="single" w:sz="4" w:space="0" w:color="000000"/>
            </w:tcBorders>
          </w:tcPr>
          <w:p>
            <w:pPr>
              <w:pStyle w:val="TableParagraph"/>
              <w:spacing w:line="319" w:lineRule="auto" w:before="5"/>
              <w:ind w:left="23" w:right="21"/>
              <w:jc w:val="left"/>
              <w:rPr>
                <w:rFonts w:ascii="宋体" w:hAnsi="宋体" w:cs="宋体" w:eastAsia="宋体" w:hint="default"/>
                <w:sz w:val="18"/>
                <w:szCs w:val="18"/>
              </w:rPr>
            </w:pPr>
            <w:r>
              <w:rPr>
                <w:rFonts w:ascii="宋体" w:hAnsi="宋体" w:cs="宋体" w:eastAsia="宋体" w:hint="default"/>
                <w:spacing w:val="-7"/>
                <w:sz w:val="18"/>
                <w:szCs w:val="18"/>
              </w:rPr>
              <w:t>项目投资，互联网医疗经营（不含医学治疗），健康养生管理</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3"/>
                <w:sz w:val="18"/>
                <w:szCs w:val="18"/>
              </w:rPr>
              <w:t>心理咨询（不含医学心理咨询、医学心理训练、医学心理辅导等医</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4"/>
                <w:sz w:val="18"/>
                <w:szCs w:val="18"/>
              </w:rPr>
              <w:t>疗行为），健康档案管理技术平台的研发和运营，商务信息咨询，</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3"/>
                <w:sz w:val="18"/>
                <w:szCs w:val="18"/>
              </w:rPr>
              <w:t>经济信息咨询，计算机编程，计算机软硬件的技术开发销售，基础</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设施投资，绿色节能建筑投资，投资咨询及管理，承接建筑智能化</w:t>
            </w:r>
          </w:p>
        </w:tc>
        <w:tc>
          <w:tcPr>
            <w:tcW w:w="91" w:type="dxa"/>
            <w:vMerge/>
            <w:tcBorders>
              <w:left w:val="single" w:sz="4" w:space="0" w:color="000000"/>
              <w:right w:val="nil" w:sz="6" w:space="0" w:color="auto"/>
            </w:tcBorders>
          </w:tcPr>
          <w:p>
            <w:pPr/>
          </w:p>
        </w:tc>
        <w:tc>
          <w:tcPr>
            <w:tcW w:w="611"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left="29" w:right="0"/>
              <w:jc w:val="left"/>
              <w:rPr>
                <w:rFonts w:ascii="Times New Roman" w:hAnsi="Times New Roman" w:cs="Times New Roman" w:eastAsia="Times New Roman" w:hint="default"/>
                <w:sz w:val="18"/>
                <w:szCs w:val="18"/>
              </w:rPr>
            </w:pPr>
            <w:r>
              <w:rPr>
                <w:rFonts w:ascii="Times New Roman"/>
                <w:sz w:val="18"/>
              </w:rPr>
              <w:t>70.00%</w:t>
            </w:r>
          </w:p>
        </w:tc>
        <w:tc>
          <w:tcPr>
            <w:tcW w:w="701" w:type="dxa"/>
            <w:vMerge/>
            <w:tcBorders>
              <w:left w:val="single" w:sz="4" w:space="0" w:color="000000"/>
              <w:right w:val="single" w:sz="4" w:space="0" w:color="000000"/>
            </w:tcBorders>
          </w:tcPr>
          <w:p>
            <w:pPr/>
          </w:p>
        </w:tc>
        <w:tc>
          <w:tcPr>
            <w:tcW w:w="86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316" w:lineRule="auto"/>
              <w:ind w:left="23" w:right="108"/>
              <w:jc w:val="left"/>
              <w:rPr>
                <w:rFonts w:ascii="宋体" w:hAnsi="宋体" w:cs="宋体" w:eastAsia="宋体" w:hint="default"/>
                <w:sz w:val="18"/>
                <w:szCs w:val="18"/>
              </w:rPr>
            </w:pPr>
            <w:r>
              <w:rPr>
                <w:rFonts w:ascii="宋体" w:hAnsi="宋体" w:cs="宋体" w:eastAsia="宋体" w:hint="default"/>
                <w:sz w:val="18"/>
                <w:szCs w:val="18"/>
              </w:rPr>
              <w:t>通过设立 方式取得</w:t>
            </w:r>
          </w:p>
        </w:tc>
      </w:tr>
      <w:tr>
        <w:trPr>
          <w:trHeight w:val="357" w:hRule="exact"/>
        </w:trPr>
        <w:tc>
          <w:tcPr>
            <w:tcW w:w="968" w:type="dxa"/>
            <w:tcBorders>
              <w:top w:val="nil" w:sz="6" w:space="0" w:color="auto"/>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
        </w:tc>
        <w:tc>
          <w:tcPr>
            <w:tcW w:w="552" w:type="dxa"/>
            <w:tcBorders>
              <w:top w:val="nil" w:sz="6" w:space="0" w:color="auto"/>
              <w:left w:val="single" w:sz="4" w:space="0" w:color="000000"/>
              <w:bottom w:val="single" w:sz="4" w:space="0" w:color="000000"/>
              <w:right w:val="single" w:sz="4" w:space="0" w:color="000000"/>
            </w:tcBorders>
          </w:tcPr>
          <w:p>
            <w:pPr/>
          </w:p>
        </w:tc>
        <w:tc>
          <w:tcPr>
            <w:tcW w:w="519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6"/>
                <w:sz w:val="18"/>
                <w:szCs w:val="18"/>
              </w:rPr>
              <w:t>系统和工业自动化的设计、集成、安装、技术咨询，</w:t>
            </w:r>
          </w:p>
        </w:tc>
        <w:tc>
          <w:tcPr>
            <w:tcW w:w="91" w:type="dxa"/>
            <w:vMerge/>
            <w:tcBorders>
              <w:left w:val="single" w:sz="4" w:space="0" w:color="000000"/>
              <w:bottom w:val="single" w:sz="4" w:space="0" w:color="000000"/>
              <w:right w:val="nil" w:sz="6" w:space="0" w:color="auto"/>
            </w:tcBorders>
          </w:tcPr>
          <w:p>
            <w:pPr/>
          </w:p>
        </w:tc>
        <w:tc>
          <w:tcPr>
            <w:tcW w:w="611" w:type="dxa"/>
            <w:tcBorders>
              <w:top w:val="nil" w:sz="6" w:space="0" w:color="auto"/>
              <w:left w:val="nil" w:sz="6" w:space="0" w:color="auto"/>
              <w:bottom w:val="single" w:sz="4" w:space="0" w:color="000000"/>
              <w:right w:val="single" w:sz="4" w:space="0" w:color="000000"/>
            </w:tcBorders>
          </w:tcPr>
          <w:p>
            <w:pPr/>
          </w:p>
        </w:tc>
        <w:tc>
          <w:tcPr>
            <w:tcW w:w="701" w:type="dxa"/>
            <w:vMerge/>
            <w:tcBorders>
              <w:left w:val="single" w:sz="4" w:space="0" w:color="000000"/>
              <w:bottom w:val="single" w:sz="4" w:space="0" w:color="000000"/>
              <w:right w:val="single" w:sz="4" w:space="0" w:color="000000"/>
            </w:tcBorders>
          </w:tcPr>
          <w:p>
            <w:pPr/>
          </w:p>
        </w:tc>
        <w:tc>
          <w:tcPr>
            <w:tcW w:w="864" w:type="dxa"/>
            <w:tcBorders>
              <w:top w:val="nil" w:sz="6" w:space="0" w:color="auto"/>
              <w:left w:val="single" w:sz="4" w:space="0" w:color="000000"/>
              <w:bottom w:val="single" w:sz="4" w:space="0" w:color="000000"/>
              <w:right w:val="single" w:sz="4" w:space="0" w:color="000000"/>
            </w:tcBorders>
          </w:tcPr>
          <w:p>
            <w:pPr/>
          </w:p>
        </w:tc>
      </w:tr>
      <w:tr>
        <w:trPr>
          <w:trHeight w:val="715" w:hRule="exact"/>
        </w:trPr>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33"/>
              <w:jc w:val="left"/>
              <w:rPr>
                <w:rFonts w:ascii="宋体" w:hAnsi="宋体" w:cs="宋体" w:eastAsia="宋体" w:hint="default"/>
                <w:sz w:val="18"/>
                <w:szCs w:val="18"/>
              </w:rPr>
            </w:pPr>
            <w:r>
              <w:rPr>
                <w:rFonts w:ascii="宋体" w:hAnsi="宋体" w:cs="宋体" w:eastAsia="宋体" w:hint="default"/>
                <w:sz w:val="18"/>
                <w:szCs w:val="18"/>
              </w:rPr>
              <w:t>深圳达实软 件有限公司</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51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3"/>
              <w:jc w:val="left"/>
              <w:rPr>
                <w:rFonts w:ascii="宋体" w:hAnsi="宋体" w:cs="宋体" w:eastAsia="宋体" w:hint="default"/>
                <w:sz w:val="18"/>
                <w:szCs w:val="18"/>
              </w:rPr>
            </w:pPr>
            <w:r>
              <w:rPr>
                <w:rFonts w:ascii="宋体" w:hAnsi="宋体" w:cs="宋体" w:eastAsia="宋体" w:hint="default"/>
                <w:spacing w:val="-3"/>
                <w:sz w:val="18"/>
                <w:szCs w:val="18"/>
              </w:rPr>
              <w:t>物联网、智慧医院、智慧交通、智能建筑应用系统软件和产品软件</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开发和销售。</w:t>
            </w:r>
          </w:p>
        </w:tc>
        <w:tc>
          <w:tcPr>
            <w:tcW w:w="7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100.00%</w:t>
            </w:r>
          </w:p>
        </w:tc>
        <w:tc>
          <w:tcPr>
            <w:tcW w:w="70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08"/>
              <w:jc w:val="left"/>
              <w:rPr>
                <w:rFonts w:ascii="宋体" w:hAnsi="宋体" w:cs="宋体" w:eastAsia="宋体" w:hint="default"/>
                <w:sz w:val="18"/>
                <w:szCs w:val="18"/>
              </w:rPr>
            </w:pPr>
            <w:r>
              <w:rPr>
                <w:rFonts w:ascii="宋体" w:hAnsi="宋体" w:cs="宋体" w:eastAsia="宋体" w:hint="default"/>
                <w:sz w:val="18"/>
                <w:szCs w:val="18"/>
              </w:rPr>
              <w:t>通过设立 方式取得</w:t>
            </w:r>
          </w:p>
        </w:tc>
      </w:tr>
      <w:tr>
        <w:trPr>
          <w:trHeight w:val="674" w:hRule="exact"/>
        </w:trPr>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33"/>
              <w:jc w:val="left"/>
              <w:rPr>
                <w:rFonts w:ascii="宋体" w:hAnsi="宋体" w:cs="宋体" w:eastAsia="宋体" w:hint="default"/>
                <w:sz w:val="18"/>
                <w:szCs w:val="18"/>
              </w:rPr>
            </w:pPr>
            <w:r>
              <w:rPr>
                <w:rFonts w:ascii="宋体" w:hAnsi="宋体" w:cs="宋体" w:eastAsia="宋体" w:hint="default"/>
                <w:sz w:val="18"/>
                <w:szCs w:val="18"/>
              </w:rPr>
              <w:t>雄安达实智 慧科技有限</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保定</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保定</w:t>
            </w:r>
          </w:p>
        </w:tc>
        <w:tc>
          <w:tcPr>
            <w:tcW w:w="51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20"/>
              <w:jc w:val="left"/>
              <w:rPr>
                <w:rFonts w:ascii="宋体" w:hAnsi="宋体" w:cs="宋体" w:eastAsia="宋体" w:hint="default"/>
                <w:sz w:val="18"/>
                <w:szCs w:val="18"/>
              </w:rPr>
            </w:pPr>
            <w:r>
              <w:rPr>
                <w:rFonts w:ascii="宋体" w:hAnsi="宋体" w:cs="宋体" w:eastAsia="宋体" w:hint="default"/>
                <w:sz w:val="18"/>
                <w:szCs w:val="18"/>
              </w:rPr>
              <w:t>互互联网、云计算软件与平台服务，物联网系统研发与应用服务 智慧医疗信息系统研发与集成服务，医疗大数据开发与应用服务</w:t>
            </w:r>
          </w:p>
        </w:tc>
        <w:tc>
          <w:tcPr>
            <w:tcW w:w="7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07" w:lineRule="exact" w:before="49"/>
              <w:ind w:left="-131"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42" w:lineRule="exact"/>
              <w:ind w:left="23"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199" w:lineRule="exact"/>
              <w:ind w:left="-131" w:right="0"/>
              <w:jc w:val="left"/>
              <w:rPr>
                <w:rFonts w:ascii="宋体" w:hAnsi="宋体" w:cs="宋体" w:eastAsia="宋体" w:hint="default"/>
                <w:sz w:val="18"/>
                <w:szCs w:val="18"/>
              </w:rPr>
            </w:pPr>
            <w:r>
              <w:rPr>
                <w:rFonts w:ascii="宋体" w:hAnsi="宋体" w:cs="宋体" w:eastAsia="宋体" w:hint="default"/>
                <w:sz w:val="18"/>
                <w:szCs w:val="18"/>
              </w:rPr>
              <w:t>，</w:t>
            </w:r>
          </w:p>
        </w:tc>
        <w:tc>
          <w:tcPr>
            <w:tcW w:w="70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通过设立</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366.860016pt;margin-top:72.475983pt;width:94.8pt;height:95.7pt;mso-position-horizontal-relative:page;mso-position-vertical-relative:page;z-index:-1094032"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pStyle w:val="BodyText"/>
                    <w:spacing w:line="240" w:lineRule="auto" w:before="113"/>
                    <w:ind w:left="0" w:right="0"/>
                    <w:jc w:val="left"/>
                  </w:pPr>
                  <w:r>
                    <w:rPr/>
                    <w:t>机电总包服务，</w:t>
                  </w:r>
                </w:p>
              </w:txbxContent>
            </v:textbox>
            <w10:wrap type="none"/>
          </v:shape>
        </w:pict>
      </w:r>
      <w:r>
        <w:rPr/>
        <w:pict>
          <v:shape style="position:absolute;margin-left:393.860016pt;margin-top:456.309998pt;width:67.8pt;height:46.8pt;mso-position-horizontal-relative:page;mso-position-vertical-relative:page;z-index:-1094008"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pStyle w:val="BodyText"/>
                    <w:spacing w:line="240" w:lineRule="auto" w:before="154"/>
                    <w:ind w:left="0" w:right="0"/>
                    <w:jc w:val="left"/>
                  </w:pPr>
                  <w:r>
                    <w:rPr/>
                    <w:t>（审批）</w:t>
                  </w:r>
                </w:p>
              </w:txbxContent>
            </v:textbox>
            <w10:wrap type="none"/>
          </v:shape>
        </w:pict>
      </w:r>
      <w:r>
        <w:rPr/>
        <w:pict>
          <v:group style="position:absolute;margin-left:427.029999pt;margin-top:72.475983pt;width:34.6pt;height:95.7pt;mso-position-horizontal-relative:page;mso-position-vertical-relative:page;z-index:-1093984" coordorigin="8541,1450" coordsize="692,1914">
            <v:shape style="position:absolute;left:8541;top:1450;width:692;height:1914" coordorigin="8541,1450" coordsize="692,1914" path="m8541,3363l9232,3363,9232,1450,8541,1450,8541,3363xe" filled="true" fillcolor="#ffffff" stroked="false">
              <v:path arrowok="t"/>
              <v:fill type="solid"/>
            </v:shape>
            <w10:wrap type="none"/>
          </v:group>
        </w:pict>
      </w:r>
      <w:r>
        <w:rPr/>
        <w:pict>
          <v:group style="position:absolute;margin-left:420.860016pt;margin-top:271.249969pt;width:40.8pt;height:35.8pt;mso-position-horizontal-relative:page;mso-position-vertical-relative:page;z-index:-1093936" coordorigin="8417,5425" coordsize="816,716">
            <v:group style="position:absolute;left:8541;top:5425;width:692;height:312" coordorigin="8541,5425" coordsize="692,312">
              <v:shape style="position:absolute;left:8541;top:5425;width:692;height:312" coordorigin="8541,5425" coordsize="692,312" path="m8541,5737l9232,5737,9232,5425,8541,5425,8541,5737xe" filled="true" fillcolor="#ffffff" stroked="false">
                <v:path arrowok="t"/>
                <v:fill type="solid"/>
              </v:shape>
            </v:group>
            <v:group style="position:absolute;left:8553;top:5737;width:2;height:392" coordorigin="8553,5737" coordsize="2,392">
              <v:shape style="position:absolute;left:8553;top:5737;width:2;height:392" coordorigin="8553,5737" coordsize="0,392" path="m8553,5737l8553,6128e" filled="false" stroked="true" strokeweight="1.2pt" strokecolor="#ffffff">
                <v:path arrowok="t"/>
              </v:shape>
            </v:group>
            <v:group style="position:absolute;left:8565;top:5737;width:647;height:392" coordorigin="8565,5737" coordsize="647,392">
              <v:shape style="position:absolute;left:8565;top:5737;width:647;height:392" coordorigin="8565,5737" coordsize="647,392" path="m8565,6128l9211,6128,9211,5737,8565,5737,8565,6128xe" filled="true" fillcolor="#ffffff" stroked="false">
                <v:path arrowok="t"/>
                <v:fill type="solid"/>
              </v:shape>
              <v:shape style="position:absolute;left:8417;top:5425;width:816;height:716" type="#_x0000_t202" filled="false" stroked="false">
                <v:textbox inset="0,0,0,0">
                  <w:txbxContent>
                    <w:p>
                      <w:pPr>
                        <w:spacing w:line="240" w:lineRule="auto" w:before="9"/>
                        <w:rPr>
                          <w:rFonts w:ascii="Times New Roman" w:hAnsi="Times New Roman" w:cs="Times New Roman" w:eastAsia="Times New Roman" w:hint="default"/>
                          <w:sz w:val="17"/>
                          <w:szCs w:val="17"/>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v:group>
            <w10:wrap type="none"/>
          </v:group>
        </w:pict>
      </w:r>
      <w:r>
        <w:rPr/>
        <w:pict>
          <v:group style="position:absolute;margin-left:427.029999pt;margin-top:345.289978pt;width:34.6pt;height:43.7pt;mso-position-horizontal-relative:page;mso-position-vertical-relative:page;z-index:-1093912" coordorigin="8541,6906" coordsize="692,874">
            <v:group style="position:absolute;left:8553;top:6918;width:2;height:394" coordorigin="8553,6918" coordsize="2,394">
              <v:shape style="position:absolute;left:8553;top:6918;width:2;height:394" coordorigin="8553,6918" coordsize="0,394" path="m8553,6918l8553,7311e" filled="false" stroked="true" strokeweight="1.2pt" strokecolor="#ffffff">
                <v:path arrowok="t"/>
              </v:shape>
            </v:group>
            <v:group style="position:absolute;left:8541;top:7311;width:692;height:468" coordorigin="8541,7311" coordsize="692,468">
              <v:shape style="position:absolute;left:8541;top:7311;width:692;height:468" coordorigin="8541,7311" coordsize="692,468" path="m8541,7779l9232,7779,9232,7311,8541,7311,8541,7779xe" filled="true" fillcolor="#ffffff" stroked="false">
                <v:path arrowok="t"/>
                <v:fill type="solid"/>
              </v:shape>
            </v:group>
            <v:group style="position:absolute;left:8565;top:6918;width:647;height:394" coordorigin="8565,6918" coordsize="647,394">
              <v:shape style="position:absolute;left:8565;top:6918;width:647;height:394" coordorigin="8565,6918" coordsize="647,394" path="m8565,7311l9211,7311,9211,6918,8565,6918,8565,7311xe" filled="true" fillcolor="#ffffff" stroked="false">
                <v:path arrowok="t"/>
                <v:fill type="solid"/>
              </v:shape>
            </v:group>
            <w10:wrap type="none"/>
          </v:group>
        </w:pict>
      </w:r>
      <w:r>
        <w:rPr/>
        <w:pict>
          <v:group style="position:absolute;margin-left:427.029999pt;margin-top:456.309998pt;width:34.6pt;height:46.8pt;mso-position-horizontal-relative:page;mso-position-vertical-relative:page;z-index:-1093888" coordorigin="8541,9126" coordsize="692,936">
            <v:shape style="position:absolute;left:8541;top:9126;width:692;height:936" coordorigin="8541,9126" coordsize="692,936" path="m8541,10062l9232,10062,9232,9126,8541,9126,8541,10062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968"/>
        <w:gridCol w:w="689"/>
        <w:gridCol w:w="552"/>
        <w:gridCol w:w="5195"/>
        <w:gridCol w:w="91"/>
        <w:gridCol w:w="611"/>
        <w:gridCol w:w="701"/>
        <w:gridCol w:w="864"/>
      </w:tblGrid>
      <w:tr>
        <w:trPr>
          <w:trHeight w:val="315" w:hRule="exact"/>
        </w:trPr>
        <w:tc>
          <w:tcPr>
            <w:tcW w:w="9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689" w:type="dxa"/>
            <w:vMerge w:val="restart"/>
            <w:tcBorders>
              <w:top w:val="single" w:sz="4" w:space="0" w:color="000000"/>
              <w:left w:val="single" w:sz="4" w:space="0" w:color="000000"/>
              <w:right w:val="single" w:sz="4" w:space="0" w:color="000000"/>
            </w:tcBorders>
          </w:tcPr>
          <w:p>
            <w:pPr/>
          </w:p>
        </w:tc>
        <w:tc>
          <w:tcPr>
            <w:tcW w:w="552" w:type="dxa"/>
            <w:vMerge w:val="restart"/>
            <w:tcBorders>
              <w:top w:val="single" w:sz="4" w:space="0" w:color="000000"/>
              <w:left w:val="single" w:sz="4" w:space="0" w:color="000000"/>
              <w:right w:val="single" w:sz="4" w:space="0" w:color="000000"/>
            </w:tcBorders>
          </w:tcPr>
          <w:p>
            <w:pPr/>
          </w:p>
        </w:tc>
        <w:tc>
          <w:tcPr>
            <w:tcW w:w="519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pacing w:val="-3"/>
                <w:sz w:val="18"/>
                <w:szCs w:val="18"/>
              </w:rPr>
              <w:t>智能交通含轨道交通信号监控系统开发、技术咨询设计、销售与集</w:t>
            </w:r>
          </w:p>
        </w:tc>
        <w:tc>
          <w:tcPr>
            <w:tcW w:w="701" w:type="dxa"/>
            <w:gridSpan w:val="2"/>
            <w:tcBorders>
              <w:top w:val="single" w:sz="4" w:space="0" w:color="000000"/>
              <w:left w:val="single" w:sz="4" w:space="0" w:color="000000"/>
              <w:bottom w:val="nil" w:sz="6" w:space="0" w:color="auto"/>
              <w:right w:val="single" w:sz="4" w:space="0" w:color="000000"/>
            </w:tcBorders>
          </w:tcPr>
          <w:p>
            <w:pPr/>
          </w:p>
        </w:tc>
        <w:tc>
          <w:tcPr>
            <w:tcW w:w="701" w:type="dxa"/>
            <w:vMerge w:val="restart"/>
            <w:tcBorders>
              <w:top w:val="single" w:sz="4" w:space="0" w:color="000000"/>
              <w:left w:val="single" w:sz="4" w:space="0" w:color="000000"/>
              <w:right w:val="single" w:sz="4" w:space="0" w:color="000000"/>
            </w:tcBorders>
          </w:tcPr>
          <w:p>
            <w:pPr/>
          </w:p>
        </w:tc>
        <w:tc>
          <w:tcPr>
            <w:tcW w:w="8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方式取得</w:t>
            </w:r>
          </w:p>
        </w:tc>
      </w:tr>
      <w:tr>
        <w:trPr>
          <w:trHeight w:val="312" w:hRule="exact"/>
        </w:trPr>
        <w:tc>
          <w:tcPr>
            <w:tcW w:w="968" w:type="dxa"/>
            <w:tcBorders>
              <w:top w:val="nil" w:sz="6" w:space="0" w:color="auto"/>
              <w:left w:val="single" w:sz="4" w:space="0" w:color="000000"/>
              <w:bottom w:val="nil" w:sz="6" w:space="0" w:color="auto"/>
              <w:right w:val="single" w:sz="4" w:space="0" w:color="000000"/>
            </w:tcBorders>
          </w:tcPr>
          <w:p>
            <w:pPr/>
          </w:p>
        </w:tc>
        <w:tc>
          <w:tcPr>
            <w:tcW w:w="689" w:type="dxa"/>
            <w:vMerge/>
            <w:tcBorders>
              <w:left w:val="single" w:sz="4" w:space="0" w:color="000000"/>
              <w:right w:val="single" w:sz="4" w:space="0" w:color="000000"/>
            </w:tcBorders>
          </w:tcPr>
          <w:p>
            <w:pPr/>
          </w:p>
        </w:tc>
        <w:tc>
          <w:tcPr>
            <w:tcW w:w="552" w:type="dxa"/>
            <w:vMerge/>
            <w:tcBorders>
              <w:left w:val="single" w:sz="4" w:space="0" w:color="000000"/>
              <w:right w:val="single" w:sz="4" w:space="0" w:color="000000"/>
            </w:tcBorders>
          </w:tcPr>
          <w:p>
            <w:pPr/>
          </w:p>
        </w:tc>
        <w:tc>
          <w:tcPr>
            <w:tcW w:w="51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6"/>
                <w:sz w:val="18"/>
                <w:szCs w:val="18"/>
              </w:rPr>
              <w:t>成服务；智能建筑系统开发与集成、技术咨询设计，</w:t>
            </w:r>
          </w:p>
        </w:tc>
        <w:tc>
          <w:tcPr>
            <w:tcW w:w="701" w:type="dxa"/>
            <w:gridSpan w:val="2"/>
            <w:tcBorders>
              <w:top w:val="nil" w:sz="6" w:space="0" w:color="auto"/>
              <w:left w:val="single" w:sz="4" w:space="0" w:color="000000"/>
              <w:bottom w:val="nil" w:sz="6" w:space="0" w:color="auto"/>
              <w:right w:val="single" w:sz="4" w:space="0" w:color="000000"/>
            </w:tcBorders>
          </w:tcPr>
          <w:p>
            <w:pPr/>
          </w:p>
        </w:tc>
        <w:tc>
          <w:tcPr>
            <w:tcW w:w="701" w:type="dxa"/>
            <w:vMerge/>
            <w:tcBorders>
              <w:left w:val="single" w:sz="4" w:space="0" w:color="000000"/>
              <w:right w:val="single" w:sz="4" w:space="0" w:color="000000"/>
            </w:tcBorders>
          </w:tcPr>
          <w:p>
            <w:pPr/>
          </w:p>
        </w:tc>
        <w:tc>
          <w:tcPr>
            <w:tcW w:w="86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968" w:type="dxa"/>
            <w:tcBorders>
              <w:top w:val="nil" w:sz="6" w:space="0" w:color="auto"/>
              <w:left w:val="single" w:sz="4" w:space="0" w:color="000000"/>
              <w:bottom w:val="nil" w:sz="6" w:space="0" w:color="auto"/>
              <w:right w:val="single" w:sz="4" w:space="0" w:color="000000"/>
            </w:tcBorders>
          </w:tcPr>
          <w:p>
            <w:pPr/>
          </w:p>
        </w:tc>
        <w:tc>
          <w:tcPr>
            <w:tcW w:w="689" w:type="dxa"/>
            <w:vMerge/>
            <w:tcBorders>
              <w:left w:val="single" w:sz="4" w:space="0" w:color="000000"/>
              <w:right w:val="single" w:sz="4" w:space="0" w:color="000000"/>
            </w:tcBorders>
          </w:tcPr>
          <w:p>
            <w:pPr/>
          </w:p>
        </w:tc>
        <w:tc>
          <w:tcPr>
            <w:tcW w:w="552" w:type="dxa"/>
            <w:vMerge/>
            <w:tcBorders>
              <w:left w:val="single" w:sz="4" w:space="0" w:color="000000"/>
              <w:right w:val="single" w:sz="4" w:space="0" w:color="000000"/>
            </w:tcBorders>
          </w:tcPr>
          <w:p>
            <w:pPr/>
          </w:p>
        </w:tc>
        <w:tc>
          <w:tcPr>
            <w:tcW w:w="51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机电设备安装工程；能源监测与节能服务、合同能源管理服务，新</w:t>
            </w:r>
          </w:p>
        </w:tc>
        <w:tc>
          <w:tcPr>
            <w:tcW w:w="701" w:type="dxa"/>
            <w:gridSpan w:val="2"/>
            <w:tcBorders>
              <w:top w:val="nil" w:sz="6" w:space="0" w:color="auto"/>
              <w:left w:val="single" w:sz="4" w:space="0" w:color="000000"/>
              <w:bottom w:val="nil" w:sz="6" w:space="0" w:color="auto"/>
              <w:right w:val="single" w:sz="4" w:space="0" w:color="000000"/>
            </w:tcBorders>
          </w:tcPr>
          <w:p>
            <w:pPr/>
          </w:p>
        </w:tc>
        <w:tc>
          <w:tcPr>
            <w:tcW w:w="701" w:type="dxa"/>
            <w:vMerge/>
            <w:tcBorders>
              <w:left w:val="single" w:sz="4" w:space="0" w:color="000000"/>
              <w:right w:val="single" w:sz="4" w:space="0" w:color="000000"/>
            </w:tcBorders>
          </w:tcPr>
          <w:p>
            <w:pPr/>
          </w:p>
        </w:tc>
        <w:tc>
          <w:tcPr>
            <w:tcW w:w="86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968" w:type="dxa"/>
            <w:tcBorders>
              <w:top w:val="nil" w:sz="6" w:space="0" w:color="auto"/>
              <w:left w:val="single" w:sz="4" w:space="0" w:color="000000"/>
              <w:bottom w:val="nil" w:sz="6" w:space="0" w:color="auto"/>
              <w:right w:val="single" w:sz="4" w:space="0" w:color="000000"/>
            </w:tcBorders>
          </w:tcPr>
          <w:p>
            <w:pPr/>
          </w:p>
        </w:tc>
        <w:tc>
          <w:tcPr>
            <w:tcW w:w="689" w:type="dxa"/>
            <w:vMerge/>
            <w:tcBorders>
              <w:left w:val="single" w:sz="4" w:space="0" w:color="000000"/>
              <w:right w:val="single" w:sz="4" w:space="0" w:color="000000"/>
            </w:tcBorders>
          </w:tcPr>
          <w:p>
            <w:pPr/>
          </w:p>
        </w:tc>
        <w:tc>
          <w:tcPr>
            <w:tcW w:w="552" w:type="dxa"/>
            <w:vMerge/>
            <w:tcBorders>
              <w:left w:val="single" w:sz="4" w:space="0" w:color="000000"/>
              <w:right w:val="single" w:sz="4" w:space="0" w:color="000000"/>
            </w:tcBorders>
          </w:tcPr>
          <w:p>
            <w:pPr/>
          </w:p>
        </w:tc>
        <w:tc>
          <w:tcPr>
            <w:tcW w:w="51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能源技术开发和咨询设计服务，电力建设工程施工，承装、承修</w:t>
            </w:r>
          </w:p>
        </w:tc>
        <w:tc>
          <w:tcPr>
            <w:tcW w:w="701"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31" w:right="0"/>
              <w:jc w:val="left"/>
              <w:rPr>
                <w:rFonts w:ascii="宋体" w:hAnsi="宋体" w:cs="宋体" w:eastAsia="宋体" w:hint="default"/>
                <w:sz w:val="18"/>
                <w:szCs w:val="18"/>
              </w:rPr>
            </w:pPr>
            <w:r>
              <w:rPr>
                <w:rFonts w:ascii="宋体" w:hAnsi="宋体" w:cs="宋体" w:eastAsia="宋体" w:hint="default"/>
                <w:sz w:val="18"/>
                <w:szCs w:val="18"/>
              </w:rPr>
              <w:t>、</w:t>
            </w:r>
          </w:p>
        </w:tc>
        <w:tc>
          <w:tcPr>
            <w:tcW w:w="701" w:type="dxa"/>
            <w:vMerge/>
            <w:tcBorders>
              <w:left w:val="single" w:sz="4" w:space="0" w:color="000000"/>
              <w:right w:val="single" w:sz="4" w:space="0" w:color="000000"/>
            </w:tcBorders>
          </w:tcPr>
          <w:p>
            <w:pPr/>
          </w:p>
        </w:tc>
        <w:tc>
          <w:tcPr>
            <w:tcW w:w="86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968" w:type="dxa"/>
            <w:tcBorders>
              <w:top w:val="nil" w:sz="6" w:space="0" w:color="auto"/>
              <w:left w:val="single" w:sz="4" w:space="0" w:color="000000"/>
              <w:bottom w:val="nil" w:sz="6" w:space="0" w:color="auto"/>
              <w:right w:val="single" w:sz="4" w:space="0" w:color="000000"/>
            </w:tcBorders>
          </w:tcPr>
          <w:p>
            <w:pPr/>
          </w:p>
        </w:tc>
        <w:tc>
          <w:tcPr>
            <w:tcW w:w="689" w:type="dxa"/>
            <w:vMerge/>
            <w:tcBorders>
              <w:left w:val="single" w:sz="4" w:space="0" w:color="000000"/>
              <w:right w:val="single" w:sz="4" w:space="0" w:color="000000"/>
            </w:tcBorders>
          </w:tcPr>
          <w:p>
            <w:pPr/>
          </w:p>
        </w:tc>
        <w:tc>
          <w:tcPr>
            <w:tcW w:w="552" w:type="dxa"/>
            <w:vMerge/>
            <w:tcBorders>
              <w:left w:val="single" w:sz="4" w:space="0" w:color="000000"/>
              <w:right w:val="single" w:sz="4" w:space="0" w:color="000000"/>
            </w:tcBorders>
          </w:tcPr>
          <w:p>
            <w:pPr/>
          </w:p>
        </w:tc>
        <w:tc>
          <w:tcPr>
            <w:tcW w:w="51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承试电力设施，变电站、施工用电箱式变压器的运行管理、设备调</w:t>
            </w:r>
          </w:p>
        </w:tc>
        <w:tc>
          <w:tcPr>
            <w:tcW w:w="701" w:type="dxa"/>
            <w:gridSpan w:val="2"/>
            <w:tcBorders>
              <w:top w:val="nil" w:sz="6" w:space="0" w:color="auto"/>
              <w:left w:val="single" w:sz="4" w:space="0" w:color="000000"/>
              <w:bottom w:val="nil" w:sz="6" w:space="0" w:color="auto"/>
              <w:right w:val="single" w:sz="4" w:space="0" w:color="000000"/>
            </w:tcBorders>
          </w:tcPr>
          <w:p>
            <w:pPr/>
          </w:p>
        </w:tc>
        <w:tc>
          <w:tcPr>
            <w:tcW w:w="701" w:type="dxa"/>
            <w:vMerge/>
            <w:tcBorders>
              <w:left w:val="single" w:sz="4" w:space="0" w:color="000000"/>
              <w:right w:val="single" w:sz="4" w:space="0" w:color="000000"/>
            </w:tcBorders>
          </w:tcPr>
          <w:p>
            <w:pPr/>
          </w:p>
        </w:tc>
        <w:tc>
          <w:tcPr>
            <w:tcW w:w="864" w:type="dxa"/>
            <w:tcBorders>
              <w:top w:val="nil" w:sz="6" w:space="0" w:color="auto"/>
              <w:left w:val="single" w:sz="4" w:space="0" w:color="000000"/>
              <w:bottom w:val="nil" w:sz="6" w:space="0" w:color="auto"/>
              <w:right w:val="single" w:sz="4" w:space="0" w:color="000000"/>
            </w:tcBorders>
          </w:tcPr>
          <w:p>
            <w:pPr/>
          </w:p>
        </w:tc>
      </w:tr>
      <w:tr>
        <w:trPr>
          <w:trHeight w:val="360" w:hRule="exact"/>
        </w:trPr>
        <w:tc>
          <w:tcPr>
            <w:tcW w:w="968" w:type="dxa"/>
            <w:tcBorders>
              <w:top w:val="nil" w:sz="6" w:space="0" w:color="auto"/>
              <w:left w:val="single" w:sz="4" w:space="0" w:color="000000"/>
              <w:bottom w:val="single" w:sz="4" w:space="0" w:color="000000"/>
              <w:right w:val="single" w:sz="4" w:space="0" w:color="000000"/>
            </w:tcBorders>
          </w:tcPr>
          <w:p>
            <w:pPr/>
          </w:p>
        </w:tc>
        <w:tc>
          <w:tcPr>
            <w:tcW w:w="689" w:type="dxa"/>
            <w:vMerge/>
            <w:tcBorders>
              <w:left w:val="single" w:sz="4" w:space="0" w:color="000000"/>
              <w:bottom w:val="single" w:sz="4" w:space="0" w:color="000000"/>
              <w:right w:val="single" w:sz="4" w:space="0" w:color="000000"/>
            </w:tcBorders>
          </w:tcPr>
          <w:p>
            <w:pPr/>
          </w:p>
        </w:tc>
        <w:tc>
          <w:tcPr>
            <w:tcW w:w="552" w:type="dxa"/>
            <w:vMerge/>
            <w:tcBorders>
              <w:left w:val="single" w:sz="4" w:space="0" w:color="000000"/>
              <w:bottom w:val="single" w:sz="4" w:space="0" w:color="000000"/>
              <w:right w:val="single" w:sz="4" w:space="0" w:color="000000"/>
            </w:tcBorders>
          </w:tcPr>
          <w:p>
            <w:pPr/>
          </w:p>
        </w:tc>
        <w:tc>
          <w:tcPr>
            <w:tcW w:w="519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试、维修保养服务</w:t>
            </w:r>
          </w:p>
        </w:tc>
        <w:tc>
          <w:tcPr>
            <w:tcW w:w="701" w:type="dxa"/>
            <w:gridSpan w:val="2"/>
            <w:tcBorders>
              <w:top w:val="nil" w:sz="6" w:space="0" w:color="auto"/>
              <w:left w:val="single" w:sz="4" w:space="0" w:color="000000"/>
              <w:bottom w:val="single" w:sz="4" w:space="0" w:color="000000"/>
              <w:right w:val="single" w:sz="4" w:space="0" w:color="000000"/>
            </w:tcBorders>
          </w:tcPr>
          <w:p>
            <w:pPr/>
          </w:p>
        </w:tc>
        <w:tc>
          <w:tcPr>
            <w:tcW w:w="701" w:type="dxa"/>
            <w:vMerge/>
            <w:tcBorders>
              <w:left w:val="single" w:sz="4" w:space="0" w:color="000000"/>
              <w:bottom w:val="single" w:sz="4" w:space="0" w:color="000000"/>
              <w:right w:val="single" w:sz="4" w:space="0" w:color="000000"/>
            </w:tcBorders>
          </w:tcPr>
          <w:p>
            <w:pPr/>
          </w:p>
        </w:tc>
        <w:tc>
          <w:tcPr>
            <w:tcW w:w="864" w:type="dxa"/>
            <w:tcBorders>
              <w:top w:val="nil" w:sz="6" w:space="0" w:color="auto"/>
              <w:left w:val="single" w:sz="4" w:space="0" w:color="000000"/>
              <w:bottom w:val="single" w:sz="4" w:space="0" w:color="000000"/>
              <w:right w:val="single" w:sz="4" w:space="0" w:color="000000"/>
            </w:tcBorders>
          </w:tcPr>
          <w:p>
            <w:pPr/>
          </w:p>
        </w:tc>
      </w:tr>
      <w:tr>
        <w:trPr>
          <w:trHeight w:val="1025" w:hRule="exact"/>
        </w:trPr>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33"/>
              <w:jc w:val="both"/>
              <w:rPr>
                <w:rFonts w:ascii="宋体" w:hAnsi="宋体" w:cs="宋体" w:eastAsia="宋体" w:hint="default"/>
                <w:sz w:val="18"/>
                <w:szCs w:val="18"/>
              </w:rPr>
            </w:pPr>
            <w:r>
              <w:rPr>
                <w:rFonts w:ascii="宋体" w:hAnsi="宋体" w:cs="宋体" w:eastAsia="宋体" w:hint="default"/>
                <w:sz w:val="18"/>
                <w:szCs w:val="18"/>
              </w:rPr>
              <w:t>江苏洪泽湖 达实智慧医 养有限公司</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淮安</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淮安</w:t>
            </w:r>
          </w:p>
        </w:tc>
        <w:tc>
          <w:tcPr>
            <w:tcW w:w="5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0"/>
              <w:jc w:val="left"/>
              <w:rPr>
                <w:rFonts w:ascii="宋体" w:hAnsi="宋体" w:cs="宋体" w:eastAsia="宋体" w:hint="default"/>
                <w:sz w:val="18"/>
                <w:szCs w:val="18"/>
              </w:rPr>
            </w:pPr>
            <w:r>
              <w:rPr>
                <w:rFonts w:ascii="宋体" w:hAnsi="宋体" w:cs="宋体" w:eastAsia="宋体" w:hint="default"/>
                <w:spacing w:val="-3"/>
                <w:sz w:val="18"/>
                <w:szCs w:val="18"/>
              </w:rPr>
              <w:t>医养一体化健康服务，健康养生管理及咨询服务，医疗和健康养生</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项目投资、建设、运营</w:t>
            </w:r>
          </w:p>
        </w:tc>
        <w:tc>
          <w:tcPr>
            <w:tcW w:w="7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69.77%</w:t>
            </w:r>
          </w:p>
        </w:tc>
        <w:tc>
          <w:tcPr>
            <w:tcW w:w="70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108"/>
              <w:jc w:val="left"/>
              <w:rPr>
                <w:rFonts w:ascii="宋体" w:hAnsi="宋体" w:cs="宋体" w:eastAsia="宋体" w:hint="default"/>
                <w:sz w:val="18"/>
                <w:szCs w:val="18"/>
              </w:rPr>
            </w:pPr>
            <w:r>
              <w:rPr>
                <w:rFonts w:ascii="宋体" w:hAnsi="宋体" w:cs="宋体" w:eastAsia="宋体" w:hint="default"/>
                <w:sz w:val="18"/>
                <w:szCs w:val="18"/>
              </w:rPr>
              <w:t>通过设立 方式取得</w:t>
            </w:r>
          </w:p>
        </w:tc>
      </w:tr>
      <w:tr>
        <w:trPr>
          <w:trHeight w:val="355" w:hRule="exact"/>
        </w:trPr>
        <w:tc>
          <w:tcPr>
            <w:tcW w:w="9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深圳市小鹿</w:t>
            </w:r>
          </w:p>
        </w:tc>
        <w:tc>
          <w:tcPr>
            <w:tcW w:w="689" w:type="dxa"/>
            <w:tcBorders>
              <w:top w:val="single" w:sz="4" w:space="0" w:color="000000"/>
              <w:left w:val="single" w:sz="4" w:space="0" w:color="000000"/>
              <w:bottom w:val="nil" w:sz="6" w:space="0" w:color="auto"/>
              <w:right w:val="single" w:sz="4" w:space="0" w:color="000000"/>
            </w:tcBorders>
          </w:tcPr>
          <w:p>
            <w:pPr/>
          </w:p>
        </w:tc>
        <w:tc>
          <w:tcPr>
            <w:tcW w:w="552" w:type="dxa"/>
            <w:tcBorders>
              <w:top w:val="single" w:sz="4" w:space="0" w:color="000000"/>
              <w:left w:val="single" w:sz="4" w:space="0" w:color="000000"/>
              <w:bottom w:val="nil" w:sz="6" w:space="0" w:color="auto"/>
              <w:right w:val="single" w:sz="4" w:space="0" w:color="000000"/>
            </w:tcBorders>
          </w:tcPr>
          <w:p>
            <w:pPr/>
          </w:p>
        </w:tc>
        <w:tc>
          <w:tcPr>
            <w:tcW w:w="5195" w:type="dxa"/>
            <w:tcBorders>
              <w:top w:val="single" w:sz="4" w:space="0" w:color="000000"/>
              <w:left w:val="single" w:sz="4" w:space="0" w:color="000000"/>
              <w:bottom w:val="nil" w:sz="6" w:space="0" w:color="auto"/>
              <w:right w:val="single" w:sz="4" w:space="0" w:color="000000"/>
            </w:tcBorders>
          </w:tcPr>
          <w:p>
            <w:pPr/>
          </w:p>
        </w:tc>
        <w:tc>
          <w:tcPr>
            <w:tcW w:w="701" w:type="dxa"/>
            <w:gridSpan w:val="2"/>
            <w:tcBorders>
              <w:top w:val="single" w:sz="4" w:space="0" w:color="000000"/>
              <w:left w:val="single" w:sz="4" w:space="0" w:color="000000"/>
              <w:bottom w:val="nil" w:sz="6" w:space="0" w:color="auto"/>
              <w:right w:val="single" w:sz="4" w:space="0" w:color="000000"/>
            </w:tcBorders>
          </w:tcPr>
          <w:p>
            <w:pPr/>
          </w:p>
        </w:tc>
        <w:tc>
          <w:tcPr>
            <w:tcW w:w="701" w:type="dxa"/>
            <w:vMerge w:val="restart"/>
            <w:tcBorders>
              <w:top w:val="single" w:sz="4" w:space="0" w:color="000000"/>
              <w:left w:val="single" w:sz="4" w:space="0" w:color="000000"/>
              <w:right w:val="single" w:sz="4" w:space="0" w:color="000000"/>
            </w:tcBorders>
          </w:tcPr>
          <w:p>
            <w:pPr/>
          </w:p>
        </w:tc>
        <w:tc>
          <w:tcPr>
            <w:tcW w:w="8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非同一控</w:t>
            </w:r>
          </w:p>
        </w:tc>
      </w:tr>
      <w:tr>
        <w:trPr>
          <w:trHeight w:val="317" w:hRule="exact"/>
        </w:trPr>
        <w:tc>
          <w:tcPr>
            <w:tcW w:w="9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暖暖科技有</w:t>
            </w:r>
          </w:p>
        </w:tc>
        <w:tc>
          <w:tcPr>
            <w:tcW w:w="68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5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51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计算机编程；计算机软件设计</w:t>
            </w:r>
          </w:p>
        </w:tc>
        <w:tc>
          <w:tcPr>
            <w:tcW w:w="701"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23" w:right="0"/>
              <w:jc w:val="left"/>
              <w:rPr>
                <w:rFonts w:ascii="Times New Roman" w:hAnsi="Times New Roman" w:cs="Times New Roman" w:eastAsia="Times New Roman" w:hint="default"/>
                <w:sz w:val="18"/>
                <w:szCs w:val="18"/>
              </w:rPr>
            </w:pPr>
            <w:r>
              <w:rPr>
                <w:rFonts w:ascii="Times New Roman"/>
                <w:sz w:val="18"/>
              </w:rPr>
              <w:t>100.00%</w:t>
            </w:r>
          </w:p>
        </w:tc>
        <w:tc>
          <w:tcPr>
            <w:tcW w:w="701" w:type="dxa"/>
            <w:vMerge/>
            <w:tcBorders>
              <w:left w:val="single" w:sz="4" w:space="0" w:color="000000"/>
              <w:right w:val="single" w:sz="4" w:space="0" w:color="000000"/>
            </w:tcBorders>
          </w:tcPr>
          <w:p>
            <w:pPr/>
          </w:p>
        </w:tc>
        <w:tc>
          <w:tcPr>
            <w:tcW w:w="86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制下企业</w:t>
            </w:r>
          </w:p>
        </w:tc>
      </w:tr>
      <w:tr>
        <w:trPr>
          <w:trHeight w:val="356" w:hRule="exact"/>
        </w:trPr>
        <w:tc>
          <w:tcPr>
            <w:tcW w:w="96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4"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689" w:type="dxa"/>
            <w:tcBorders>
              <w:top w:val="nil" w:sz="6" w:space="0" w:color="auto"/>
              <w:left w:val="single" w:sz="4" w:space="0" w:color="000000"/>
              <w:bottom w:val="single" w:sz="4" w:space="0" w:color="000000"/>
              <w:right w:val="single" w:sz="4" w:space="0" w:color="000000"/>
            </w:tcBorders>
          </w:tcPr>
          <w:p>
            <w:pPr/>
          </w:p>
        </w:tc>
        <w:tc>
          <w:tcPr>
            <w:tcW w:w="552" w:type="dxa"/>
            <w:tcBorders>
              <w:top w:val="nil" w:sz="6" w:space="0" w:color="auto"/>
              <w:left w:val="single" w:sz="4" w:space="0" w:color="000000"/>
              <w:bottom w:val="single" w:sz="4" w:space="0" w:color="000000"/>
              <w:right w:val="single" w:sz="4" w:space="0" w:color="000000"/>
            </w:tcBorders>
          </w:tcPr>
          <w:p>
            <w:pPr/>
          </w:p>
        </w:tc>
        <w:tc>
          <w:tcPr>
            <w:tcW w:w="5195" w:type="dxa"/>
            <w:tcBorders>
              <w:top w:val="nil" w:sz="6" w:space="0" w:color="auto"/>
              <w:left w:val="single" w:sz="4" w:space="0" w:color="000000"/>
              <w:bottom w:val="single" w:sz="4" w:space="0" w:color="000000"/>
              <w:right w:val="single" w:sz="4" w:space="0" w:color="000000"/>
            </w:tcBorders>
          </w:tcPr>
          <w:p>
            <w:pPr/>
          </w:p>
        </w:tc>
        <w:tc>
          <w:tcPr>
            <w:tcW w:w="701" w:type="dxa"/>
            <w:gridSpan w:val="2"/>
            <w:tcBorders>
              <w:top w:val="nil" w:sz="6" w:space="0" w:color="auto"/>
              <w:left w:val="single" w:sz="4" w:space="0" w:color="000000"/>
              <w:bottom w:val="single" w:sz="4" w:space="0" w:color="000000"/>
              <w:right w:val="single" w:sz="4" w:space="0" w:color="000000"/>
            </w:tcBorders>
          </w:tcPr>
          <w:p>
            <w:pPr/>
          </w:p>
        </w:tc>
        <w:tc>
          <w:tcPr>
            <w:tcW w:w="701" w:type="dxa"/>
            <w:vMerge/>
            <w:tcBorders>
              <w:left w:val="single" w:sz="4" w:space="0" w:color="000000"/>
              <w:bottom w:val="single" w:sz="4" w:space="0" w:color="000000"/>
              <w:right w:val="single" w:sz="4" w:space="0" w:color="000000"/>
            </w:tcBorders>
          </w:tcPr>
          <w:p>
            <w:pPr/>
          </w:p>
        </w:tc>
        <w:tc>
          <w:tcPr>
            <w:tcW w:w="86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合并</w:t>
            </w:r>
          </w:p>
        </w:tc>
      </w:tr>
      <w:tr>
        <w:trPr>
          <w:trHeight w:val="1025" w:hRule="exact"/>
        </w:trPr>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33"/>
              <w:jc w:val="both"/>
              <w:rPr>
                <w:rFonts w:ascii="宋体" w:hAnsi="宋体" w:cs="宋体" w:eastAsia="宋体" w:hint="default"/>
                <w:sz w:val="18"/>
                <w:szCs w:val="18"/>
              </w:rPr>
            </w:pPr>
            <w:r>
              <w:rPr>
                <w:rFonts w:ascii="宋体" w:hAnsi="宋体" w:cs="宋体" w:eastAsia="宋体" w:hint="default"/>
                <w:sz w:val="18"/>
                <w:szCs w:val="18"/>
              </w:rPr>
              <w:t>湖南桃江达 实智慧医养 有限公司</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益阳</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益阳</w:t>
            </w:r>
          </w:p>
        </w:tc>
        <w:tc>
          <w:tcPr>
            <w:tcW w:w="5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111"/>
              <w:jc w:val="left"/>
              <w:rPr>
                <w:rFonts w:ascii="宋体" w:hAnsi="宋体" w:cs="宋体" w:eastAsia="宋体" w:hint="default"/>
                <w:sz w:val="18"/>
                <w:szCs w:val="18"/>
              </w:rPr>
            </w:pPr>
            <w:r>
              <w:rPr>
                <w:rFonts w:ascii="宋体" w:hAnsi="宋体" w:cs="宋体" w:eastAsia="宋体" w:hint="default"/>
                <w:spacing w:val="-6"/>
                <w:sz w:val="18"/>
                <w:szCs w:val="18"/>
              </w:rPr>
              <w:t>医疗和健康养生项目投资、建设、运营；医养一体化健康服务经营</w:t>
            </w:r>
            <w:r>
              <w:rPr>
                <w:rFonts w:ascii="宋体" w:hAnsi="宋体" w:cs="宋体" w:eastAsia="宋体" w:hint="default"/>
                <w:sz w:val="18"/>
                <w:szCs w:val="18"/>
              </w:rPr>
              <w:t> 医疗养生服务；健康养生管理及咨询服务</w:t>
            </w:r>
          </w:p>
        </w:tc>
        <w:tc>
          <w:tcPr>
            <w:tcW w:w="91" w:type="dxa"/>
            <w:tcBorders>
              <w:top w:val="single" w:sz="4" w:space="0" w:color="000000"/>
              <w:left w:val="single" w:sz="4" w:space="0" w:color="000000"/>
              <w:bottom w:val="single" w:sz="4" w:space="0" w:color="000000"/>
              <w:right w:val="nil" w:sz="6" w:space="0" w:color="auto"/>
            </w:tcBorders>
          </w:tcPr>
          <w:p>
            <w:pPr/>
          </w:p>
        </w:tc>
        <w:tc>
          <w:tcPr>
            <w:tcW w:w="611"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29" w:right="0"/>
              <w:jc w:val="left"/>
              <w:rPr>
                <w:rFonts w:ascii="Times New Roman" w:hAnsi="Times New Roman" w:cs="Times New Roman" w:eastAsia="Times New Roman" w:hint="default"/>
                <w:sz w:val="18"/>
                <w:szCs w:val="18"/>
              </w:rPr>
            </w:pPr>
            <w:r>
              <w:rPr>
                <w:rFonts w:ascii="Times New Roman"/>
                <w:sz w:val="18"/>
              </w:rPr>
              <w:t>90.00%</w:t>
            </w:r>
          </w:p>
        </w:tc>
        <w:tc>
          <w:tcPr>
            <w:tcW w:w="70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108"/>
              <w:jc w:val="left"/>
              <w:rPr>
                <w:rFonts w:ascii="宋体" w:hAnsi="宋体" w:cs="宋体" w:eastAsia="宋体" w:hint="default"/>
                <w:sz w:val="18"/>
                <w:szCs w:val="18"/>
              </w:rPr>
            </w:pPr>
            <w:r>
              <w:rPr>
                <w:rFonts w:ascii="宋体" w:hAnsi="宋体" w:cs="宋体" w:eastAsia="宋体" w:hint="default"/>
                <w:sz w:val="18"/>
                <w:szCs w:val="18"/>
              </w:rPr>
              <w:t>通过设立 方式取得</w:t>
            </w:r>
          </w:p>
        </w:tc>
      </w:tr>
      <w:tr>
        <w:trPr>
          <w:trHeight w:val="1339" w:hRule="exact"/>
        </w:trPr>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4" w:right="33"/>
              <w:jc w:val="both"/>
              <w:rPr>
                <w:rFonts w:ascii="宋体" w:hAnsi="宋体" w:cs="宋体" w:eastAsia="宋体" w:hint="default"/>
                <w:sz w:val="18"/>
                <w:szCs w:val="18"/>
              </w:rPr>
            </w:pPr>
            <w:r>
              <w:rPr>
                <w:rFonts w:ascii="宋体" w:hAnsi="宋体" w:cs="宋体" w:eastAsia="宋体" w:hint="default"/>
                <w:sz w:val="18"/>
                <w:szCs w:val="18"/>
              </w:rPr>
              <w:t>合肥达实信 息科技有限 公司</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合肥</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合肥</w:t>
            </w:r>
          </w:p>
        </w:tc>
        <w:tc>
          <w:tcPr>
            <w:tcW w:w="51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0"/>
              <w:jc w:val="left"/>
              <w:rPr>
                <w:rFonts w:ascii="宋体" w:hAnsi="宋体" w:cs="宋体" w:eastAsia="宋体" w:hint="default"/>
                <w:sz w:val="18"/>
                <w:szCs w:val="18"/>
              </w:rPr>
            </w:pPr>
            <w:r>
              <w:rPr>
                <w:rFonts w:ascii="宋体" w:hAnsi="宋体" w:cs="宋体" w:eastAsia="宋体" w:hint="default"/>
                <w:spacing w:val="-3"/>
                <w:sz w:val="18"/>
                <w:szCs w:val="18"/>
              </w:rPr>
              <w:t>互联网、云计算机软件研发与平台服务；物联网系统研发与应用服</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3"/>
                <w:sz w:val="18"/>
                <w:szCs w:val="18"/>
              </w:rPr>
              <w:t>务；智慧医疗信息系统研发与集成服务；医疗大数据开发与应用服</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务；医疗项目投资（未经金融监管部门批准，不得从事吸收存款 </w:t>
            </w:r>
            <w:r>
              <w:rPr>
                <w:rFonts w:ascii="宋体" w:hAnsi="宋体" w:cs="宋体" w:eastAsia="宋体" w:hint="default"/>
                <w:spacing w:val="-6"/>
                <w:sz w:val="18"/>
                <w:szCs w:val="18"/>
              </w:rPr>
              <w:t>融资担保，代客理财等金融业务）；</w:t>
            </w:r>
          </w:p>
        </w:tc>
        <w:tc>
          <w:tcPr>
            <w:tcW w:w="7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160" w:lineRule="exact" w:before="145"/>
              <w:ind w:left="23"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189" w:lineRule="exact"/>
              <w:ind w:left="-131" w:right="0"/>
              <w:jc w:val="left"/>
              <w:rPr>
                <w:rFonts w:ascii="宋体" w:hAnsi="宋体" w:cs="宋体" w:eastAsia="宋体" w:hint="default"/>
                <w:sz w:val="18"/>
                <w:szCs w:val="18"/>
              </w:rPr>
            </w:pPr>
            <w:r>
              <w:rPr>
                <w:rFonts w:ascii="宋体" w:hAnsi="宋体" w:cs="宋体" w:eastAsia="宋体" w:hint="default"/>
                <w:sz w:val="18"/>
                <w:szCs w:val="18"/>
              </w:rPr>
              <w:t>，</w:t>
            </w:r>
          </w:p>
        </w:tc>
        <w:tc>
          <w:tcPr>
            <w:tcW w:w="70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108"/>
              <w:jc w:val="left"/>
              <w:rPr>
                <w:rFonts w:ascii="宋体" w:hAnsi="宋体" w:cs="宋体" w:eastAsia="宋体" w:hint="default"/>
                <w:sz w:val="18"/>
                <w:szCs w:val="18"/>
              </w:rPr>
            </w:pPr>
            <w:r>
              <w:rPr>
                <w:rFonts w:ascii="宋体" w:hAnsi="宋体" w:cs="宋体" w:eastAsia="宋体" w:hint="default"/>
                <w:sz w:val="18"/>
                <w:szCs w:val="18"/>
              </w:rPr>
              <w:t>通过设立 方式取得</w:t>
            </w:r>
          </w:p>
        </w:tc>
      </w:tr>
      <w:tr>
        <w:trPr>
          <w:trHeight w:val="1337" w:hRule="exact"/>
        </w:trPr>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4" w:right="33"/>
              <w:jc w:val="both"/>
              <w:rPr>
                <w:rFonts w:ascii="宋体" w:hAnsi="宋体" w:cs="宋体" w:eastAsia="宋体" w:hint="default"/>
                <w:sz w:val="18"/>
                <w:szCs w:val="18"/>
              </w:rPr>
            </w:pPr>
            <w:r>
              <w:rPr>
                <w:rFonts w:ascii="宋体" w:hAnsi="宋体" w:cs="宋体" w:eastAsia="宋体" w:hint="default"/>
                <w:sz w:val="18"/>
                <w:szCs w:val="18"/>
              </w:rPr>
              <w:t>成都聚雅医 信科技有限 公司</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成都</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成都</w:t>
            </w:r>
          </w:p>
        </w:tc>
        <w:tc>
          <w:tcPr>
            <w:tcW w:w="519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22"/>
              <w:jc w:val="both"/>
              <w:rPr>
                <w:rFonts w:ascii="宋体" w:hAnsi="宋体" w:cs="宋体" w:eastAsia="宋体" w:hint="default"/>
                <w:sz w:val="18"/>
                <w:szCs w:val="18"/>
              </w:rPr>
            </w:pPr>
            <w:r>
              <w:rPr>
                <w:rFonts w:ascii="宋体" w:hAnsi="宋体" w:cs="宋体" w:eastAsia="宋体" w:hint="default"/>
                <w:spacing w:val="-3"/>
                <w:sz w:val="18"/>
                <w:szCs w:val="18"/>
              </w:rPr>
              <w:t>软件开发、销售；电子技术咨询、技术转让；计算机系统集成；销</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售：计算机硬件及辅助设备、办公用品及耗材、一类医疗器械、电</w:t>
            </w:r>
            <w:r>
              <w:rPr>
                <w:rFonts w:ascii="宋体" w:hAnsi="宋体" w:cs="宋体" w:eastAsia="宋体" w:hint="default"/>
                <w:sz w:val="18"/>
                <w:szCs w:val="18"/>
              </w:rPr>
              <w:t> </w:t>
            </w:r>
            <w:r>
              <w:rPr>
                <w:rFonts w:ascii="宋体" w:hAnsi="宋体" w:cs="宋体" w:eastAsia="宋体" w:hint="default"/>
                <w:spacing w:val="-4"/>
                <w:sz w:val="18"/>
                <w:szCs w:val="18"/>
              </w:rPr>
              <w:t>子产品、安防设备（国家有专项规定的除外）；楼宇智能化工程设</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4"/>
                <w:sz w:val="18"/>
                <w:szCs w:val="18"/>
              </w:rPr>
              <w:t>计（凭资质证书经营）；计算机网络工程施工（凭资质证书经营）</w:t>
            </w:r>
          </w:p>
        </w:tc>
        <w:tc>
          <w:tcPr>
            <w:tcW w:w="7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23" w:right="0"/>
              <w:jc w:val="left"/>
              <w:rPr>
                <w:rFonts w:ascii="Times New Roman" w:hAnsi="Times New Roman" w:cs="Times New Roman" w:eastAsia="Times New Roman" w:hint="default"/>
                <w:sz w:val="18"/>
                <w:szCs w:val="18"/>
              </w:rPr>
            </w:pPr>
            <w:r>
              <w:rPr>
                <w:rFonts w:ascii="Times New Roman"/>
                <w:sz w:val="18"/>
              </w:rPr>
              <w:t>100.00%</w:t>
            </w:r>
          </w:p>
        </w:tc>
        <w:tc>
          <w:tcPr>
            <w:tcW w:w="70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108"/>
              <w:jc w:val="both"/>
              <w:rPr>
                <w:rFonts w:ascii="宋体" w:hAnsi="宋体" w:cs="宋体" w:eastAsia="宋体" w:hint="default"/>
                <w:sz w:val="18"/>
                <w:szCs w:val="18"/>
              </w:rPr>
            </w:pPr>
            <w:r>
              <w:rPr>
                <w:rFonts w:ascii="宋体" w:hAnsi="宋体" w:cs="宋体" w:eastAsia="宋体" w:hint="default"/>
                <w:sz w:val="18"/>
                <w:szCs w:val="18"/>
              </w:rPr>
              <w:t>非同一控 制下企业 合并</w:t>
            </w:r>
          </w:p>
        </w:tc>
      </w:tr>
      <w:tr>
        <w:trPr>
          <w:trHeight w:val="355" w:hRule="exact"/>
        </w:trPr>
        <w:tc>
          <w:tcPr>
            <w:tcW w:w="968" w:type="dxa"/>
            <w:tcBorders>
              <w:top w:val="single" w:sz="4" w:space="0" w:color="000000"/>
              <w:left w:val="single" w:sz="4" w:space="0" w:color="000000"/>
              <w:bottom w:val="nil" w:sz="6" w:space="0" w:color="auto"/>
              <w:right w:val="single" w:sz="4" w:space="0" w:color="000000"/>
            </w:tcBorders>
          </w:tcPr>
          <w:p>
            <w:pPr/>
          </w:p>
        </w:tc>
        <w:tc>
          <w:tcPr>
            <w:tcW w:w="689" w:type="dxa"/>
            <w:tcBorders>
              <w:top w:val="single" w:sz="4" w:space="0" w:color="000000"/>
              <w:left w:val="single" w:sz="4" w:space="0" w:color="000000"/>
              <w:bottom w:val="nil" w:sz="6" w:space="0" w:color="auto"/>
              <w:right w:val="single" w:sz="4" w:space="0" w:color="000000"/>
            </w:tcBorders>
          </w:tcPr>
          <w:p>
            <w:pPr/>
          </w:p>
        </w:tc>
        <w:tc>
          <w:tcPr>
            <w:tcW w:w="552" w:type="dxa"/>
            <w:tcBorders>
              <w:top w:val="single" w:sz="4" w:space="0" w:color="000000"/>
              <w:left w:val="single" w:sz="4" w:space="0" w:color="000000"/>
              <w:bottom w:val="nil" w:sz="6" w:space="0" w:color="auto"/>
              <w:right w:val="single" w:sz="4" w:space="0" w:color="000000"/>
            </w:tcBorders>
          </w:tcPr>
          <w:p>
            <w:pPr/>
          </w:p>
        </w:tc>
        <w:tc>
          <w:tcPr>
            <w:tcW w:w="519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pacing w:val="-3"/>
                <w:sz w:val="18"/>
                <w:szCs w:val="18"/>
              </w:rPr>
              <w:t>法律、法规、国务院决定规定禁止的不得经营；法律、法规、国务</w:t>
            </w:r>
          </w:p>
        </w:tc>
        <w:tc>
          <w:tcPr>
            <w:tcW w:w="701" w:type="dxa"/>
            <w:gridSpan w:val="2"/>
            <w:tcBorders>
              <w:top w:val="single" w:sz="4" w:space="0" w:color="000000"/>
              <w:left w:val="single" w:sz="4" w:space="0" w:color="000000"/>
              <w:bottom w:val="nil" w:sz="6" w:space="0" w:color="auto"/>
              <w:right w:val="single" w:sz="4" w:space="0" w:color="000000"/>
            </w:tcBorders>
          </w:tcPr>
          <w:p>
            <w:pPr/>
          </w:p>
        </w:tc>
        <w:tc>
          <w:tcPr>
            <w:tcW w:w="701" w:type="dxa"/>
            <w:vMerge w:val="restart"/>
            <w:tcBorders>
              <w:top w:val="single" w:sz="4" w:space="0" w:color="000000"/>
              <w:left w:val="single" w:sz="4" w:space="0" w:color="000000"/>
              <w:right w:val="single" w:sz="4" w:space="0" w:color="000000"/>
            </w:tcBorders>
          </w:tcPr>
          <w:p>
            <w:pPr/>
          </w:p>
        </w:tc>
        <w:tc>
          <w:tcPr>
            <w:tcW w:w="864"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968"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single" w:sz="4" w:space="0" w:color="000000"/>
            </w:tcBorders>
          </w:tcPr>
          <w:p>
            <w:pPr/>
          </w:p>
        </w:tc>
        <w:tc>
          <w:tcPr>
            <w:tcW w:w="552" w:type="dxa"/>
            <w:tcBorders>
              <w:top w:val="nil" w:sz="6" w:space="0" w:color="auto"/>
              <w:left w:val="single" w:sz="4" w:space="0" w:color="000000"/>
              <w:bottom w:val="nil" w:sz="6" w:space="0" w:color="auto"/>
              <w:right w:val="single" w:sz="4" w:space="0" w:color="000000"/>
            </w:tcBorders>
          </w:tcPr>
          <w:p>
            <w:pPr/>
          </w:p>
        </w:tc>
        <w:tc>
          <w:tcPr>
            <w:tcW w:w="51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6"/>
                <w:sz w:val="18"/>
                <w:szCs w:val="18"/>
              </w:rPr>
              <w:t>院决定规定应当许可（审批）的，经审批机关批准后凭许可</w:t>
            </w:r>
          </w:p>
        </w:tc>
        <w:tc>
          <w:tcPr>
            <w:tcW w:w="701" w:type="dxa"/>
            <w:gridSpan w:val="2"/>
            <w:tcBorders>
              <w:top w:val="nil" w:sz="6" w:space="0" w:color="auto"/>
              <w:left w:val="single" w:sz="4" w:space="0" w:color="000000"/>
              <w:bottom w:val="nil" w:sz="6" w:space="0" w:color="auto"/>
              <w:right w:val="single" w:sz="4" w:space="0" w:color="000000"/>
            </w:tcBorders>
          </w:tcPr>
          <w:p>
            <w:pPr/>
          </w:p>
        </w:tc>
        <w:tc>
          <w:tcPr>
            <w:tcW w:w="701" w:type="dxa"/>
            <w:vMerge/>
            <w:tcBorders>
              <w:left w:val="single" w:sz="4" w:space="0" w:color="000000"/>
              <w:right w:val="single" w:sz="4" w:space="0" w:color="000000"/>
            </w:tcBorders>
          </w:tcPr>
          <w:p>
            <w:pPr/>
          </w:p>
        </w:tc>
        <w:tc>
          <w:tcPr>
            <w:tcW w:w="864" w:type="dxa"/>
            <w:tcBorders>
              <w:top w:val="nil" w:sz="6" w:space="0" w:color="auto"/>
              <w:left w:val="single" w:sz="4" w:space="0" w:color="000000"/>
              <w:bottom w:val="nil" w:sz="6" w:space="0" w:color="auto"/>
              <w:right w:val="single" w:sz="4" w:space="0" w:color="000000"/>
            </w:tcBorders>
          </w:tcPr>
          <w:p>
            <w:pPr/>
          </w:p>
        </w:tc>
      </w:tr>
      <w:tr>
        <w:trPr>
          <w:trHeight w:val="941" w:hRule="exact"/>
        </w:trPr>
        <w:tc>
          <w:tcPr>
            <w:tcW w:w="968"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4" w:right="33"/>
              <w:jc w:val="both"/>
              <w:rPr>
                <w:rFonts w:ascii="宋体" w:hAnsi="宋体" w:cs="宋体" w:eastAsia="宋体" w:hint="default"/>
                <w:sz w:val="18"/>
                <w:szCs w:val="18"/>
              </w:rPr>
            </w:pPr>
            <w:r>
              <w:rPr>
                <w:rFonts w:ascii="宋体" w:hAnsi="宋体" w:cs="宋体" w:eastAsia="宋体" w:hint="default"/>
                <w:sz w:val="18"/>
                <w:szCs w:val="18"/>
              </w:rPr>
              <w:t>仁怀达实绿 色智慧发展 有限公司</w:t>
            </w:r>
          </w:p>
        </w:tc>
        <w:tc>
          <w:tcPr>
            <w:tcW w:w="68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3" w:right="0"/>
              <w:jc w:val="left"/>
              <w:rPr>
                <w:rFonts w:ascii="宋体" w:hAnsi="宋体" w:cs="宋体" w:eastAsia="宋体" w:hint="default"/>
                <w:sz w:val="18"/>
                <w:szCs w:val="18"/>
              </w:rPr>
            </w:pPr>
            <w:r>
              <w:rPr>
                <w:rFonts w:ascii="宋体" w:hAnsi="宋体" w:cs="宋体" w:eastAsia="宋体" w:hint="default"/>
                <w:sz w:val="18"/>
                <w:szCs w:val="18"/>
              </w:rPr>
              <w:t>仁怀</w:t>
            </w:r>
          </w:p>
        </w:tc>
        <w:tc>
          <w:tcPr>
            <w:tcW w:w="5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4" w:right="0"/>
              <w:jc w:val="left"/>
              <w:rPr>
                <w:rFonts w:ascii="宋体" w:hAnsi="宋体" w:cs="宋体" w:eastAsia="宋体" w:hint="default"/>
                <w:sz w:val="18"/>
                <w:szCs w:val="18"/>
              </w:rPr>
            </w:pPr>
            <w:r>
              <w:rPr>
                <w:rFonts w:ascii="宋体" w:hAnsi="宋体" w:cs="宋体" w:eastAsia="宋体" w:hint="default"/>
                <w:sz w:val="18"/>
                <w:szCs w:val="18"/>
              </w:rPr>
              <w:t>仁怀</w:t>
            </w:r>
          </w:p>
        </w:tc>
        <w:tc>
          <w:tcPr>
            <w:tcW w:w="5195" w:type="dxa"/>
            <w:tcBorders>
              <w:top w:val="nil" w:sz="6" w:space="0" w:color="auto"/>
              <w:left w:val="single" w:sz="4" w:space="0" w:color="000000"/>
              <w:bottom w:val="nil" w:sz="6" w:space="0" w:color="auto"/>
              <w:right w:val="single" w:sz="4" w:space="0" w:color="000000"/>
            </w:tcBorders>
          </w:tcPr>
          <w:p>
            <w:pPr>
              <w:pStyle w:val="TableParagraph"/>
              <w:spacing w:line="309" w:lineRule="auto" w:before="10"/>
              <w:ind w:left="23" w:right="20"/>
              <w:jc w:val="both"/>
              <w:rPr>
                <w:rFonts w:ascii="宋体" w:hAnsi="宋体" w:cs="宋体" w:eastAsia="宋体" w:hint="default"/>
                <w:sz w:val="18"/>
                <w:szCs w:val="18"/>
              </w:rPr>
            </w:pPr>
            <w:r>
              <w:rPr>
                <w:rFonts w:ascii="宋体" w:hAnsi="宋体" w:cs="宋体" w:eastAsia="宋体" w:hint="default"/>
                <w:sz w:val="18"/>
                <w:szCs w:val="18"/>
              </w:rPr>
              <w:t>文件经营</w:t>
            </w:r>
            <w:r>
              <w:rPr>
                <w:rFonts w:ascii="Times New Roman" w:hAnsi="Times New Roman" w:cs="Times New Roman" w:eastAsia="Times New Roman" w:hint="default"/>
                <w:sz w:val="18"/>
                <w:szCs w:val="18"/>
              </w:rPr>
              <w:t>;</w:t>
            </w:r>
            <w:r>
              <w:rPr>
                <w:rFonts w:ascii="宋体" w:hAnsi="宋体" w:cs="宋体" w:eastAsia="宋体" w:hint="default"/>
                <w:sz w:val="18"/>
                <w:szCs w:val="18"/>
              </w:rPr>
              <w:t>法律、法规、国务院决定规定无需许可（审批）的，市 </w:t>
            </w:r>
            <w:r>
              <w:rPr>
                <w:rFonts w:ascii="宋体" w:hAnsi="宋体" w:cs="宋体" w:eastAsia="宋体" w:hint="default"/>
                <w:spacing w:val="-9"/>
                <w:sz w:val="18"/>
                <w:szCs w:val="18"/>
              </w:rPr>
              <w:t>场主体自主选择经营。（建筑智能化及机电设备工程、净化工程（手</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w w:val="99"/>
                <w:sz w:val="18"/>
                <w:szCs w:val="18"/>
              </w:rPr>
              <w:t>术室、供应室、</w:t>
            </w:r>
            <w:r>
              <w:rPr>
                <w:rFonts w:ascii="Times New Roman" w:hAnsi="Times New Roman" w:cs="Times New Roman" w:eastAsia="Times New Roman" w:hint="default"/>
                <w:w w:val="99"/>
                <w:sz w:val="18"/>
                <w:szCs w:val="18"/>
              </w:rPr>
              <w:t>ICU</w:t>
            </w:r>
            <w:r>
              <w:rPr>
                <w:rFonts w:ascii="Times New Roman" w:hAnsi="Times New Roman" w:cs="Times New Roman" w:eastAsia="Times New Roman" w:hint="default"/>
                <w:spacing w:val="8"/>
                <w:w w:val="99"/>
                <w:sz w:val="18"/>
                <w:szCs w:val="18"/>
              </w:rPr>
              <w:t> </w:t>
            </w:r>
            <w:r>
              <w:rPr>
                <w:rFonts w:ascii="宋体" w:hAnsi="宋体" w:cs="宋体" w:eastAsia="宋体" w:hint="default"/>
                <w:spacing w:val="-5"/>
                <w:sz w:val="18"/>
                <w:szCs w:val="18"/>
              </w:rPr>
              <w:t>病房）、制氧工程、屏蔽防辐射工程、高压氧</w:t>
            </w:r>
          </w:p>
        </w:tc>
        <w:tc>
          <w:tcPr>
            <w:tcW w:w="701"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23" w:right="0"/>
              <w:jc w:val="left"/>
              <w:rPr>
                <w:rFonts w:ascii="Times New Roman" w:hAnsi="Times New Roman" w:cs="Times New Roman" w:eastAsia="Times New Roman" w:hint="default"/>
                <w:sz w:val="18"/>
                <w:szCs w:val="18"/>
              </w:rPr>
            </w:pPr>
            <w:r>
              <w:rPr>
                <w:rFonts w:ascii="Times New Roman"/>
                <w:sz w:val="18"/>
              </w:rPr>
              <w:t>100.00%</w:t>
            </w:r>
          </w:p>
        </w:tc>
        <w:tc>
          <w:tcPr>
            <w:tcW w:w="701" w:type="dxa"/>
            <w:vMerge/>
            <w:tcBorders>
              <w:left w:val="single" w:sz="4" w:space="0" w:color="000000"/>
              <w:right w:val="single" w:sz="4" w:space="0" w:color="000000"/>
            </w:tcBorders>
          </w:tcPr>
          <w:p>
            <w:pPr/>
          </w:p>
        </w:tc>
        <w:tc>
          <w:tcPr>
            <w:tcW w:w="86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16" w:lineRule="auto"/>
              <w:ind w:left="23" w:right="108"/>
              <w:jc w:val="left"/>
              <w:rPr>
                <w:rFonts w:ascii="宋体" w:hAnsi="宋体" w:cs="宋体" w:eastAsia="宋体" w:hint="default"/>
                <w:sz w:val="18"/>
                <w:szCs w:val="18"/>
              </w:rPr>
            </w:pPr>
            <w:r>
              <w:rPr>
                <w:rFonts w:ascii="宋体" w:hAnsi="宋体" w:cs="宋体" w:eastAsia="宋体" w:hint="default"/>
                <w:sz w:val="18"/>
                <w:szCs w:val="18"/>
              </w:rPr>
              <w:t>通过设立 方式取得</w:t>
            </w:r>
          </w:p>
        </w:tc>
      </w:tr>
      <w:tr>
        <w:trPr>
          <w:trHeight w:val="307" w:hRule="exact"/>
        </w:trPr>
        <w:tc>
          <w:tcPr>
            <w:tcW w:w="968"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single" w:sz="4" w:space="0" w:color="000000"/>
            </w:tcBorders>
          </w:tcPr>
          <w:p>
            <w:pPr/>
          </w:p>
        </w:tc>
        <w:tc>
          <w:tcPr>
            <w:tcW w:w="552" w:type="dxa"/>
            <w:tcBorders>
              <w:top w:val="nil" w:sz="6" w:space="0" w:color="auto"/>
              <w:left w:val="single" w:sz="4" w:space="0" w:color="000000"/>
              <w:bottom w:val="nil" w:sz="6" w:space="0" w:color="auto"/>
              <w:right w:val="single" w:sz="4" w:space="0" w:color="000000"/>
            </w:tcBorders>
          </w:tcPr>
          <w:p>
            <w:pPr/>
          </w:p>
        </w:tc>
        <w:tc>
          <w:tcPr>
            <w:tcW w:w="519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pacing w:val="-3"/>
                <w:sz w:val="18"/>
                <w:szCs w:val="18"/>
              </w:rPr>
              <w:t>舱工程、实验室工程、检验室工程、隔离病房工程、锅炉工程的设</w:t>
            </w:r>
          </w:p>
        </w:tc>
        <w:tc>
          <w:tcPr>
            <w:tcW w:w="701" w:type="dxa"/>
            <w:gridSpan w:val="2"/>
            <w:tcBorders>
              <w:top w:val="nil" w:sz="6" w:space="0" w:color="auto"/>
              <w:left w:val="single" w:sz="4" w:space="0" w:color="000000"/>
              <w:bottom w:val="nil" w:sz="6" w:space="0" w:color="auto"/>
              <w:right w:val="single" w:sz="4" w:space="0" w:color="000000"/>
            </w:tcBorders>
          </w:tcPr>
          <w:p>
            <w:pPr/>
          </w:p>
        </w:tc>
        <w:tc>
          <w:tcPr>
            <w:tcW w:w="701" w:type="dxa"/>
            <w:vMerge/>
            <w:tcBorders>
              <w:left w:val="single" w:sz="4" w:space="0" w:color="000000"/>
              <w:right w:val="single" w:sz="4" w:space="0" w:color="000000"/>
            </w:tcBorders>
          </w:tcPr>
          <w:p>
            <w:pPr/>
          </w:p>
        </w:tc>
        <w:tc>
          <w:tcPr>
            <w:tcW w:w="864" w:type="dxa"/>
            <w:tcBorders>
              <w:top w:val="nil" w:sz="6" w:space="0" w:color="auto"/>
              <w:left w:val="single" w:sz="4" w:space="0" w:color="000000"/>
              <w:bottom w:val="nil" w:sz="6" w:space="0" w:color="auto"/>
              <w:right w:val="single" w:sz="4" w:space="0" w:color="000000"/>
            </w:tcBorders>
          </w:tcPr>
          <w:p>
            <w:pPr/>
          </w:p>
        </w:tc>
      </w:tr>
      <w:tr>
        <w:trPr>
          <w:trHeight w:val="360" w:hRule="exact"/>
        </w:trPr>
        <w:tc>
          <w:tcPr>
            <w:tcW w:w="968" w:type="dxa"/>
            <w:tcBorders>
              <w:top w:val="nil" w:sz="6" w:space="0" w:color="auto"/>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
        </w:tc>
        <w:tc>
          <w:tcPr>
            <w:tcW w:w="552" w:type="dxa"/>
            <w:tcBorders>
              <w:top w:val="nil" w:sz="6" w:space="0" w:color="auto"/>
              <w:left w:val="single" w:sz="4" w:space="0" w:color="000000"/>
              <w:bottom w:val="single" w:sz="4" w:space="0" w:color="000000"/>
              <w:right w:val="single" w:sz="4" w:space="0" w:color="000000"/>
            </w:tcBorders>
          </w:tcPr>
          <w:p>
            <w:pPr/>
          </w:p>
        </w:tc>
        <w:tc>
          <w:tcPr>
            <w:tcW w:w="519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计、采购、集成及安装</w:t>
            </w:r>
            <w:r>
              <w:rPr>
                <w:rFonts w:ascii="宋体" w:hAnsi="宋体" w:cs="宋体" w:eastAsia="宋体" w:hint="default"/>
                <w:spacing w:val="-92"/>
                <w:sz w:val="18"/>
                <w:szCs w:val="18"/>
              </w:rPr>
              <w:t>。</w:t>
            </w:r>
            <w:r>
              <w:rPr>
                <w:rFonts w:ascii="宋体" w:hAnsi="宋体" w:cs="宋体" w:eastAsia="宋体" w:hint="default"/>
                <w:sz w:val="18"/>
                <w:szCs w:val="18"/>
              </w:rPr>
              <w:t>）</w:t>
            </w:r>
          </w:p>
        </w:tc>
        <w:tc>
          <w:tcPr>
            <w:tcW w:w="701" w:type="dxa"/>
            <w:gridSpan w:val="2"/>
            <w:tcBorders>
              <w:top w:val="nil" w:sz="6" w:space="0" w:color="auto"/>
              <w:left w:val="single" w:sz="4" w:space="0" w:color="000000"/>
              <w:bottom w:val="single" w:sz="4" w:space="0" w:color="000000"/>
              <w:right w:val="single" w:sz="4" w:space="0" w:color="000000"/>
            </w:tcBorders>
          </w:tcPr>
          <w:p>
            <w:pPr/>
          </w:p>
        </w:tc>
        <w:tc>
          <w:tcPr>
            <w:tcW w:w="701" w:type="dxa"/>
            <w:vMerge/>
            <w:tcBorders>
              <w:left w:val="single" w:sz="4" w:space="0" w:color="000000"/>
              <w:bottom w:val="single" w:sz="4" w:space="0" w:color="000000"/>
              <w:right w:val="single" w:sz="4" w:space="0" w:color="000000"/>
            </w:tcBorders>
          </w:tcPr>
          <w:p>
            <w:pPr/>
          </w:p>
        </w:tc>
        <w:tc>
          <w:tcPr>
            <w:tcW w:w="864" w:type="dxa"/>
            <w:tcBorders>
              <w:top w:val="nil" w:sz="6" w:space="0" w:color="auto"/>
              <w:left w:val="single" w:sz="4" w:space="0" w:color="000000"/>
              <w:bottom w:val="single" w:sz="4" w:space="0" w:color="000000"/>
              <w:right w:val="single" w:sz="4" w:space="0" w:color="000000"/>
            </w:tcBorders>
          </w:tcPr>
          <w:p>
            <w:pPr/>
          </w:p>
        </w:tc>
      </w:tr>
      <w:tr>
        <w:trPr>
          <w:trHeight w:val="355" w:hRule="exact"/>
        </w:trPr>
        <w:tc>
          <w:tcPr>
            <w:tcW w:w="968" w:type="dxa"/>
            <w:tcBorders>
              <w:top w:val="single" w:sz="4" w:space="0" w:color="000000"/>
              <w:left w:val="single" w:sz="4" w:space="0" w:color="000000"/>
              <w:bottom w:val="nil" w:sz="6" w:space="0" w:color="auto"/>
              <w:right w:val="single" w:sz="4" w:space="0" w:color="000000"/>
            </w:tcBorders>
          </w:tcPr>
          <w:p>
            <w:pPr/>
          </w:p>
        </w:tc>
        <w:tc>
          <w:tcPr>
            <w:tcW w:w="689" w:type="dxa"/>
            <w:tcBorders>
              <w:top w:val="single" w:sz="4" w:space="0" w:color="000000"/>
              <w:left w:val="single" w:sz="4" w:space="0" w:color="000000"/>
              <w:bottom w:val="nil" w:sz="6" w:space="0" w:color="auto"/>
              <w:right w:val="single" w:sz="4" w:space="0" w:color="000000"/>
            </w:tcBorders>
          </w:tcPr>
          <w:p>
            <w:pPr/>
          </w:p>
        </w:tc>
        <w:tc>
          <w:tcPr>
            <w:tcW w:w="552" w:type="dxa"/>
            <w:tcBorders>
              <w:top w:val="single" w:sz="4" w:space="0" w:color="000000"/>
              <w:left w:val="single" w:sz="4" w:space="0" w:color="000000"/>
              <w:bottom w:val="nil" w:sz="6" w:space="0" w:color="auto"/>
              <w:right w:val="single" w:sz="4" w:space="0" w:color="000000"/>
            </w:tcBorders>
          </w:tcPr>
          <w:p>
            <w:pPr/>
          </w:p>
        </w:tc>
        <w:tc>
          <w:tcPr>
            <w:tcW w:w="519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pacing w:val="-3"/>
                <w:sz w:val="18"/>
                <w:szCs w:val="18"/>
              </w:rPr>
              <w:t>大数据服务；云计算服务；物联网系统、智慧医疗系统、智能交通</w:t>
            </w:r>
          </w:p>
        </w:tc>
        <w:tc>
          <w:tcPr>
            <w:tcW w:w="701" w:type="dxa"/>
            <w:gridSpan w:val="2"/>
            <w:tcBorders>
              <w:top w:val="single" w:sz="4" w:space="0" w:color="000000"/>
              <w:left w:val="single" w:sz="4" w:space="0" w:color="000000"/>
              <w:bottom w:val="nil" w:sz="6" w:space="0" w:color="auto"/>
              <w:right w:val="single" w:sz="4" w:space="0" w:color="000000"/>
            </w:tcBorders>
          </w:tcPr>
          <w:p>
            <w:pPr/>
          </w:p>
        </w:tc>
        <w:tc>
          <w:tcPr>
            <w:tcW w:w="701" w:type="dxa"/>
            <w:vMerge w:val="restart"/>
            <w:tcBorders>
              <w:top w:val="single" w:sz="4" w:space="0" w:color="000000"/>
              <w:left w:val="single" w:sz="4" w:space="0" w:color="000000"/>
              <w:right w:val="single" w:sz="4" w:space="0" w:color="000000"/>
            </w:tcBorders>
          </w:tcPr>
          <w:p>
            <w:pPr/>
          </w:p>
        </w:tc>
        <w:tc>
          <w:tcPr>
            <w:tcW w:w="864"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968"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single" w:sz="4" w:space="0" w:color="000000"/>
            </w:tcBorders>
          </w:tcPr>
          <w:p>
            <w:pPr/>
          </w:p>
        </w:tc>
        <w:tc>
          <w:tcPr>
            <w:tcW w:w="552" w:type="dxa"/>
            <w:tcBorders>
              <w:top w:val="nil" w:sz="6" w:space="0" w:color="auto"/>
              <w:left w:val="single" w:sz="4" w:space="0" w:color="000000"/>
              <w:bottom w:val="nil" w:sz="6" w:space="0" w:color="auto"/>
              <w:right w:val="single" w:sz="4" w:space="0" w:color="000000"/>
            </w:tcBorders>
          </w:tcPr>
          <w:p>
            <w:pPr/>
          </w:p>
        </w:tc>
        <w:tc>
          <w:tcPr>
            <w:tcW w:w="51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系统、智能建筑系统的设计、技术开发、技术咨询、销售与集成服</w:t>
            </w:r>
          </w:p>
        </w:tc>
        <w:tc>
          <w:tcPr>
            <w:tcW w:w="701" w:type="dxa"/>
            <w:gridSpan w:val="2"/>
            <w:tcBorders>
              <w:top w:val="nil" w:sz="6" w:space="0" w:color="auto"/>
              <w:left w:val="single" w:sz="4" w:space="0" w:color="000000"/>
              <w:bottom w:val="nil" w:sz="6" w:space="0" w:color="auto"/>
              <w:right w:val="single" w:sz="4" w:space="0" w:color="000000"/>
            </w:tcBorders>
          </w:tcPr>
          <w:p>
            <w:pPr/>
          </w:p>
        </w:tc>
        <w:tc>
          <w:tcPr>
            <w:tcW w:w="701" w:type="dxa"/>
            <w:vMerge/>
            <w:tcBorders>
              <w:left w:val="single" w:sz="4" w:space="0" w:color="000000"/>
              <w:right w:val="single" w:sz="4" w:space="0" w:color="000000"/>
            </w:tcBorders>
          </w:tcPr>
          <w:p>
            <w:pPr/>
          </w:p>
        </w:tc>
        <w:tc>
          <w:tcPr>
            <w:tcW w:w="864" w:type="dxa"/>
            <w:tcBorders>
              <w:top w:val="nil" w:sz="6" w:space="0" w:color="auto"/>
              <w:left w:val="single" w:sz="4" w:space="0" w:color="000000"/>
              <w:bottom w:val="nil" w:sz="6" w:space="0" w:color="auto"/>
              <w:right w:val="single" w:sz="4" w:space="0" w:color="000000"/>
            </w:tcBorders>
          </w:tcPr>
          <w:p>
            <w:pPr/>
          </w:p>
        </w:tc>
      </w:tr>
      <w:tr>
        <w:trPr>
          <w:trHeight w:val="937" w:hRule="exact"/>
        </w:trPr>
        <w:tc>
          <w:tcPr>
            <w:tcW w:w="968" w:type="dxa"/>
            <w:tcBorders>
              <w:top w:val="nil" w:sz="6" w:space="0" w:color="auto"/>
              <w:left w:val="single" w:sz="4" w:space="0" w:color="000000"/>
              <w:bottom w:val="nil" w:sz="6" w:space="0" w:color="auto"/>
              <w:right w:val="single" w:sz="4" w:space="0" w:color="000000"/>
            </w:tcBorders>
          </w:tcPr>
          <w:p>
            <w:pPr>
              <w:pStyle w:val="TableParagraph"/>
              <w:spacing w:line="319" w:lineRule="auto" w:before="10"/>
              <w:ind w:left="24" w:right="33"/>
              <w:jc w:val="both"/>
              <w:rPr>
                <w:rFonts w:ascii="宋体" w:hAnsi="宋体" w:cs="宋体" w:eastAsia="宋体" w:hint="default"/>
                <w:sz w:val="18"/>
                <w:szCs w:val="18"/>
              </w:rPr>
            </w:pPr>
            <w:r>
              <w:rPr>
                <w:rFonts w:ascii="宋体" w:hAnsi="宋体" w:cs="宋体" w:eastAsia="宋体" w:hint="default"/>
                <w:sz w:val="18"/>
                <w:szCs w:val="18"/>
              </w:rPr>
              <w:t>达实智能科 技（成都） 有限公司</w:t>
            </w:r>
          </w:p>
        </w:tc>
        <w:tc>
          <w:tcPr>
            <w:tcW w:w="68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left="23" w:right="0"/>
              <w:jc w:val="left"/>
              <w:rPr>
                <w:rFonts w:ascii="宋体" w:hAnsi="宋体" w:cs="宋体" w:eastAsia="宋体" w:hint="default"/>
                <w:sz w:val="18"/>
                <w:szCs w:val="18"/>
              </w:rPr>
            </w:pPr>
            <w:r>
              <w:rPr>
                <w:rFonts w:ascii="宋体" w:hAnsi="宋体" w:cs="宋体" w:eastAsia="宋体" w:hint="default"/>
                <w:sz w:val="18"/>
                <w:szCs w:val="18"/>
              </w:rPr>
              <w:t>成都</w:t>
            </w:r>
          </w:p>
        </w:tc>
        <w:tc>
          <w:tcPr>
            <w:tcW w:w="5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left="24" w:right="0"/>
              <w:jc w:val="left"/>
              <w:rPr>
                <w:rFonts w:ascii="宋体" w:hAnsi="宋体" w:cs="宋体" w:eastAsia="宋体" w:hint="default"/>
                <w:sz w:val="18"/>
                <w:szCs w:val="18"/>
              </w:rPr>
            </w:pPr>
            <w:r>
              <w:rPr>
                <w:rFonts w:ascii="宋体" w:hAnsi="宋体" w:cs="宋体" w:eastAsia="宋体" w:hint="default"/>
                <w:sz w:val="18"/>
                <w:szCs w:val="18"/>
              </w:rPr>
              <w:t>成都</w:t>
            </w:r>
          </w:p>
        </w:tc>
        <w:tc>
          <w:tcPr>
            <w:tcW w:w="5195" w:type="dxa"/>
            <w:tcBorders>
              <w:top w:val="nil" w:sz="6" w:space="0" w:color="auto"/>
              <w:left w:val="single" w:sz="4" w:space="0" w:color="000000"/>
              <w:bottom w:val="nil" w:sz="6" w:space="0" w:color="auto"/>
              <w:right w:val="single" w:sz="4" w:space="0" w:color="000000"/>
            </w:tcBorders>
          </w:tcPr>
          <w:p>
            <w:pPr>
              <w:pStyle w:val="TableParagraph"/>
              <w:spacing w:line="319" w:lineRule="auto" w:before="10"/>
              <w:ind w:left="23" w:right="20"/>
              <w:jc w:val="both"/>
              <w:rPr>
                <w:rFonts w:ascii="宋体" w:hAnsi="宋体" w:cs="宋体" w:eastAsia="宋体" w:hint="default"/>
                <w:sz w:val="18"/>
                <w:szCs w:val="18"/>
              </w:rPr>
            </w:pPr>
            <w:r>
              <w:rPr>
                <w:rFonts w:ascii="宋体" w:hAnsi="宋体" w:cs="宋体" w:eastAsia="宋体" w:hint="default"/>
                <w:spacing w:val="-3"/>
                <w:sz w:val="18"/>
                <w:szCs w:val="18"/>
              </w:rPr>
              <w:t>务；智能终端设备与软件的技术开发、销售及技术服务；信息系统</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3"/>
                <w:sz w:val="18"/>
                <w:szCs w:val="18"/>
              </w:rPr>
              <w:t>集成服务；数据处理与存储服务；能源监测服务；合同能源管理服</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3"/>
                <w:sz w:val="18"/>
                <w:szCs w:val="18"/>
              </w:rPr>
              <w:t>务；新能源技术开发、咨询、设计服务；节能设计、评估、认证服</w:t>
            </w:r>
          </w:p>
        </w:tc>
        <w:tc>
          <w:tcPr>
            <w:tcW w:w="701"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23" w:right="0"/>
              <w:jc w:val="left"/>
              <w:rPr>
                <w:rFonts w:ascii="Times New Roman" w:hAnsi="Times New Roman" w:cs="Times New Roman" w:eastAsia="Times New Roman" w:hint="default"/>
                <w:sz w:val="18"/>
                <w:szCs w:val="18"/>
              </w:rPr>
            </w:pPr>
            <w:r>
              <w:rPr>
                <w:rFonts w:ascii="Times New Roman"/>
                <w:sz w:val="18"/>
              </w:rPr>
              <w:t>100.00%</w:t>
            </w:r>
          </w:p>
        </w:tc>
        <w:tc>
          <w:tcPr>
            <w:tcW w:w="701" w:type="dxa"/>
            <w:vMerge/>
            <w:tcBorders>
              <w:left w:val="single" w:sz="4" w:space="0" w:color="000000"/>
              <w:right w:val="single" w:sz="4" w:space="0" w:color="000000"/>
            </w:tcBorders>
          </w:tcPr>
          <w:p>
            <w:pPr/>
          </w:p>
        </w:tc>
        <w:tc>
          <w:tcPr>
            <w:tcW w:w="86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19" w:lineRule="auto"/>
              <w:ind w:left="23" w:right="108"/>
              <w:jc w:val="left"/>
              <w:rPr>
                <w:rFonts w:ascii="宋体" w:hAnsi="宋体" w:cs="宋体" w:eastAsia="宋体" w:hint="default"/>
                <w:sz w:val="18"/>
                <w:szCs w:val="18"/>
              </w:rPr>
            </w:pPr>
            <w:r>
              <w:rPr>
                <w:rFonts w:ascii="宋体" w:hAnsi="宋体" w:cs="宋体" w:eastAsia="宋体" w:hint="default"/>
                <w:sz w:val="18"/>
                <w:szCs w:val="18"/>
              </w:rPr>
              <w:t>通过设立 方式取得</w:t>
            </w:r>
          </w:p>
        </w:tc>
      </w:tr>
      <w:tr>
        <w:trPr>
          <w:trHeight w:val="312" w:hRule="exact"/>
        </w:trPr>
        <w:tc>
          <w:tcPr>
            <w:tcW w:w="968"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single" w:sz="4" w:space="0" w:color="000000"/>
            </w:tcBorders>
          </w:tcPr>
          <w:p>
            <w:pPr/>
          </w:p>
        </w:tc>
        <w:tc>
          <w:tcPr>
            <w:tcW w:w="552" w:type="dxa"/>
            <w:tcBorders>
              <w:top w:val="nil" w:sz="6" w:space="0" w:color="auto"/>
              <w:left w:val="single" w:sz="4" w:space="0" w:color="000000"/>
              <w:bottom w:val="nil" w:sz="6" w:space="0" w:color="auto"/>
              <w:right w:val="single" w:sz="4" w:space="0" w:color="000000"/>
            </w:tcBorders>
          </w:tcPr>
          <w:p>
            <w:pPr/>
          </w:p>
        </w:tc>
        <w:tc>
          <w:tcPr>
            <w:tcW w:w="51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务；节能工程施工；碳交易市场服务；机电工程；智能电网建设服</w:t>
            </w:r>
          </w:p>
        </w:tc>
        <w:tc>
          <w:tcPr>
            <w:tcW w:w="701" w:type="dxa"/>
            <w:gridSpan w:val="2"/>
            <w:tcBorders>
              <w:top w:val="nil" w:sz="6" w:space="0" w:color="auto"/>
              <w:left w:val="single" w:sz="4" w:space="0" w:color="000000"/>
              <w:bottom w:val="nil" w:sz="6" w:space="0" w:color="auto"/>
              <w:right w:val="single" w:sz="4" w:space="0" w:color="000000"/>
            </w:tcBorders>
          </w:tcPr>
          <w:p>
            <w:pPr/>
          </w:p>
        </w:tc>
        <w:tc>
          <w:tcPr>
            <w:tcW w:w="701" w:type="dxa"/>
            <w:vMerge/>
            <w:tcBorders>
              <w:left w:val="single" w:sz="4" w:space="0" w:color="000000"/>
              <w:right w:val="single" w:sz="4" w:space="0" w:color="000000"/>
            </w:tcBorders>
          </w:tcPr>
          <w:p>
            <w:pPr/>
          </w:p>
        </w:tc>
        <w:tc>
          <w:tcPr>
            <w:tcW w:w="864"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968" w:type="dxa"/>
            <w:tcBorders>
              <w:top w:val="nil" w:sz="6" w:space="0" w:color="auto"/>
              <w:left w:val="single" w:sz="4" w:space="0" w:color="000000"/>
              <w:bottom w:val="single" w:sz="4" w:space="0" w:color="000000"/>
              <w:right w:val="single" w:sz="4" w:space="0" w:color="000000"/>
            </w:tcBorders>
          </w:tcPr>
          <w:p>
            <w:pPr/>
          </w:p>
        </w:tc>
        <w:tc>
          <w:tcPr>
            <w:tcW w:w="689" w:type="dxa"/>
            <w:tcBorders>
              <w:top w:val="nil" w:sz="6" w:space="0" w:color="auto"/>
              <w:left w:val="single" w:sz="4" w:space="0" w:color="000000"/>
              <w:bottom w:val="single" w:sz="4" w:space="0" w:color="000000"/>
              <w:right w:val="single" w:sz="4" w:space="0" w:color="000000"/>
            </w:tcBorders>
          </w:tcPr>
          <w:p>
            <w:pPr/>
          </w:p>
        </w:tc>
        <w:tc>
          <w:tcPr>
            <w:tcW w:w="552" w:type="dxa"/>
            <w:tcBorders>
              <w:top w:val="nil" w:sz="6" w:space="0" w:color="auto"/>
              <w:left w:val="single" w:sz="4" w:space="0" w:color="000000"/>
              <w:bottom w:val="single" w:sz="4" w:space="0" w:color="000000"/>
              <w:right w:val="single" w:sz="4" w:space="0" w:color="000000"/>
            </w:tcBorders>
          </w:tcPr>
          <w:p>
            <w:pPr/>
          </w:p>
        </w:tc>
        <w:tc>
          <w:tcPr>
            <w:tcW w:w="519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务；电力系统设备销售</w:t>
            </w:r>
          </w:p>
        </w:tc>
        <w:tc>
          <w:tcPr>
            <w:tcW w:w="701" w:type="dxa"/>
            <w:gridSpan w:val="2"/>
            <w:tcBorders>
              <w:top w:val="nil" w:sz="6" w:space="0" w:color="auto"/>
              <w:left w:val="single" w:sz="4" w:space="0" w:color="000000"/>
              <w:bottom w:val="single" w:sz="4" w:space="0" w:color="000000"/>
              <w:right w:val="single" w:sz="4" w:space="0" w:color="000000"/>
            </w:tcBorders>
          </w:tcPr>
          <w:p>
            <w:pPr/>
          </w:p>
        </w:tc>
        <w:tc>
          <w:tcPr>
            <w:tcW w:w="701" w:type="dxa"/>
            <w:vMerge/>
            <w:tcBorders>
              <w:left w:val="single" w:sz="4" w:space="0" w:color="000000"/>
              <w:bottom w:val="single" w:sz="4" w:space="0" w:color="000000"/>
              <w:right w:val="single" w:sz="4" w:space="0" w:color="000000"/>
            </w:tcBorders>
          </w:tcPr>
          <w:p>
            <w:pPr/>
          </w:p>
        </w:tc>
        <w:tc>
          <w:tcPr>
            <w:tcW w:w="864" w:type="dxa"/>
            <w:tcBorders>
              <w:top w:val="nil" w:sz="6" w:space="0" w:color="auto"/>
              <w:left w:val="single" w:sz="4" w:space="0" w:color="000000"/>
              <w:bottom w:val="single" w:sz="4" w:space="0" w:color="000000"/>
              <w:right w:val="single" w:sz="4" w:space="0" w:color="000000"/>
            </w:tcBorders>
          </w:tcPr>
          <w:p>
            <w:pPr/>
          </w:p>
        </w:tc>
      </w:tr>
      <w:tr>
        <w:trPr>
          <w:trHeight w:val="1027" w:hRule="exact"/>
        </w:trPr>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33"/>
              <w:jc w:val="both"/>
              <w:rPr>
                <w:rFonts w:ascii="宋体" w:hAnsi="宋体" w:cs="宋体" w:eastAsia="宋体" w:hint="default"/>
                <w:sz w:val="18"/>
                <w:szCs w:val="18"/>
              </w:rPr>
            </w:pPr>
            <w:r>
              <w:rPr>
                <w:rFonts w:ascii="宋体" w:hAnsi="宋体" w:cs="宋体" w:eastAsia="宋体" w:hint="default"/>
                <w:sz w:val="18"/>
                <w:szCs w:val="18"/>
              </w:rPr>
              <w:t>深圳达实物 联网技术有 限公司</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5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开发、集成、销售物联网系统并提供相应的技术服务。</w:t>
            </w:r>
          </w:p>
        </w:tc>
        <w:tc>
          <w:tcPr>
            <w:tcW w:w="7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100.00%</w:t>
            </w:r>
          </w:p>
        </w:tc>
        <w:tc>
          <w:tcPr>
            <w:tcW w:w="70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108"/>
              <w:jc w:val="left"/>
              <w:rPr>
                <w:rFonts w:ascii="宋体" w:hAnsi="宋体" w:cs="宋体" w:eastAsia="宋体" w:hint="default"/>
                <w:sz w:val="18"/>
                <w:szCs w:val="18"/>
              </w:rPr>
            </w:pPr>
            <w:r>
              <w:rPr>
                <w:rFonts w:ascii="宋体" w:hAnsi="宋体" w:cs="宋体" w:eastAsia="宋体" w:hint="default"/>
                <w:sz w:val="18"/>
                <w:szCs w:val="18"/>
              </w:rPr>
              <w:t>达实信息 分立</w:t>
            </w:r>
          </w:p>
        </w:tc>
      </w:tr>
      <w:tr>
        <w:trPr>
          <w:trHeight w:val="674" w:hRule="exact"/>
        </w:trPr>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33"/>
              <w:jc w:val="left"/>
              <w:rPr>
                <w:rFonts w:ascii="宋体" w:hAnsi="宋体" w:cs="宋体" w:eastAsia="宋体" w:hint="default"/>
                <w:sz w:val="18"/>
                <w:szCs w:val="18"/>
              </w:rPr>
            </w:pPr>
            <w:r>
              <w:rPr>
                <w:rFonts w:ascii="宋体" w:hAnsi="宋体" w:cs="宋体" w:eastAsia="宋体" w:hint="default"/>
                <w:sz w:val="18"/>
                <w:szCs w:val="18"/>
              </w:rPr>
              <w:t>青岛达实智 慧科技有限</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青岛</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青岛</w:t>
            </w:r>
          </w:p>
        </w:tc>
        <w:tc>
          <w:tcPr>
            <w:tcW w:w="5195"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3" w:right="19"/>
              <w:jc w:val="left"/>
              <w:rPr>
                <w:rFonts w:ascii="宋体" w:hAnsi="宋体" w:cs="宋体" w:eastAsia="宋体" w:hint="default"/>
                <w:sz w:val="18"/>
                <w:szCs w:val="18"/>
              </w:rPr>
            </w:pPr>
            <w:r>
              <w:rPr>
                <w:rFonts w:ascii="宋体" w:hAnsi="宋体" w:cs="宋体" w:eastAsia="宋体" w:hint="default"/>
                <w:sz w:val="18"/>
                <w:szCs w:val="18"/>
              </w:rPr>
              <w:t>互联网、云计算软件与平台服务</w:t>
            </w:r>
            <w:r>
              <w:rPr>
                <w:rFonts w:ascii="Times New Roman" w:hAnsi="Times New Roman" w:cs="Times New Roman" w:eastAsia="Times New Roman" w:hint="default"/>
                <w:sz w:val="18"/>
                <w:szCs w:val="18"/>
              </w:rPr>
              <w:t>;</w:t>
            </w:r>
            <w:r>
              <w:rPr>
                <w:rFonts w:ascii="宋体" w:hAnsi="宋体" w:cs="宋体" w:eastAsia="宋体" w:hint="default"/>
                <w:sz w:val="18"/>
                <w:szCs w:val="18"/>
              </w:rPr>
              <w:t>物联网系统研发与应用服务</w:t>
            </w:r>
            <w:r>
              <w:rPr>
                <w:rFonts w:ascii="Times New Roman" w:hAnsi="Times New Roman" w:cs="Times New Roman" w:eastAsia="Times New Roman" w:hint="default"/>
                <w:sz w:val="18"/>
                <w:szCs w:val="18"/>
              </w:rPr>
              <w:t>;</w:t>
            </w:r>
            <w:r>
              <w:rPr>
                <w:rFonts w:ascii="宋体" w:hAnsi="宋体" w:cs="宋体" w:eastAsia="宋体" w:hint="default"/>
                <w:sz w:val="18"/>
                <w:szCs w:val="18"/>
              </w:rPr>
              <w:t>智慧 医疗信息系统研发与集成服务</w:t>
            </w:r>
            <w:r>
              <w:rPr>
                <w:rFonts w:ascii="Times New Roman" w:hAnsi="Times New Roman" w:cs="Times New Roman" w:eastAsia="Times New Roman" w:hint="default"/>
                <w:sz w:val="18"/>
                <w:szCs w:val="18"/>
              </w:rPr>
              <w:t>;</w:t>
            </w:r>
            <w:r>
              <w:rPr>
                <w:rFonts w:ascii="宋体" w:hAnsi="宋体" w:cs="宋体" w:eastAsia="宋体" w:hint="default"/>
                <w:sz w:val="18"/>
                <w:szCs w:val="18"/>
              </w:rPr>
              <w:t>医疗大数据开发与应用服务</w:t>
            </w:r>
            <w:r>
              <w:rPr>
                <w:rFonts w:ascii="Times New Roman" w:hAnsi="Times New Roman" w:cs="Times New Roman" w:eastAsia="Times New Roman" w:hint="default"/>
                <w:sz w:val="18"/>
                <w:szCs w:val="18"/>
              </w:rPr>
              <w:t>;</w:t>
            </w:r>
            <w:r>
              <w:rPr>
                <w:rFonts w:ascii="宋体" w:hAnsi="宋体" w:cs="宋体" w:eastAsia="宋体" w:hint="default"/>
                <w:sz w:val="18"/>
                <w:szCs w:val="18"/>
              </w:rPr>
              <w:t>医疗</w:t>
            </w:r>
          </w:p>
        </w:tc>
        <w:tc>
          <w:tcPr>
            <w:tcW w:w="7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100.00%</w:t>
            </w:r>
          </w:p>
        </w:tc>
        <w:tc>
          <w:tcPr>
            <w:tcW w:w="70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通过设立</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968"/>
        <w:gridCol w:w="689"/>
        <w:gridCol w:w="552"/>
        <w:gridCol w:w="5195"/>
        <w:gridCol w:w="701"/>
        <w:gridCol w:w="701"/>
        <w:gridCol w:w="864"/>
      </w:tblGrid>
      <w:tr>
        <w:trPr>
          <w:trHeight w:val="363" w:hRule="exact"/>
        </w:trPr>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689" w:type="dxa"/>
            <w:tcBorders>
              <w:top w:val="single" w:sz="4" w:space="0" w:color="000000"/>
              <w:left w:val="single" w:sz="4" w:space="0" w:color="000000"/>
              <w:bottom w:val="single" w:sz="4" w:space="0" w:color="000000"/>
              <w:right w:val="single" w:sz="4" w:space="0" w:color="000000"/>
            </w:tcBorders>
          </w:tcPr>
          <w:p>
            <w:pPr/>
          </w:p>
        </w:tc>
        <w:tc>
          <w:tcPr>
            <w:tcW w:w="552" w:type="dxa"/>
            <w:tcBorders>
              <w:top w:val="single" w:sz="4" w:space="0" w:color="000000"/>
              <w:left w:val="single" w:sz="4" w:space="0" w:color="000000"/>
              <w:bottom w:val="single" w:sz="4" w:space="0" w:color="000000"/>
              <w:right w:val="single" w:sz="4" w:space="0" w:color="000000"/>
            </w:tcBorders>
          </w:tcPr>
          <w:p>
            <w:pPr/>
          </w:p>
        </w:tc>
        <w:tc>
          <w:tcPr>
            <w:tcW w:w="5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专业系统咨询、设计、集成服务</w:t>
            </w:r>
            <w:r>
              <w:rPr>
                <w:rFonts w:ascii="Times New Roman" w:hAnsi="Times New Roman" w:cs="Times New Roman" w:eastAsia="Times New Roman" w:hint="default"/>
                <w:sz w:val="18"/>
                <w:szCs w:val="18"/>
              </w:rPr>
              <w:t>;</w:t>
            </w:r>
            <w:r>
              <w:rPr>
                <w:rFonts w:ascii="宋体" w:hAnsi="宋体" w:cs="宋体" w:eastAsia="宋体" w:hint="default"/>
                <w:sz w:val="18"/>
                <w:szCs w:val="18"/>
              </w:rPr>
              <w:t>医疗投资管理</w:t>
            </w:r>
          </w:p>
        </w:tc>
        <w:tc>
          <w:tcPr>
            <w:tcW w:w="701"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方式取得</w:t>
            </w:r>
          </w:p>
        </w:tc>
      </w:tr>
      <w:tr>
        <w:trPr>
          <w:trHeight w:val="1025" w:hRule="exact"/>
        </w:trPr>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33"/>
              <w:jc w:val="both"/>
              <w:rPr>
                <w:rFonts w:ascii="宋体" w:hAnsi="宋体" w:cs="宋体" w:eastAsia="宋体" w:hint="default"/>
                <w:sz w:val="18"/>
                <w:szCs w:val="18"/>
              </w:rPr>
            </w:pPr>
            <w:r>
              <w:rPr>
                <w:rFonts w:ascii="宋体" w:hAnsi="宋体" w:cs="宋体" w:eastAsia="宋体" w:hint="default"/>
                <w:sz w:val="18"/>
                <w:szCs w:val="18"/>
              </w:rPr>
              <w:t>淮南达实智 慧医疗有限 公司</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淮南</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淮南</w:t>
            </w:r>
          </w:p>
        </w:tc>
        <w:tc>
          <w:tcPr>
            <w:tcW w:w="5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120"/>
              <w:jc w:val="left"/>
              <w:rPr>
                <w:rFonts w:ascii="宋体" w:hAnsi="宋体" w:cs="宋体" w:eastAsia="宋体" w:hint="default"/>
                <w:sz w:val="18"/>
                <w:szCs w:val="18"/>
              </w:rPr>
            </w:pPr>
            <w:r>
              <w:rPr>
                <w:rFonts w:ascii="宋体" w:hAnsi="宋体" w:cs="宋体" w:eastAsia="宋体" w:hint="default"/>
                <w:sz w:val="18"/>
                <w:szCs w:val="18"/>
              </w:rPr>
              <w:t>健康体检服务，医养一体化健康服务，健康养生管理及咨询服务 医疗和健康养生项目投资、建设、运营。</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17" w:lineRule="exact"/>
              <w:ind w:left="-131"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88" w:lineRule="exact"/>
              <w:ind w:left="115" w:right="0"/>
              <w:jc w:val="left"/>
              <w:rPr>
                <w:rFonts w:ascii="Times New Roman" w:hAnsi="Times New Roman" w:cs="Times New Roman" w:eastAsia="Times New Roman" w:hint="default"/>
                <w:sz w:val="18"/>
                <w:szCs w:val="18"/>
              </w:rPr>
            </w:pPr>
            <w:r>
              <w:rPr>
                <w:rFonts w:ascii="Times New Roman"/>
                <w:sz w:val="18"/>
              </w:rPr>
              <w:t>99.00%</w:t>
            </w:r>
          </w:p>
        </w:tc>
        <w:tc>
          <w:tcPr>
            <w:tcW w:w="70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108"/>
              <w:jc w:val="left"/>
              <w:rPr>
                <w:rFonts w:ascii="宋体" w:hAnsi="宋体" w:cs="宋体" w:eastAsia="宋体" w:hint="default"/>
                <w:sz w:val="18"/>
                <w:szCs w:val="18"/>
              </w:rPr>
            </w:pPr>
            <w:r>
              <w:rPr>
                <w:rFonts w:ascii="宋体" w:hAnsi="宋体" w:cs="宋体" w:eastAsia="宋体" w:hint="default"/>
                <w:sz w:val="18"/>
                <w:szCs w:val="18"/>
              </w:rPr>
              <w:t>通过设立 方式取得</w:t>
            </w:r>
          </w:p>
        </w:tc>
      </w:tr>
      <w:tr>
        <w:trPr>
          <w:trHeight w:val="1027" w:hRule="exact"/>
        </w:trPr>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4" w:right="33"/>
              <w:jc w:val="left"/>
              <w:rPr>
                <w:rFonts w:ascii="宋体" w:hAnsi="宋体" w:cs="宋体" w:eastAsia="宋体" w:hint="default"/>
                <w:sz w:val="18"/>
                <w:szCs w:val="18"/>
              </w:rPr>
            </w:pPr>
            <w:r>
              <w:rPr>
                <w:rFonts w:ascii="宋体" w:hAnsi="宋体" w:cs="宋体" w:eastAsia="宋体" w:hint="default"/>
                <w:sz w:val="18"/>
                <w:szCs w:val="18"/>
              </w:rPr>
              <w:t>平行咨询有 限公司</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5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信息咨询、管理咨询、战略咨询和营销咨询。</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100.00%</w:t>
            </w:r>
          </w:p>
        </w:tc>
        <w:tc>
          <w:tcPr>
            <w:tcW w:w="701"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08"/>
              <w:jc w:val="both"/>
              <w:rPr>
                <w:rFonts w:ascii="宋体" w:hAnsi="宋体" w:cs="宋体" w:eastAsia="宋体" w:hint="default"/>
                <w:sz w:val="18"/>
                <w:szCs w:val="18"/>
              </w:rPr>
            </w:pPr>
            <w:r>
              <w:rPr>
                <w:rFonts w:ascii="宋体" w:hAnsi="宋体" w:cs="宋体" w:eastAsia="宋体" w:hint="default"/>
                <w:sz w:val="18"/>
                <w:szCs w:val="18"/>
              </w:rPr>
              <w:t>购买少数 股东权益 方式取得</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1133"/>
        <w:jc w:val="left"/>
        <w:rPr>
          <w:b w:val="0"/>
          <w:bCs w:val="0"/>
        </w:rPr>
      </w:pPr>
      <w:r>
        <w:rPr/>
        <w:pict>
          <v:group style="position:absolute;margin-left:427.029999pt;margin-top:-115.176331pt;width:34.6pt;height:35.8pt;mso-position-horizontal-relative:page;mso-position-vertical-relative:paragraph;z-index:-1093864" coordorigin="8541,-2304" coordsize="692,716">
            <v:group style="position:absolute;left:8541;top:-2304;width:692;height:312" coordorigin="8541,-2304" coordsize="692,312">
              <v:shape style="position:absolute;left:8541;top:-2304;width:692;height:312" coordorigin="8541,-2304" coordsize="692,312" path="m8541,-1992l9232,-1992,9232,-2304,8541,-2304,8541,-1992xe" filled="true" fillcolor="#ffffff" stroked="false">
                <v:path arrowok="t"/>
                <v:fill type="solid"/>
              </v:shape>
            </v:group>
            <v:group style="position:absolute;left:8553;top:-1992;width:2;height:392" coordorigin="8553,-1992" coordsize="2,392">
              <v:shape style="position:absolute;left:8553;top:-1992;width:2;height:392" coordorigin="8553,-1992" coordsize="0,392" path="m8553,-1992l8553,-1600e" filled="false" stroked="true" strokeweight="1.2pt" strokecolor="#ffffff">
                <v:path arrowok="t"/>
              </v:shape>
            </v:group>
            <v:group style="position:absolute;left:8565;top:-1992;width:647;height:392" coordorigin="8565,-1992" coordsize="647,392">
              <v:shape style="position:absolute;left:8565;top:-1992;width:647;height:392" coordorigin="8565,-1992" coordsize="647,392" path="m8565,-1600l9211,-1600,9211,-1992,8565,-1992,8565,-1600xe" filled="true" fillcolor="#ffffff" stroked="false">
                <v:path arrowok="t"/>
                <v:fill type="solid"/>
              </v:shape>
            </v:group>
            <w10:wrap type="none"/>
          </v:group>
        </w:pict>
      </w:r>
      <w:bookmarkStart w:name="（2）重要的非全资子公司" w:id="362"/>
      <w:bookmarkEnd w:id="362"/>
      <w:r>
        <w:rPr>
          <w:b w:val="0"/>
          <w:bCs w:val="0"/>
        </w:rPr>
      </w:r>
      <w:r>
        <w:rPr/>
        <w:t>（</w:t>
      </w:r>
      <w:r>
        <w:rPr>
          <w:rFonts w:ascii="Times New Roman" w:hAnsi="Times New Roman" w:cs="Times New Roman" w:eastAsia="Times New Roman" w:hint="default"/>
        </w:rPr>
        <w:t>2</w:t>
      </w:r>
      <w:r>
        <w:rPr/>
        <w:t>）重要的非全资子公司</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7"/>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3006"/>
        <w:gridCol w:w="1135"/>
        <w:gridCol w:w="1671"/>
        <w:gridCol w:w="2163"/>
        <w:gridCol w:w="1723"/>
      </w:tblGrid>
      <w:tr>
        <w:trPr>
          <w:trHeight w:val="761" w:hRule="exact"/>
        </w:trPr>
        <w:tc>
          <w:tcPr>
            <w:tcW w:w="30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71"/>
              <w:ind w:left="295" w:right="108" w:hanging="180"/>
              <w:jc w:val="left"/>
              <w:rPr>
                <w:rFonts w:ascii="宋体" w:hAnsi="宋体" w:cs="宋体" w:eastAsia="宋体" w:hint="default"/>
                <w:sz w:val="18"/>
                <w:szCs w:val="18"/>
              </w:rPr>
            </w:pPr>
            <w:r>
              <w:rPr>
                <w:rFonts w:ascii="宋体" w:hAnsi="宋体" w:cs="宋体" w:eastAsia="宋体" w:hint="default"/>
                <w:sz w:val="18"/>
                <w:szCs w:val="18"/>
              </w:rPr>
              <w:t>少数股东持 股比例</w:t>
            </w:r>
          </w:p>
        </w:tc>
        <w:tc>
          <w:tcPr>
            <w:tcW w:w="16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71"/>
              <w:ind w:left="470" w:right="108" w:hanging="360"/>
              <w:jc w:val="left"/>
              <w:rPr>
                <w:rFonts w:ascii="宋体" w:hAnsi="宋体" w:cs="宋体" w:eastAsia="宋体" w:hint="default"/>
                <w:sz w:val="18"/>
                <w:szCs w:val="18"/>
              </w:rPr>
            </w:pPr>
            <w:r>
              <w:rPr>
                <w:rFonts w:ascii="宋体" w:hAnsi="宋体" w:cs="宋体" w:eastAsia="宋体" w:hint="default"/>
                <w:sz w:val="18"/>
                <w:szCs w:val="18"/>
              </w:rPr>
              <w:t>本期归属于少数股 东的损益</w:t>
            </w:r>
          </w:p>
        </w:tc>
        <w:tc>
          <w:tcPr>
            <w:tcW w:w="2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71"/>
              <w:ind w:left="806" w:right="86" w:hanging="720"/>
              <w:jc w:val="left"/>
              <w:rPr>
                <w:rFonts w:ascii="宋体" w:hAnsi="宋体" w:cs="宋体" w:eastAsia="宋体" w:hint="default"/>
                <w:sz w:val="18"/>
                <w:szCs w:val="18"/>
              </w:rPr>
            </w:pPr>
            <w:r>
              <w:rPr>
                <w:rFonts w:ascii="宋体" w:hAnsi="宋体" w:cs="宋体" w:eastAsia="宋体" w:hint="default"/>
                <w:sz w:val="18"/>
                <w:szCs w:val="18"/>
              </w:rPr>
              <w:t>本期向少数股东宣告分派 的股利</w:t>
            </w:r>
          </w:p>
        </w:tc>
        <w:tc>
          <w:tcPr>
            <w:tcW w:w="17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71"/>
              <w:ind w:left="768" w:right="43" w:hanging="720"/>
              <w:jc w:val="left"/>
              <w:rPr>
                <w:rFonts w:ascii="宋体" w:hAnsi="宋体" w:cs="宋体" w:eastAsia="宋体" w:hint="default"/>
                <w:sz w:val="18"/>
                <w:szCs w:val="18"/>
              </w:rPr>
            </w:pPr>
            <w:r>
              <w:rPr>
                <w:rFonts w:ascii="宋体" w:hAnsi="宋体" w:cs="宋体" w:eastAsia="宋体" w:hint="default"/>
                <w:sz w:val="18"/>
                <w:szCs w:val="18"/>
              </w:rPr>
              <w:t>期末少数股东权益余 额</w:t>
            </w:r>
          </w:p>
        </w:tc>
      </w:tr>
      <w:tr>
        <w:trPr>
          <w:trHeight w:val="401" w:hRule="exact"/>
        </w:trPr>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淮南达实智慧城市投资发展有限公司</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30.00%</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-1,243,672.42</w:t>
            </w:r>
          </w:p>
        </w:tc>
        <w:tc>
          <w:tcPr>
            <w:tcW w:w="2163" w:type="dxa"/>
            <w:tcBorders>
              <w:top w:val="single" w:sz="4" w:space="0" w:color="000000"/>
              <w:left w:val="single" w:sz="4" w:space="0" w:color="000000"/>
              <w:bottom w:val="single" w:sz="4" w:space="0" w:color="000000"/>
              <w:right w:val="single" w:sz="4" w:space="0" w:color="000000"/>
            </w:tcBorders>
          </w:tcPr>
          <w:p>
            <w:pP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10,463,402.80</w:t>
            </w:r>
          </w:p>
        </w:tc>
      </w:tr>
      <w:tr>
        <w:trPr>
          <w:trHeight w:val="403" w:hRule="exact"/>
        </w:trPr>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江苏洪泽湖达实智慧医养有限公司</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30.23%</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-396,777.84</w:t>
            </w:r>
          </w:p>
        </w:tc>
        <w:tc>
          <w:tcPr>
            <w:tcW w:w="2163" w:type="dxa"/>
            <w:tcBorders>
              <w:top w:val="single" w:sz="4" w:space="0" w:color="000000"/>
              <w:left w:val="single" w:sz="4" w:space="0" w:color="000000"/>
              <w:bottom w:val="single" w:sz="4" w:space="0" w:color="000000"/>
              <w:right w:val="single" w:sz="4" w:space="0" w:color="000000"/>
            </w:tcBorders>
          </w:tcPr>
          <w:p>
            <w:pP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57,160,590.75</w:t>
            </w:r>
          </w:p>
        </w:tc>
      </w:tr>
      <w:tr>
        <w:trPr>
          <w:trHeight w:val="401" w:hRule="exact"/>
        </w:trPr>
        <w:tc>
          <w:tcPr>
            <w:tcW w:w="3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湖南桃江达实智慧医养有限公司</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10.00%</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-72,836.27</w:t>
            </w:r>
          </w:p>
        </w:tc>
        <w:tc>
          <w:tcPr>
            <w:tcW w:w="2163" w:type="dxa"/>
            <w:tcBorders>
              <w:top w:val="single" w:sz="4" w:space="0" w:color="000000"/>
              <w:left w:val="single" w:sz="4" w:space="0" w:color="000000"/>
              <w:bottom w:val="single" w:sz="4" w:space="0" w:color="000000"/>
              <w:right w:val="single" w:sz="4" w:space="0" w:color="000000"/>
            </w:tcBorders>
          </w:tcPr>
          <w:p>
            <w:pP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-115,568.07</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3）重要非全资子公司的主要财务信息" w:id="363"/>
      <w:bookmarkEnd w:id="363"/>
      <w:r>
        <w:rPr>
          <w:b w:val="0"/>
          <w:bCs w:val="0"/>
        </w:rPr>
      </w:r>
      <w:r>
        <w:rPr/>
        <w:t>（</w:t>
      </w:r>
      <w:r>
        <w:rPr>
          <w:rFonts w:ascii="Times New Roman" w:hAnsi="Times New Roman" w:cs="Times New Roman" w:eastAsia="Times New Roman" w:hint="default"/>
        </w:rPr>
        <w:t>3</w:t>
      </w:r>
      <w:r>
        <w:rPr/>
        <w:t>）重要非全资子公司的主要财务信息</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737"/>
        <w:gridCol w:w="734"/>
        <w:gridCol w:w="737"/>
        <w:gridCol w:w="737"/>
        <w:gridCol w:w="734"/>
        <w:gridCol w:w="737"/>
        <w:gridCol w:w="734"/>
        <w:gridCol w:w="735"/>
        <w:gridCol w:w="734"/>
        <w:gridCol w:w="737"/>
        <w:gridCol w:w="737"/>
        <w:gridCol w:w="734"/>
        <w:gridCol w:w="737"/>
      </w:tblGrid>
      <w:tr>
        <w:trPr>
          <w:trHeight w:val="402" w:hRule="exact"/>
        </w:trPr>
        <w:tc>
          <w:tcPr>
            <w:tcW w:w="73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319" w:lineRule="auto"/>
              <w:ind w:left="182" w:right="92" w:hanging="90"/>
              <w:jc w:val="left"/>
              <w:rPr>
                <w:rFonts w:ascii="宋体" w:hAnsi="宋体" w:cs="宋体" w:eastAsia="宋体" w:hint="default"/>
                <w:sz w:val="18"/>
                <w:szCs w:val="18"/>
              </w:rPr>
            </w:pPr>
            <w:r>
              <w:rPr>
                <w:rFonts w:ascii="宋体" w:hAnsi="宋体" w:cs="宋体" w:eastAsia="宋体" w:hint="default"/>
                <w:sz w:val="18"/>
                <w:szCs w:val="18"/>
              </w:rPr>
              <w:t>子公司 名称</w:t>
            </w:r>
          </w:p>
        </w:tc>
        <w:tc>
          <w:tcPr>
            <w:tcW w:w="4414"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415"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713" w:hRule="exact"/>
        </w:trPr>
        <w:tc>
          <w:tcPr>
            <w:tcW w:w="737" w:type="dxa"/>
            <w:vMerge/>
            <w:tcBorders>
              <w:left w:val="single" w:sz="4" w:space="0" w:color="000000"/>
              <w:bottom w:val="single" w:sz="4" w:space="0" w:color="000000"/>
              <w:right w:val="single" w:sz="4" w:space="0" w:color="000000"/>
            </w:tcBorders>
            <w:shd w:val="clear" w:color="auto" w:fill="D2D2D2"/>
          </w:tcPr>
          <w:p>
            <w:pP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73" w:right="89"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82" w:right="91" w:hanging="89"/>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73" w:right="92"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73" w:right="89"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82" w:right="91" w:hanging="89"/>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73" w:right="89" w:hanging="180"/>
              <w:jc w:val="left"/>
              <w:rPr>
                <w:rFonts w:ascii="宋体" w:hAnsi="宋体" w:cs="宋体" w:eastAsia="宋体" w:hint="default"/>
                <w:sz w:val="18"/>
                <w:szCs w:val="18"/>
              </w:rPr>
            </w:pPr>
            <w:r>
              <w:rPr>
                <w:rFonts w:ascii="宋体" w:hAnsi="宋体" w:cs="宋体" w:eastAsia="宋体" w:hint="default"/>
                <w:sz w:val="18"/>
                <w:szCs w:val="18"/>
              </w:rPr>
              <w:t>负债合 计</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74" w:right="89"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82" w:right="89" w:hanging="89"/>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73" w:right="91"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73" w:right="92"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82" w:right="89" w:hanging="89"/>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73" w:right="91" w:hanging="180"/>
              <w:jc w:val="left"/>
              <w:rPr>
                <w:rFonts w:ascii="宋体" w:hAnsi="宋体" w:cs="宋体" w:eastAsia="宋体" w:hint="default"/>
                <w:sz w:val="18"/>
                <w:szCs w:val="18"/>
              </w:rPr>
            </w:pPr>
            <w:r>
              <w:rPr>
                <w:rFonts w:ascii="宋体" w:hAnsi="宋体" w:cs="宋体" w:eastAsia="宋体" w:hint="default"/>
                <w:sz w:val="18"/>
                <w:szCs w:val="18"/>
              </w:rPr>
              <w:t>负债合 计</w:t>
            </w:r>
          </w:p>
        </w:tc>
      </w:tr>
      <w:tr>
        <w:trPr>
          <w:trHeight w:val="1963" w:hRule="exact"/>
        </w:trPr>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61"/>
              <w:jc w:val="both"/>
              <w:rPr>
                <w:rFonts w:ascii="宋体" w:hAnsi="宋体" w:cs="宋体" w:eastAsia="宋体" w:hint="default"/>
                <w:sz w:val="18"/>
                <w:szCs w:val="18"/>
              </w:rPr>
            </w:pPr>
            <w:r>
              <w:rPr>
                <w:rFonts w:ascii="宋体" w:hAnsi="宋体" w:cs="宋体" w:eastAsia="宋体" w:hint="default"/>
                <w:sz w:val="18"/>
                <w:szCs w:val="18"/>
              </w:rPr>
              <w:t>淮南达 实智慧 城市投 资发展 有限公 司</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20,618,3</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80.51</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82,678,8</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89.77</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103,297,</w:t>
            </w:r>
          </w:p>
          <w:p>
            <w:pPr>
              <w:pStyle w:val="TableParagraph"/>
              <w:spacing w:line="240" w:lineRule="auto" w:before="102"/>
              <w:ind w:left="184" w:right="0"/>
              <w:jc w:val="center"/>
              <w:rPr>
                <w:rFonts w:ascii="Times New Roman" w:hAnsi="Times New Roman" w:cs="Times New Roman" w:eastAsia="Times New Roman" w:hint="default"/>
                <w:sz w:val="18"/>
                <w:szCs w:val="18"/>
              </w:rPr>
            </w:pPr>
            <w:r>
              <w:rPr>
                <w:rFonts w:ascii="Times New Roman"/>
                <w:sz w:val="18"/>
              </w:rPr>
              <w:t>270.28</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25,649,1</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60.93</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42,770,1</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00.00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68,419,2</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60.93</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18,308,4</w:t>
            </w:r>
          </w:p>
          <w:p>
            <w:pPr>
              <w:pStyle w:val="TableParagraph"/>
              <w:spacing w:line="240" w:lineRule="auto" w:before="102"/>
              <w:ind w:left="298" w:right="0"/>
              <w:jc w:val="left"/>
              <w:rPr>
                <w:rFonts w:ascii="Times New Roman" w:hAnsi="Times New Roman" w:cs="Times New Roman" w:eastAsia="Times New Roman" w:hint="default"/>
                <w:sz w:val="18"/>
                <w:szCs w:val="18"/>
              </w:rPr>
            </w:pPr>
            <w:r>
              <w:rPr>
                <w:rFonts w:ascii="Times New Roman"/>
                <w:sz w:val="18"/>
              </w:rPr>
              <w:t>74.84</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95,507,0</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02.59</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56" w:right="0"/>
              <w:jc w:val="center"/>
              <w:rPr>
                <w:rFonts w:ascii="Times New Roman" w:hAnsi="Times New Roman" w:cs="Times New Roman" w:eastAsia="Times New Roman" w:hint="default"/>
                <w:sz w:val="18"/>
                <w:szCs w:val="18"/>
              </w:rPr>
            </w:pPr>
            <w:r>
              <w:rPr>
                <w:rFonts w:ascii="Times New Roman"/>
                <w:sz w:val="18"/>
              </w:rPr>
              <w:t>113,815,</w:t>
            </w:r>
          </w:p>
          <w:p>
            <w:pPr>
              <w:pStyle w:val="TableParagraph"/>
              <w:spacing w:line="240" w:lineRule="auto" w:before="102"/>
              <w:ind w:left="185" w:right="0"/>
              <w:jc w:val="center"/>
              <w:rPr>
                <w:rFonts w:ascii="Times New Roman" w:hAnsi="Times New Roman" w:cs="Times New Roman" w:eastAsia="Times New Roman" w:hint="default"/>
                <w:sz w:val="18"/>
                <w:szCs w:val="18"/>
              </w:rPr>
            </w:pPr>
            <w:r>
              <w:rPr>
                <w:rFonts w:ascii="Times New Roman"/>
                <w:sz w:val="18"/>
              </w:rPr>
              <w:t>477.43</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18,366,4</w:t>
            </w:r>
          </w:p>
          <w:p>
            <w:pPr>
              <w:pStyle w:val="TableParagraph"/>
              <w:spacing w:line="240" w:lineRule="auto" w:before="102"/>
              <w:ind w:left="299" w:right="0"/>
              <w:jc w:val="left"/>
              <w:rPr>
                <w:rFonts w:ascii="Times New Roman" w:hAnsi="Times New Roman" w:cs="Times New Roman" w:eastAsia="Times New Roman" w:hint="default"/>
                <w:sz w:val="18"/>
                <w:szCs w:val="18"/>
              </w:rPr>
            </w:pPr>
            <w:r>
              <w:rPr>
                <w:rFonts w:ascii="Times New Roman"/>
                <w:sz w:val="18"/>
              </w:rPr>
              <w:t>10.02</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56,484,7</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00.00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74,851,1</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10.02</w:t>
            </w:r>
          </w:p>
        </w:tc>
      </w:tr>
      <w:tr>
        <w:trPr>
          <w:trHeight w:val="1649" w:hRule="exact"/>
        </w:trPr>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61"/>
              <w:jc w:val="both"/>
              <w:rPr>
                <w:rFonts w:ascii="宋体" w:hAnsi="宋体" w:cs="宋体" w:eastAsia="宋体" w:hint="default"/>
                <w:sz w:val="18"/>
                <w:szCs w:val="18"/>
              </w:rPr>
            </w:pPr>
            <w:r>
              <w:rPr>
                <w:rFonts w:ascii="宋体" w:hAnsi="宋体" w:cs="宋体" w:eastAsia="宋体" w:hint="default"/>
                <w:sz w:val="18"/>
                <w:szCs w:val="18"/>
              </w:rPr>
              <w:t>江苏洪 泽湖达 实智慧 医养有 限公司</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288,361,</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153.63</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214,974,</w:t>
            </w:r>
          </w:p>
          <w:p>
            <w:pPr>
              <w:pStyle w:val="TableParagraph"/>
              <w:spacing w:line="240" w:lineRule="auto" w:before="105"/>
              <w:ind w:left="192" w:right="0"/>
              <w:jc w:val="center"/>
              <w:rPr>
                <w:rFonts w:ascii="Times New Roman" w:hAnsi="Times New Roman" w:cs="Times New Roman" w:eastAsia="Times New Roman" w:hint="default"/>
                <w:sz w:val="18"/>
                <w:szCs w:val="18"/>
              </w:rPr>
            </w:pPr>
            <w:r>
              <w:rPr>
                <w:rFonts w:ascii="Times New Roman"/>
                <w:sz w:val="18"/>
              </w:rPr>
              <w:t>116.07</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503,335,</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269.70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16,451,2</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14.93</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300,000,</w:t>
            </w:r>
          </w:p>
          <w:p>
            <w:pPr>
              <w:pStyle w:val="TableParagraph"/>
              <w:spacing w:line="240" w:lineRule="auto" w:before="105"/>
              <w:ind w:left="185" w:right="0"/>
              <w:jc w:val="center"/>
              <w:rPr>
                <w:rFonts w:ascii="Times New Roman" w:hAnsi="Times New Roman" w:cs="Times New Roman" w:eastAsia="Times New Roman" w:hint="default"/>
                <w:sz w:val="18"/>
                <w:szCs w:val="18"/>
              </w:rPr>
            </w:pPr>
            <w:r>
              <w:rPr>
                <w:rFonts w:ascii="Times New Roman"/>
                <w:sz w:val="18"/>
              </w:rPr>
              <w:t>000.00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316,451,</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214.93</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99,043,4</w:t>
            </w:r>
          </w:p>
          <w:p>
            <w:pPr>
              <w:pStyle w:val="TableParagraph"/>
              <w:spacing w:line="240" w:lineRule="auto" w:before="105"/>
              <w:ind w:left="298" w:right="0"/>
              <w:jc w:val="left"/>
              <w:rPr>
                <w:rFonts w:ascii="Times New Roman" w:hAnsi="Times New Roman" w:cs="Times New Roman" w:eastAsia="Times New Roman" w:hint="default"/>
                <w:sz w:val="18"/>
                <w:szCs w:val="18"/>
              </w:rPr>
            </w:pPr>
            <w:r>
              <w:rPr>
                <w:rFonts w:ascii="Times New Roman"/>
                <w:sz w:val="18"/>
              </w:rPr>
              <w:t>46.89</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11,180,4</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41.06</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56" w:right="0"/>
              <w:jc w:val="center"/>
              <w:rPr>
                <w:rFonts w:ascii="Times New Roman" w:hAnsi="Times New Roman" w:cs="Times New Roman" w:eastAsia="Times New Roman" w:hint="default"/>
                <w:sz w:val="18"/>
                <w:szCs w:val="18"/>
              </w:rPr>
            </w:pPr>
            <w:r>
              <w:rPr>
                <w:rFonts w:ascii="Times New Roman"/>
                <w:sz w:val="18"/>
              </w:rPr>
              <w:t>110,223,</w:t>
            </w:r>
          </w:p>
          <w:p>
            <w:pPr>
              <w:pStyle w:val="TableParagraph"/>
              <w:spacing w:line="240" w:lineRule="auto" w:before="105"/>
              <w:ind w:left="185" w:right="0"/>
              <w:jc w:val="center"/>
              <w:rPr>
                <w:rFonts w:ascii="Times New Roman" w:hAnsi="Times New Roman" w:cs="Times New Roman" w:eastAsia="Times New Roman" w:hint="default"/>
                <w:sz w:val="18"/>
                <w:szCs w:val="18"/>
              </w:rPr>
            </w:pPr>
            <w:r>
              <w:rPr>
                <w:rFonts w:ascii="Times New Roman"/>
                <w:sz w:val="18"/>
              </w:rPr>
              <w:t>887.95</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857,303.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12</w:t>
            </w: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857,303.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12</w:t>
            </w:r>
          </w:p>
        </w:tc>
      </w:tr>
      <w:tr>
        <w:trPr>
          <w:trHeight w:val="1651" w:hRule="exact"/>
        </w:trPr>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61"/>
              <w:jc w:val="both"/>
              <w:rPr>
                <w:rFonts w:ascii="宋体" w:hAnsi="宋体" w:cs="宋体" w:eastAsia="宋体" w:hint="default"/>
                <w:sz w:val="18"/>
                <w:szCs w:val="18"/>
              </w:rPr>
            </w:pPr>
            <w:r>
              <w:rPr>
                <w:rFonts w:ascii="宋体" w:hAnsi="宋体" w:cs="宋体" w:eastAsia="宋体" w:hint="default"/>
                <w:sz w:val="18"/>
                <w:szCs w:val="18"/>
              </w:rPr>
              <w:t>湖南桃 江达实 智慧医 养有限 公司</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72,685,7</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39.56</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103,603,</w:t>
            </w:r>
          </w:p>
          <w:p>
            <w:pPr>
              <w:pStyle w:val="TableParagraph"/>
              <w:spacing w:line="240" w:lineRule="auto" w:before="102"/>
              <w:ind w:left="185" w:right="0"/>
              <w:jc w:val="center"/>
              <w:rPr>
                <w:rFonts w:ascii="Times New Roman" w:hAnsi="Times New Roman" w:cs="Times New Roman" w:eastAsia="Times New Roman" w:hint="default"/>
                <w:sz w:val="18"/>
                <w:szCs w:val="18"/>
              </w:rPr>
            </w:pPr>
            <w:r>
              <w:rPr>
                <w:rFonts w:ascii="Times New Roman"/>
                <w:sz w:val="18"/>
              </w:rPr>
              <w:t>501.90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176,289,</w:t>
            </w:r>
          </w:p>
          <w:p>
            <w:pPr>
              <w:pStyle w:val="TableParagraph"/>
              <w:spacing w:line="240" w:lineRule="auto" w:before="102"/>
              <w:ind w:left="184" w:right="0"/>
              <w:jc w:val="center"/>
              <w:rPr>
                <w:rFonts w:ascii="Times New Roman" w:hAnsi="Times New Roman" w:cs="Times New Roman" w:eastAsia="Times New Roman" w:hint="default"/>
                <w:sz w:val="18"/>
                <w:szCs w:val="18"/>
              </w:rPr>
            </w:pPr>
            <w:r>
              <w:rPr>
                <w:rFonts w:ascii="Times New Roman"/>
                <w:sz w:val="18"/>
              </w:rPr>
              <w:t>241.46</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1,444,92</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2.13</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93,000,0</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00.00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94,444,9</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22.13</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195,476.</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77</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1,435,38</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6.84</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1,630,86</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3.61</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2,058,18</w:t>
            </w:r>
          </w:p>
          <w:p>
            <w:pPr>
              <w:pStyle w:val="TableParagraph"/>
              <w:spacing w:line="240" w:lineRule="auto" w:before="102"/>
              <w:ind w:left="391" w:right="0"/>
              <w:jc w:val="left"/>
              <w:rPr>
                <w:rFonts w:ascii="Times New Roman" w:hAnsi="Times New Roman" w:cs="Times New Roman" w:eastAsia="Times New Roman" w:hint="default"/>
                <w:sz w:val="18"/>
                <w:szCs w:val="18"/>
              </w:rPr>
            </w:pPr>
            <w:r>
              <w:rPr>
                <w:rFonts w:ascii="Times New Roman"/>
                <w:sz w:val="18"/>
              </w:rPr>
              <w:t>1.62</w:t>
            </w: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2,058,18</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1.62</w:t>
            </w:r>
          </w:p>
        </w:tc>
      </w:tr>
    </w:tbl>
    <w:p>
      <w:pPr>
        <w:pStyle w:val="BodyText"/>
        <w:spacing w:line="240" w:lineRule="auto" w:before="49"/>
        <w:ind w:left="0" w:right="1131"/>
        <w:jc w:val="right"/>
      </w:pPr>
      <w:r>
        <w:rPr/>
        <w:t>单位：</w:t>
      </w:r>
      <w:r>
        <w:rPr>
          <w:spacing w:val="1"/>
        </w:rPr>
        <w:t> </w:t>
      </w:r>
      <w:r>
        <w:rPr/>
        <w:t>元</w:t>
      </w:r>
    </w:p>
    <w:p>
      <w:pPr>
        <w:spacing w:after="0" w:line="240" w:lineRule="auto"/>
        <w:jc w:val="right"/>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061"/>
        <w:gridCol w:w="1061"/>
        <w:gridCol w:w="1064"/>
        <w:gridCol w:w="1063"/>
        <w:gridCol w:w="1066"/>
        <w:gridCol w:w="1063"/>
        <w:gridCol w:w="1063"/>
        <w:gridCol w:w="1064"/>
        <w:gridCol w:w="1066"/>
      </w:tblGrid>
      <w:tr>
        <w:trPr>
          <w:trHeight w:val="402" w:hRule="exact"/>
        </w:trPr>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76"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4254"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42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1061" w:type="dxa"/>
            <w:vMerge/>
            <w:tcBorders>
              <w:left w:val="single" w:sz="4" w:space="0" w:color="000000"/>
              <w:bottom w:val="single" w:sz="4" w:space="0" w:color="000000"/>
              <w:right w:val="single" w:sz="4" w:space="0" w:color="000000"/>
            </w:tcBorders>
            <w:shd w:val="clear" w:color="auto" w:fill="D2D2D2"/>
          </w:tcPr>
          <w:p>
            <w:pP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436" w:right="74"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259" w:right="75"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净利润</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437" w:right="74" w:hanging="361"/>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259" w:right="74"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r>
      <w:tr>
        <w:trPr>
          <w:trHeight w:val="1337"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5"/>
              <w:jc w:val="both"/>
              <w:rPr>
                <w:rFonts w:ascii="宋体" w:hAnsi="宋体" w:cs="宋体" w:eastAsia="宋体" w:hint="default"/>
                <w:sz w:val="18"/>
                <w:szCs w:val="18"/>
              </w:rPr>
            </w:pPr>
            <w:r>
              <w:rPr>
                <w:rFonts w:ascii="宋体" w:hAnsi="宋体" w:cs="宋体" w:eastAsia="宋体" w:hint="default"/>
                <w:sz w:val="18"/>
                <w:szCs w:val="18"/>
              </w:rPr>
              <w:t>淮南达实智 慧城市投资 发展有限公 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24,415,094.3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-4,145,574.73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-4,145,574.73</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13,902,971.1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19,500,000.0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3,651,277.04</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3,651,277.04</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14,653,321.7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r>
      <w:tr>
        <w:trPr>
          <w:trHeight w:val="1027"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25"/>
              <w:jc w:val="both"/>
              <w:rPr>
                <w:rFonts w:ascii="宋体" w:hAnsi="宋体" w:cs="宋体" w:eastAsia="宋体" w:hint="default"/>
                <w:sz w:val="18"/>
                <w:szCs w:val="18"/>
              </w:rPr>
            </w:pPr>
            <w:r>
              <w:rPr>
                <w:rFonts w:ascii="宋体" w:hAnsi="宋体" w:cs="宋体" w:eastAsia="宋体" w:hint="default"/>
                <w:sz w:val="18"/>
                <w:szCs w:val="18"/>
              </w:rPr>
              <w:t>江苏洪泽湖 达实智慧医 养有限公司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218" w:right="0"/>
              <w:jc w:val="left"/>
              <w:rPr>
                <w:rFonts w:ascii="Times New Roman" w:hAnsi="Times New Roman" w:cs="Times New Roman" w:eastAsia="Times New Roman" w:hint="default"/>
                <w:sz w:val="18"/>
                <w:szCs w:val="18"/>
              </w:rPr>
            </w:pPr>
            <w:r>
              <w:rPr>
                <w:rFonts w:ascii="Times New Roman"/>
                <w:sz w:val="18"/>
              </w:rPr>
              <w:t>961,551.96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-1,312,530.06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-1,312,530.06</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sz w:val="18"/>
              </w:rPr>
              <w:t>7,711,126.85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220" w:right="0"/>
              <w:jc w:val="left"/>
              <w:rPr>
                <w:rFonts w:ascii="Times New Roman" w:hAnsi="Times New Roman" w:cs="Times New Roman" w:eastAsia="Times New Roman" w:hint="default"/>
                <w:sz w:val="18"/>
                <w:szCs w:val="18"/>
              </w:rPr>
            </w:pPr>
            <w:r>
              <w:rPr>
                <w:rFonts w:ascii="Times New Roman"/>
                <w:sz w:val="18"/>
              </w:rPr>
              <w:t>500,616.51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-1,081,144.26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-1,081,144.26</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-2,543,155.50</w:t>
            </w:r>
          </w:p>
        </w:tc>
      </w:tr>
      <w:tr>
        <w:trPr>
          <w:trHeight w:val="1028"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25"/>
              <w:jc w:val="both"/>
              <w:rPr>
                <w:rFonts w:ascii="宋体" w:hAnsi="宋体" w:cs="宋体" w:eastAsia="宋体" w:hint="default"/>
                <w:sz w:val="18"/>
                <w:szCs w:val="18"/>
              </w:rPr>
            </w:pPr>
            <w:r>
              <w:rPr>
                <w:rFonts w:ascii="宋体" w:hAnsi="宋体" w:cs="宋体" w:eastAsia="宋体" w:hint="default"/>
                <w:sz w:val="18"/>
                <w:szCs w:val="18"/>
              </w:rPr>
              <w:t>湖南桃江达 实智慧医养 有限公司</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-728,362.66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39" w:right="0"/>
              <w:jc w:val="center"/>
              <w:rPr>
                <w:rFonts w:ascii="Times New Roman" w:hAnsi="Times New Roman" w:cs="Times New Roman" w:eastAsia="Times New Roman" w:hint="default"/>
                <w:sz w:val="18"/>
                <w:szCs w:val="18"/>
              </w:rPr>
            </w:pPr>
            <w:r>
              <w:rPr>
                <w:rFonts w:ascii="Times New Roman"/>
                <w:sz w:val="18"/>
              </w:rPr>
              <w:t>-728,362.66</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 w:right="0"/>
              <w:jc w:val="center"/>
              <w:rPr>
                <w:rFonts w:ascii="Times New Roman" w:hAnsi="Times New Roman" w:cs="Times New Roman" w:eastAsia="Times New Roman" w:hint="default"/>
                <w:sz w:val="18"/>
                <w:szCs w:val="18"/>
              </w:rPr>
            </w:pPr>
            <w:r>
              <w:rPr>
                <w:rFonts w:ascii="Times New Roman"/>
                <w:sz w:val="18"/>
              </w:rPr>
              <w:t>-2,958,286.51</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39" w:right="0"/>
              <w:jc w:val="center"/>
              <w:rPr>
                <w:rFonts w:ascii="Times New Roman" w:hAnsi="Times New Roman" w:cs="Times New Roman" w:eastAsia="Times New Roman" w:hint="default"/>
                <w:sz w:val="18"/>
                <w:szCs w:val="18"/>
              </w:rPr>
            </w:pPr>
            <w:r>
              <w:rPr>
                <w:rFonts w:ascii="Times New Roman"/>
                <w:sz w:val="18"/>
              </w:rPr>
              <w:t>-427,318.01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-427,318.01</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540,240.58</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在子公司的所有者权益份额发生变化且仍控制子公司的交易" w:id="364"/>
      <w:bookmarkEnd w:id="364"/>
      <w:r>
        <w:rPr>
          <w:b w:val="0"/>
          <w:bCs w:val="0"/>
        </w:rPr>
      </w:r>
      <w:r>
        <w:rPr>
          <w:rFonts w:ascii="Times New Roman" w:hAnsi="Times New Roman" w:cs="Times New Roman" w:eastAsia="Times New Roman" w:hint="default"/>
        </w:rPr>
        <w:t>2</w:t>
      </w:r>
      <w:r>
        <w:rPr/>
        <w:t>、在子公司的所有者权益份额发生变化且仍控制子公司的交易</w:t>
      </w:r>
      <w:r>
        <w:rPr>
          <w:b w:val="0"/>
          <w:bCs w:val="0"/>
        </w:rPr>
      </w:r>
    </w:p>
    <w:p>
      <w:pPr>
        <w:spacing w:line="240" w:lineRule="auto" w:before="7"/>
        <w:rPr>
          <w:rFonts w:ascii="宋体" w:hAnsi="宋体" w:cs="宋体" w:eastAsia="宋体" w:hint="default"/>
          <w:b/>
          <w:bCs/>
          <w:sz w:val="24"/>
          <w:szCs w:val="24"/>
        </w:rPr>
      </w:pPr>
    </w:p>
    <w:p>
      <w:pPr>
        <w:pStyle w:val="Heading4"/>
        <w:spacing w:line="240" w:lineRule="auto"/>
        <w:ind w:right="1133"/>
        <w:jc w:val="left"/>
        <w:rPr>
          <w:b w:val="0"/>
          <w:bCs w:val="0"/>
        </w:rPr>
      </w:pPr>
      <w:bookmarkStart w:name="（1）在子公司所有者权益份额发生变化的情况说明" w:id="365"/>
      <w:bookmarkEnd w:id="365"/>
      <w:r>
        <w:rPr>
          <w:b w:val="0"/>
          <w:bCs w:val="0"/>
        </w:rPr>
      </w:r>
      <w:r>
        <w:rPr/>
        <w:t>（</w:t>
      </w:r>
      <w:r>
        <w:rPr>
          <w:rFonts w:ascii="Times New Roman" w:hAnsi="Times New Roman" w:cs="Times New Roman" w:eastAsia="Times New Roman" w:hint="default"/>
        </w:rPr>
        <w:t>1</w:t>
      </w:r>
      <w:r>
        <w:rPr/>
        <w:t>）在子公司所有者权益份额发生变化的情况说明</w:t>
      </w:r>
      <w:r>
        <w:rPr>
          <w:b w:val="0"/>
          <w:bCs w:val="0"/>
        </w:rPr>
      </w:r>
    </w:p>
    <w:p>
      <w:pPr>
        <w:spacing w:line="240" w:lineRule="auto" w:before="4"/>
        <w:rPr>
          <w:rFonts w:ascii="宋体" w:hAnsi="宋体" w:cs="宋体" w:eastAsia="宋体" w:hint="default"/>
          <w:b/>
          <w:bCs/>
          <w:sz w:val="26"/>
          <w:szCs w:val="26"/>
        </w:rPr>
      </w:pPr>
    </w:p>
    <w:p>
      <w:pPr>
        <w:pStyle w:val="BodyText"/>
        <w:spacing w:line="300" w:lineRule="auto"/>
        <w:ind w:right="1129" w:firstLine="420"/>
        <w:jc w:val="both"/>
      </w:pPr>
      <w:r>
        <w:rPr/>
        <w:t>①</w:t>
      </w:r>
      <w:r>
        <w:rPr>
          <w:spacing w:val="-21"/>
        </w:rPr>
        <w:t> </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3</w:t>
      </w:r>
      <w:r>
        <w:rPr/>
        <w:t>月，公司将持有的江苏洪泽湖达实智慧医养有限公司</w:t>
      </w:r>
      <w:r>
        <w:rPr>
          <w:rFonts w:ascii="Times New Roman" w:hAnsi="Times New Roman" w:cs="Times New Roman" w:eastAsia="Times New Roman" w:hint="default"/>
        </w:rPr>
        <w:t>0.21%</w:t>
      </w:r>
      <w:r>
        <w:rPr/>
        <w:t>股权作价</w:t>
      </w:r>
      <w:r>
        <w:rPr>
          <w:rFonts w:ascii="Times New Roman" w:hAnsi="Times New Roman" w:cs="Times New Roman" w:eastAsia="Times New Roman" w:hint="default"/>
        </w:rPr>
        <w:t>100</w:t>
      </w:r>
      <w:r>
        <w:rPr/>
        <w:t>万元转让给中国江苏国际经济技术 合作集团有限公司，将持有的江苏洪泽湖达实智慧医养有限公司</w:t>
      </w:r>
      <w:r>
        <w:rPr>
          <w:rFonts w:ascii="Times New Roman" w:hAnsi="Times New Roman" w:cs="Times New Roman" w:eastAsia="Times New Roman" w:hint="default"/>
        </w:rPr>
        <w:t>0.02%</w:t>
      </w:r>
      <w:r>
        <w:rPr/>
        <w:t>股权作价</w:t>
      </w:r>
      <w:r>
        <w:rPr>
          <w:rFonts w:ascii="Times New Roman" w:hAnsi="Times New Roman" w:cs="Times New Roman" w:eastAsia="Times New Roman" w:hint="default"/>
        </w:rPr>
        <w:t>10</w:t>
      </w:r>
      <w:r>
        <w:rPr/>
        <w:t>万元转让给浙江省建筑设计研究院，股权 转让后，公司对江苏洪泽湖达实智慧医养有限公司的持股由</w:t>
      </w:r>
      <w:r>
        <w:rPr>
          <w:rFonts w:ascii="Times New Roman" w:hAnsi="Times New Roman" w:cs="Times New Roman" w:eastAsia="Times New Roman" w:hint="default"/>
        </w:rPr>
        <w:t>70%</w:t>
      </w:r>
      <w:r>
        <w:rPr/>
        <w:t>变更为</w:t>
      </w:r>
      <w:r>
        <w:rPr>
          <w:rFonts w:ascii="Times New Roman" w:hAnsi="Times New Roman" w:cs="Times New Roman" w:eastAsia="Times New Roman" w:hint="default"/>
        </w:rPr>
        <w:t>69.77%</w:t>
      </w:r>
      <w:r>
        <w:rPr/>
        <w:t>。</w:t>
      </w:r>
    </w:p>
    <w:p>
      <w:pPr>
        <w:pStyle w:val="BodyText"/>
        <w:spacing w:line="300" w:lineRule="auto" w:before="13"/>
        <w:ind w:right="1134" w:firstLine="420"/>
        <w:jc w:val="both"/>
      </w:pPr>
      <w:r>
        <w:rPr/>
        <w:t>②</w:t>
      </w:r>
      <w:r>
        <w:rPr>
          <w:spacing w:val="-28"/>
        </w:rPr>
        <w:t> </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8</w:t>
      </w:r>
      <w:r>
        <w:rPr/>
        <w:t>月，公司收购深圳达实融资租赁有限公司少数股东平行咨询有限公司</w:t>
      </w:r>
      <w:r>
        <w:rPr>
          <w:rFonts w:ascii="Times New Roman" w:hAnsi="Times New Roman" w:cs="Times New Roman" w:eastAsia="Times New Roman" w:hint="default"/>
        </w:rPr>
        <w:t>100%</w:t>
      </w:r>
      <w:r>
        <w:rPr/>
        <w:t>股权，收购完成后，公司对达实 租赁持股比例由</w:t>
      </w:r>
      <w:r>
        <w:rPr>
          <w:rFonts w:ascii="Times New Roman" w:hAnsi="Times New Roman" w:cs="Times New Roman" w:eastAsia="Times New Roman" w:hint="default"/>
        </w:rPr>
        <w:t>75%</w:t>
      </w:r>
      <w:r>
        <w:rPr/>
        <w:t>变更为</w:t>
      </w:r>
      <w:r>
        <w:rPr>
          <w:rFonts w:ascii="Times New Roman" w:hAnsi="Times New Roman" w:cs="Times New Roman" w:eastAsia="Times New Roman" w:hint="default"/>
        </w:rPr>
        <w:t>100%</w:t>
      </w:r>
      <w:r>
        <w:rPr/>
        <w:t>。</w:t>
      </w:r>
    </w:p>
    <w:p>
      <w:pPr>
        <w:spacing w:line="240" w:lineRule="auto" w:before="4"/>
        <w:rPr>
          <w:rFonts w:ascii="宋体" w:hAnsi="宋体" w:cs="宋体" w:eastAsia="宋体" w:hint="default"/>
          <w:sz w:val="22"/>
          <w:szCs w:val="22"/>
        </w:rPr>
      </w:pPr>
    </w:p>
    <w:p>
      <w:pPr>
        <w:pStyle w:val="Heading4"/>
        <w:spacing w:line="240" w:lineRule="auto"/>
        <w:ind w:right="1133"/>
        <w:jc w:val="left"/>
        <w:rPr>
          <w:b w:val="0"/>
          <w:bCs w:val="0"/>
        </w:rPr>
      </w:pPr>
      <w:bookmarkStart w:name="（2）交易对于少数股东权益及归属于母公司所有者权益的影响" w:id="366"/>
      <w:bookmarkEnd w:id="366"/>
      <w:r>
        <w:rPr>
          <w:b w:val="0"/>
          <w:bCs w:val="0"/>
        </w:rPr>
      </w:r>
      <w:r>
        <w:rPr/>
        <w:t>（</w:t>
      </w:r>
      <w:r>
        <w:rPr>
          <w:rFonts w:ascii="Times New Roman" w:hAnsi="Times New Roman" w:cs="Times New Roman" w:eastAsia="Times New Roman" w:hint="default"/>
        </w:rPr>
        <w:t>2</w:t>
      </w:r>
      <w:r>
        <w:rPr/>
        <w:t>）交易对于少数股东权益及归属于母公司所有者权益的影响</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761"/>
        <w:gridCol w:w="4797"/>
      </w:tblGrid>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平行咨询有限公司</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购买成本</w:t>
            </w:r>
            <w:r>
              <w:rPr>
                <w:rFonts w:ascii="Times New Roman" w:hAnsi="Times New Roman" w:cs="Times New Roman" w:eastAsia="Times New Roman" w:hint="default"/>
                <w:sz w:val="18"/>
                <w:szCs w:val="18"/>
              </w:rPr>
              <w:t>/</w:t>
            </w:r>
            <w:r>
              <w:rPr>
                <w:rFonts w:ascii="宋体" w:hAnsi="宋体" w:cs="宋体" w:eastAsia="宋体" w:hint="default"/>
                <w:sz w:val="18"/>
                <w:szCs w:val="18"/>
              </w:rPr>
              <w:t>处置对价</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88,000,000.00</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现金</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88,000,000.00</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购买成本</w:t>
            </w:r>
            <w:r>
              <w:rPr>
                <w:rFonts w:ascii="Times New Roman" w:hAnsi="Times New Roman" w:cs="Times New Roman" w:eastAsia="Times New Roman" w:hint="default"/>
                <w:sz w:val="18"/>
                <w:szCs w:val="18"/>
              </w:rPr>
              <w:t>/</w:t>
            </w:r>
            <w:r>
              <w:rPr>
                <w:rFonts w:ascii="宋体" w:hAnsi="宋体" w:cs="宋体" w:eastAsia="宋体" w:hint="default"/>
                <w:sz w:val="18"/>
                <w:szCs w:val="18"/>
              </w:rPr>
              <w:t>处置对价合计</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88,000,000.00</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减：按取得</w:t>
            </w:r>
            <w:r>
              <w:rPr>
                <w:rFonts w:ascii="Times New Roman" w:hAnsi="Times New Roman" w:cs="Times New Roman" w:eastAsia="Times New Roman" w:hint="default"/>
                <w:sz w:val="18"/>
                <w:szCs w:val="18"/>
              </w:rPr>
              <w:t>/</w:t>
            </w:r>
            <w:r>
              <w:rPr>
                <w:rFonts w:ascii="宋体" w:hAnsi="宋体" w:cs="宋体" w:eastAsia="宋体" w:hint="default"/>
                <w:sz w:val="18"/>
                <w:szCs w:val="18"/>
              </w:rPr>
              <w:t>处置的股权比例计算的子公司净资产份额</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70,328,558.06</w:t>
            </w:r>
          </w:p>
        </w:tc>
      </w:tr>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差额</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17,671,441.94</w:t>
            </w:r>
          </w:p>
        </w:tc>
      </w:tr>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其中：调整资本公积</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17,671,441.94</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3、在合营安排或联营企业中的权益" w:id="367"/>
      <w:bookmarkEnd w:id="367"/>
      <w:r>
        <w:rPr>
          <w:b w:val="0"/>
          <w:bCs w:val="0"/>
        </w:rPr>
      </w:r>
      <w:r>
        <w:rPr>
          <w:rFonts w:ascii="Times New Roman" w:hAnsi="Times New Roman" w:cs="Times New Roman" w:eastAsia="Times New Roman" w:hint="default"/>
        </w:rPr>
        <w:t>3</w:t>
      </w:r>
      <w:r>
        <w:rPr/>
        <w:t>、在合营安排或联营企业中的权益</w:t>
      </w:r>
      <w:r>
        <w:rPr>
          <w:b w:val="0"/>
          <w:bCs w:val="0"/>
        </w:rPr>
      </w:r>
    </w:p>
    <w:p>
      <w:pPr>
        <w:spacing w:line="240" w:lineRule="auto" w:before="7"/>
        <w:rPr>
          <w:rFonts w:ascii="宋体" w:hAnsi="宋体" w:cs="宋体" w:eastAsia="宋体" w:hint="default"/>
          <w:b/>
          <w:bCs/>
          <w:sz w:val="24"/>
          <w:szCs w:val="24"/>
        </w:rPr>
      </w:pPr>
    </w:p>
    <w:p>
      <w:pPr>
        <w:pStyle w:val="Heading4"/>
        <w:spacing w:line="240" w:lineRule="auto"/>
        <w:ind w:right="1133"/>
        <w:jc w:val="left"/>
        <w:rPr>
          <w:b w:val="0"/>
          <w:bCs w:val="0"/>
        </w:rPr>
      </w:pPr>
      <w:bookmarkStart w:name="（1）重要的合营企业或联营企业" w:id="368"/>
      <w:bookmarkEnd w:id="368"/>
      <w:r>
        <w:rPr>
          <w:b w:val="0"/>
          <w:bCs w:val="0"/>
        </w:rPr>
      </w:r>
      <w:r>
        <w:rPr/>
        <w:t>（</w:t>
      </w:r>
      <w:r>
        <w:rPr>
          <w:rFonts w:ascii="Times New Roman" w:hAnsi="Times New Roman" w:cs="Times New Roman" w:eastAsia="Times New Roman" w:hint="default"/>
        </w:rPr>
        <w:t>1</w:t>
      </w:r>
      <w:r>
        <w:rPr/>
        <w:t>）重要的合营企业或联营企业</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827"/>
        <w:gridCol w:w="732"/>
        <w:gridCol w:w="569"/>
        <w:gridCol w:w="5807"/>
        <w:gridCol w:w="881"/>
        <w:gridCol w:w="852"/>
      </w:tblGrid>
      <w:tr>
        <w:trPr>
          <w:trHeight w:val="401" w:hRule="exact"/>
        </w:trPr>
        <w:tc>
          <w:tcPr>
            <w:tcW w:w="8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46" w:right="0"/>
              <w:jc w:val="left"/>
              <w:rPr>
                <w:rFonts w:ascii="宋体" w:hAnsi="宋体" w:cs="宋体" w:eastAsia="宋体" w:hint="default"/>
                <w:sz w:val="18"/>
                <w:szCs w:val="18"/>
              </w:rPr>
            </w:pPr>
            <w:r>
              <w:rPr>
                <w:rFonts w:ascii="宋体" w:hAnsi="宋体" w:cs="宋体" w:eastAsia="宋体" w:hint="default"/>
                <w:sz w:val="18"/>
                <w:szCs w:val="18"/>
              </w:rPr>
              <w:t>合营企业</w:t>
            </w:r>
          </w:p>
        </w:tc>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91" w:right="0"/>
              <w:jc w:val="left"/>
              <w:rPr>
                <w:rFonts w:ascii="宋体" w:hAnsi="宋体" w:cs="宋体" w:eastAsia="宋体" w:hint="default"/>
                <w:sz w:val="18"/>
                <w:szCs w:val="18"/>
              </w:rPr>
            </w:pPr>
            <w:r>
              <w:rPr>
                <w:rFonts w:ascii="宋体" w:hAnsi="宋体" w:cs="宋体" w:eastAsia="宋体" w:hint="default"/>
                <w:sz w:val="18"/>
                <w:szCs w:val="18"/>
              </w:rPr>
              <w:t>主要经</w:t>
            </w:r>
          </w:p>
        </w:tc>
        <w:tc>
          <w:tcPr>
            <w:tcW w:w="5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100" w:right="0"/>
              <w:jc w:val="left"/>
              <w:rPr>
                <w:rFonts w:ascii="宋体" w:hAnsi="宋体" w:cs="宋体" w:eastAsia="宋体" w:hint="default"/>
                <w:sz w:val="18"/>
                <w:szCs w:val="18"/>
              </w:rPr>
            </w:pPr>
            <w:r>
              <w:rPr>
                <w:rFonts w:ascii="宋体" w:hAnsi="宋体" w:cs="宋体" w:eastAsia="宋体" w:hint="default"/>
                <w:sz w:val="18"/>
                <w:szCs w:val="18"/>
              </w:rPr>
              <w:t>注册</w:t>
            </w:r>
          </w:p>
        </w:tc>
        <w:tc>
          <w:tcPr>
            <w:tcW w:w="58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业务性质</w:t>
            </w:r>
          </w:p>
        </w:tc>
        <w:tc>
          <w:tcPr>
            <w:tcW w:w="8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6"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60" w:right="0"/>
              <w:jc w:val="left"/>
              <w:rPr>
                <w:rFonts w:ascii="宋体" w:hAnsi="宋体" w:cs="宋体" w:eastAsia="宋体" w:hint="default"/>
                <w:sz w:val="18"/>
                <w:szCs w:val="18"/>
              </w:rPr>
            </w:pPr>
            <w:r>
              <w:rPr>
                <w:rFonts w:ascii="宋体" w:hAnsi="宋体" w:cs="宋体" w:eastAsia="宋体" w:hint="default"/>
                <w:sz w:val="18"/>
                <w:szCs w:val="18"/>
              </w:rPr>
              <w:t>对合营企</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b/>
          <w:bCs/>
          <w:sz w:val="28"/>
          <w:szCs w:val="28"/>
        </w:rPr>
      </w:pPr>
      <w:r>
        <w:rPr/>
        <w:pict>
          <v:shape style="position:absolute;margin-left:393.518005pt;margin-top:137.419983pt;width:90.35pt;height:78pt;mso-position-horizontal-relative:page;mso-position-vertical-relative:page;z-index:-1093768"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1"/>
                      <w:szCs w:val="21"/>
                    </w:rPr>
                  </w:pPr>
                </w:p>
                <w:p>
                  <w:pPr>
                    <w:pStyle w:val="BodyText"/>
                    <w:spacing w:line="240" w:lineRule="auto"/>
                    <w:ind w:left="0" w:right="0"/>
                    <w:jc w:val="left"/>
                  </w:pPr>
                  <w:r>
                    <w:rPr/>
                    <w:t>止的项目除外，</w:t>
                  </w:r>
                </w:p>
              </w:txbxContent>
            </v:textbox>
            <w10:wrap type="none"/>
          </v:shape>
        </w:pict>
      </w:r>
      <w:r>
        <w:rPr/>
        <w:pict>
          <v:shape style="position:absolute;margin-left:339.490997pt;margin-top:234.985977pt;width:144.35pt;height:78.05pt;mso-position-horizontal-relative:page;mso-position-vertical-relative:page;z-index:-1093744" type="#_x0000_t202" filled="false" stroked="false">
            <v:textbox inset="0,0,0,0">
              <w:txbxContent>
                <w:p>
                  <w:pPr>
                    <w:spacing w:line="240" w:lineRule="auto" w:before="7"/>
                    <w:rPr>
                      <w:rFonts w:ascii="宋体" w:hAnsi="宋体" w:cs="宋体" w:eastAsia="宋体" w:hint="default"/>
                      <w:sz w:val="21"/>
                      <w:szCs w:val="21"/>
                    </w:rPr>
                  </w:pPr>
                </w:p>
                <w:p>
                  <w:pPr>
                    <w:pStyle w:val="BodyText"/>
                    <w:spacing w:line="240" w:lineRule="auto"/>
                    <w:ind w:left="0" w:right="0"/>
                    <w:jc w:val="left"/>
                  </w:pPr>
                  <w:r>
                    <w:rPr/>
                    <w:t>（不含限制性和禁止性项目，</w:t>
                  </w:r>
                </w:p>
              </w:txbxContent>
            </v:textbox>
            <w10:wrap type="none"/>
          </v:shape>
        </w:pict>
      </w:r>
    </w:p>
    <w:tbl>
      <w:tblPr>
        <w:tblW w:w="0" w:type="auto"/>
        <w:jc w:val="left"/>
        <w:tblInd w:w="148" w:type="dxa"/>
        <w:tblLayout w:type="fixed"/>
        <w:tblCellMar>
          <w:top w:w="0" w:type="dxa"/>
          <w:left w:w="0" w:type="dxa"/>
          <w:bottom w:w="0" w:type="dxa"/>
          <w:right w:w="0" w:type="dxa"/>
        </w:tblCellMar>
        <w:tblLook w:val="01E0"/>
      </w:tblPr>
      <w:tblGrid>
        <w:gridCol w:w="828"/>
        <w:gridCol w:w="732"/>
        <w:gridCol w:w="569"/>
        <w:gridCol w:w="5807"/>
        <w:gridCol w:w="610"/>
        <w:gridCol w:w="271"/>
        <w:gridCol w:w="852"/>
      </w:tblGrid>
      <w:tr>
        <w:trPr>
          <w:trHeight w:val="1299" w:hRule="exact"/>
        </w:trPr>
        <w:tc>
          <w:tcPr>
            <w:tcW w:w="8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8"/>
              <w:ind w:left="139" w:right="48" w:hanging="92"/>
              <w:jc w:val="left"/>
              <w:rPr>
                <w:rFonts w:ascii="宋体" w:hAnsi="宋体" w:cs="宋体" w:eastAsia="宋体" w:hint="default"/>
                <w:sz w:val="18"/>
                <w:szCs w:val="18"/>
              </w:rPr>
            </w:pPr>
            <w:r>
              <w:rPr>
                <w:rFonts w:ascii="宋体" w:hAnsi="宋体" w:cs="宋体" w:eastAsia="宋体" w:hint="default"/>
                <w:sz w:val="18"/>
                <w:szCs w:val="18"/>
              </w:rPr>
              <w:t>或联营企 业名称</w:t>
            </w:r>
          </w:p>
        </w:tc>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182" w:right="0"/>
              <w:jc w:val="left"/>
              <w:rPr>
                <w:rFonts w:ascii="宋体" w:hAnsi="宋体" w:cs="宋体" w:eastAsia="宋体" w:hint="default"/>
                <w:sz w:val="18"/>
                <w:szCs w:val="18"/>
              </w:rPr>
            </w:pPr>
            <w:r>
              <w:rPr>
                <w:rFonts w:ascii="宋体" w:hAnsi="宋体" w:cs="宋体" w:eastAsia="宋体" w:hint="default"/>
                <w:sz w:val="18"/>
                <w:szCs w:val="18"/>
              </w:rPr>
              <w:t>营地</w:t>
            </w:r>
          </w:p>
        </w:tc>
        <w:tc>
          <w:tcPr>
            <w:tcW w:w="5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185"/>
              <w:jc w:val="right"/>
              <w:rPr>
                <w:rFonts w:ascii="宋体" w:hAnsi="宋体" w:cs="宋体" w:eastAsia="宋体" w:hint="default"/>
                <w:sz w:val="18"/>
                <w:szCs w:val="18"/>
              </w:rPr>
            </w:pPr>
            <w:r>
              <w:rPr>
                <w:rFonts w:ascii="宋体" w:hAnsi="宋体" w:cs="宋体" w:eastAsia="宋体" w:hint="default"/>
                <w:sz w:val="18"/>
                <w:szCs w:val="18"/>
              </w:rPr>
              <w:t>地</w:t>
            </w:r>
          </w:p>
        </w:tc>
        <w:tc>
          <w:tcPr>
            <w:tcW w:w="580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2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314" w:lineRule="auto"/>
              <w:ind w:left="43" w:right="36"/>
              <w:jc w:val="left"/>
              <w:rPr>
                <w:rFonts w:ascii="宋体" w:hAnsi="宋体" w:cs="宋体" w:eastAsia="宋体" w:hint="default"/>
                <w:sz w:val="18"/>
                <w:szCs w:val="18"/>
              </w:rPr>
            </w:pPr>
            <w:r>
              <w:rPr>
                <w:rFonts w:ascii="宋体" w:hAnsi="宋体" w:cs="宋体" w:eastAsia="宋体" w:hint="default"/>
                <w:sz w:val="18"/>
                <w:szCs w:val="18"/>
              </w:rPr>
              <w:t>间 接</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60" w:right="60"/>
              <w:jc w:val="both"/>
              <w:rPr>
                <w:rFonts w:ascii="宋体" w:hAnsi="宋体" w:cs="宋体" w:eastAsia="宋体" w:hint="default"/>
                <w:sz w:val="18"/>
                <w:szCs w:val="18"/>
              </w:rPr>
            </w:pPr>
            <w:r>
              <w:rPr>
                <w:rFonts w:ascii="宋体" w:hAnsi="宋体" w:cs="宋体" w:eastAsia="宋体" w:hint="default"/>
                <w:sz w:val="18"/>
                <w:szCs w:val="18"/>
              </w:rPr>
              <w:t>业或联营 企业投资 的会计处 理方法</w:t>
            </w:r>
          </w:p>
        </w:tc>
      </w:tr>
      <w:tr>
        <w:trPr>
          <w:trHeight w:val="3521"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316" w:lineRule="auto"/>
              <w:ind w:left="24" w:right="72"/>
              <w:jc w:val="both"/>
              <w:rPr>
                <w:rFonts w:ascii="宋体" w:hAnsi="宋体" w:cs="宋体" w:eastAsia="宋体" w:hint="default"/>
                <w:sz w:val="18"/>
                <w:szCs w:val="18"/>
              </w:rPr>
            </w:pPr>
            <w:r>
              <w:rPr>
                <w:rFonts w:ascii="宋体" w:hAnsi="宋体" w:cs="宋体" w:eastAsia="宋体" w:hint="default"/>
                <w:sz w:val="18"/>
                <w:szCs w:val="18"/>
              </w:rPr>
              <w:t>融智节能 环保（深 圳）有限 公司</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70"/>
              <w:jc w:val="right"/>
              <w:rPr>
                <w:rFonts w:ascii="宋体" w:hAnsi="宋体" w:cs="宋体" w:eastAsia="宋体" w:hint="default"/>
                <w:sz w:val="18"/>
                <w:szCs w:val="18"/>
              </w:rPr>
            </w:pPr>
            <w:r>
              <w:rPr>
                <w:rFonts w:ascii="宋体" w:hAnsi="宋体" w:cs="宋体" w:eastAsia="宋体" w:hint="default"/>
                <w:sz w:val="18"/>
                <w:szCs w:val="18"/>
              </w:rPr>
              <w:t>深圳</w:t>
            </w:r>
          </w:p>
        </w:tc>
        <w:tc>
          <w:tcPr>
            <w:tcW w:w="58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1"/>
              <w:jc w:val="left"/>
              <w:rPr>
                <w:rFonts w:ascii="宋体" w:hAnsi="宋体" w:cs="宋体" w:eastAsia="宋体" w:hint="default"/>
                <w:sz w:val="18"/>
                <w:szCs w:val="18"/>
              </w:rPr>
            </w:pPr>
            <w:r>
              <w:rPr>
                <w:rFonts w:ascii="宋体" w:hAnsi="宋体" w:cs="宋体" w:eastAsia="宋体" w:hint="default"/>
                <w:sz w:val="18"/>
                <w:szCs w:val="18"/>
              </w:rPr>
              <w:t>节能技术领域的技术开发、技术转让、技术咨询和技术服务；合同能源管 理服务；销售环保设备、建筑材料、节能照明、电子零件、电器设备；节 能方案的设计；建筑工程咨询；建筑智能化系统的设计、集成；商务信息 </w:t>
            </w:r>
            <w:r>
              <w:rPr>
                <w:rFonts w:ascii="宋体" w:hAnsi="宋体" w:cs="宋体" w:eastAsia="宋体" w:hint="default"/>
                <w:spacing w:val="-4"/>
                <w:sz w:val="18"/>
                <w:szCs w:val="18"/>
              </w:rPr>
              <w:t>咨询；货物及技术进出口（法律、行政法规、国务院决定禁</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3"/>
                <w:sz w:val="18"/>
                <w:szCs w:val="18"/>
              </w:rPr>
              <w:t>限制的项目须取得许可后方可经营）；分布式光伏发电及相关配套系统的</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技术开发、设计、系统建设及相关设施的运营、管理；分布式供冷设施、 供热设施和热电联产设施的技术开发、设计、系统建设及相关设施的运营</w:t>
            </w:r>
          </w:p>
          <w:p>
            <w:pPr>
              <w:pStyle w:val="TableParagraph"/>
              <w:spacing w:line="319" w:lineRule="auto" w:before="19"/>
              <w:ind w:left="23" w:right="20"/>
              <w:jc w:val="left"/>
              <w:rPr>
                <w:rFonts w:ascii="宋体" w:hAnsi="宋体" w:cs="宋体" w:eastAsia="宋体" w:hint="default"/>
                <w:sz w:val="18"/>
                <w:szCs w:val="18"/>
              </w:rPr>
            </w:pPr>
            <w:r>
              <w:rPr>
                <w:rFonts w:ascii="宋体" w:hAnsi="宋体" w:cs="宋体" w:eastAsia="宋体" w:hint="default"/>
                <w:spacing w:val="-5"/>
                <w:sz w:val="18"/>
                <w:szCs w:val="18"/>
              </w:rPr>
              <w:t>（不涉及外商投资准入特别管理措施）、管理</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6"/>
                <w:sz w:val="18"/>
                <w:szCs w:val="18"/>
              </w:rPr>
              <w:t>涉及许可证管理及其他专项规定管理的，取得许可后方可经营）。（以上各</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
                <w:sz w:val="18"/>
                <w:szCs w:val="18"/>
              </w:rPr>
              <w:t>项涉及法律、行政法规、国务院决定禁止的项目除外，限制的项目须取得</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7"/>
                <w:sz w:val="18"/>
                <w:szCs w:val="18"/>
              </w:rPr>
              <w:t>许可后方可经营）。售电服务。</w:t>
            </w:r>
          </w:p>
        </w:tc>
        <w:tc>
          <w:tcPr>
            <w:tcW w:w="610" w:type="dxa"/>
            <w:tcBorders>
              <w:top w:val="single" w:sz="4" w:space="0" w:color="000000"/>
              <w:left w:val="single" w:sz="4" w:space="0" w:color="000000"/>
              <w:bottom w:val="single" w:sz="4" w:space="0" w:color="000000"/>
              <w:right w:val="single" w:sz="4" w:space="0" w:color="000000"/>
            </w:tcBorders>
          </w:tcPr>
          <w:p>
            <w:pPr>
              <w:pStyle w:val="TableParagraph"/>
              <w:spacing w:line="1560" w:lineRule="exact"/>
              <w:ind w:right="-53"/>
              <w:jc w:val="left"/>
              <w:rPr>
                <w:rFonts w:ascii="宋体" w:hAnsi="宋体" w:cs="宋体" w:eastAsia="宋体" w:hint="default"/>
                <w:sz w:val="20"/>
                <w:szCs w:val="20"/>
              </w:rPr>
            </w:pPr>
            <w:r>
              <w:rPr>
                <w:rFonts w:ascii="宋体" w:hAnsi="宋体" w:cs="宋体" w:eastAsia="宋体" w:hint="default"/>
                <w:position w:val="-30"/>
                <w:sz w:val="20"/>
                <w:szCs w:val="20"/>
              </w:rPr>
              <w:pict>
                <v:group style="width:30.15pt;height:78pt;mso-position-horizontal-relative:char;mso-position-vertical-relative:line" coordorigin="0,0" coordsize="603,1560">
                  <v:group style="position:absolute;left:0;top:0;width:603;height:1560" coordorigin="0,0" coordsize="603,1560">
                    <v:shape style="position:absolute;left:0;top:0;width:603;height:1560" coordorigin="0,0" coordsize="603,1560" path="m0,1560l602,1560,602,0,0,0,0,1560xe" filled="true" fillcolor="#ffffff" stroked="false">
                      <v:path arrowok="t"/>
                      <v:fill type="solid"/>
                    </v:shape>
                  </v:group>
                </v:group>
              </w:pict>
            </w:r>
            <w:r>
              <w:rPr>
                <w:rFonts w:ascii="宋体" w:hAnsi="宋体" w:cs="宋体" w:eastAsia="宋体" w:hint="default"/>
                <w:position w:val="-30"/>
                <w:sz w:val="20"/>
                <w:szCs w:val="20"/>
              </w:rPr>
            </w:r>
          </w:p>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40.00%</w:t>
            </w: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29"/>
                <w:szCs w:val="29"/>
              </w:rPr>
            </w:pPr>
          </w:p>
          <w:p>
            <w:pPr>
              <w:pStyle w:val="TableParagraph"/>
              <w:spacing w:line="1560" w:lineRule="exact"/>
              <w:ind w:right="-53"/>
              <w:jc w:val="left"/>
              <w:rPr>
                <w:rFonts w:ascii="宋体" w:hAnsi="宋体" w:cs="宋体" w:eastAsia="宋体" w:hint="default"/>
                <w:sz w:val="20"/>
                <w:szCs w:val="20"/>
              </w:rPr>
            </w:pPr>
            <w:r>
              <w:rPr>
                <w:rFonts w:ascii="宋体" w:hAnsi="宋体" w:cs="宋体" w:eastAsia="宋体" w:hint="default"/>
                <w:position w:val="-30"/>
                <w:sz w:val="20"/>
                <w:szCs w:val="20"/>
              </w:rPr>
              <w:pict>
                <v:group style="width:30.15pt;height:78.05pt;mso-position-horizontal-relative:char;mso-position-vertical-relative:line" coordorigin="0,0" coordsize="603,1561">
                  <v:group style="position:absolute;left:0;top:0;width:603;height:1561" coordorigin="0,0" coordsize="603,1561">
                    <v:shape style="position:absolute;left:0;top:0;width:603;height:1561" coordorigin="0,0" coordsize="603,1561" path="m0,1560l602,1560,602,0,0,0,0,1560xe" filled="true" fillcolor="#ffffff" stroked="false">
                      <v:path arrowok="t"/>
                      <v:fill type="solid"/>
                    </v:shape>
                  </v:group>
                </v:group>
              </w:pict>
            </w:r>
            <w:r>
              <w:rPr>
                <w:rFonts w:ascii="宋体" w:hAnsi="宋体" w:cs="宋体" w:eastAsia="宋体" w:hint="default"/>
                <w:position w:val="-30"/>
                <w:sz w:val="20"/>
                <w:szCs w:val="20"/>
              </w:rPr>
            </w:r>
          </w:p>
        </w:tc>
        <w:tc>
          <w:tcPr>
            <w:tcW w:w="271"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1339"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2"/>
              <w:jc w:val="both"/>
              <w:rPr>
                <w:rFonts w:ascii="宋体" w:hAnsi="宋体" w:cs="宋体" w:eastAsia="宋体" w:hint="default"/>
                <w:sz w:val="18"/>
                <w:szCs w:val="18"/>
              </w:rPr>
            </w:pPr>
            <w:r>
              <w:rPr>
                <w:rFonts w:ascii="宋体" w:hAnsi="宋体" w:cs="宋体" w:eastAsia="宋体" w:hint="default"/>
                <w:sz w:val="18"/>
                <w:szCs w:val="18"/>
              </w:rPr>
              <w:t>山东茗信 股权投资 管理有限 公司</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济南</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170"/>
              <w:jc w:val="right"/>
              <w:rPr>
                <w:rFonts w:ascii="宋体" w:hAnsi="宋体" w:cs="宋体" w:eastAsia="宋体" w:hint="default"/>
                <w:sz w:val="18"/>
                <w:szCs w:val="18"/>
              </w:rPr>
            </w:pPr>
            <w:r>
              <w:rPr>
                <w:rFonts w:ascii="宋体" w:hAnsi="宋体" w:cs="宋体" w:eastAsia="宋体" w:hint="default"/>
                <w:sz w:val="18"/>
                <w:szCs w:val="18"/>
              </w:rPr>
              <w:t>济南</w:t>
            </w:r>
          </w:p>
        </w:tc>
        <w:tc>
          <w:tcPr>
            <w:tcW w:w="5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3" w:right="20"/>
              <w:jc w:val="left"/>
              <w:rPr>
                <w:rFonts w:ascii="宋体" w:hAnsi="宋体" w:cs="宋体" w:eastAsia="宋体" w:hint="default"/>
                <w:sz w:val="18"/>
                <w:szCs w:val="18"/>
              </w:rPr>
            </w:pPr>
            <w:r>
              <w:rPr>
                <w:rFonts w:ascii="宋体" w:hAnsi="宋体" w:cs="宋体" w:eastAsia="宋体" w:hint="default"/>
                <w:spacing w:val="-3"/>
                <w:sz w:val="18"/>
                <w:szCs w:val="18"/>
              </w:rPr>
              <w:t>股权投资管理；企业管理咨询。（依法须经批准的项目，经相关部门批准</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1"/>
                <w:sz w:val="18"/>
                <w:szCs w:val="18"/>
              </w:rPr>
              <w:t>后，方可开展经营活动；未经金融监管部门批准，不得从事吸收存款、融</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资担保、代客理财等金融业务）</w:t>
            </w:r>
          </w:p>
        </w:tc>
        <w:tc>
          <w:tcPr>
            <w:tcW w:w="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20.00%</w:t>
            </w:r>
          </w:p>
        </w:tc>
        <w:tc>
          <w:tcPr>
            <w:tcW w:w="271"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1337"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4" w:right="72"/>
              <w:jc w:val="both"/>
              <w:rPr>
                <w:rFonts w:ascii="宋体" w:hAnsi="宋体" w:cs="宋体" w:eastAsia="宋体" w:hint="default"/>
                <w:sz w:val="18"/>
                <w:szCs w:val="18"/>
              </w:rPr>
            </w:pPr>
            <w:r>
              <w:rPr>
                <w:rFonts w:ascii="宋体" w:hAnsi="宋体" w:cs="宋体" w:eastAsia="宋体" w:hint="default"/>
                <w:sz w:val="18"/>
                <w:szCs w:val="18"/>
              </w:rPr>
              <w:t>上海沧洱 实业有限 公司</w:t>
            </w:r>
          </w:p>
        </w:tc>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170"/>
              <w:jc w:val="right"/>
              <w:rPr>
                <w:rFonts w:ascii="宋体" w:hAnsi="宋体" w:cs="宋体" w:eastAsia="宋体" w:hint="default"/>
                <w:sz w:val="18"/>
                <w:szCs w:val="18"/>
              </w:rPr>
            </w:pPr>
            <w:r>
              <w:rPr>
                <w:rFonts w:ascii="宋体" w:hAnsi="宋体" w:cs="宋体" w:eastAsia="宋体" w:hint="default"/>
                <w:sz w:val="18"/>
                <w:szCs w:val="18"/>
              </w:rPr>
              <w:t>上海</w:t>
            </w:r>
          </w:p>
        </w:tc>
        <w:tc>
          <w:tcPr>
            <w:tcW w:w="58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0"/>
              <w:jc w:val="left"/>
              <w:rPr>
                <w:rFonts w:ascii="宋体" w:hAnsi="宋体" w:cs="宋体" w:eastAsia="宋体" w:hint="default"/>
                <w:sz w:val="18"/>
                <w:szCs w:val="18"/>
              </w:rPr>
            </w:pPr>
            <w:r>
              <w:rPr>
                <w:rFonts w:ascii="宋体" w:hAnsi="宋体" w:cs="宋体" w:eastAsia="宋体" w:hint="default"/>
                <w:spacing w:val="-3"/>
                <w:sz w:val="18"/>
                <w:szCs w:val="18"/>
              </w:rPr>
              <w:t>房地产咨询，建筑防水建设工程专业施工，建筑劳务分包，</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建筑设备租赁，文化艺术交流策划咨询，计算机软硬件开发，销售计算机</w:t>
            </w:r>
            <w:r>
              <w:rPr>
                <w:rFonts w:ascii="宋体" w:hAnsi="宋体" w:cs="宋体" w:eastAsia="宋体" w:hint="default"/>
                <w:sz w:val="18"/>
                <w:szCs w:val="18"/>
              </w:rPr>
              <w:t> 网络设备、计算机软硬件及周边产品、化工产品及原料（除危险化学品、 监控化学品、烟花爆竹、民用爆炸物品、易制毒化学品）</w:t>
            </w:r>
          </w:p>
        </w:tc>
        <w:tc>
          <w:tcPr>
            <w:tcW w:w="610"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3"/>
              <w:jc w:val="left"/>
              <w:rPr>
                <w:rFonts w:ascii="宋体" w:hAnsi="宋体" w:cs="宋体" w:eastAsia="宋体" w:hint="default"/>
                <w:sz w:val="20"/>
                <w:szCs w:val="20"/>
              </w:rPr>
            </w:pPr>
            <w:r>
              <w:rPr>
                <w:rFonts w:ascii="宋体" w:hAnsi="宋体" w:cs="宋体" w:eastAsia="宋体" w:hint="default"/>
                <w:position w:val="-8"/>
                <w:sz w:val="20"/>
                <w:szCs w:val="20"/>
              </w:rPr>
              <w:pict>
                <v:group style="width:30.15pt;height:23.4pt;mso-position-horizontal-relative:char;mso-position-vertical-relative:line" coordorigin="0,0" coordsize="603,468">
                  <v:group style="position:absolute;left:0;top:0;width:603;height:468" coordorigin="0,0" coordsize="603,468">
                    <v:shape style="position:absolute;left:0;top:0;width:603;height:468" coordorigin="0,0" coordsize="603,468" path="m0,468l602,468,602,0,0,0,0,468xe" filled="true" fillcolor="#ffffff" stroked="false">
                      <v:path arrowok="t"/>
                      <v:fill type="solid"/>
                    </v:shape>
                  </v:group>
                </v:group>
              </w:pict>
            </w:r>
            <w:r>
              <w:rPr>
                <w:rFonts w:ascii="宋体" w:hAnsi="宋体" w:cs="宋体" w:eastAsia="宋体" w:hint="default"/>
                <w:position w:val="-8"/>
                <w:sz w:val="20"/>
                <w:szCs w:val="20"/>
              </w:rPr>
            </w:r>
          </w:p>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51.00%</w:t>
            </w: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6"/>
              <w:ind w:right="0"/>
              <w:jc w:val="left"/>
              <w:rPr>
                <w:rFonts w:ascii="宋体" w:hAnsi="宋体" w:cs="宋体" w:eastAsia="宋体" w:hint="default"/>
                <w:b/>
                <w:bCs/>
                <w:sz w:val="21"/>
                <w:szCs w:val="21"/>
              </w:rPr>
            </w:pPr>
          </w:p>
        </w:tc>
        <w:tc>
          <w:tcPr>
            <w:tcW w:w="271"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权益法</w:t>
            </w:r>
          </w:p>
        </w:tc>
      </w:tr>
    </w:tbl>
    <w:p>
      <w:pPr>
        <w:spacing w:line="240" w:lineRule="auto" w:before="3"/>
        <w:rPr>
          <w:rFonts w:ascii="宋体" w:hAnsi="宋体" w:cs="宋体" w:eastAsia="宋体" w:hint="default"/>
          <w:b/>
          <w:bCs/>
          <w:sz w:val="19"/>
          <w:szCs w:val="19"/>
        </w:rPr>
      </w:pPr>
    </w:p>
    <w:p>
      <w:pPr>
        <w:pStyle w:val="Heading4"/>
        <w:spacing w:line="240" w:lineRule="auto" w:before="36"/>
        <w:ind w:right="1133"/>
        <w:jc w:val="left"/>
        <w:rPr>
          <w:b w:val="0"/>
          <w:bCs w:val="0"/>
        </w:rPr>
      </w:pPr>
      <w:r>
        <w:rPr/>
        <w:pict>
          <v:shape style="position:absolute;margin-left:393.490997pt;margin-top:-79.436325pt;width:90.35pt;height:23.4pt;mso-position-horizontal-relative:page;mso-position-vertical-relative:paragraph;z-index:-1093720" type="#_x0000_t202" filled="false" stroked="false">
            <v:textbox inset="0,0,0,0">
              <w:txbxContent>
                <w:p>
                  <w:pPr>
                    <w:pStyle w:val="BodyText"/>
                    <w:spacing w:line="240" w:lineRule="auto" w:before="49"/>
                    <w:ind w:left="0" w:right="0"/>
                    <w:jc w:val="left"/>
                  </w:pPr>
                  <w:r>
                    <w:rPr/>
                    <w:t>企业管理咨询，</w:t>
                  </w:r>
                </w:p>
              </w:txbxContent>
            </v:textbox>
            <w10:wrap type="none"/>
          </v:shape>
        </w:pict>
      </w:r>
      <w:bookmarkStart w:name="（2）重要合营企业的主要财务信息" w:id="369"/>
      <w:bookmarkEnd w:id="369"/>
      <w:r>
        <w:rPr>
          <w:b w:val="0"/>
          <w:bCs w:val="0"/>
        </w:rPr>
      </w:r>
      <w:r>
        <w:rPr/>
        <w:t>（</w:t>
      </w:r>
      <w:r>
        <w:rPr>
          <w:rFonts w:ascii="Times New Roman" w:hAnsi="Times New Roman" w:cs="Times New Roman" w:eastAsia="Times New Roman" w:hint="default"/>
        </w:rPr>
        <w:t>2</w:t>
      </w:r>
      <w:r>
        <w:rPr/>
        <w:t>）重要合营企业的主要财务信息</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3"/>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66"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5"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01" w:right="0"/>
              <w:jc w:val="left"/>
              <w:rPr>
                <w:rFonts w:ascii="宋体" w:hAnsi="宋体" w:cs="宋体" w:eastAsia="宋体" w:hint="default"/>
                <w:sz w:val="18"/>
                <w:szCs w:val="18"/>
              </w:rPr>
            </w:pPr>
            <w:r>
              <w:rPr>
                <w:rFonts w:ascii="宋体" w:hAnsi="宋体" w:cs="宋体" w:eastAsia="宋体" w:hint="default"/>
                <w:sz w:val="18"/>
                <w:szCs w:val="18"/>
              </w:rPr>
              <w:t>上海沧洱实业有限公司</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91" w:right="0"/>
              <w:jc w:val="left"/>
              <w:rPr>
                <w:rFonts w:ascii="宋体" w:hAnsi="宋体" w:cs="宋体" w:eastAsia="宋体" w:hint="default"/>
                <w:sz w:val="18"/>
                <w:szCs w:val="18"/>
              </w:rPr>
            </w:pPr>
            <w:r>
              <w:rPr>
                <w:rFonts w:ascii="宋体" w:hAnsi="宋体" w:cs="宋体" w:eastAsia="宋体" w:hint="default"/>
                <w:sz w:val="18"/>
                <w:szCs w:val="18"/>
              </w:rPr>
              <w:t>上海沧洱实业有限公司</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14,218,726.98</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6,704,890.77</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其中：现金和现金等价物</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14,204,454.98</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539,257.27</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4,704,481.20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6,111,050.23</w:t>
            </w:r>
          </w:p>
        </w:tc>
      </w:tr>
      <w:tr>
        <w:trPr>
          <w:trHeight w:val="404"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18,923,208.18</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12,815,941.00</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785,219.07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2,463,597.32</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785,219.07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2,463,597.32</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归属于母公司股东权益</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18,137,989.11</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10,352,343.68</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按持股比例计算的净资产份额</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9,250,374.45</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5,279,695.28</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3,470,183.11</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4,008,921.92</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对合营企业权益投资的账面价值</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12,720,557.56</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9,288,617.20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3"/>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10,477,541.52</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6,727,831.07</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-15,961.20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-341.38</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-1,104,320.26</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1,056,647.83</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7,642,628.16</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3,169,943.51</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7,642,628.16</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3,169,943.51</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3）重要联营企业的主要财务信息" w:id="370"/>
      <w:bookmarkEnd w:id="370"/>
      <w:r>
        <w:rPr>
          <w:b w:val="0"/>
          <w:bCs w:val="0"/>
        </w:rPr>
      </w:r>
      <w:r>
        <w:rPr/>
        <w:t>（</w:t>
      </w:r>
      <w:r>
        <w:rPr>
          <w:rFonts w:ascii="Times New Roman" w:hAnsi="Times New Roman" w:cs="Times New Roman" w:eastAsia="Times New Roman" w:hint="default"/>
        </w:rPr>
        <w:t>3</w:t>
      </w:r>
      <w:r>
        <w:rPr/>
        <w:t>）重要联营企业的主要财务信息</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92"/>
        <w:gridCol w:w="1925"/>
        <w:gridCol w:w="1916"/>
        <w:gridCol w:w="1913"/>
        <w:gridCol w:w="1916"/>
      </w:tblGrid>
      <w:tr>
        <w:trPr>
          <w:trHeight w:val="402" w:hRule="exact"/>
        </w:trPr>
        <w:tc>
          <w:tcPr>
            <w:tcW w:w="189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84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87"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82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75"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162" w:hRule="exact"/>
        </w:trPr>
        <w:tc>
          <w:tcPr>
            <w:tcW w:w="1892" w:type="dxa"/>
            <w:tcBorders>
              <w:top w:val="single" w:sz="4" w:space="0" w:color="000000"/>
              <w:left w:val="single" w:sz="4" w:space="0" w:color="000000"/>
              <w:bottom w:val="nil" w:sz="6" w:space="0" w:color="auto"/>
              <w:right w:val="single" w:sz="4" w:space="0" w:color="000000"/>
            </w:tcBorders>
            <w:shd w:val="clear" w:color="auto" w:fill="D2D2D2"/>
          </w:tcPr>
          <w:p>
            <w:pPr/>
          </w:p>
        </w:tc>
        <w:tc>
          <w:tcPr>
            <w:tcW w:w="1925"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50"/>
              <w:ind w:left="604" w:right="50" w:hanging="540"/>
              <w:jc w:val="left"/>
              <w:rPr>
                <w:rFonts w:ascii="宋体" w:hAnsi="宋体" w:cs="宋体" w:eastAsia="宋体" w:hint="default"/>
                <w:sz w:val="18"/>
                <w:szCs w:val="18"/>
              </w:rPr>
            </w:pPr>
            <w:r>
              <w:rPr>
                <w:rFonts w:ascii="宋体" w:hAnsi="宋体" w:cs="宋体" w:eastAsia="宋体" w:hint="default"/>
                <w:sz w:val="18"/>
                <w:szCs w:val="18"/>
              </w:rPr>
              <w:t>融智节能环保（深圳） 有限公司</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50"/>
              <w:ind w:left="592" w:right="51" w:hanging="540"/>
              <w:jc w:val="left"/>
              <w:rPr>
                <w:rFonts w:ascii="宋体" w:hAnsi="宋体" w:cs="宋体" w:eastAsia="宋体" w:hint="default"/>
                <w:sz w:val="18"/>
                <w:szCs w:val="18"/>
              </w:rPr>
            </w:pPr>
            <w:r>
              <w:rPr>
                <w:rFonts w:ascii="宋体" w:hAnsi="宋体" w:cs="宋体" w:eastAsia="宋体" w:hint="default"/>
                <w:sz w:val="18"/>
                <w:szCs w:val="18"/>
              </w:rPr>
              <w:t>山东茗信股权投资管理 有限公司</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50"/>
              <w:ind w:left="592" w:right="48" w:hanging="540"/>
              <w:jc w:val="left"/>
              <w:rPr>
                <w:rFonts w:ascii="宋体" w:hAnsi="宋体" w:cs="宋体" w:eastAsia="宋体" w:hint="default"/>
                <w:sz w:val="18"/>
                <w:szCs w:val="18"/>
              </w:rPr>
            </w:pPr>
            <w:r>
              <w:rPr>
                <w:rFonts w:ascii="宋体" w:hAnsi="宋体" w:cs="宋体" w:eastAsia="宋体" w:hint="default"/>
                <w:sz w:val="18"/>
                <w:szCs w:val="18"/>
              </w:rPr>
              <w:t>融智节能环保（深圳） 有限公司</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50"/>
              <w:ind w:left="593" w:right="50" w:hanging="540"/>
              <w:jc w:val="left"/>
              <w:rPr>
                <w:rFonts w:ascii="宋体" w:hAnsi="宋体" w:cs="宋体" w:eastAsia="宋体" w:hint="default"/>
                <w:sz w:val="18"/>
                <w:szCs w:val="18"/>
              </w:rPr>
            </w:pPr>
            <w:r>
              <w:rPr>
                <w:rFonts w:ascii="宋体" w:hAnsi="宋体" w:cs="宋体" w:eastAsia="宋体" w:hint="default"/>
                <w:sz w:val="18"/>
                <w:szCs w:val="18"/>
              </w:rPr>
              <w:t>山东茗信股权投资管理 有限公司</w:t>
            </w:r>
          </w:p>
        </w:tc>
      </w:tr>
      <w:tr>
        <w:trPr>
          <w:trHeight w:val="392" w:hRule="exact"/>
        </w:trPr>
        <w:tc>
          <w:tcPr>
            <w:tcW w:w="1892" w:type="dxa"/>
            <w:tcBorders>
              <w:top w:val="nil" w:sz="6" w:space="0" w:color="auto"/>
              <w:left w:val="single" w:sz="4" w:space="0" w:color="000000"/>
              <w:bottom w:val="nil" w:sz="6" w:space="0" w:color="auto"/>
              <w:right w:val="single" w:sz="4" w:space="0" w:color="000000"/>
            </w:tcBorders>
            <w:shd w:val="clear" w:color="auto" w:fill="D2D2D2"/>
          </w:tcPr>
          <w:p>
            <w:pPr/>
          </w:p>
        </w:tc>
        <w:tc>
          <w:tcPr>
            <w:tcW w:w="1925" w:type="dxa"/>
            <w:vMerge/>
            <w:tcBorders>
              <w:left w:val="single" w:sz="4" w:space="0" w:color="000000"/>
              <w:right w:val="single" w:sz="4" w:space="0" w:color="000000"/>
            </w:tcBorders>
            <w:shd w:val="clear" w:color="auto" w:fill="D2D2D2"/>
          </w:tcPr>
          <w:p>
            <w:pPr/>
          </w:p>
        </w:tc>
        <w:tc>
          <w:tcPr>
            <w:tcW w:w="1916" w:type="dxa"/>
            <w:vMerge/>
            <w:tcBorders>
              <w:left w:val="single" w:sz="4" w:space="0" w:color="000000"/>
              <w:right w:val="single" w:sz="4" w:space="0" w:color="000000"/>
            </w:tcBorders>
            <w:shd w:val="clear" w:color="auto" w:fill="D2D2D2"/>
          </w:tcPr>
          <w:p>
            <w:pPr/>
          </w:p>
        </w:tc>
        <w:tc>
          <w:tcPr>
            <w:tcW w:w="1913" w:type="dxa"/>
            <w:vMerge/>
            <w:tcBorders>
              <w:left w:val="single" w:sz="4" w:space="0" w:color="000000"/>
              <w:right w:val="single" w:sz="4" w:space="0" w:color="000000"/>
            </w:tcBorders>
            <w:shd w:val="clear" w:color="auto" w:fill="D2D2D2"/>
          </w:tcPr>
          <w:p>
            <w:pPr/>
          </w:p>
        </w:tc>
        <w:tc>
          <w:tcPr>
            <w:tcW w:w="1916" w:type="dxa"/>
            <w:vMerge/>
            <w:tcBorders>
              <w:left w:val="single" w:sz="4" w:space="0" w:color="000000"/>
              <w:right w:val="single" w:sz="4" w:space="0" w:color="000000"/>
            </w:tcBorders>
            <w:shd w:val="clear" w:color="auto" w:fill="D2D2D2"/>
          </w:tcPr>
          <w:p>
            <w:pPr/>
          </w:p>
        </w:tc>
      </w:tr>
      <w:tr>
        <w:trPr>
          <w:trHeight w:val="161" w:hRule="exact"/>
        </w:trPr>
        <w:tc>
          <w:tcPr>
            <w:tcW w:w="1892"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5"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8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92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18,824,880.30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36,457,151.08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11,445,990.13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34,174,879.91</w:t>
            </w:r>
          </w:p>
        </w:tc>
      </w:tr>
      <w:tr>
        <w:trPr>
          <w:trHeight w:val="403" w:hRule="exact"/>
        </w:trPr>
        <w:tc>
          <w:tcPr>
            <w:tcW w:w="18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92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14,128,801.76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20,008,700.24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15,786,884.40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20,016,312.40</w:t>
            </w:r>
          </w:p>
        </w:tc>
      </w:tr>
      <w:tr>
        <w:trPr>
          <w:trHeight w:val="401" w:hRule="exact"/>
        </w:trPr>
        <w:tc>
          <w:tcPr>
            <w:tcW w:w="18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192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32,953,682.06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56,465,851.32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27,232,874.53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54,191,192.31</w:t>
            </w:r>
          </w:p>
        </w:tc>
      </w:tr>
      <w:tr>
        <w:trPr>
          <w:trHeight w:val="403" w:hRule="exact"/>
        </w:trPr>
        <w:tc>
          <w:tcPr>
            <w:tcW w:w="18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92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4,877,432.53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1,260,656.08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499,827.65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1,073,810.05</w:t>
            </w:r>
          </w:p>
        </w:tc>
      </w:tr>
      <w:tr>
        <w:trPr>
          <w:trHeight w:val="401" w:hRule="exact"/>
        </w:trPr>
        <w:tc>
          <w:tcPr>
            <w:tcW w:w="18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92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6,479,692.81</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6,067,584.19</w:t>
            </w: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92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11,357,125.34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1,260,656.08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6,567,411.84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1,073,810.05</w:t>
            </w:r>
          </w:p>
        </w:tc>
      </w:tr>
      <w:tr>
        <w:trPr>
          <w:trHeight w:val="401" w:hRule="exact"/>
        </w:trPr>
        <w:tc>
          <w:tcPr>
            <w:tcW w:w="18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归属于母公司股东权益</w:t>
            </w:r>
          </w:p>
        </w:tc>
        <w:tc>
          <w:tcPr>
            <w:tcW w:w="192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21,596,556.72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55,205,195.24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20,665,462.69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53,117,382.26</w:t>
            </w:r>
          </w:p>
        </w:tc>
      </w:tr>
      <w:tr>
        <w:trPr>
          <w:trHeight w:val="716" w:hRule="exact"/>
        </w:trPr>
        <w:tc>
          <w:tcPr>
            <w:tcW w:w="18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69"/>
              <w:jc w:val="left"/>
              <w:rPr>
                <w:rFonts w:ascii="宋体" w:hAnsi="宋体" w:cs="宋体" w:eastAsia="宋体" w:hint="default"/>
                <w:sz w:val="18"/>
                <w:szCs w:val="18"/>
              </w:rPr>
            </w:pPr>
            <w:r>
              <w:rPr>
                <w:rFonts w:ascii="宋体" w:hAnsi="宋体" w:cs="宋体" w:eastAsia="宋体" w:hint="default"/>
                <w:sz w:val="18"/>
                <w:szCs w:val="18"/>
              </w:rPr>
              <w:t>按持股比例计算的净资 产份额</w:t>
            </w:r>
          </w:p>
        </w:tc>
        <w:tc>
          <w:tcPr>
            <w:tcW w:w="192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8,638,622.69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11,041,039.05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8,266,185.08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10,623,476.45</w:t>
            </w:r>
          </w:p>
        </w:tc>
      </w:tr>
      <w:tr>
        <w:trPr>
          <w:trHeight w:val="401" w:hRule="exact"/>
        </w:trPr>
        <w:tc>
          <w:tcPr>
            <w:tcW w:w="18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w:t>
            </w:r>
          </w:p>
        </w:tc>
        <w:tc>
          <w:tcPr>
            <w:tcW w:w="192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127,578.27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2,771.50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-5,482.39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2,771.50</w:t>
            </w:r>
          </w:p>
        </w:tc>
      </w:tr>
      <w:tr>
        <w:trPr>
          <w:trHeight w:val="715" w:hRule="exact"/>
        </w:trPr>
        <w:tc>
          <w:tcPr>
            <w:tcW w:w="18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69"/>
              <w:jc w:val="left"/>
              <w:rPr>
                <w:rFonts w:ascii="宋体" w:hAnsi="宋体" w:cs="宋体" w:eastAsia="宋体" w:hint="default"/>
                <w:sz w:val="18"/>
                <w:szCs w:val="18"/>
              </w:rPr>
            </w:pPr>
            <w:r>
              <w:rPr>
                <w:rFonts w:ascii="宋体" w:hAnsi="宋体" w:cs="宋体" w:eastAsia="宋体" w:hint="default"/>
                <w:sz w:val="18"/>
                <w:szCs w:val="18"/>
              </w:rPr>
              <w:t>对联营企业权益投资的 账面价值</w:t>
            </w:r>
          </w:p>
        </w:tc>
        <w:tc>
          <w:tcPr>
            <w:tcW w:w="192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8,766,200.96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11,043,810.55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8,260,702.69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10,626,247.95</w:t>
            </w:r>
          </w:p>
        </w:tc>
      </w:tr>
      <w:tr>
        <w:trPr>
          <w:trHeight w:val="401" w:hRule="exact"/>
        </w:trPr>
        <w:tc>
          <w:tcPr>
            <w:tcW w:w="18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92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23,956,523.59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1,021,864.61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14,593,553.21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970,873.79</w:t>
            </w:r>
          </w:p>
        </w:tc>
      </w:tr>
      <w:tr>
        <w:trPr>
          <w:trHeight w:val="403" w:hRule="exact"/>
        </w:trPr>
        <w:tc>
          <w:tcPr>
            <w:tcW w:w="18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92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1,263,745.67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2,087,812.98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-1,558,528.00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1,657,456.35</w:t>
            </w:r>
          </w:p>
        </w:tc>
      </w:tr>
      <w:tr>
        <w:trPr>
          <w:trHeight w:val="403" w:hRule="exact"/>
        </w:trPr>
        <w:tc>
          <w:tcPr>
            <w:tcW w:w="18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192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1,263,745.67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2,087,812.98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-1,558,528.00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1,657,456.35</w:t>
            </w:r>
          </w:p>
        </w:tc>
      </w:tr>
    </w:tbl>
    <w:p>
      <w:pPr>
        <w:spacing w:line="240" w:lineRule="auto" w:before="1"/>
        <w:rPr>
          <w:rFonts w:ascii="宋体" w:hAnsi="宋体" w:cs="宋体" w:eastAsia="宋体" w:hint="default"/>
          <w:sz w:val="18"/>
          <w:szCs w:val="18"/>
        </w:rPr>
      </w:pPr>
    </w:p>
    <w:p>
      <w:pPr>
        <w:pStyle w:val="Heading2"/>
        <w:spacing w:line="240" w:lineRule="auto" w:before="26"/>
        <w:ind w:right="1133"/>
        <w:jc w:val="left"/>
        <w:rPr>
          <w:b w:val="0"/>
          <w:bCs w:val="0"/>
        </w:rPr>
      </w:pPr>
      <w:bookmarkStart w:name="十、与金融工具相关的风险" w:id="371"/>
      <w:bookmarkEnd w:id="371"/>
      <w:r>
        <w:rPr>
          <w:b w:val="0"/>
          <w:bCs w:val="0"/>
        </w:rPr>
      </w:r>
      <w:r>
        <w:rPr/>
        <w:t>十、与金融工具相关的风险</w:t>
      </w:r>
      <w:r>
        <w:rPr>
          <w:b w:val="0"/>
          <w:bCs w:val="0"/>
        </w:rPr>
      </w:r>
    </w:p>
    <w:p>
      <w:pPr>
        <w:spacing w:line="240" w:lineRule="auto" w:before="4"/>
        <w:rPr>
          <w:rFonts w:ascii="宋体" w:hAnsi="宋体" w:cs="宋体" w:eastAsia="宋体" w:hint="default"/>
          <w:b/>
          <w:bCs/>
          <w:sz w:val="26"/>
          <w:szCs w:val="26"/>
        </w:rPr>
      </w:pPr>
    </w:p>
    <w:p>
      <w:pPr>
        <w:pStyle w:val="BodyText"/>
        <w:spacing w:line="316" w:lineRule="auto"/>
        <w:ind w:right="1130" w:firstLine="420"/>
        <w:jc w:val="both"/>
      </w:pPr>
      <w:r>
        <w:rPr/>
        <w:t>本公司的主要金融工具包括应收票据、应收款项、短期借款、应付款项等，各项金融工具的详细情况说明见本附注相 </w:t>
      </w:r>
      <w:r>
        <w:rPr>
          <w:spacing w:val="-2"/>
        </w:rPr>
        <w:t>关项目。与这些金融工具有关的风险，以及本公司为降低这些风险所采取的风险管理政策如下所述。本公司管理层对这些风</w:t>
      </w:r>
      <w:r>
        <w:rPr>
          <w:spacing w:val="-63"/>
        </w:rPr>
        <w:t> </w:t>
      </w:r>
      <w:r>
        <w:rPr>
          <w:spacing w:val="-63"/>
        </w:rPr>
      </w:r>
      <w:r>
        <w:rPr/>
        <w:t>险敞口进行管理和监控以确保将上述风险控制在限定的范围之内。</w:t>
      </w:r>
    </w:p>
    <w:p>
      <w:pPr>
        <w:pStyle w:val="BodyText"/>
        <w:spacing w:line="316" w:lineRule="auto" w:before="19"/>
        <w:ind w:right="1129" w:firstLine="420"/>
        <w:jc w:val="both"/>
      </w:pPr>
      <w:r>
        <w:rPr/>
        <w:t>本公司从事风险管理的目标是在风险和收益之间取得适当的平衡，将风险对本公司经营业绩的负面影响降低到最低水 </w:t>
      </w:r>
      <w:r>
        <w:rPr>
          <w:spacing w:val="-2"/>
        </w:rPr>
        <w:t>平，使股东及其其他权益投资者的利益最大化。基于该风险管理目标，本公司风险管理的基本策略是确定和分析本公司所面</w:t>
      </w:r>
      <w:r>
        <w:rPr>
          <w:spacing w:val="-63"/>
        </w:rPr>
        <w:t> </w:t>
      </w:r>
      <w:r>
        <w:rPr>
          <w:spacing w:val="-63"/>
        </w:rPr>
      </w:r>
      <w:r>
        <w:rPr>
          <w:spacing w:val="-2"/>
        </w:rPr>
        <w:t>临的各种风险，建立适当的风险承受底线和进行风险管理，并及时可靠地对各种风险进行监督，将风险控制在限定的范围之</w:t>
      </w:r>
      <w:r>
        <w:rPr>
          <w:spacing w:val="-62"/>
        </w:rPr>
        <w:t> </w:t>
      </w:r>
      <w:r>
        <w:rPr>
          <w:spacing w:val="-62"/>
        </w:rPr>
      </w:r>
      <w:r>
        <w:rPr/>
        <w:t>内。</w:t>
      </w:r>
    </w:p>
    <w:p>
      <w:pPr>
        <w:pStyle w:val="BodyText"/>
        <w:spacing w:line="240" w:lineRule="auto" w:before="18"/>
        <w:ind w:left="573" w:right="1133"/>
        <w:jc w:val="left"/>
      </w:pPr>
      <w:r>
        <w:rPr>
          <w:rFonts w:ascii="Times New Roman" w:hAnsi="Times New Roman" w:cs="Times New Roman" w:eastAsia="Times New Roman" w:hint="default"/>
        </w:rPr>
        <w:t>1</w:t>
      </w:r>
      <w:r>
        <w:rPr/>
        <w:t>、市场风险</w:t>
      </w:r>
    </w:p>
    <w:p>
      <w:pPr>
        <w:pStyle w:val="BodyText"/>
        <w:spacing w:line="240" w:lineRule="auto" w:before="63"/>
        <w:ind w:left="573" w:right="1133"/>
        <w:jc w:val="left"/>
      </w:pPr>
      <w:r>
        <w:rPr/>
        <w:t>（</w:t>
      </w:r>
      <w:r>
        <w:rPr>
          <w:rFonts w:ascii="Times New Roman" w:hAnsi="Times New Roman" w:cs="Times New Roman" w:eastAsia="Times New Roman" w:hint="default"/>
        </w:rPr>
        <w:t>1</w:t>
      </w:r>
      <w:r>
        <w:rPr/>
        <w:t>）外汇风险</w:t>
      </w:r>
    </w:p>
    <w:p>
      <w:pPr>
        <w:spacing w:after="0" w:line="240" w:lineRule="auto"/>
        <w:jc w:val="left"/>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319" w:lineRule="auto" w:before="44"/>
        <w:ind w:right="1138" w:firstLine="420"/>
        <w:jc w:val="both"/>
      </w:pPr>
      <w:r>
        <w:rPr/>
        <w:t>外汇风险指因汇率变动产生损失的风险。本公司仅持有少量美元、港币、日元现金和银行存款，因此本公司管理层认 为公司所面临的外汇风险不大。</w:t>
      </w:r>
    </w:p>
    <w:p>
      <w:pPr>
        <w:pStyle w:val="BodyText"/>
        <w:spacing w:line="300" w:lineRule="auto" w:before="17"/>
        <w:ind w:left="573" w:right="1133"/>
        <w:jc w:val="left"/>
      </w:pPr>
      <w:r>
        <w:rPr/>
        <w:t>（</w:t>
      </w:r>
      <w:r>
        <w:rPr>
          <w:rFonts w:ascii="Times New Roman" w:hAnsi="Times New Roman" w:cs="Times New Roman" w:eastAsia="Times New Roman" w:hint="default"/>
        </w:rPr>
        <w:t>2</w:t>
      </w:r>
      <w:r>
        <w:rPr/>
        <w:t>）利率风险 本公司因利率变动引起金融工具现金流量变动的风险主要与浮动利率银行借款。目前本公司及下属公司银行借款存在</w:t>
      </w:r>
    </w:p>
    <w:p>
      <w:pPr>
        <w:pStyle w:val="BodyText"/>
        <w:spacing w:line="240" w:lineRule="auto" w:before="31"/>
        <w:ind w:right="1133"/>
        <w:jc w:val="left"/>
      </w:pPr>
      <w:r>
        <w:rPr/>
        <w:t>采用浮动利率的情况，如发生贷款基准利率大幅波动的情况，将对本公司的利润总额和股东权益产生较大的影响。</w:t>
      </w:r>
    </w:p>
    <w:p>
      <w:pPr>
        <w:pStyle w:val="BodyText"/>
        <w:spacing w:line="240" w:lineRule="auto" w:before="76"/>
        <w:ind w:left="573" w:right="1133"/>
        <w:jc w:val="left"/>
      </w:pPr>
      <w:r>
        <w:rPr>
          <w:rFonts w:ascii="Times New Roman" w:hAnsi="Times New Roman" w:cs="Times New Roman" w:eastAsia="Times New Roman" w:hint="default"/>
        </w:rPr>
        <w:t>2</w:t>
      </w:r>
      <w:r>
        <w:rPr/>
        <w:t>、信用风险</w:t>
      </w:r>
    </w:p>
    <w:p>
      <w:pPr>
        <w:pStyle w:val="BodyText"/>
        <w:spacing w:line="300" w:lineRule="auto" w:before="63"/>
        <w:ind w:right="1136" w:firstLine="420"/>
        <w:jc w:val="both"/>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日，可能引起本公司财务损失的最大信用风险敞口主要来自于合同另一方未能履行义务而导致本公司金 融资产产生的损失。</w:t>
      </w:r>
    </w:p>
    <w:p>
      <w:pPr>
        <w:pStyle w:val="BodyText"/>
        <w:spacing w:line="316" w:lineRule="auto" w:before="31"/>
        <w:ind w:right="1133" w:firstLine="420"/>
        <w:jc w:val="both"/>
      </w:pPr>
      <w:r>
        <w:rPr/>
        <w:t>为降低信用风险，本公司采取投标及合同评审制度及风控委员会评估风险制度、进行风险评估及合同审批，并执行其 </w:t>
      </w:r>
      <w:r>
        <w:rPr>
          <w:spacing w:val="-2"/>
        </w:rPr>
        <w:t>他监控程序以确保采取必要的措施回收过期债权。此外，本公司于每个资产负债表日审核每一单项应收款的回收情况，以确</w:t>
      </w:r>
      <w:r>
        <w:rPr>
          <w:spacing w:val="-66"/>
        </w:rPr>
        <w:t> </w:t>
      </w:r>
      <w:r>
        <w:rPr>
          <w:spacing w:val="-66"/>
        </w:rPr>
      </w:r>
      <w:r>
        <w:rPr/>
        <w:t>保就无法回收的款项计提充分的坏账准备。因此，本公司管理层认为本公司所承担的信用风险已经大为降低。</w:t>
      </w:r>
    </w:p>
    <w:p>
      <w:pPr>
        <w:pStyle w:val="BodyText"/>
        <w:spacing w:line="240" w:lineRule="auto" w:before="19"/>
        <w:ind w:left="573" w:right="1133"/>
        <w:jc w:val="left"/>
      </w:pPr>
      <w:r>
        <w:rPr/>
        <w:t>本公司的流动资金存放在信用评级较高的银行，故流动资金的信用风险较低。</w:t>
      </w:r>
    </w:p>
    <w:p>
      <w:pPr>
        <w:pStyle w:val="BodyText"/>
        <w:spacing w:line="300" w:lineRule="auto" w:before="77"/>
        <w:ind w:left="573" w:right="1133"/>
        <w:jc w:val="left"/>
      </w:pPr>
      <w:r>
        <w:rPr>
          <w:rFonts w:ascii="Times New Roman" w:hAnsi="Times New Roman" w:cs="Times New Roman" w:eastAsia="Times New Roman" w:hint="default"/>
        </w:rPr>
        <w:t>3</w:t>
      </w:r>
      <w:r>
        <w:rPr/>
        <w:t>、流动风险 管理流动风险时，本公司保持管理层认为充分的现金及现金等价物并对其进行监控，以满足本公司经营需要，并降低</w:t>
      </w:r>
    </w:p>
    <w:p>
      <w:pPr>
        <w:pStyle w:val="BodyText"/>
        <w:spacing w:line="316" w:lineRule="auto" w:before="31"/>
        <w:ind w:left="573" w:right="4933" w:hanging="421"/>
        <w:jc w:val="left"/>
      </w:pPr>
      <w:r>
        <w:rPr/>
        <w:t>现金流量波动的影响。 本公司管理层对银行借款的使用情况进行监控并确保遵守借款协议。</w:t>
      </w:r>
    </w:p>
    <w:p>
      <w:pPr>
        <w:spacing w:line="240" w:lineRule="auto" w:before="11"/>
        <w:rPr>
          <w:rFonts w:ascii="宋体" w:hAnsi="宋体" w:cs="宋体" w:eastAsia="宋体" w:hint="default"/>
          <w:sz w:val="20"/>
          <w:szCs w:val="20"/>
        </w:rPr>
      </w:pPr>
    </w:p>
    <w:p>
      <w:pPr>
        <w:pStyle w:val="Heading2"/>
        <w:spacing w:line="240" w:lineRule="auto"/>
        <w:ind w:right="1133"/>
        <w:jc w:val="left"/>
        <w:rPr>
          <w:b w:val="0"/>
          <w:bCs w:val="0"/>
        </w:rPr>
      </w:pPr>
      <w:bookmarkStart w:name="十一、关联方及关联交易" w:id="372"/>
      <w:bookmarkEnd w:id="372"/>
      <w:r>
        <w:rPr>
          <w:b w:val="0"/>
          <w:bCs w:val="0"/>
        </w:rPr>
      </w:r>
      <w:r>
        <w:rPr/>
        <w:t>十一、关联方及关联交易</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1133"/>
        <w:jc w:val="left"/>
        <w:rPr>
          <w:b w:val="0"/>
          <w:bCs w:val="0"/>
        </w:rPr>
      </w:pPr>
      <w:bookmarkStart w:name="1、本企业的母公司情况" w:id="373"/>
      <w:bookmarkEnd w:id="373"/>
      <w:r>
        <w:rPr>
          <w:b w:val="0"/>
          <w:bCs w:val="0"/>
        </w:rPr>
      </w:r>
      <w:r>
        <w:rPr>
          <w:rFonts w:ascii="Times New Roman" w:hAnsi="Times New Roman" w:cs="Times New Roman" w:eastAsia="Times New Roman" w:hint="default"/>
        </w:rPr>
        <w:t>1</w:t>
      </w:r>
      <w:r>
        <w:rPr/>
        <w:t>、本企业的母公司情况</w:t>
      </w:r>
      <w:r>
        <w:rPr>
          <w:b w:val="0"/>
          <w:bCs w:val="0"/>
        </w:rPr>
      </w: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596"/>
        <w:gridCol w:w="1594"/>
        <w:gridCol w:w="1594"/>
        <w:gridCol w:w="1594"/>
        <w:gridCol w:w="1594"/>
        <w:gridCol w:w="1596"/>
      </w:tblGrid>
      <w:tr>
        <w:trPr>
          <w:trHeight w:val="715"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母公司名称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523"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32" w:right="70" w:hanging="360"/>
              <w:jc w:val="left"/>
              <w:rPr>
                <w:rFonts w:ascii="宋体" w:hAnsi="宋体" w:cs="宋体" w:eastAsia="宋体" w:hint="default"/>
                <w:sz w:val="18"/>
                <w:szCs w:val="18"/>
              </w:rPr>
            </w:pPr>
            <w:r>
              <w:rPr>
                <w:rFonts w:ascii="宋体" w:hAnsi="宋体" w:cs="宋体" w:eastAsia="宋体" w:hint="default"/>
                <w:sz w:val="18"/>
                <w:szCs w:val="18"/>
              </w:rPr>
              <w:t>母公司对本企业的 持股比例</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43" w:right="72" w:hanging="272"/>
              <w:jc w:val="left"/>
              <w:rPr>
                <w:rFonts w:ascii="宋体" w:hAnsi="宋体" w:cs="宋体" w:eastAsia="宋体" w:hint="default"/>
                <w:sz w:val="18"/>
                <w:szCs w:val="18"/>
              </w:rPr>
            </w:pPr>
            <w:r>
              <w:rPr>
                <w:rFonts w:ascii="宋体" w:hAnsi="宋体" w:cs="宋体" w:eastAsia="宋体" w:hint="default"/>
                <w:sz w:val="18"/>
                <w:szCs w:val="18"/>
              </w:rPr>
              <w:t>母公司对本企业的 表决权比例</w:t>
            </w:r>
          </w:p>
        </w:tc>
      </w:tr>
      <w:tr>
        <w:trPr>
          <w:trHeight w:val="258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314" w:lineRule="auto"/>
              <w:ind w:left="24" w:right="120"/>
              <w:jc w:val="left"/>
              <w:rPr>
                <w:rFonts w:ascii="宋体" w:hAnsi="宋体" w:cs="宋体" w:eastAsia="宋体" w:hint="default"/>
                <w:sz w:val="18"/>
                <w:szCs w:val="18"/>
              </w:rPr>
            </w:pPr>
            <w:r>
              <w:rPr>
                <w:rFonts w:ascii="宋体" w:hAnsi="宋体" w:cs="宋体" w:eastAsia="宋体" w:hint="default"/>
                <w:sz w:val="18"/>
                <w:szCs w:val="18"/>
              </w:rPr>
              <w:t>拉萨市达实投资发 展有限公司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拉萨市</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9"/>
              <w:jc w:val="left"/>
              <w:rPr>
                <w:rFonts w:ascii="宋体" w:hAnsi="宋体" w:cs="宋体" w:eastAsia="宋体" w:hint="default"/>
                <w:sz w:val="18"/>
                <w:szCs w:val="18"/>
              </w:rPr>
            </w:pPr>
            <w:r>
              <w:rPr>
                <w:rFonts w:ascii="宋体" w:hAnsi="宋体" w:cs="宋体" w:eastAsia="宋体" w:hint="default"/>
                <w:spacing w:val="-10"/>
                <w:sz w:val="18"/>
                <w:szCs w:val="18"/>
              </w:rPr>
              <w:t>投资兴办实业（具体</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11"/>
                <w:sz w:val="18"/>
                <w:szCs w:val="18"/>
              </w:rPr>
              <w:t>项目另报）、国内商</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10"/>
                <w:sz w:val="18"/>
                <w:szCs w:val="18"/>
              </w:rPr>
              <w:t>业、物资供销业；软</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10"/>
                <w:sz w:val="18"/>
                <w:szCs w:val="18"/>
              </w:rPr>
              <w:t>件技术开发、经济信</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10"/>
                <w:sz w:val="18"/>
                <w:szCs w:val="18"/>
              </w:rPr>
              <w:t>息咨询；通讯产品销</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10"/>
                <w:sz w:val="18"/>
                <w:szCs w:val="18"/>
              </w:rPr>
              <w:t>售及研发；自营和代</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理各类商品及技术 的净出口业务。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20,000,000.00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8"/>
                <w:szCs w:val="18"/>
              </w:rPr>
            </w:pPr>
          </w:p>
          <w:p>
            <w:pPr>
              <w:pStyle w:val="TableParagraph"/>
              <w:spacing w:line="240" w:lineRule="auto"/>
              <w:ind w:left="1008" w:right="0"/>
              <w:jc w:val="left"/>
              <w:rPr>
                <w:rFonts w:ascii="Times New Roman" w:hAnsi="Times New Roman" w:cs="Times New Roman" w:eastAsia="Times New Roman" w:hint="default"/>
                <w:sz w:val="18"/>
                <w:szCs w:val="18"/>
              </w:rPr>
            </w:pPr>
            <w:r>
              <w:rPr>
                <w:rFonts w:ascii="Times New Roman"/>
                <w:sz w:val="18"/>
              </w:rPr>
              <w:t>16.04%</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8"/>
                <w:szCs w:val="18"/>
              </w:rPr>
            </w:pPr>
          </w:p>
          <w:p>
            <w:pPr>
              <w:pStyle w:val="TableParagraph"/>
              <w:spacing w:line="240" w:lineRule="auto"/>
              <w:ind w:left="1007" w:right="0"/>
              <w:jc w:val="left"/>
              <w:rPr>
                <w:rFonts w:ascii="Times New Roman" w:hAnsi="Times New Roman" w:cs="Times New Roman" w:eastAsia="Times New Roman" w:hint="default"/>
                <w:sz w:val="18"/>
                <w:szCs w:val="18"/>
              </w:rPr>
            </w:pPr>
            <w:r>
              <w:rPr>
                <w:rFonts w:ascii="Times New Roman"/>
                <w:sz w:val="18"/>
              </w:rPr>
              <w:t>16.04%</w:t>
            </w:r>
          </w:p>
        </w:tc>
      </w:tr>
    </w:tbl>
    <w:p>
      <w:pPr>
        <w:pStyle w:val="BodyText"/>
        <w:spacing w:line="360" w:lineRule="auto" w:before="49"/>
        <w:ind w:right="2834"/>
        <w:jc w:val="left"/>
      </w:pPr>
      <w:r>
        <w:rPr/>
        <w:t>本企业的母公司情况的说明 本公司实际控制人为刘磅，系拉萨市达实投资发展有限公司的第一大股东，本公司董事长、总经理。 本企业最终控制方是刘磅。</w:t>
      </w:r>
    </w:p>
    <w:p>
      <w:pPr>
        <w:spacing w:line="240" w:lineRule="auto" w:before="2"/>
        <w:rPr>
          <w:rFonts w:ascii="宋体" w:hAnsi="宋体" w:cs="宋体" w:eastAsia="宋体" w:hint="default"/>
          <w:sz w:val="20"/>
          <w:szCs w:val="20"/>
        </w:rPr>
      </w:pPr>
    </w:p>
    <w:p>
      <w:pPr>
        <w:spacing w:line="544" w:lineRule="auto" w:before="0"/>
        <w:ind w:left="152" w:right="4994" w:firstLine="0"/>
        <w:jc w:val="left"/>
        <w:rPr>
          <w:rFonts w:ascii="宋体" w:hAnsi="宋体" w:cs="宋体" w:eastAsia="宋体" w:hint="default"/>
          <w:sz w:val="21"/>
          <w:szCs w:val="21"/>
        </w:rPr>
      </w:pPr>
      <w:bookmarkStart w:name="2、本企业的子公司情况" w:id="374"/>
      <w:bookmarkEnd w:id="374"/>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、本企业的子公司情况</w:t>
      </w:r>
      <w:r>
        <w:rPr>
          <w:rFonts w:ascii="宋体" w:hAnsi="宋体" w:cs="宋体" w:eastAsia="宋体" w:hint="default"/>
          <w:b/>
          <w:bCs/>
          <w:w w:val="100"/>
          <w:sz w:val="21"/>
          <w:szCs w:val="21"/>
        </w:rPr>
        <w:t> </w:t>
      </w:r>
      <w:r>
        <w:rPr>
          <w:rFonts w:ascii="宋体" w:hAnsi="宋体" w:cs="宋体" w:eastAsia="宋体" w:hint="default"/>
          <w:sz w:val="18"/>
          <w:szCs w:val="18"/>
        </w:rPr>
        <w:t>本企业子公司的情况详见附注九、</w:t>
      </w:r>
      <w:r>
        <w:rPr>
          <w:rFonts w:ascii="Times New Roman" w:hAnsi="Times New Roman" w:cs="Times New Roman" w:eastAsia="Times New Roman" w:hint="default"/>
          <w:sz w:val="18"/>
          <w:szCs w:val="18"/>
        </w:rPr>
        <w:t>1</w:t>
      </w:r>
      <w:r>
        <w:rPr>
          <w:rFonts w:ascii="宋体" w:hAnsi="宋体" w:cs="宋体" w:eastAsia="宋体" w:hint="default"/>
          <w:sz w:val="18"/>
          <w:szCs w:val="18"/>
        </w:rPr>
        <w:t>、在子公司中的权益。 </w:t>
      </w:r>
      <w:bookmarkStart w:name="3、本企业合营和联营企业情况" w:id="375"/>
      <w:bookmarkEnd w:id="375"/>
      <w:r>
        <w:rPr>
          <w:rFonts w:ascii="宋体" w:hAnsi="宋体" w:cs="宋体" w:eastAsia="宋体" w:hint="default"/>
          <w:sz w:val="18"/>
          <w:szCs w:val="18"/>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、本企业合营和联营企业情况</w:t>
      </w:r>
      <w:r>
        <w:rPr>
          <w:rFonts w:ascii="宋体" w:hAnsi="宋体" w:cs="宋体" w:eastAsia="宋体" w:hint="default"/>
          <w:sz w:val="21"/>
          <w:szCs w:val="21"/>
        </w:rPr>
      </w:r>
    </w:p>
    <w:p>
      <w:pPr>
        <w:pStyle w:val="BodyText"/>
        <w:spacing w:line="240" w:lineRule="auto" w:before="49"/>
        <w:ind w:right="1133"/>
        <w:jc w:val="left"/>
      </w:pPr>
      <w:r>
        <w:rPr/>
        <w:t>本企业重要的合营或联营企业详见附注九、</w:t>
      </w:r>
      <w:r>
        <w:rPr>
          <w:rFonts w:ascii="Times New Roman" w:hAnsi="Times New Roman" w:cs="Times New Roman" w:eastAsia="Times New Roman" w:hint="default"/>
        </w:rPr>
        <w:t>3</w:t>
      </w:r>
      <w:r>
        <w:rPr/>
        <w:t>、在合营企业或联营企业中的权益。</w:t>
      </w:r>
    </w:p>
    <w:p>
      <w:pPr>
        <w:spacing w:after="0" w:line="240" w:lineRule="auto"/>
        <w:jc w:val="left"/>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1133"/>
        <w:jc w:val="left"/>
        <w:rPr>
          <w:b w:val="0"/>
          <w:bCs w:val="0"/>
        </w:rPr>
      </w:pPr>
      <w:bookmarkStart w:name="4、其他关联方情况" w:id="376"/>
      <w:bookmarkEnd w:id="376"/>
      <w:r>
        <w:rPr>
          <w:b w:val="0"/>
          <w:bCs w:val="0"/>
        </w:rPr>
      </w:r>
      <w:r>
        <w:rPr>
          <w:rFonts w:ascii="Times New Roman" w:hAnsi="Times New Roman" w:cs="Times New Roman" w:eastAsia="Times New Roman" w:hint="default"/>
        </w:rPr>
        <w:t>4</w:t>
      </w:r>
      <w:r>
        <w:rPr/>
        <w:t>、其他关联方情况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4784"/>
        <w:gridCol w:w="4787"/>
      </w:tblGrid>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99" w:right="0"/>
              <w:jc w:val="left"/>
              <w:rPr>
                <w:rFonts w:ascii="宋体" w:hAnsi="宋体" w:cs="宋体" w:eastAsia="宋体" w:hint="default"/>
                <w:sz w:val="18"/>
                <w:szCs w:val="18"/>
              </w:rPr>
            </w:pPr>
            <w:r>
              <w:rPr>
                <w:rFonts w:ascii="宋体" w:hAnsi="宋体" w:cs="宋体" w:eastAsia="宋体" w:hint="default"/>
                <w:sz w:val="18"/>
                <w:szCs w:val="18"/>
              </w:rPr>
              <w:t>其他关联方与本企业关系</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深圳达实物业服务有限公司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受同一实际控制人控制的公司</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界首市达实置业有限公司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实际控制人直系亲属担任监事的公司</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深圳市诺达自动化技术有限公司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公司董事实际控制的公司</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5"/>
          <w:szCs w:val="25"/>
        </w:rPr>
      </w:pPr>
    </w:p>
    <w:p>
      <w:pPr>
        <w:pStyle w:val="Heading4"/>
        <w:spacing w:line="240" w:lineRule="auto" w:before="36"/>
        <w:ind w:right="1133"/>
        <w:jc w:val="left"/>
        <w:rPr>
          <w:b w:val="0"/>
          <w:bCs w:val="0"/>
        </w:rPr>
      </w:pPr>
      <w:bookmarkStart w:name="5、关联交易情况" w:id="377"/>
      <w:bookmarkEnd w:id="377"/>
      <w:r>
        <w:rPr>
          <w:b w:val="0"/>
          <w:bCs w:val="0"/>
        </w:rPr>
      </w:r>
      <w:r>
        <w:rPr>
          <w:rFonts w:ascii="Times New Roman" w:hAnsi="Times New Roman" w:cs="Times New Roman" w:eastAsia="Times New Roman" w:hint="default"/>
        </w:rPr>
        <w:t>5</w:t>
      </w:r>
      <w:r>
        <w:rPr/>
        <w:t>、关联交易情况</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33"/>
        <w:jc w:val="left"/>
        <w:rPr>
          <w:b w:val="0"/>
          <w:bCs w:val="0"/>
        </w:rPr>
      </w:pPr>
      <w:bookmarkStart w:name="（1）购销商品、提供和接受劳务的关联交易" w:id="378"/>
      <w:bookmarkEnd w:id="378"/>
      <w:r>
        <w:rPr>
          <w:b w:val="0"/>
          <w:bCs w:val="0"/>
        </w:rPr>
      </w:r>
      <w:r>
        <w:rPr/>
        <w:t>（</w:t>
      </w:r>
      <w:r>
        <w:rPr>
          <w:rFonts w:ascii="Times New Roman" w:hAnsi="Times New Roman" w:cs="Times New Roman" w:eastAsia="Times New Roman" w:hint="default"/>
        </w:rPr>
        <w:t>1</w:t>
      </w:r>
      <w:r>
        <w:rPr/>
        <w:t>）购销商品、提供和接受劳务的关联交易</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right="1133"/>
        <w:jc w:val="left"/>
      </w:pPr>
      <w:r>
        <w:rPr/>
        <w:t>采购商品</w:t>
      </w:r>
      <w:r>
        <w:rPr>
          <w:rFonts w:ascii="Times New Roman" w:hAnsi="Times New Roman" w:cs="Times New Roman" w:eastAsia="Times New Roman" w:hint="default"/>
        </w:rPr>
        <w:t>/</w:t>
      </w:r>
      <w:r>
        <w:rPr/>
        <w:t>接受劳务情况表</w:t>
      </w:r>
    </w:p>
    <w:p>
      <w:pPr>
        <w:pStyle w:val="BodyText"/>
        <w:spacing w:line="240" w:lineRule="auto" w:before="103"/>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2648"/>
        <w:gridCol w:w="1357"/>
        <w:gridCol w:w="1193"/>
        <w:gridCol w:w="1572"/>
        <w:gridCol w:w="1786"/>
        <w:gridCol w:w="1142"/>
      </w:tblGrid>
      <w:tr>
        <w:trPr>
          <w:trHeight w:val="401" w:hRule="exact"/>
        </w:trPr>
        <w:tc>
          <w:tcPr>
            <w:tcW w:w="26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4"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5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51" w:right="0"/>
              <w:jc w:val="left"/>
              <w:rPr>
                <w:rFonts w:ascii="宋体" w:hAnsi="宋体" w:cs="宋体" w:eastAsia="宋体" w:hint="default"/>
                <w:sz w:val="18"/>
                <w:szCs w:val="18"/>
              </w:rPr>
            </w:pPr>
            <w:r>
              <w:rPr>
                <w:rFonts w:ascii="宋体" w:hAnsi="宋体" w:cs="宋体" w:eastAsia="宋体" w:hint="default"/>
                <w:sz w:val="18"/>
                <w:szCs w:val="18"/>
              </w:rPr>
              <w:t>获批的交易额度</w:t>
            </w:r>
          </w:p>
        </w:tc>
        <w:tc>
          <w:tcPr>
            <w:tcW w:w="1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7" w:right="0"/>
              <w:jc w:val="left"/>
              <w:rPr>
                <w:rFonts w:ascii="宋体" w:hAnsi="宋体" w:cs="宋体" w:eastAsia="宋体" w:hint="default"/>
                <w:sz w:val="18"/>
                <w:szCs w:val="18"/>
              </w:rPr>
            </w:pPr>
            <w:r>
              <w:rPr>
                <w:rFonts w:ascii="宋体" w:hAnsi="宋体" w:cs="宋体" w:eastAsia="宋体" w:hint="default"/>
                <w:sz w:val="18"/>
                <w:szCs w:val="18"/>
              </w:rPr>
              <w:t>是否超过交易额度</w:t>
            </w:r>
          </w:p>
        </w:tc>
        <w:tc>
          <w:tcPr>
            <w:tcW w:w="11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7"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2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深圳达实物业服务有限公司</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水电及管理费</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6" w:right="0"/>
              <w:jc w:val="left"/>
              <w:rPr>
                <w:rFonts w:ascii="Times New Roman" w:hAnsi="Times New Roman" w:cs="Times New Roman" w:eastAsia="Times New Roman" w:hint="default"/>
                <w:sz w:val="18"/>
                <w:szCs w:val="18"/>
              </w:rPr>
            </w:pPr>
            <w:r>
              <w:rPr>
                <w:rFonts w:ascii="Times New Roman"/>
                <w:sz w:val="18"/>
              </w:rPr>
              <w:t>3,858,245.91</w:t>
            </w:r>
          </w:p>
        </w:tc>
        <w:tc>
          <w:tcPr>
            <w:tcW w:w="1572" w:type="dxa"/>
            <w:tcBorders>
              <w:top w:val="single" w:sz="4" w:space="0" w:color="000000"/>
              <w:left w:val="single" w:sz="4" w:space="0" w:color="000000"/>
              <w:bottom w:val="single" w:sz="4" w:space="0" w:color="000000"/>
              <w:right w:val="single" w:sz="4" w:space="0" w:color="000000"/>
            </w:tcBorders>
          </w:tcPr>
          <w:p>
            <w:pPr/>
          </w:p>
        </w:tc>
        <w:tc>
          <w:tcPr>
            <w:tcW w:w="1786" w:type="dxa"/>
            <w:tcBorders>
              <w:top w:val="single" w:sz="4" w:space="0" w:color="000000"/>
              <w:left w:val="single" w:sz="4" w:space="0" w:color="000000"/>
              <w:bottom w:val="single" w:sz="4" w:space="0" w:color="000000"/>
              <w:right w:val="single" w:sz="4" w:space="0" w:color="000000"/>
            </w:tcBorders>
          </w:tcPr>
          <w:p>
            <w:pP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99" w:right="0"/>
              <w:jc w:val="left"/>
              <w:rPr>
                <w:rFonts w:ascii="Times New Roman" w:hAnsi="Times New Roman" w:cs="Times New Roman" w:eastAsia="Times New Roman" w:hint="default"/>
                <w:sz w:val="18"/>
                <w:szCs w:val="18"/>
              </w:rPr>
            </w:pPr>
            <w:r>
              <w:rPr>
                <w:rFonts w:ascii="Times New Roman"/>
                <w:sz w:val="18"/>
              </w:rPr>
              <w:t>715,415.54</w:t>
            </w:r>
          </w:p>
        </w:tc>
      </w:tr>
    </w:tbl>
    <w:p>
      <w:pPr>
        <w:spacing w:line="240" w:lineRule="auto" w:before="2"/>
        <w:rPr>
          <w:rFonts w:ascii="宋体" w:hAnsi="宋体" w:cs="宋体" w:eastAsia="宋体" w:hint="default"/>
          <w:sz w:val="27"/>
          <w:szCs w:val="27"/>
        </w:rPr>
      </w:pPr>
    </w:p>
    <w:p>
      <w:pPr>
        <w:pStyle w:val="BodyText"/>
        <w:spacing w:line="240" w:lineRule="auto" w:before="44"/>
        <w:ind w:right="1133"/>
        <w:jc w:val="left"/>
      </w:pPr>
      <w:r>
        <w:rPr/>
        <w:t>出售商品</w:t>
      </w:r>
      <w:r>
        <w:rPr>
          <w:rFonts w:ascii="Times New Roman" w:hAnsi="Times New Roman" w:cs="Times New Roman" w:eastAsia="Times New Roman" w:hint="default"/>
        </w:rPr>
        <w:t>/</w:t>
      </w:r>
      <w:r>
        <w:rPr/>
        <w:t>提供劳务情况表</w:t>
      </w:r>
    </w:p>
    <w:p>
      <w:pPr>
        <w:pStyle w:val="BodyText"/>
        <w:spacing w:line="240" w:lineRule="auto" w:before="103"/>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4441"/>
        <w:gridCol w:w="1959"/>
        <w:gridCol w:w="1649"/>
        <w:gridCol w:w="1649"/>
      </w:tblGrid>
      <w:tr>
        <w:trPr>
          <w:trHeight w:val="401" w:hRule="exact"/>
        </w:trPr>
        <w:tc>
          <w:tcPr>
            <w:tcW w:w="4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9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4"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6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6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6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69"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4" w:hRule="exact"/>
        </w:trPr>
        <w:tc>
          <w:tcPr>
            <w:tcW w:w="4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融智节能环保（深圳）有限公司</w:t>
            </w:r>
          </w:p>
        </w:tc>
        <w:tc>
          <w:tcPr>
            <w:tcW w:w="1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工程收入</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33,980.58</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892,051.28</w:t>
            </w:r>
          </w:p>
        </w:tc>
      </w:tr>
      <w:tr>
        <w:trPr>
          <w:trHeight w:val="401" w:hRule="exact"/>
        </w:trPr>
        <w:tc>
          <w:tcPr>
            <w:tcW w:w="4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融智节能环保（深圳）有限公司</w:t>
            </w:r>
          </w:p>
        </w:tc>
        <w:tc>
          <w:tcPr>
            <w:tcW w:w="1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服务收入</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20,388.36</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182,075.47</w:t>
            </w:r>
          </w:p>
        </w:tc>
      </w:tr>
      <w:tr>
        <w:trPr>
          <w:trHeight w:val="403" w:hRule="exact"/>
        </w:trPr>
        <w:tc>
          <w:tcPr>
            <w:tcW w:w="4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深圳达实物业服务有限公司</w:t>
            </w:r>
          </w:p>
        </w:tc>
        <w:tc>
          <w:tcPr>
            <w:tcW w:w="1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电费</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169,698.07</w:t>
            </w:r>
          </w:p>
        </w:tc>
        <w:tc>
          <w:tcPr>
            <w:tcW w:w="164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关联租赁情况" w:id="379"/>
      <w:bookmarkEnd w:id="379"/>
      <w:r>
        <w:rPr>
          <w:b w:val="0"/>
          <w:bCs w:val="0"/>
        </w:rPr>
      </w:r>
      <w:r>
        <w:rPr/>
        <w:t>（</w:t>
      </w:r>
      <w:r>
        <w:rPr>
          <w:rFonts w:ascii="Times New Roman" w:hAnsi="Times New Roman" w:cs="Times New Roman" w:eastAsia="Times New Roman" w:hint="default"/>
        </w:rPr>
        <w:t>2</w:t>
      </w:r>
      <w:r>
        <w:rPr/>
        <w:t>）关联租赁情况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right="1133"/>
        <w:jc w:val="left"/>
      </w:pPr>
      <w:r>
        <w:rPr/>
        <w:t>本公司作为出租方：</w:t>
      </w:r>
    </w:p>
    <w:p>
      <w:pPr>
        <w:pStyle w:val="BodyText"/>
        <w:spacing w:line="240" w:lineRule="auto" w:before="117"/>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3536"/>
        <w:gridCol w:w="1560"/>
        <w:gridCol w:w="2302"/>
        <w:gridCol w:w="2300"/>
      </w:tblGrid>
      <w:tr>
        <w:trPr>
          <w:trHeight w:val="401" w:hRule="exact"/>
        </w:trPr>
        <w:tc>
          <w:tcPr>
            <w:tcW w:w="35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承租方名称</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5"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36" w:right="0"/>
              <w:jc w:val="left"/>
              <w:rPr>
                <w:rFonts w:ascii="宋体" w:hAnsi="宋体" w:cs="宋体" w:eastAsia="宋体" w:hint="default"/>
                <w:sz w:val="18"/>
                <w:szCs w:val="18"/>
              </w:rPr>
            </w:pPr>
            <w:r>
              <w:rPr>
                <w:rFonts w:ascii="宋体" w:hAnsi="宋体" w:cs="宋体" w:eastAsia="宋体" w:hint="default"/>
                <w:sz w:val="18"/>
                <w:szCs w:val="18"/>
              </w:rPr>
              <w:t>本期确认的租赁收入</w:t>
            </w:r>
          </w:p>
        </w:tc>
        <w:tc>
          <w:tcPr>
            <w:tcW w:w="2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36" w:right="0"/>
              <w:jc w:val="left"/>
              <w:rPr>
                <w:rFonts w:ascii="宋体" w:hAnsi="宋体" w:cs="宋体" w:eastAsia="宋体" w:hint="default"/>
                <w:sz w:val="18"/>
                <w:szCs w:val="18"/>
              </w:rPr>
            </w:pPr>
            <w:r>
              <w:rPr>
                <w:rFonts w:ascii="宋体" w:hAnsi="宋体" w:cs="宋体" w:eastAsia="宋体" w:hint="default"/>
                <w:sz w:val="18"/>
                <w:szCs w:val="18"/>
              </w:rPr>
              <w:t>上期确认的租赁收入</w:t>
            </w:r>
          </w:p>
        </w:tc>
      </w:tr>
      <w:tr>
        <w:trPr>
          <w:trHeight w:val="403" w:hRule="exact"/>
        </w:trPr>
        <w:tc>
          <w:tcPr>
            <w:tcW w:w="3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深圳市诺达自动化技术有限公司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3）关联担保情况" w:id="380"/>
      <w:bookmarkEnd w:id="380"/>
      <w:r>
        <w:rPr>
          <w:b w:val="0"/>
          <w:bCs w:val="0"/>
        </w:rPr>
      </w:r>
      <w:r>
        <w:rPr/>
        <w:t>（</w:t>
      </w:r>
      <w:r>
        <w:rPr>
          <w:rFonts w:ascii="Times New Roman" w:hAnsi="Times New Roman" w:cs="Times New Roman" w:eastAsia="Times New Roman" w:hint="default"/>
        </w:rPr>
        <w:t>3</w:t>
      </w:r>
      <w:r>
        <w:rPr/>
        <w:t>）关联担保情况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right="1133"/>
        <w:jc w:val="left"/>
      </w:pPr>
      <w:r>
        <w:rPr/>
        <w:t>本公司作为担保方</w:t>
      </w:r>
    </w:p>
    <w:p>
      <w:pPr>
        <w:pStyle w:val="BodyText"/>
        <w:spacing w:line="240" w:lineRule="auto" w:before="117"/>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2905"/>
        <w:gridCol w:w="1229"/>
        <w:gridCol w:w="1738"/>
        <w:gridCol w:w="1735"/>
        <w:gridCol w:w="2091"/>
      </w:tblGrid>
      <w:tr>
        <w:trPr>
          <w:trHeight w:val="401" w:hRule="exact"/>
        </w:trPr>
        <w:tc>
          <w:tcPr>
            <w:tcW w:w="29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被担保方</w:t>
            </w:r>
          </w:p>
        </w:tc>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9"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15"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12"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20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9" w:right="0"/>
              <w:jc w:val="left"/>
              <w:rPr>
                <w:rFonts w:ascii="宋体" w:hAnsi="宋体" w:cs="宋体" w:eastAsia="宋体" w:hint="default"/>
                <w:sz w:val="18"/>
                <w:szCs w:val="18"/>
              </w:rPr>
            </w:pPr>
            <w:r>
              <w:rPr>
                <w:rFonts w:ascii="宋体" w:hAnsi="宋体" w:cs="宋体" w:eastAsia="宋体" w:hint="default"/>
                <w:sz w:val="18"/>
                <w:szCs w:val="18"/>
              </w:rPr>
              <w:t>担保是否已经履行完毕</w:t>
            </w:r>
          </w:p>
        </w:tc>
      </w:tr>
      <w:tr>
        <w:trPr>
          <w:trHeight w:val="403" w:hRule="exact"/>
        </w:trPr>
        <w:tc>
          <w:tcPr>
            <w:tcW w:w="2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融智节能环保（深圳）有限公司</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3" w:right="0"/>
              <w:jc w:val="left"/>
              <w:rPr>
                <w:rFonts w:ascii="Times New Roman" w:hAnsi="Times New Roman" w:cs="Times New Roman" w:eastAsia="Times New Roman" w:hint="default"/>
                <w:sz w:val="18"/>
                <w:szCs w:val="18"/>
              </w:rPr>
            </w:pPr>
            <w:r>
              <w:rPr>
                <w:rFonts w:ascii="Times New Roman"/>
                <w:sz w:val="18"/>
              </w:rPr>
              <w:t>45,000,000.00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2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1133"/>
        <w:jc w:val="left"/>
        <w:rPr>
          <w:b w:val="0"/>
          <w:bCs w:val="0"/>
        </w:rPr>
      </w:pPr>
      <w:bookmarkStart w:name="6、关联方应收应付款项" w:id="381"/>
      <w:bookmarkEnd w:id="381"/>
      <w:r>
        <w:rPr>
          <w:b w:val="0"/>
          <w:bCs w:val="0"/>
        </w:rPr>
      </w:r>
      <w:r>
        <w:rPr>
          <w:rFonts w:ascii="Times New Roman" w:hAnsi="Times New Roman" w:cs="Times New Roman" w:eastAsia="Times New Roman" w:hint="default"/>
        </w:rPr>
        <w:t>6</w:t>
      </w:r>
      <w:r>
        <w:rPr/>
        <w:t>、关联方应收应付款项</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33"/>
        <w:jc w:val="left"/>
        <w:rPr>
          <w:b w:val="0"/>
          <w:bCs w:val="0"/>
        </w:rPr>
      </w:pPr>
      <w:bookmarkStart w:name="（1）应收项目" w:id="382"/>
      <w:bookmarkEnd w:id="382"/>
      <w:r>
        <w:rPr>
          <w:b w:val="0"/>
          <w:bCs w:val="0"/>
        </w:rPr>
      </w:r>
      <w:r>
        <w:rPr/>
        <w:t>（</w:t>
      </w:r>
      <w:r>
        <w:rPr>
          <w:rFonts w:ascii="Times New Roman" w:hAnsi="Times New Roman" w:cs="Times New Roman" w:eastAsia="Times New Roman" w:hint="default"/>
        </w:rPr>
        <w:t>1</w:t>
      </w:r>
      <w:r>
        <w:rPr/>
        <w:t>）应收项目</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2460"/>
        <w:gridCol w:w="3111"/>
        <w:gridCol w:w="1044"/>
        <w:gridCol w:w="936"/>
        <w:gridCol w:w="1210"/>
        <w:gridCol w:w="936"/>
      </w:tblGrid>
      <w:tr>
        <w:trPr>
          <w:trHeight w:val="401" w:hRule="exact"/>
        </w:trPr>
        <w:tc>
          <w:tcPr>
            <w:tcW w:w="246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311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98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26"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14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08" w:right="0"/>
              <w:jc w:val="left"/>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2460" w:type="dxa"/>
            <w:vMerge/>
            <w:tcBorders>
              <w:left w:val="single" w:sz="4" w:space="0" w:color="000000"/>
              <w:bottom w:val="single" w:sz="4" w:space="0" w:color="000000"/>
              <w:right w:val="single" w:sz="4" w:space="0" w:color="000000"/>
            </w:tcBorders>
            <w:shd w:val="clear" w:color="auto" w:fill="D2D2D2"/>
          </w:tcPr>
          <w:p>
            <w:pPr/>
          </w:p>
        </w:tc>
        <w:tc>
          <w:tcPr>
            <w:tcW w:w="3111" w:type="dxa"/>
            <w:vMerge/>
            <w:tcBorders>
              <w:left w:val="single" w:sz="4" w:space="0" w:color="000000"/>
              <w:bottom w:val="single" w:sz="4" w:space="0" w:color="000000"/>
              <w:right w:val="single" w:sz="4" w:space="0" w:color="000000"/>
            </w:tcBorders>
            <w:shd w:val="clear" w:color="auto" w:fill="D2D2D2"/>
          </w:tcPr>
          <w:p>
            <w:pPr/>
          </w:p>
        </w:tc>
        <w:tc>
          <w:tcPr>
            <w:tcW w:w="10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5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0"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401" w:hRule="exact"/>
        </w:trPr>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深圳达实物业服务有限公司</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191,758.81</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5,752.76</w:t>
            </w:r>
          </w:p>
        </w:tc>
        <w:tc>
          <w:tcPr>
            <w:tcW w:w="121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融智节能环保（深圳）有限公司</w:t>
            </w:r>
          </w:p>
        </w:tc>
        <w:tc>
          <w:tcPr>
            <w:tcW w:w="1044"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57,690.00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1,730.70</w:t>
            </w:r>
          </w:p>
        </w:tc>
      </w:tr>
      <w:tr>
        <w:trPr>
          <w:trHeight w:val="401" w:hRule="exact"/>
        </w:trPr>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深圳达实物业服务有限公司</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266,608.75</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7,998.26</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15,000.00</w:t>
            </w:r>
          </w:p>
        </w:tc>
      </w:tr>
      <w:tr>
        <w:trPr>
          <w:trHeight w:val="404" w:hRule="exact"/>
        </w:trPr>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融智节能环保（深圳）有限公司</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44,580.98</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1,521.30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39,193.75</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1,175.81</w:t>
            </w:r>
          </w:p>
        </w:tc>
      </w:tr>
      <w:tr>
        <w:trPr>
          <w:trHeight w:val="401" w:hRule="exact"/>
        </w:trPr>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界首市达实置业有限公司</w:t>
            </w:r>
          </w:p>
        </w:tc>
        <w:tc>
          <w:tcPr>
            <w:tcW w:w="1044"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1,704,608.42</w:t>
            </w:r>
          </w:p>
        </w:tc>
        <w:tc>
          <w:tcPr>
            <w:tcW w:w="93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应付项目" w:id="383"/>
      <w:bookmarkEnd w:id="383"/>
      <w:r>
        <w:rPr>
          <w:b w:val="0"/>
          <w:bCs w:val="0"/>
        </w:rPr>
      </w:r>
      <w:r>
        <w:rPr/>
        <w:t>（</w:t>
      </w:r>
      <w:r>
        <w:rPr>
          <w:rFonts w:ascii="Times New Roman" w:hAnsi="Times New Roman" w:cs="Times New Roman" w:eastAsia="Times New Roman" w:hint="default"/>
        </w:rPr>
        <w:t>2</w:t>
      </w:r>
      <w:r>
        <w:rPr/>
        <w:t>）应付项目</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1599"/>
        <w:gridCol w:w="4304"/>
        <w:gridCol w:w="1899"/>
        <w:gridCol w:w="1896"/>
      </w:tblGrid>
      <w:tr>
        <w:trPr>
          <w:trHeight w:val="401" w:hRule="exact"/>
        </w:trPr>
        <w:tc>
          <w:tcPr>
            <w:tcW w:w="1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4"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43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8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05"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18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03"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3"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4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深圳达实物业服务有限公司</w:t>
            </w:r>
          </w:p>
        </w:tc>
        <w:tc>
          <w:tcPr>
            <w:tcW w:w="1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390,451.27</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9,739.68</w:t>
            </w:r>
          </w:p>
        </w:tc>
      </w:tr>
      <w:tr>
        <w:trPr>
          <w:trHeight w:val="401"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4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融智节能环保（深圳）有限公司</w:t>
            </w:r>
          </w:p>
        </w:tc>
        <w:tc>
          <w:tcPr>
            <w:tcW w:w="1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5,493,060.17</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8,167,557.64</w:t>
            </w:r>
          </w:p>
        </w:tc>
      </w:tr>
      <w:tr>
        <w:trPr>
          <w:trHeight w:val="403"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4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深圳市诺达自动化技术有限公司</w:t>
            </w:r>
          </w:p>
        </w:tc>
        <w:tc>
          <w:tcPr>
            <w:tcW w:w="1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181,923.00</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270,365.00</w:t>
            </w:r>
          </w:p>
        </w:tc>
      </w:tr>
    </w:tbl>
    <w:p>
      <w:pPr>
        <w:spacing w:line="240" w:lineRule="auto" w:before="1"/>
        <w:rPr>
          <w:rFonts w:ascii="宋体" w:hAnsi="宋体" w:cs="宋体" w:eastAsia="宋体" w:hint="default"/>
          <w:sz w:val="18"/>
          <w:szCs w:val="18"/>
        </w:rPr>
      </w:pPr>
    </w:p>
    <w:p>
      <w:pPr>
        <w:pStyle w:val="Heading2"/>
        <w:spacing w:line="240" w:lineRule="auto" w:before="26"/>
        <w:ind w:right="1133"/>
        <w:jc w:val="left"/>
        <w:rPr>
          <w:b w:val="0"/>
          <w:bCs w:val="0"/>
        </w:rPr>
      </w:pPr>
      <w:bookmarkStart w:name="十二、股份支付" w:id="384"/>
      <w:bookmarkEnd w:id="384"/>
      <w:r>
        <w:rPr>
          <w:b w:val="0"/>
          <w:bCs w:val="0"/>
        </w:rPr>
      </w:r>
      <w:r>
        <w:rPr/>
        <w:t>十二、股份支付</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1133"/>
        <w:jc w:val="left"/>
        <w:rPr>
          <w:b w:val="0"/>
          <w:bCs w:val="0"/>
        </w:rPr>
      </w:pPr>
      <w:bookmarkStart w:name="1、股份支付总体情况" w:id="385"/>
      <w:bookmarkEnd w:id="385"/>
      <w:r>
        <w:rPr>
          <w:b w:val="0"/>
          <w:bCs w:val="0"/>
        </w:rPr>
      </w:r>
      <w:r>
        <w:rPr>
          <w:rFonts w:ascii="Times New Roman" w:hAnsi="Times New Roman" w:cs="Times New Roman" w:eastAsia="Times New Roman" w:hint="default"/>
        </w:rPr>
        <w:t>1</w:t>
      </w:r>
      <w:r>
        <w:rPr/>
        <w:t>、股份支付总体情况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5455"/>
        <w:gridCol w:w="4114"/>
      </w:tblGrid>
      <w:tr>
        <w:trPr>
          <w:trHeight w:val="403"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公司本期授予的各项权益工具总额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32,880,000.00</w:t>
            </w:r>
          </w:p>
        </w:tc>
      </w:tr>
      <w:tr>
        <w:trPr>
          <w:trHeight w:val="401"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公司本期行权的各项权益工具总额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公司本期失效的各项权益工具总额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公司期末发行在外的股票期权行权价格的范围和合同剩余期限</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公司期末发行在外的其他权益工具行权价格的范围和合同剩余期限</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w:t>
            </w:r>
          </w:p>
        </w:tc>
      </w:tr>
    </w:tbl>
    <w:p>
      <w:pPr>
        <w:pStyle w:val="BodyText"/>
        <w:spacing w:line="240" w:lineRule="auto" w:before="49"/>
        <w:ind w:right="1133"/>
        <w:jc w:val="left"/>
      </w:pPr>
      <w:r>
        <w:rPr/>
        <w:t>其他说明</w:t>
      </w:r>
    </w:p>
    <w:p>
      <w:pPr>
        <w:pStyle w:val="BodyText"/>
        <w:spacing w:line="300" w:lineRule="auto" w:before="115"/>
        <w:ind w:left="573" w:right="1118"/>
        <w:jc w:val="left"/>
      </w:pPr>
      <w:r>
        <w:rPr>
          <w:rFonts w:ascii="Times New Roman" w:hAnsi="Times New Roman" w:cs="Times New Roman" w:eastAsia="Times New Roman" w:hint="default"/>
        </w:rPr>
        <w:t>2019</w:t>
      </w:r>
      <w:r>
        <w:rPr>
          <w:rFonts w:ascii="Times New Roman" w:hAnsi="Times New Roman" w:cs="Times New Roman" w:eastAsia="Times New Roman" w:hint="default"/>
          <w:spacing w:val="28"/>
        </w:rPr>
        <w:t> </w:t>
      </w:r>
      <w:r>
        <w:rPr/>
        <w:t>年授予限制性股票情况 </w:t>
      </w:r>
      <w:r>
        <w:rPr>
          <w:spacing w:val="-1"/>
        </w:rPr>
        <w:t>经公司</w:t>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8</w:t>
      </w:r>
      <w:r>
        <w:rPr>
          <w:spacing w:val="-1"/>
        </w:rPr>
        <w:t>月</w:t>
      </w:r>
      <w:r>
        <w:rPr>
          <w:rFonts w:ascii="Times New Roman" w:hAnsi="Times New Roman" w:cs="Times New Roman" w:eastAsia="Times New Roman" w:hint="default"/>
          <w:spacing w:val="-1"/>
        </w:rPr>
        <w:t>19</w:t>
      </w:r>
      <w:r>
        <w:rPr>
          <w:spacing w:val="-1"/>
        </w:rPr>
        <w:t>日召开的第六届董事会第二十七次会议及第六届监事会审议批准，公司实施了第三期限制性股票激</w:t>
      </w:r>
    </w:p>
    <w:p>
      <w:pPr>
        <w:pStyle w:val="BodyText"/>
        <w:spacing w:line="240" w:lineRule="auto" w:before="13"/>
        <w:ind w:right="1133"/>
        <w:jc w:val="left"/>
      </w:pPr>
      <w:r>
        <w:rPr/>
        <w:t>励计划，并于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6</w:t>
      </w:r>
      <w:r>
        <w:rPr/>
        <w:t>日完成了限制性股票的首次授予登记，具体情况如下：</w:t>
      </w:r>
    </w:p>
    <w:p>
      <w:pPr>
        <w:pStyle w:val="BodyText"/>
        <w:spacing w:line="240" w:lineRule="auto" w:before="63"/>
        <w:ind w:left="573" w:right="1133"/>
        <w:jc w:val="left"/>
      </w:pPr>
      <w:r>
        <w:rPr>
          <w:rFonts w:ascii="Times New Roman" w:hAnsi="Times New Roman" w:cs="Times New Roman" w:eastAsia="Times New Roman" w:hint="default"/>
        </w:rPr>
        <w:t>a</w:t>
      </w:r>
      <w:r>
        <w:rPr/>
        <w:t>、授予日：</w:t>
      </w:r>
      <w:r>
        <w:rPr>
          <w:rFonts w:ascii="Times New Roman" w:hAnsi="Times New Roman" w:cs="Times New Roman" w:eastAsia="Times New Roman" w:hint="default"/>
        </w:rPr>
        <w:t>2019</w:t>
      </w:r>
      <w:r>
        <w:rPr>
          <w:rFonts w:ascii="Times New Roman" w:hAnsi="Times New Roman" w:cs="Times New Roman" w:eastAsia="Times New Roman" w:hint="default"/>
          <w:spacing w:val="26"/>
        </w:rPr>
        <w:t> </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19</w:t>
      </w:r>
      <w:r>
        <w:rPr/>
        <w:t>日。</w:t>
      </w:r>
    </w:p>
    <w:p>
      <w:pPr>
        <w:pStyle w:val="BodyText"/>
        <w:spacing w:line="240" w:lineRule="auto" w:before="63"/>
        <w:ind w:left="573" w:right="0"/>
        <w:jc w:val="left"/>
      </w:pPr>
      <w:r>
        <w:rPr>
          <w:rFonts w:ascii="Times New Roman" w:hAnsi="Times New Roman" w:cs="Times New Roman" w:eastAsia="Times New Roman" w:hint="default"/>
          <w:spacing w:val="2"/>
        </w:rPr>
        <w:t>b</w:t>
      </w:r>
      <w:r>
        <w:rPr>
          <w:spacing w:val="2"/>
        </w:rPr>
        <w:t>、授予人数及数量：首次授予的激励对象为</w:t>
      </w:r>
      <w:r>
        <w:rPr>
          <w:rFonts w:ascii="Times New Roman" w:hAnsi="Times New Roman" w:cs="Times New Roman" w:eastAsia="Times New Roman" w:hint="default"/>
          <w:spacing w:val="2"/>
        </w:rPr>
        <w:t>138</w:t>
      </w:r>
      <w:r>
        <w:rPr>
          <w:spacing w:val="2"/>
        </w:rPr>
        <w:t>人，首次授予</w:t>
      </w:r>
      <w:r>
        <w:rPr>
          <w:rFonts w:ascii="Times New Roman" w:hAnsi="Times New Roman" w:cs="Times New Roman" w:eastAsia="Times New Roman" w:hint="default"/>
          <w:spacing w:val="2"/>
        </w:rPr>
        <w:t>3,288</w:t>
      </w:r>
      <w:r>
        <w:rPr>
          <w:spacing w:val="2"/>
        </w:rPr>
        <w:t>万股，占授予时当前总股本</w:t>
      </w:r>
      <w:r>
        <w:rPr>
          <w:rFonts w:ascii="Times New Roman" w:hAnsi="Times New Roman" w:cs="Times New Roman" w:eastAsia="Times New Roman" w:hint="default"/>
          <w:spacing w:val="2"/>
        </w:rPr>
        <w:t>190,215.9229 </w:t>
      </w:r>
      <w:r>
        <w:rPr>
          <w:rFonts w:ascii="Times New Roman" w:hAnsi="Times New Roman" w:cs="Times New Roman" w:eastAsia="Times New Roman" w:hint="default"/>
          <w:spacing w:val="22"/>
        </w:rPr>
        <w:t> </w:t>
      </w:r>
      <w:r>
        <w:rPr>
          <w:spacing w:val="2"/>
        </w:rPr>
        <w:t>万股的</w:t>
      </w:r>
    </w:p>
    <w:p>
      <w:pPr>
        <w:pStyle w:val="BodyText"/>
        <w:spacing w:line="240" w:lineRule="auto" w:before="62"/>
        <w:ind w:right="1133"/>
        <w:jc w:val="left"/>
      </w:pPr>
      <w:r>
        <w:rPr>
          <w:rFonts w:ascii="Times New Roman" w:hAnsi="Times New Roman" w:cs="Times New Roman" w:eastAsia="Times New Roman" w:hint="default"/>
        </w:rPr>
        <w:t>1.73%</w:t>
      </w:r>
      <w:r>
        <w:rPr/>
        <w:t>。</w:t>
      </w:r>
    </w:p>
    <w:p>
      <w:pPr>
        <w:spacing w:after="0" w:line="240" w:lineRule="auto"/>
        <w:jc w:val="left"/>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300" w:lineRule="auto" w:before="44"/>
        <w:ind w:left="573" w:right="4663"/>
        <w:jc w:val="left"/>
      </w:pPr>
      <w:r>
        <w:rPr>
          <w:rFonts w:ascii="Times New Roman" w:hAnsi="Times New Roman" w:cs="Times New Roman" w:eastAsia="Times New Roman" w:hint="default"/>
        </w:rPr>
        <w:t>c</w:t>
      </w:r>
      <w:r>
        <w:rPr/>
        <w:t>、授予价格：</w:t>
      </w:r>
      <w:r>
        <w:rPr>
          <w:rFonts w:ascii="Times New Roman" w:hAnsi="Times New Roman" w:cs="Times New Roman" w:eastAsia="Times New Roman" w:hint="default"/>
        </w:rPr>
        <w:t>1.90</w:t>
      </w:r>
      <w:r>
        <w:rPr/>
        <w:t>元</w:t>
      </w:r>
      <w:r>
        <w:rPr>
          <w:rFonts w:ascii="Times New Roman" w:hAnsi="Times New Roman" w:cs="Times New Roman" w:eastAsia="Times New Roman" w:hint="default"/>
        </w:rPr>
        <w:t>/</w:t>
      </w:r>
      <w:r>
        <w:rPr/>
        <w:t>股。 </w:t>
      </w:r>
      <w:r>
        <w:rPr>
          <w:rFonts w:ascii="Times New Roman" w:hAnsi="Times New Roman" w:cs="Times New Roman" w:eastAsia="Times New Roman" w:hint="default"/>
        </w:rPr>
        <w:t>d</w:t>
      </w:r>
      <w:r>
        <w:rPr/>
        <w:t>、股票来源：激励计划股票来源为达实智能向激励对象定向发行股票。</w:t>
      </w:r>
    </w:p>
    <w:p>
      <w:pPr>
        <w:pStyle w:val="BodyText"/>
        <w:spacing w:line="300" w:lineRule="auto" w:before="13"/>
        <w:ind w:left="573" w:right="1129"/>
        <w:jc w:val="left"/>
      </w:pPr>
      <w:r>
        <w:rPr>
          <w:rFonts w:ascii="Times New Roman" w:hAnsi="Times New Roman" w:cs="Times New Roman" w:eastAsia="Times New Roman" w:hint="default"/>
        </w:rPr>
        <w:t>e</w:t>
      </w:r>
      <w:r>
        <w:rPr/>
        <w:t>、锁定期：激励对象获授的限制性股票适用不同的锁定期，分别为</w:t>
      </w:r>
      <w:r>
        <w:rPr>
          <w:rFonts w:ascii="Times New Roman" w:hAnsi="Times New Roman" w:cs="Times New Roman" w:eastAsia="Times New Roman" w:hint="default"/>
        </w:rPr>
        <w:t>1</w:t>
      </w:r>
      <w:r>
        <w:rPr/>
        <w:t>年、</w:t>
      </w:r>
      <w:r>
        <w:rPr>
          <w:rFonts w:ascii="Times New Roman" w:hAnsi="Times New Roman" w:cs="Times New Roman" w:eastAsia="Times New Roman" w:hint="default"/>
        </w:rPr>
        <w:t>2</w:t>
      </w:r>
      <w:r>
        <w:rPr/>
        <w:t>年和</w:t>
      </w:r>
      <w:r>
        <w:rPr>
          <w:rFonts w:ascii="Times New Roman" w:hAnsi="Times New Roman" w:cs="Times New Roman" w:eastAsia="Times New Roman" w:hint="default"/>
        </w:rPr>
        <w:t>3</w:t>
      </w:r>
      <w:r>
        <w:rPr/>
        <w:t>年，均自授予之日起计。 </w:t>
      </w:r>
      <w:r>
        <w:rPr>
          <w:rFonts w:ascii="Times New Roman" w:hAnsi="Times New Roman" w:cs="Times New Roman" w:eastAsia="Times New Roman" w:hint="default"/>
          <w:spacing w:val="-1"/>
        </w:rPr>
        <w:t>f</w:t>
      </w:r>
      <w:r>
        <w:rPr>
          <w:spacing w:val="-1"/>
        </w:rPr>
        <w:t>、解锁期：在解锁期内，若达到本激励计划规定的解锁条件，激励对象可分三次申请解锁，实际可解锁数量应与激励</w:t>
      </w:r>
    </w:p>
    <w:p>
      <w:pPr>
        <w:pStyle w:val="BodyText"/>
        <w:spacing w:line="240" w:lineRule="auto" w:before="13"/>
        <w:ind w:right="1133"/>
        <w:jc w:val="left"/>
      </w:pPr>
      <w:r>
        <w:rPr/>
        <w:t>对象上一年度绩效评价结果挂钩。</w:t>
      </w:r>
    </w:p>
    <w:p>
      <w:pPr>
        <w:spacing w:line="240" w:lineRule="auto" w:before="0"/>
        <w:rPr>
          <w:rFonts w:ascii="宋体" w:hAnsi="宋体" w:cs="宋体" w:eastAsia="宋体" w:hint="default"/>
          <w:sz w:val="18"/>
          <w:szCs w:val="18"/>
        </w:rPr>
      </w:pPr>
    </w:p>
    <w:p>
      <w:pPr>
        <w:pStyle w:val="Heading4"/>
        <w:spacing w:line="240" w:lineRule="auto" w:before="120"/>
        <w:ind w:right="1133"/>
        <w:jc w:val="left"/>
        <w:rPr>
          <w:b w:val="0"/>
          <w:bCs w:val="0"/>
        </w:rPr>
      </w:pPr>
      <w:bookmarkStart w:name="2、以权益结算的股份支付情况" w:id="386"/>
      <w:bookmarkEnd w:id="386"/>
      <w:r>
        <w:rPr>
          <w:b w:val="0"/>
          <w:bCs w:val="0"/>
        </w:rPr>
      </w:r>
      <w:r>
        <w:rPr>
          <w:rFonts w:ascii="Times New Roman" w:hAnsi="Times New Roman" w:cs="Times New Roman" w:eastAsia="Times New Roman" w:hint="default"/>
        </w:rPr>
        <w:t>2</w:t>
      </w:r>
      <w:r>
        <w:rPr/>
        <w:t>、以权益结算的股份支付情况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1"/>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2"/>
        <w:gridCol w:w="4587"/>
      </w:tblGrid>
      <w:tr>
        <w:trPr>
          <w:trHeight w:val="402"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授予日权益工具公允价值的确定方法</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授予日股价</w:t>
            </w:r>
          </w:p>
        </w:tc>
      </w:tr>
      <w:tr>
        <w:trPr>
          <w:trHeight w:val="715"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可行权权益工具数量的确定依据</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23" w:right="51"/>
              <w:jc w:val="left"/>
              <w:rPr>
                <w:rFonts w:ascii="宋体" w:hAnsi="宋体" w:cs="宋体" w:eastAsia="宋体" w:hint="default"/>
                <w:sz w:val="18"/>
                <w:szCs w:val="18"/>
              </w:rPr>
            </w:pPr>
            <w:r>
              <w:rPr>
                <w:rFonts w:ascii="宋体" w:hAnsi="宋体" w:cs="宋体" w:eastAsia="宋体" w:hint="default"/>
                <w:sz w:val="18"/>
                <w:szCs w:val="18"/>
              </w:rPr>
              <w:t>公司需根据最新取得的可行权职工人数变动等后续信息做 出最佳估计，修正预计可行权的权益工具数量。</w:t>
            </w:r>
          </w:p>
        </w:tc>
      </w:tr>
      <w:tr>
        <w:trPr>
          <w:trHeight w:val="402"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本期估计与上期估计有重大差异的原因</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以权益结算的股份支付计入资本公积的累计金额</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5,092,633.33</w:t>
            </w:r>
          </w:p>
        </w:tc>
      </w:tr>
      <w:tr>
        <w:trPr>
          <w:trHeight w:val="403"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本期以权益结算的股份支付确认的费用总额</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5,092,633.33</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3、以现金结算的股份支付情况" w:id="387"/>
      <w:bookmarkEnd w:id="387"/>
      <w:r>
        <w:rPr>
          <w:b w:val="0"/>
          <w:bCs w:val="0"/>
        </w:rPr>
      </w:r>
      <w:r>
        <w:rPr>
          <w:rFonts w:ascii="Times New Roman" w:hAnsi="Times New Roman" w:cs="Times New Roman" w:eastAsia="Times New Roman" w:hint="default"/>
        </w:rPr>
        <w:t>3</w:t>
      </w:r>
      <w:r>
        <w:rPr/>
        <w:t>、以现金结算的股份支付情况</w:t>
      </w:r>
      <w:r>
        <w:rPr>
          <w:b w:val="0"/>
          <w:bCs w:val="0"/>
        </w:rPr>
      </w:r>
    </w:p>
    <w:p>
      <w:pPr>
        <w:spacing w:line="240" w:lineRule="auto" w:before="2"/>
        <w:rPr>
          <w:rFonts w:ascii="宋体" w:hAnsi="宋体" w:cs="宋体" w:eastAsia="宋体" w:hint="default"/>
          <w:b/>
          <w:bCs/>
          <w:sz w:val="26"/>
          <w:szCs w:val="26"/>
        </w:rPr>
      </w:pPr>
    </w:p>
    <w:p>
      <w:pPr>
        <w:spacing w:line="547" w:lineRule="auto" w:before="0"/>
        <w:ind w:left="152" w:right="792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w:t>
      </w:r>
      <w:bookmarkStart w:name="4、股份支付的修改、终止情况" w:id="388"/>
      <w:bookmarkEnd w:id="388"/>
      <w:r>
        <w:rPr>
          <w:rFonts w:ascii="宋体" w:hAnsi="宋体" w:cs="宋体" w:eastAsia="宋体" w:hint="default"/>
          <w:sz w:val="18"/>
          <w:szCs w:val="18"/>
        </w:rPr>
      </w:r>
      <w:r>
        <w:rPr>
          <w:rFonts w:ascii="Times New Roman" w:hAnsi="Times New Roman" w:cs="Times New Roman" w:eastAsia="Times New Roman" w:hint="default"/>
          <w:b/>
          <w:bCs/>
          <w:spacing w:val="-1"/>
          <w:sz w:val="21"/>
          <w:szCs w:val="21"/>
        </w:rPr>
        <w:t>4</w:t>
      </w:r>
      <w:r>
        <w:rPr>
          <w:rFonts w:ascii="宋体" w:hAnsi="宋体" w:cs="宋体" w:eastAsia="宋体" w:hint="default"/>
          <w:b/>
          <w:bCs/>
          <w:spacing w:val="-1"/>
          <w:sz w:val="21"/>
          <w:szCs w:val="21"/>
        </w:rPr>
        <w:t>、股份支付的修改、终止情况</w:t>
      </w:r>
      <w:r>
        <w:rPr>
          <w:rFonts w:ascii="宋体" w:hAnsi="宋体" w:cs="宋体" w:eastAsia="宋体" w:hint="default"/>
          <w:b/>
          <w:bCs/>
          <w:spacing w:val="-93"/>
          <w:sz w:val="21"/>
          <w:szCs w:val="21"/>
        </w:rPr>
        <w:t> </w:t>
      </w:r>
      <w:r>
        <w:rPr>
          <w:rFonts w:ascii="宋体" w:hAnsi="宋体" w:cs="宋体" w:eastAsia="宋体" w:hint="default"/>
          <w:b/>
          <w:bCs/>
          <w:spacing w:val="-93"/>
          <w:sz w:val="21"/>
          <w:szCs w:val="21"/>
        </w:rPr>
      </w:r>
      <w:r>
        <w:rPr>
          <w:rFonts w:ascii="宋体" w:hAnsi="宋体" w:cs="宋体" w:eastAsia="宋体" w:hint="default"/>
          <w:sz w:val="18"/>
          <w:szCs w:val="18"/>
        </w:rPr>
        <w:t>无</w:t>
      </w:r>
    </w:p>
    <w:p>
      <w:pPr>
        <w:pStyle w:val="Heading2"/>
        <w:spacing w:line="240" w:lineRule="auto" w:before="100"/>
        <w:ind w:right="1133"/>
        <w:jc w:val="left"/>
        <w:rPr>
          <w:b w:val="0"/>
          <w:bCs w:val="0"/>
        </w:rPr>
      </w:pPr>
      <w:bookmarkStart w:name="十三、承诺及或有事项" w:id="389"/>
      <w:bookmarkEnd w:id="389"/>
      <w:r>
        <w:rPr>
          <w:b w:val="0"/>
          <w:bCs w:val="0"/>
        </w:rPr>
      </w:r>
      <w:r>
        <w:rPr/>
        <w:t>十三、承诺及或有事项</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1133"/>
        <w:jc w:val="left"/>
        <w:rPr>
          <w:b w:val="0"/>
          <w:bCs w:val="0"/>
        </w:rPr>
      </w:pPr>
      <w:bookmarkStart w:name="1、重要承诺事项" w:id="390"/>
      <w:bookmarkEnd w:id="390"/>
      <w:r>
        <w:rPr>
          <w:b w:val="0"/>
          <w:bCs w:val="0"/>
        </w:rPr>
      </w:r>
      <w:r>
        <w:rPr>
          <w:rFonts w:ascii="Times New Roman" w:hAnsi="Times New Roman" w:cs="Times New Roman" w:eastAsia="Times New Roman" w:hint="default"/>
        </w:rPr>
        <w:t>1</w:t>
      </w:r>
      <w:r>
        <w:rPr/>
        <w:t>、重要承诺事项</w:t>
      </w:r>
      <w:r>
        <w:rPr>
          <w:b w:val="0"/>
          <w:bCs w:val="0"/>
        </w:rPr>
      </w:r>
    </w:p>
    <w:p>
      <w:pPr>
        <w:spacing w:line="240" w:lineRule="auto" w:before="4"/>
        <w:rPr>
          <w:rFonts w:ascii="宋体" w:hAnsi="宋体" w:cs="宋体" w:eastAsia="宋体" w:hint="default"/>
          <w:b/>
          <w:bCs/>
          <w:sz w:val="26"/>
          <w:szCs w:val="26"/>
        </w:rPr>
      </w:pPr>
    </w:p>
    <w:p>
      <w:pPr>
        <w:pStyle w:val="BodyText"/>
        <w:spacing w:line="357" w:lineRule="auto"/>
        <w:ind w:right="6074"/>
        <w:jc w:val="left"/>
      </w:pPr>
      <w:r>
        <w:rPr/>
        <w:t>资产负债表日存在的重要承诺 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日，本公司无需要披露的重大承诺事项。</w:t>
      </w:r>
    </w:p>
    <w:p>
      <w:pPr>
        <w:spacing w:line="240" w:lineRule="auto" w:before="9"/>
        <w:rPr>
          <w:rFonts w:ascii="宋体" w:hAnsi="宋体" w:cs="宋体" w:eastAsia="宋体" w:hint="default"/>
          <w:sz w:val="18"/>
          <w:szCs w:val="18"/>
        </w:rPr>
      </w:pPr>
    </w:p>
    <w:p>
      <w:pPr>
        <w:pStyle w:val="Heading4"/>
        <w:spacing w:line="240" w:lineRule="auto"/>
        <w:ind w:right="1133"/>
        <w:jc w:val="left"/>
        <w:rPr>
          <w:b w:val="0"/>
          <w:bCs w:val="0"/>
        </w:rPr>
      </w:pPr>
      <w:bookmarkStart w:name="2、或有事项" w:id="391"/>
      <w:bookmarkEnd w:id="391"/>
      <w:r>
        <w:rPr>
          <w:b w:val="0"/>
          <w:bCs w:val="0"/>
        </w:rPr>
      </w:r>
      <w:r>
        <w:rPr>
          <w:rFonts w:ascii="Times New Roman" w:hAnsi="Times New Roman" w:cs="Times New Roman" w:eastAsia="Times New Roman" w:hint="default"/>
        </w:rPr>
        <w:t>2</w:t>
      </w:r>
      <w:r>
        <w:rPr/>
        <w:t>、或有事项</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33"/>
        <w:jc w:val="left"/>
        <w:rPr>
          <w:b w:val="0"/>
          <w:bCs w:val="0"/>
        </w:rPr>
      </w:pPr>
      <w:bookmarkStart w:name="（1）资产负债表日存在的重要或有事项" w:id="392"/>
      <w:bookmarkEnd w:id="392"/>
      <w:r>
        <w:rPr>
          <w:b w:val="0"/>
          <w:bCs w:val="0"/>
        </w:rPr>
      </w:r>
      <w:r>
        <w:rPr/>
        <w:t>（</w:t>
      </w:r>
      <w:r>
        <w:rPr>
          <w:rFonts w:ascii="Times New Roman" w:hAnsi="Times New Roman" w:cs="Times New Roman" w:eastAsia="Times New Roman" w:hint="default"/>
        </w:rPr>
        <w:t>1</w:t>
      </w:r>
      <w:r>
        <w:rPr/>
        <w:t>）资产负债表日存在的重要或有事项</w:t>
      </w:r>
      <w:r>
        <w:rPr>
          <w:b w:val="0"/>
          <w:bCs w:val="0"/>
        </w:rPr>
      </w:r>
    </w:p>
    <w:p>
      <w:pPr>
        <w:spacing w:line="240" w:lineRule="auto" w:before="2"/>
        <w:rPr>
          <w:rFonts w:ascii="宋体" w:hAnsi="宋体" w:cs="宋体" w:eastAsia="宋体" w:hint="default"/>
          <w:b/>
          <w:bCs/>
          <w:sz w:val="26"/>
          <w:szCs w:val="26"/>
        </w:rPr>
      </w:pPr>
    </w:p>
    <w:p>
      <w:pPr>
        <w:pStyle w:val="BodyText"/>
        <w:spacing w:line="300" w:lineRule="auto"/>
        <w:ind w:right="1131" w:firstLine="420"/>
        <w:jc w:val="both"/>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19</w:t>
      </w:r>
      <w:r>
        <w:rPr/>
        <w:t>日，海南铭博达房地产开发有限公司向三亚市城郊人民法院提起诉讼，①请求法院判令被告深圳达实 智能股份有限公司向原告支付因不按图纸施工等给原告酒店造成的维修费、返工费、材料费等费用</w:t>
      </w:r>
      <w:r>
        <w:rPr>
          <w:rFonts w:ascii="Times New Roman" w:hAnsi="Times New Roman" w:cs="Times New Roman" w:eastAsia="Times New Roman" w:hint="default"/>
        </w:rPr>
        <w:t>200</w:t>
      </w:r>
      <w:r>
        <w:rPr/>
        <w:t>万元人民币；②请求</w:t>
      </w:r>
      <w:r>
        <w:rPr>
          <w:spacing w:val="-83"/>
        </w:rPr>
        <w:t> </w:t>
      </w:r>
      <w:r>
        <w:rPr>
          <w:spacing w:val="-83"/>
        </w:rPr>
      </w:r>
      <w:r>
        <w:rPr>
          <w:spacing w:val="-1"/>
        </w:rPr>
        <w:t>法院判令被告向原告赔偿酒店营业损失人民币</w:t>
      </w:r>
      <w:r>
        <w:rPr>
          <w:rFonts w:ascii="Times New Roman" w:hAnsi="Times New Roman" w:cs="Times New Roman" w:eastAsia="Times New Roman" w:hint="default"/>
          <w:spacing w:val="-1"/>
        </w:rPr>
        <w:t>200</w:t>
      </w:r>
      <w:r>
        <w:rPr>
          <w:spacing w:val="-1"/>
        </w:rPr>
        <w:t>万元；③请求法院判令被告向原告支付工期延误违约金</w:t>
      </w:r>
      <w:r>
        <w:rPr>
          <w:rFonts w:ascii="Times New Roman" w:hAnsi="Times New Roman" w:cs="Times New Roman" w:eastAsia="Times New Roman" w:hint="default"/>
          <w:spacing w:val="-1"/>
        </w:rPr>
        <w:t>351.4</w:t>
      </w:r>
      <w:r>
        <w:rPr>
          <w:spacing w:val="-1"/>
        </w:rPr>
        <w:t>万元。本公司</w:t>
      </w:r>
      <w:r>
        <w:rPr>
          <w:spacing w:val="-72"/>
        </w:rPr>
        <w:t> </w:t>
      </w:r>
      <w:r>
        <w:rPr>
          <w:spacing w:val="-72"/>
        </w:rPr>
      </w:r>
      <w:r>
        <w:rPr>
          <w:spacing w:val="-1"/>
        </w:rPr>
        <w:t>反诉海南铭博达房地产开发有限公司支付拖欠的工程款、结算款、质保款和违约金共计人民币</w:t>
      </w:r>
      <w:r>
        <w:rPr>
          <w:rFonts w:ascii="Times New Roman" w:hAnsi="Times New Roman" w:cs="Times New Roman" w:eastAsia="Times New Roman" w:hint="default"/>
          <w:spacing w:val="-1"/>
        </w:rPr>
        <w:t>216.26</w:t>
      </w:r>
      <w:r>
        <w:rPr>
          <w:spacing w:val="-1"/>
        </w:rPr>
        <w:t>万元，目前案件正在一</w:t>
      </w:r>
      <w:r>
        <w:rPr>
          <w:spacing w:val="-74"/>
        </w:rPr>
        <w:t> </w:t>
      </w:r>
      <w:r>
        <w:rPr>
          <w:spacing w:val="-74"/>
        </w:rPr>
      </w:r>
      <w:r>
        <w:rPr/>
        <w:t>审审理过程中。</w:t>
      </w:r>
    </w:p>
    <w:p>
      <w:pPr>
        <w:pStyle w:val="BodyText"/>
        <w:spacing w:line="300" w:lineRule="auto" w:before="31"/>
        <w:ind w:right="1130" w:firstLine="420"/>
        <w:jc w:val="both"/>
      </w:pPr>
      <w:r>
        <w:rPr>
          <w:rFonts w:ascii="Times New Roman" w:hAnsi="Times New Roman" w:cs="Times New Roman" w:eastAsia="Times New Roman" w:hint="default"/>
          <w:spacing w:val="-2"/>
        </w:rPr>
        <w:t>2</w:t>
      </w:r>
      <w:r>
        <w:rPr>
          <w:spacing w:val="-2"/>
        </w:rPr>
        <w:t>、本公司提起诉讼，请求浙江横店建筑工程有限公司海南分公司、浙江横店建筑工程有限公司、三亚民生旅业有限责</w:t>
      </w:r>
      <w:r>
        <w:rPr/>
        <w:t> 任公司及时办理海棠湾威斯汀度假酒店项目工程结算，支付拖欠的工程款</w:t>
      </w:r>
      <w:r>
        <w:rPr>
          <w:rFonts w:ascii="Times New Roman" w:hAnsi="Times New Roman" w:cs="Times New Roman" w:eastAsia="Times New Roman" w:hint="default"/>
        </w:rPr>
        <w:t>1,526.97</w:t>
      </w:r>
      <w:r>
        <w:rPr/>
        <w:t>万元，并支付逾期支付工程款违约金。浙</w:t>
      </w:r>
    </w:p>
    <w:p>
      <w:pPr>
        <w:spacing w:after="0" w:line="300" w:lineRule="auto"/>
        <w:jc w:val="both"/>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300" w:lineRule="auto" w:before="44"/>
        <w:ind w:right="1124"/>
        <w:jc w:val="left"/>
      </w:pPr>
      <w:r>
        <w:rPr/>
        <w:t>江横店建筑工程有限公司海南分公司反诉请求本公司因逾期完工应向其支付违约金</w:t>
      </w:r>
      <w:r>
        <w:rPr>
          <w:rFonts w:ascii="Times New Roman" w:hAnsi="Times New Roman" w:cs="Times New Roman" w:eastAsia="Times New Roman" w:hint="default"/>
        </w:rPr>
        <w:t>204</w:t>
      </w:r>
      <w:r>
        <w:rPr/>
        <w:t>万元并承担该案诉讼费。目前案件正</w:t>
      </w:r>
      <w:r>
        <w:rPr>
          <w:spacing w:val="-84"/>
        </w:rPr>
        <w:t> </w:t>
      </w:r>
      <w:r>
        <w:rPr>
          <w:spacing w:val="-84"/>
        </w:rPr>
      </w:r>
      <w:r>
        <w:rPr/>
        <w:t>在一审审理过程中。</w:t>
      </w:r>
    </w:p>
    <w:p>
      <w:pPr>
        <w:pStyle w:val="BodyText"/>
        <w:spacing w:line="300" w:lineRule="auto" w:before="31"/>
        <w:ind w:right="1130" w:firstLine="420"/>
        <w:jc w:val="both"/>
      </w:pPr>
      <w:r>
        <w:rPr>
          <w:rFonts w:ascii="Times New Roman" w:hAnsi="Times New Roman" w:cs="Times New Roman" w:eastAsia="Times New Roman" w:hint="default"/>
          <w:spacing w:val="-2"/>
        </w:rPr>
        <w:t>3</w:t>
      </w:r>
      <w:r>
        <w:rPr>
          <w:spacing w:val="-2"/>
        </w:rPr>
        <w:t>、镇江华龙广场置业有限公司提起诉讼，请求判令终止签订的节能服务项目合同、判令节能设备所有权（折旧后现价</w:t>
      </w:r>
      <w:r>
        <w:rPr/>
        <w:t> 约为</w:t>
      </w:r>
      <w:r>
        <w:rPr>
          <w:rFonts w:ascii="Times New Roman" w:hAnsi="Times New Roman" w:cs="Times New Roman" w:eastAsia="Times New Roman" w:hint="default"/>
        </w:rPr>
        <w:t>500</w:t>
      </w:r>
      <w:r>
        <w:rPr/>
        <w:t>万）归属原告所有、判令被告承担原告律师费和本案全部诉讼费用。目前该案件一审已判本公司胜诉，对方不服一</w:t>
      </w:r>
      <w:r>
        <w:rPr>
          <w:spacing w:val="-85"/>
        </w:rPr>
        <w:t> </w:t>
      </w:r>
      <w:r>
        <w:rPr>
          <w:spacing w:val="-85"/>
        </w:rPr>
      </w:r>
      <w:r>
        <w:rPr/>
        <w:t>审判决已提起上述。</w:t>
      </w:r>
    </w:p>
    <w:p>
      <w:pPr>
        <w:pStyle w:val="BodyText"/>
        <w:spacing w:line="300" w:lineRule="auto" w:before="31"/>
        <w:ind w:right="1133" w:firstLine="420"/>
        <w:jc w:val="both"/>
      </w:pPr>
      <w:r>
        <w:rPr>
          <w:rFonts w:ascii="Times New Roman" w:hAnsi="Times New Roman" w:cs="Times New Roman" w:eastAsia="Times New Roman" w:hint="default"/>
        </w:rPr>
        <w:t>4</w:t>
      </w:r>
      <w:r>
        <w:rPr/>
        <w:t>、绵阳市瑞生科技有限公司诉讼请求本公司支付成都地铁</w:t>
      </w:r>
      <w:r>
        <w:rPr>
          <w:rFonts w:ascii="Times New Roman" w:hAnsi="Times New Roman" w:cs="Times New Roman" w:eastAsia="Times New Roman" w:hint="default"/>
        </w:rPr>
        <w:t>2</w:t>
      </w:r>
      <w:r>
        <w:rPr/>
        <w:t>号线工程项目所欠工程款</w:t>
      </w:r>
      <w:r>
        <w:rPr>
          <w:rFonts w:ascii="Times New Roman" w:hAnsi="Times New Roman" w:cs="Times New Roman" w:eastAsia="Times New Roman" w:hint="default"/>
        </w:rPr>
        <w:t>193.18</w:t>
      </w:r>
      <w:r>
        <w:rPr/>
        <w:t>万元及资金占用利息，目 前案件正在一审审理过程中。</w:t>
      </w:r>
    </w:p>
    <w:p>
      <w:pPr>
        <w:spacing w:line="240" w:lineRule="auto" w:before="10"/>
        <w:rPr>
          <w:rFonts w:ascii="宋体" w:hAnsi="宋体" w:cs="宋体" w:eastAsia="宋体" w:hint="default"/>
          <w:sz w:val="23"/>
          <w:szCs w:val="23"/>
        </w:rPr>
      </w:pPr>
    </w:p>
    <w:p>
      <w:pPr>
        <w:pStyle w:val="Heading4"/>
        <w:spacing w:line="240" w:lineRule="auto"/>
        <w:ind w:right="1133"/>
        <w:jc w:val="left"/>
        <w:rPr>
          <w:b w:val="0"/>
          <w:bCs w:val="0"/>
        </w:rPr>
      </w:pPr>
      <w:bookmarkStart w:name="（2）为其他单位提供债务担保形成的或有负债及其财务影响" w:id="393"/>
      <w:bookmarkEnd w:id="393"/>
      <w:r>
        <w:rPr>
          <w:b w:val="0"/>
          <w:bCs w:val="0"/>
        </w:rPr>
      </w:r>
      <w:r>
        <w:rPr/>
        <w:t>（</w:t>
      </w:r>
      <w:r>
        <w:rPr>
          <w:rFonts w:ascii="Times New Roman" w:hAnsi="Times New Roman" w:cs="Times New Roman" w:eastAsia="Times New Roman" w:hint="default"/>
        </w:rPr>
        <w:t>2</w:t>
      </w:r>
      <w:r>
        <w:rPr/>
        <w:t>）为其他单位提供债务担保形成的或有负债及其财务影响</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单位：元</w:t>
      </w:r>
    </w:p>
    <w:p>
      <w:pPr>
        <w:spacing w:line="240" w:lineRule="auto" w:before="8"/>
        <w:rPr>
          <w:rFonts w:ascii="宋体" w:hAnsi="宋体" w:cs="宋体" w:eastAsia="宋体" w:hint="default"/>
          <w:sz w:val="5"/>
          <w:szCs w:val="5"/>
        </w:rPr>
      </w:pPr>
    </w:p>
    <w:tbl>
      <w:tblPr>
        <w:tblW w:w="0" w:type="auto"/>
        <w:jc w:val="left"/>
        <w:tblInd w:w="138" w:type="dxa"/>
        <w:tblLayout w:type="fixed"/>
        <w:tblCellMar>
          <w:top w:w="0" w:type="dxa"/>
          <w:left w:w="0" w:type="dxa"/>
          <w:bottom w:w="0" w:type="dxa"/>
          <w:right w:w="0" w:type="dxa"/>
        </w:tblCellMar>
        <w:tblLook w:val="01E0"/>
      </w:tblPr>
      <w:tblGrid>
        <w:gridCol w:w="941"/>
        <w:gridCol w:w="907"/>
        <w:gridCol w:w="1059"/>
        <w:gridCol w:w="1486"/>
        <w:gridCol w:w="1035"/>
        <w:gridCol w:w="432"/>
        <w:gridCol w:w="3800"/>
      </w:tblGrid>
      <w:tr>
        <w:trPr>
          <w:trHeight w:val="649" w:hRule="exact"/>
        </w:trPr>
        <w:tc>
          <w:tcPr>
            <w:tcW w:w="9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05" w:right="0"/>
              <w:jc w:val="left"/>
              <w:rPr>
                <w:rFonts w:ascii="宋体" w:hAnsi="宋体" w:cs="宋体" w:eastAsia="宋体" w:hint="default"/>
                <w:sz w:val="18"/>
                <w:szCs w:val="18"/>
              </w:rPr>
            </w:pPr>
            <w:r>
              <w:rPr>
                <w:rFonts w:ascii="宋体" w:hAnsi="宋体" w:cs="宋体" w:eastAsia="宋体" w:hint="default"/>
                <w:sz w:val="18"/>
                <w:szCs w:val="18"/>
              </w:rPr>
              <w:t>担保对象</w:t>
            </w:r>
          </w:p>
        </w:tc>
        <w:tc>
          <w:tcPr>
            <w:tcW w:w="9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91" w:right="0"/>
              <w:jc w:val="left"/>
              <w:rPr>
                <w:rFonts w:ascii="宋体" w:hAnsi="宋体" w:cs="宋体" w:eastAsia="宋体" w:hint="default"/>
                <w:sz w:val="18"/>
                <w:szCs w:val="18"/>
              </w:rPr>
            </w:pPr>
            <w:r>
              <w:rPr>
                <w:rFonts w:ascii="宋体" w:hAnsi="宋体" w:cs="宋体" w:eastAsia="宋体" w:hint="default"/>
                <w:sz w:val="18"/>
                <w:szCs w:val="18"/>
              </w:rPr>
              <w:t>担保期限</w:t>
            </w:r>
          </w:p>
        </w:tc>
        <w:tc>
          <w:tcPr>
            <w:tcW w:w="1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 w:right="0"/>
              <w:jc w:val="center"/>
              <w:rPr>
                <w:rFonts w:ascii="宋体" w:hAnsi="宋体" w:cs="宋体" w:eastAsia="宋体" w:hint="default"/>
                <w:sz w:val="18"/>
                <w:szCs w:val="18"/>
              </w:rPr>
            </w:pPr>
            <w:r>
              <w:rPr>
                <w:rFonts w:ascii="宋体" w:hAnsi="宋体" w:cs="宋体" w:eastAsia="宋体" w:hint="default"/>
                <w:sz w:val="18"/>
                <w:szCs w:val="18"/>
              </w:rPr>
              <w:t>担保额度</w:t>
            </w:r>
          </w:p>
        </w:tc>
        <w:tc>
          <w:tcPr>
            <w:tcW w:w="14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13"/>
              <w:ind w:left="107" w:right="17" w:hanging="92"/>
              <w:jc w:val="left"/>
              <w:rPr>
                <w:rFonts w:ascii="宋体" w:hAnsi="宋体" w:cs="宋体" w:eastAsia="宋体" w:hint="default"/>
                <w:sz w:val="18"/>
                <w:szCs w:val="18"/>
              </w:rPr>
            </w:pPr>
            <w:r>
              <w:rPr>
                <w:rFonts w:ascii="宋体" w:hAnsi="宋体" w:cs="宋体" w:eastAsia="宋体" w:hint="default"/>
                <w:sz w:val="18"/>
                <w:szCs w:val="18"/>
              </w:rPr>
              <w:t>截至</w:t>
            </w: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日实际提款金额</w:t>
            </w:r>
          </w:p>
        </w:tc>
        <w:tc>
          <w:tcPr>
            <w:tcW w:w="10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62" w:right="0"/>
              <w:jc w:val="left"/>
              <w:rPr>
                <w:rFonts w:ascii="宋体" w:hAnsi="宋体" w:cs="宋体" w:eastAsia="宋体" w:hint="default"/>
                <w:sz w:val="18"/>
                <w:szCs w:val="18"/>
              </w:rPr>
            </w:pPr>
            <w:r>
              <w:rPr>
                <w:rFonts w:ascii="宋体" w:hAnsi="宋体" w:cs="宋体" w:eastAsia="宋体" w:hint="default"/>
                <w:sz w:val="18"/>
                <w:szCs w:val="18"/>
              </w:rPr>
              <w:t>担保受益人</w:t>
            </w:r>
          </w:p>
        </w:tc>
        <w:tc>
          <w:tcPr>
            <w:tcW w:w="4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13"/>
              <w:ind w:left="31" w:right="29"/>
              <w:jc w:val="left"/>
              <w:rPr>
                <w:rFonts w:ascii="宋体" w:hAnsi="宋体" w:cs="宋体" w:eastAsia="宋体" w:hint="default"/>
                <w:sz w:val="18"/>
                <w:szCs w:val="18"/>
              </w:rPr>
            </w:pPr>
            <w:r>
              <w:rPr>
                <w:rFonts w:ascii="宋体" w:hAnsi="宋体" w:cs="宋体" w:eastAsia="宋体" w:hint="default"/>
                <w:sz w:val="18"/>
                <w:szCs w:val="18"/>
              </w:rPr>
              <w:t>担保 方式</w:t>
            </w:r>
          </w:p>
        </w:tc>
        <w:tc>
          <w:tcPr>
            <w:tcW w:w="3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967" w:hRule="exact"/>
        </w:trPr>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7"/>
              <w:ind w:left="4" w:right="24"/>
              <w:jc w:val="left"/>
              <w:rPr>
                <w:rFonts w:ascii="宋体" w:hAnsi="宋体" w:cs="宋体" w:eastAsia="宋体" w:hint="default"/>
                <w:sz w:val="18"/>
                <w:szCs w:val="18"/>
              </w:rPr>
            </w:pPr>
            <w:r>
              <w:rPr>
                <w:rFonts w:ascii="宋体" w:hAnsi="宋体" w:cs="宋体" w:eastAsia="宋体" w:hint="default"/>
                <w:sz w:val="18"/>
                <w:szCs w:val="18"/>
              </w:rPr>
              <w:t>中煤矿建总 医院</w:t>
            </w:r>
          </w:p>
        </w:tc>
        <w:tc>
          <w:tcPr>
            <w:tcW w:w="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119" w:right="0"/>
              <w:jc w:val="left"/>
              <w:rPr>
                <w:rFonts w:ascii="Times New Roman" w:hAnsi="Times New Roman" w:cs="Times New Roman" w:eastAsia="Times New Roman" w:hint="default"/>
                <w:sz w:val="18"/>
                <w:szCs w:val="18"/>
              </w:rPr>
            </w:pPr>
            <w:r>
              <w:rPr>
                <w:rFonts w:ascii="Times New Roman"/>
                <w:sz w:val="18"/>
              </w:rPr>
              <w:t>2016-8-8</w:t>
            </w:r>
          </w:p>
          <w:p>
            <w:pPr>
              <w:pStyle w:val="TableParagraph"/>
              <w:spacing w:line="240" w:lineRule="auto" w:before="63"/>
              <w:ind w:left="3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至</w:t>
            </w:r>
            <w:r>
              <w:rPr>
                <w:rFonts w:ascii="Times New Roman" w:hAnsi="Times New Roman" w:cs="Times New Roman" w:eastAsia="Times New Roman" w:hint="default"/>
                <w:sz w:val="18"/>
                <w:szCs w:val="18"/>
              </w:rPr>
              <w:t>2027-8-7</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4" w:right="0"/>
              <w:jc w:val="center"/>
              <w:rPr>
                <w:rFonts w:ascii="Times New Roman" w:hAnsi="Times New Roman" w:cs="Times New Roman" w:eastAsia="Times New Roman" w:hint="default"/>
                <w:sz w:val="18"/>
                <w:szCs w:val="18"/>
              </w:rPr>
            </w:pPr>
            <w:r>
              <w:rPr>
                <w:rFonts w:ascii="Times New Roman"/>
                <w:sz w:val="18"/>
              </w:rPr>
              <w:t>80,000,000.00</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72,000,000.00</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7"/>
              <w:ind w:left="422" w:right="60" w:hanging="360"/>
              <w:jc w:val="left"/>
              <w:rPr>
                <w:rFonts w:ascii="宋体" w:hAnsi="宋体" w:cs="宋体" w:eastAsia="宋体" w:hint="default"/>
                <w:sz w:val="18"/>
                <w:szCs w:val="18"/>
              </w:rPr>
            </w:pPr>
            <w:r>
              <w:rPr>
                <w:rFonts w:ascii="宋体" w:hAnsi="宋体" w:cs="宋体" w:eastAsia="宋体" w:hint="default"/>
                <w:sz w:val="18"/>
                <w:szCs w:val="18"/>
              </w:rPr>
              <w:t>中国建设银 行</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7"/>
              <w:ind w:left="31" w:right="29"/>
              <w:jc w:val="both"/>
              <w:rPr>
                <w:rFonts w:ascii="宋体" w:hAnsi="宋体" w:cs="宋体" w:eastAsia="宋体" w:hint="default"/>
                <w:sz w:val="18"/>
                <w:szCs w:val="18"/>
              </w:rPr>
            </w:pPr>
            <w:r>
              <w:rPr>
                <w:rFonts w:ascii="宋体" w:hAnsi="宋体" w:cs="宋体" w:eastAsia="宋体" w:hint="default"/>
                <w:sz w:val="18"/>
                <w:szCs w:val="18"/>
              </w:rPr>
              <w:t>连带 责任 担保</w:t>
            </w:r>
          </w:p>
        </w:tc>
        <w:tc>
          <w:tcPr>
            <w:tcW w:w="3800" w:type="dxa"/>
            <w:tcBorders>
              <w:top w:val="single" w:sz="4" w:space="0" w:color="000000"/>
              <w:left w:val="single" w:sz="4" w:space="0" w:color="000000"/>
              <w:bottom w:val="single" w:sz="4" w:space="0" w:color="000000"/>
              <w:right w:val="single" w:sz="4" w:space="0" w:color="000000"/>
            </w:tcBorders>
          </w:tcPr>
          <w:p>
            <w:pPr/>
          </w:p>
        </w:tc>
      </w:tr>
      <w:tr>
        <w:trPr>
          <w:trHeight w:val="1277" w:hRule="exact"/>
        </w:trPr>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7"/>
              <w:ind w:left="4" w:right="24"/>
              <w:jc w:val="both"/>
              <w:rPr>
                <w:rFonts w:ascii="宋体" w:hAnsi="宋体" w:cs="宋体" w:eastAsia="宋体" w:hint="default"/>
                <w:sz w:val="18"/>
                <w:szCs w:val="18"/>
              </w:rPr>
            </w:pPr>
            <w:r>
              <w:rPr>
                <w:rFonts w:ascii="宋体" w:hAnsi="宋体" w:cs="宋体" w:eastAsia="宋体" w:hint="default"/>
                <w:sz w:val="18"/>
                <w:szCs w:val="18"/>
              </w:rPr>
              <w:t>融智节能环 保（深圳） 有限公司</w:t>
            </w:r>
          </w:p>
        </w:tc>
        <w:tc>
          <w:tcPr>
            <w:tcW w:w="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4" w:right="0"/>
              <w:jc w:val="center"/>
              <w:rPr>
                <w:rFonts w:ascii="Times New Roman" w:hAnsi="Times New Roman" w:cs="Times New Roman" w:eastAsia="Times New Roman" w:hint="default"/>
                <w:sz w:val="18"/>
                <w:szCs w:val="18"/>
              </w:rPr>
            </w:pPr>
            <w:r>
              <w:rPr>
                <w:rFonts w:ascii="Times New Roman"/>
                <w:sz w:val="18"/>
              </w:rPr>
              <w:t>2018-1-18</w:t>
            </w:r>
          </w:p>
          <w:p>
            <w:pPr>
              <w:pStyle w:val="TableParagraph"/>
              <w:spacing w:line="240" w:lineRule="auto" w:before="63"/>
              <w:ind w:left="2" w:right="0"/>
              <w:jc w:val="center"/>
              <w:rPr>
                <w:rFonts w:ascii="宋体" w:hAnsi="宋体" w:cs="宋体" w:eastAsia="宋体" w:hint="default"/>
                <w:sz w:val="18"/>
                <w:szCs w:val="18"/>
              </w:rPr>
            </w:pPr>
            <w:r>
              <w:rPr>
                <w:rFonts w:ascii="宋体" w:hAnsi="宋体" w:cs="宋体" w:eastAsia="宋体" w:hint="default"/>
                <w:sz w:val="18"/>
                <w:szCs w:val="18"/>
              </w:rPr>
              <w:t>至</w:t>
            </w:r>
          </w:p>
          <w:p>
            <w:pPr>
              <w:pStyle w:val="TableParagraph"/>
              <w:spacing w:line="240" w:lineRule="auto" w:before="118"/>
              <w:ind w:left="7" w:right="0"/>
              <w:jc w:val="center"/>
              <w:rPr>
                <w:rFonts w:ascii="Times New Roman" w:hAnsi="Times New Roman" w:cs="Times New Roman" w:eastAsia="Times New Roman" w:hint="default"/>
                <w:sz w:val="18"/>
                <w:szCs w:val="18"/>
              </w:rPr>
            </w:pPr>
            <w:r>
              <w:rPr>
                <w:rFonts w:ascii="Times New Roman"/>
                <w:sz w:val="18"/>
              </w:rPr>
              <w:t>2023-12-31</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4" w:right="0"/>
              <w:jc w:val="center"/>
              <w:rPr>
                <w:rFonts w:ascii="Times New Roman" w:hAnsi="Times New Roman" w:cs="Times New Roman" w:eastAsia="Times New Roman" w:hint="default"/>
                <w:sz w:val="18"/>
                <w:szCs w:val="18"/>
              </w:rPr>
            </w:pPr>
            <w:r>
              <w:rPr>
                <w:rFonts w:ascii="Times New Roman"/>
                <w:sz w:val="18"/>
              </w:rPr>
              <w:t>45,000,000.00</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45,000,000.00</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7"/>
              <w:ind w:left="7" w:right="3" w:firstLine="55"/>
              <w:jc w:val="both"/>
              <w:rPr>
                <w:rFonts w:ascii="宋体" w:hAnsi="宋体" w:cs="宋体" w:eastAsia="宋体" w:hint="default"/>
                <w:sz w:val="18"/>
                <w:szCs w:val="18"/>
              </w:rPr>
            </w:pPr>
            <w:r>
              <w:rPr>
                <w:rFonts w:ascii="宋体" w:hAnsi="宋体" w:cs="宋体" w:eastAsia="宋体" w:hint="default"/>
                <w:sz w:val="18"/>
                <w:szCs w:val="18"/>
              </w:rPr>
              <w:t>三菱日联融 资租赁（中 </w:t>
            </w:r>
            <w:r>
              <w:rPr>
                <w:rFonts w:ascii="宋体" w:hAnsi="宋体" w:cs="宋体" w:eastAsia="宋体" w:hint="default"/>
                <w:spacing w:val="-12"/>
                <w:sz w:val="18"/>
                <w:szCs w:val="18"/>
              </w:rPr>
              <w:t>国）有限公司</w:t>
            </w:r>
          </w:p>
        </w:tc>
        <w:tc>
          <w:tcPr>
            <w:tcW w:w="4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7"/>
              <w:ind w:left="31" w:right="29"/>
              <w:jc w:val="both"/>
              <w:rPr>
                <w:rFonts w:ascii="宋体" w:hAnsi="宋体" w:cs="宋体" w:eastAsia="宋体" w:hint="default"/>
                <w:sz w:val="18"/>
                <w:szCs w:val="18"/>
              </w:rPr>
            </w:pPr>
            <w:r>
              <w:rPr>
                <w:rFonts w:ascii="宋体" w:hAnsi="宋体" w:cs="宋体" w:eastAsia="宋体" w:hint="default"/>
                <w:sz w:val="18"/>
                <w:szCs w:val="18"/>
              </w:rPr>
              <w:t>一般 责任 担保</w:t>
            </w:r>
          </w:p>
        </w:tc>
        <w:tc>
          <w:tcPr>
            <w:tcW w:w="3800"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17"/>
              <w:ind w:left="7" w:right="2"/>
              <w:jc w:val="both"/>
              <w:rPr>
                <w:rFonts w:ascii="宋体" w:hAnsi="宋体" w:cs="宋体" w:eastAsia="宋体" w:hint="default"/>
                <w:sz w:val="18"/>
                <w:szCs w:val="18"/>
              </w:rPr>
            </w:pPr>
            <w:r>
              <w:rPr>
                <w:rFonts w:ascii="宋体" w:hAnsi="宋体" w:cs="宋体" w:eastAsia="宋体" w:hint="default"/>
                <w:sz w:val="18"/>
                <w:szCs w:val="18"/>
              </w:rPr>
              <w:t>上述额度内的对外担保事项实际发生时，融智节 能环保（深圳）有限公司其他股东将依据其持股 </w:t>
            </w:r>
            <w:r>
              <w:rPr>
                <w:rFonts w:ascii="宋体" w:hAnsi="宋体" w:cs="宋体" w:eastAsia="宋体" w:hint="default"/>
                <w:spacing w:val="-3"/>
                <w:sz w:val="18"/>
                <w:szCs w:val="18"/>
              </w:rPr>
              <w:t>比例提供相应担保</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融智节能环保（深圳）有限公</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司为本次担保提供反担保。</w:t>
            </w:r>
          </w:p>
        </w:tc>
      </w:tr>
    </w:tbl>
    <w:p>
      <w:pPr>
        <w:spacing w:line="240" w:lineRule="auto" w:before="3"/>
        <w:rPr>
          <w:rFonts w:ascii="宋体" w:hAnsi="宋体" w:cs="宋体" w:eastAsia="宋体" w:hint="default"/>
          <w:sz w:val="19"/>
          <w:szCs w:val="19"/>
        </w:rPr>
      </w:pPr>
    </w:p>
    <w:p>
      <w:pPr>
        <w:pStyle w:val="Heading4"/>
        <w:spacing w:line="240" w:lineRule="auto" w:before="36"/>
        <w:ind w:right="0"/>
        <w:jc w:val="left"/>
        <w:rPr>
          <w:b w:val="0"/>
          <w:bCs w:val="0"/>
        </w:rPr>
      </w:pPr>
      <w:bookmarkStart w:name="（3）截至2019年12月31日，本公司为承接工程项目出具的未到期投标、履约及预" w:id="394"/>
      <w:bookmarkEnd w:id="394"/>
      <w:r>
        <w:rPr>
          <w:b w:val="0"/>
          <w:bCs w:val="0"/>
        </w:rPr>
      </w:r>
      <w:r>
        <w:rPr/>
        <w:t>（</w:t>
      </w:r>
      <w:r>
        <w:rPr>
          <w:rFonts w:ascii="Times New Roman" w:hAnsi="Times New Roman" w:cs="Times New Roman" w:eastAsia="Times New Roman" w:hint="default"/>
        </w:rPr>
        <w:t>3</w:t>
      </w:r>
      <w:r>
        <w:rPr/>
        <w:t>）截至</w:t>
      </w:r>
      <w:r>
        <w:rPr>
          <w:spacing w:val="-5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4"/>
        </w:rPr>
        <w:t> </w:t>
      </w:r>
      <w:r>
        <w:rPr/>
        <w:t>年</w:t>
      </w:r>
      <w:r>
        <w:rPr>
          <w:spacing w:val="-52"/>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w:t>
      </w:r>
      <w:r>
        <w:rPr>
          <w:spacing w:val="-52"/>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日，本公司为承接工程项目出具的未到期投标、履约及预付款等保函</w:t>
      </w:r>
      <w:r>
        <w:rPr>
          <w:spacing w:val="-53"/>
        </w:rPr>
        <w:t> </w:t>
      </w:r>
      <w:r>
        <w:rPr>
          <w:rFonts w:ascii="Times New Roman" w:hAnsi="Times New Roman" w:cs="Times New Roman" w:eastAsia="Times New Roman" w:hint="default"/>
        </w:rPr>
        <w:t>135</w:t>
      </w:r>
      <w:r>
        <w:rPr>
          <w:rFonts w:ascii="Times New Roman" w:hAnsi="Times New Roman" w:cs="Times New Roman" w:eastAsia="Times New Roman" w:hint="default"/>
          <w:spacing w:val="-4"/>
        </w:rPr>
        <w:t> </w:t>
      </w:r>
      <w:r>
        <w:rPr/>
        <w:t>份，</w:t>
      </w:r>
      <w:r>
        <w:rPr>
          <w:b w:val="0"/>
          <w:bCs w:val="0"/>
        </w:rPr>
      </w:r>
    </w:p>
    <w:p>
      <w:pPr>
        <w:pStyle w:val="Heading4"/>
        <w:spacing w:line="240" w:lineRule="auto" w:before="23"/>
        <w:ind w:right="0"/>
        <w:jc w:val="left"/>
        <w:rPr>
          <w:b w:val="0"/>
          <w:bCs w:val="0"/>
        </w:rPr>
      </w:pPr>
      <w:r>
        <w:rPr/>
        <w:t>投标、履约及预付款等保函金额为</w:t>
      </w:r>
      <w:r>
        <w:rPr>
          <w:spacing w:val="-63"/>
        </w:rPr>
        <w:t> </w:t>
      </w:r>
      <w:r>
        <w:rPr>
          <w:rFonts w:ascii="Times New Roman" w:hAnsi="Times New Roman" w:cs="Times New Roman" w:eastAsia="Times New Roman" w:hint="default"/>
        </w:rPr>
        <w:t>395,725,120.74</w:t>
      </w:r>
      <w:r>
        <w:rPr>
          <w:rFonts w:ascii="Times New Roman" w:hAnsi="Times New Roman" w:cs="Times New Roman" w:eastAsia="Times New Roman" w:hint="default"/>
          <w:spacing w:val="-12"/>
        </w:rPr>
        <w:t> </w:t>
      </w:r>
      <w:r>
        <w:rPr/>
        <w:t>元，存入未到期保函保证金金额为</w:t>
      </w:r>
      <w:r>
        <w:rPr>
          <w:spacing w:val="-63"/>
        </w:rPr>
        <w:t> </w:t>
      </w:r>
      <w:r>
        <w:rPr>
          <w:rFonts w:ascii="Times New Roman" w:hAnsi="Times New Roman" w:cs="Times New Roman" w:eastAsia="Times New Roman" w:hint="default"/>
        </w:rPr>
        <w:t>13,749,935.18</w:t>
      </w:r>
      <w:r>
        <w:rPr>
          <w:rFonts w:ascii="Times New Roman" w:hAnsi="Times New Roman" w:cs="Times New Roman" w:eastAsia="Times New Roman" w:hint="default"/>
          <w:spacing w:val="-12"/>
        </w:rPr>
        <w:t> </w:t>
      </w:r>
      <w:r>
        <w:rPr>
          <w:spacing w:val="-6"/>
        </w:rPr>
        <w:t>元；应</w:t>
      </w:r>
      <w:r>
        <w:rPr>
          <w:b w:val="0"/>
          <w:bCs w:val="0"/>
          <w:spacing w:val="-6"/>
        </w:rPr>
      </w:r>
    </w:p>
    <w:p>
      <w:pPr>
        <w:pStyle w:val="Heading4"/>
        <w:spacing w:line="259" w:lineRule="auto" w:before="21"/>
        <w:ind w:right="1133"/>
        <w:jc w:val="left"/>
        <w:rPr>
          <w:b w:val="0"/>
          <w:bCs w:val="0"/>
        </w:rPr>
      </w:pPr>
      <w:r>
        <w:rPr/>
        <w:t>付票据金额为</w:t>
      </w:r>
      <w:r>
        <w:rPr>
          <w:spacing w:val="-52"/>
        </w:rPr>
        <w:t> </w:t>
      </w:r>
      <w:r>
        <w:rPr>
          <w:rFonts w:ascii="Times New Roman" w:hAnsi="Times New Roman" w:cs="Times New Roman" w:eastAsia="Times New Roman" w:hint="default"/>
        </w:rPr>
        <w:t>269,196,594.61</w:t>
      </w:r>
      <w:r>
        <w:rPr>
          <w:rFonts w:ascii="Times New Roman" w:hAnsi="Times New Roman" w:cs="Times New Roman" w:eastAsia="Times New Roman" w:hint="default"/>
          <w:spacing w:val="-1"/>
        </w:rPr>
        <w:t> </w:t>
      </w:r>
      <w:r>
        <w:rPr>
          <w:spacing w:val="-5"/>
        </w:rPr>
        <w:t>元，其保证金为</w:t>
      </w:r>
      <w:r>
        <w:rPr>
          <w:spacing w:val="-53"/>
        </w:rPr>
        <w:t> </w:t>
      </w:r>
      <w:r>
        <w:rPr>
          <w:rFonts w:ascii="Times New Roman" w:hAnsi="Times New Roman" w:cs="Times New Roman" w:eastAsia="Times New Roman" w:hint="default"/>
        </w:rPr>
        <w:t>45,722,094.77</w:t>
      </w:r>
      <w:r>
        <w:rPr>
          <w:rFonts w:ascii="Times New Roman" w:hAnsi="Times New Roman" w:cs="Times New Roman" w:eastAsia="Times New Roman" w:hint="default"/>
          <w:spacing w:val="1"/>
        </w:rPr>
        <w:t> </w:t>
      </w:r>
      <w:r>
        <w:rPr>
          <w:spacing w:val="-4"/>
        </w:rPr>
        <w:t>元；投标、履约及预付款等保函未到期前十明</w:t>
      </w:r>
      <w:r>
        <w:rPr>
          <w:w w:val="100"/>
        </w:rPr>
        <w:t> </w:t>
      </w:r>
      <w:r>
        <w:rPr/>
        <w:t>细如下：</w:t>
      </w:r>
      <w:r>
        <w:rPr>
          <w:b w:val="0"/>
          <w:bCs w:val="0"/>
        </w:rPr>
      </w:r>
    </w:p>
    <w:p>
      <w:pPr>
        <w:spacing w:line="240" w:lineRule="auto" w:before="1"/>
        <w:rPr>
          <w:rFonts w:ascii="宋体" w:hAnsi="宋体" w:cs="宋体" w:eastAsia="宋体" w:hint="default"/>
          <w:b/>
          <w:bCs/>
          <w:sz w:val="26"/>
          <w:szCs w:val="26"/>
        </w:rPr>
      </w:pPr>
    </w:p>
    <w:p>
      <w:pPr>
        <w:pStyle w:val="BodyText"/>
        <w:spacing w:line="240" w:lineRule="auto"/>
        <w:ind w:left="0" w:right="1131"/>
        <w:jc w:val="right"/>
      </w:pPr>
      <w:r>
        <w:rPr/>
        <w:t>单位：元</w:t>
      </w:r>
    </w:p>
    <w:p>
      <w:pPr>
        <w:spacing w:line="240" w:lineRule="auto" w:before="9"/>
        <w:rPr>
          <w:rFonts w:ascii="宋体" w:hAnsi="宋体" w:cs="宋体" w:eastAsia="宋体" w:hint="default"/>
          <w:sz w:val="8"/>
          <w:szCs w:val="8"/>
        </w:rPr>
      </w:pPr>
    </w:p>
    <w:tbl>
      <w:tblPr>
        <w:tblW w:w="0" w:type="auto"/>
        <w:jc w:val="left"/>
        <w:tblInd w:w="138" w:type="dxa"/>
        <w:tblLayout w:type="fixed"/>
        <w:tblCellMar>
          <w:top w:w="0" w:type="dxa"/>
          <w:left w:w="0" w:type="dxa"/>
          <w:bottom w:w="0" w:type="dxa"/>
          <w:right w:w="0" w:type="dxa"/>
        </w:tblCellMar>
        <w:tblLook w:val="01E0"/>
      </w:tblPr>
      <w:tblGrid>
        <w:gridCol w:w="3781"/>
        <w:gridCol w:w="1145"/>
        <w:gridCol w:w="1056"/>
        <w:gridCol w:w="840"/>
        <w:gridCol w:w="2837"/>
      </w:tblGrid>
      <w:tr>
        <w:trPr>
          <w:trHeight w:val="415" w:hRule="exact"/>
        </w:trPr>
        <w:tc>
          <w:tcPr>
            <w:tcW w:w="3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受益人</w:t>
            </w:r>
          </w:p>
        </w:tc>
        <w:tc>
          <w:tcPr>
            <w:tcW w:w="11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63" w:right="0"/>
              <w:jc w:val="left"/>
              <w:rPr>
                <w:rFonts w:ascii="宋体" w:hAnsi="宋体" w:cs="宋体" w:eastAsia="宋体" w:hint="default"/>
                <w:sz w:val="18"/>
                <w:szCs w:val="18"/>
              </w:rPr>
            </w:pPr>
            <w:r>
              <w:rPr>
                <w:rFonts w:ascii="宋体" w:hAnsi="宋体" w:cs="宋体" w:eastAsia="宋体" w:hint="default"/>
                <w:sz w:val="18"/>
                <w:szCs w:val="18"/>
              </w:rPr>
              <w:t>保函押金</w:t>
            </w:r>
          </w:p>
        </w:tc>
        <w:tc>
          <w:tcPr>
            <w:tcW w:w="8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到期日</w:t>
            </w:r>
          </w:p>
        </w:tc>
        <w:tc>
          <w:tcPr>
            <w:tcW w:w="2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开具银行</w:t>
            </w:r>
          </w:p>
        </w:tc>
      </w:tr>
      <w:tr>
        <w:trPr>
          <w:trHeight w:val="422" w:hRule="exact"/>
        </w:trPr>
        <w:tc>
          <w:tcPr>
            <w:tcW w:w="3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安徽省宿州市立医院</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45,856,000.00</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z w:val="18"/>
              </w:rPr>
              <w:t>--</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83"/>
              <w:jc w:val="center"/>
              <w:rPr>
                <w:rFonts w:ascii="Times New Roman" w:hAnsi="Times New Roman" w:cs="Times New Roman" w:eastAsia="Times New Roman" w:hint="default"/>
                <w:sz w:val="18"/>
                <w:szCs w:val="18"/>
              </w:rPr>
            </w:pPr>
            <w:r>
              <w:rPr>
                <w:rFonts w:ascii="Times New Roman"/>
                <w:sz w:val="18"/>
              </w:rPr>
              <w:t>2020/12/1</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宋体" w:hAnsi="宋体" w:cs="宋体" w:eastAsia="宋体" w:hint="default"/>
                <w:sz w:val="18"/>
                <w:szCs w:val="18"/>
              </w:rPr>
            </w:pPr>
            <w:r>
              <w:rPr>
                <w:rFonts w:ascii="宋体" w:hAnsi="宋体" w:cs="宋体" w:eastAsia="宋体" w:hint="default"/>
                <w:sz w:val="18"/>
                <w:szCs w:val="18"/>
              </w:rPr>
              <w:t>建设银行</w:t>
            </w:r>
          </w:p>
        </w:tc>
      </w:tr>
      <w:tr>
        <w:trPr>
          <w:trHeight w:val="653" w:hRule="exact"/>
        </w:trPr>
        <w:tc>
          <w:tcPr>
            <w:tcW w:w="3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淮南市卫生和计划生育委员会</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30,000,000.00</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z w:val="18"/>
              </w:rPr>
              <w:t>--</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83"/>
              <w:jc w:val="center"/>
              <w:rPr>
                <w:rFonts w:ascii="Times New Roman" w:hAnsi="Times New Roman" w:cs="Times New Roman" w:eastAsia="Times New Roman" w:hint="default"/>
                <w:sz w:val="18"/>
                <w:szCs w:val="18"/>
              </w:rPr>
            </w:pPr>
            <w:r>
              <w:rPr>
                <w:rFonts w:ascii="Times New Roman"/>
                <w:sz w:val="18"/>
              </w:rPr>
              <w:t>2021/12/4</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7"/>
              <w:ind w:left="7" w:right="118"/>
              <w:jc w:val="left"/>
              <w:rPr>
                <w:rFonts w:ascii="宋体" w:hAnsi="宋体" w:cs="宋体" w:eastAsia="宋体" w:hint="default"/>
                <w:sz w:val="18"/>
                <w:szCs w:val="18"/>
              </w:rPr>
            </w:pPr>
            <w:r>
              <w:rPr>
                <w:rFonts w:ascii="宋体" w:hAnsi="宋体" w:cs="宋体" w:eastAsia="宋体" w:hint="default"/>
                <w:sz w:val="18"/>
                <w:szCs w:val="18"/>
              </w:rPr>
              <w:t>深圳市中小企业信用融资担保集团 有限公司</w:t>
            </w:r>
          </w:p>
        </w:tc>
      </w:tr>
      <w:tr>
        <w:trPr>
          <w:trHeight w:val="422" w:hRule="exact"/>
        </w:trPr>
        <w:tc>
          <w:tcPr>
            <w:tcW w:w="3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淮安市洪泽区卫生健康委员会</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30,000,000.00</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z w:val="18"/>
              </w:rPr>
              <w:t>--</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83"/>
              <w:jc w:val="center"/>
              <w:rPr>
                <w:rFonts w:ascii="Times New Roman" w:hAnsi="Times New Roman" w:cs="Times New Roman" w:eastAsia="Times New Roman" w:hint="default"/>
                <w:sz w:val="18"/>
                <w:szCs w:val="18"/>
              </w:rPr>
            </w:pPr>
            <w:r>
              <w:rPr>
                <w:rFonts w:ascii="Times New Roman"/>
                <w:sz w:val="18"/>
              </w:rPr>
              <w:t>2021/6/30</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宋体" w:hAnsi="宋体" w:cs="宋体" w:eastAsia="宋体" w:hint="default"/>
                <w:sz w:val="18"/>
                <w:szCs w:val="18"/>
              </w:rPr>
            </w:pPr>
            <w:r>
              <w:rPr>
                <w:rFonts w:ascii="宋体" w:hAnsi="宋体" w:cs="宋体" w:eastAsia="宋体" w:hint="default"/>
                <w:sz w:val="18"/>
                <w:szCs w:val="18"/>
              </w:rPr>
              <w:t>建设银行</w:t>
            </w:r>
          </w:p>
        </w:tc>
      </w:tr>
      <w:tr>
        <w:trPr>
          <w:trHeight w:val="420" w:hRule="exact"/>
        </w:trPr>
        <w:tc>
          <w:tcPr>
            <w:tcW w:w="3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深圳市住宅工程管理站</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16,680,000.00</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z w:val="18"/>
              </w:rPr>
              <w:t>--</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5" w:right="0"/>
              <w:jc w:val="center"/>
              <w:rPr>
                <w:rFonts w:ascii="Times New Roman" w:hAnsi="Times New Roman" w:cs="Times New Roman" w:eastAsia="Times New Roman" w:hint="default"/>
                <w:sz w:val="18"/>
                <w:szCs w:val="18"/>
              </w:rPr>
            </w:pPr>
            <w:r>
              <w:rPr>
                <w:rFonts w:ascii="Times New Roman"/>
                <w:sz w:val="18"/>
              </w:rPr>
              <w:t>2020/12/23</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中国银行</w:t>
            </w:r>
          </w:p>
        </w:tc>
      </w:tr>
      <w:tr>
        <w:trPr>
          <w:trHeight w:val="423" w:hRule="exact"/>
        </w:trPr>
        <w:tc>
          <w:tcPr>
            <w:tcW w:w="3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苏州市轨道交通集团有限公司</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right"/>
              <w:rPr>
                <w:rFonts w:ascii="Times New Roman" w:hAnsi="Times New Roman" w:cs="Times New Roman" w:eastAsia="Times New Roman" w:hint="default"/>
                <w:sz w:val="18"/>
                <w:szCs w:val="18"/>
              </w:rPr>
            </w:pPr>
            <w:r>
              <w:rPr>
                <w:rFonts w:ascii="Times New Roman"/>
                <w:spacing w:val="-1"/>
                <w:sz w:val="18"/>
              </w:rPr>
              <w:t>13,935,353.04</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
              <w:jc w:val="right"/>
              <w:rPr>
                <w:rFonts w:ascii="Times New Roman" w:hAnsi="Times New Roman" w:cs="Times New Roman" w:eastAsia="Times New Roman" w:hint="default"/>
                <w:sz w:val="18"/>
                <w:szCs w:val="18"/>
              </w:rPr>
            </w:pPr>
            <w:r>
              <w:rPr>
                <w:rFonts w:ascii="Times New Roman"/>
                <w:sz w:val="18"/>
              </w:rPr>
              <w:t>--</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83"/>
              <w:jc w:val="center"/>
              <w:rPr>
                <w:rFonts w:ascii="Times New Roman" w:hAnsi="Times New Roman" w:cs="Times New Roman" w:eastAsia="Times New Roman" w:hint="default"/>
                <w:sz w:val="18"/>
                <w:szCs w:val="18"/>
              </w:rPr>
            </w:pPr>
            <w:r>
              <w:rPr>
                <w:rFonts w:ascii="Times New Roman"/>
                <w:sz w:val="18"/>
              </w:rPr>
              <w:t>2021/1/26</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宋体" w:hAnsi="宋体" w:cs="宋体" w:eastAsia="宋体" w:hint="default"/>
                <w:sz w:val="18"/>
                <w:szCs w:val="18"/>
              </w:rPr>
            </w:pPr>
            <w:r>
              <w:rPr>
                <w:rFonts w:ascii="宋体" w:hAnsi="宋体" w:cs="宋体" w:eastAsia="宋体" w:hint="default"/>
                <w:sz w:val="18"/>
                <w:szCs w:val="18"/>
              </w:rPr>
              <w:t>平安银行</w:t>
            </w:r>
          </w:p>
        </w:tc>
      </w:tr>
      <w:tr>
        <w:trPr>
          <w:trHeight w:val="420" w:hRule="exact"/>
        </w:trPr>
        <w:tc>
          <w:tcPr>
            <w:tcW w:w="3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成都中铁惠川城市轨道交通有限公司</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13,329,974.00</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z w:val="18"/>
              </w:rPr>
              <w:t>--</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83"/>
              <w:jc w:val="center"/>
              <w:rPr>
                <w:rFonts w:ascii="Times New Roman" w:hAnsi="Times New Roman" w:cs="Times New Roman" w:eastAsia="Times New Roman" w:hint="default"/>
                <w:sz w:val="18"/>
                <w:szCs w:val="18"/>
              </w:rPr>
            </w:pPr>
            <w:r>
              <w:rPr>
                <w:rFonts w:ascii="Times New Roman"/>
                <w:sz w:val="18"/>
              </w:rPr>
              <w:t>2021/2/15</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中信银行</w:t>
            </w:r>
          </w:p>
        </w:tc>
      </w:tr>
      <w:tr>
        <w:trPr>
          <w:trHeight w:val="420" w:hRule="exact"/>
        </w:trPr>
        <w:tc>
          <w:tcPr>
            <w:tcW w:w="3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深圳市住宅工程管理站</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12,976,212.39</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z w:val="18"/>
              </w:rPr>
              <w:t>--</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83"/>
              <w:jc w:val="center"/>
              <w:rPr>
                <w:rFonts w:ascii="Times New Roman" w:hAnsi="Times New Roman" w:cs="Times New Roman" w:eastAsia="Times New Roman" w:hint="default"/>
                <w:sz w:val="18"/>
                <w:szCs w:val="18"/>
              </w:rPr>
            </w:pPr>
            <w:r>
              <w:rPr>
                <w:rFonts w:ascii="Times New Roman"/>
                <w:sz w:val="18"/>
              </w:rPr>
              <w:t>2021/4/30</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平安银行</w:t>
            </w:r>
          </w:p>
        </w:tc>
      </w:tr>
      <w:tr>
        <w:trPr>
          <w:trHeight w:val="655" w:hRule="exact"/>
        </w:trPr>
        <w:tc>
          <w:tcPr>
            <w:tcW w:w="37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0"/>
              <w:ind w:left="4" w:right="164"/>
              <w:jc w:val="left"/>
              <w:rPr>
                <w:rFonts w:ascii="宋体" w:hAnsi="宋体" w:cs="宋体" w:eastAsia="宋体" w:hint="default"/>
                <w:sz w:val="18"/>
                <w:szCs w:val="18"/>
              </w:rPr>
            </w:pPr>
            <w:r>
              <w:rPr>
                <w:rFonts w:ascii="宋体" w:hAnsi="宋体" w:cs="宋体" w:eastAsia="宋体" w:hint="default"/>
                <w:sz w:val="18"/>
                <w:szCs w:val="18"/>
              </w:rPr>
              <w:t>中铁城市发展投资集团有限公司成都轨道交通 工程指挥部</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11,351,010.00</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z w:val="18"/>
              </w:rPr>
              <w:t>--</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5" w:right="0"/>
              <w:jc w:val="center"/>
              <w:rPr>
                <w:rFonts w:ascii="Times New Roman" w:hAnsi="Times New Roman" w:cs="Times New Roman" w:eastAsia="Times New Roman" w:hint="default"/>
                <w:sz w:val="18"/>
                <w:szCs w:val="18"/>
              </w:rPr>
            </w:pPr>
            <w:r>
              <w:rPr>
                <w:rFonts w:ascii="Times New Roman"/>
                <w:sz w:val="18"/>
              </w:rPr>
              <w:t>2020/12/31</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宋体" w:hAnsi="宋体" w:cs="宋体" w:eastAsia="宋体" w:hint="default"/>
                <w:sz w:val="18"/>
                <w:szCs w:val="18"/>
              </w:rPr>
            </w:pPr>
            <w:r>
              <w:rPr>
                <w:rFonts w:ascii="宋体" w:hAnsi="宋体" w:cs="宋体" w:eastAsia="宋体" w:hint="default"/>
                <w:sz w:val="18"/>
                <w:szCs w:val="18"/>
              </w:rPr>
              <w:t>平安银行</w:t>
            </w:r>
          </w:p>
        </w:tc>
      </w:tr>
      <w:tr>
        <w:trPr>
          <w:trHeight w:val="420" w:hRule="exact"/>
        </w:trPr>
        <w:tc>
          <w:tcPr>
            <w:tcW w:w="3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石家庄市轨道交通有限责任公司</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10,325,223.52</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z w:val="18"/>
              </w:rPr>
              <w:t>--</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83"/>
              <w:jc w:val="center"/>
              <w:rPr>
                <w:rFonts w:ascii="Times New Roman" w:hAnsi="Times New Roman" w:cs="Times New Roman" w:eastAsia="Times New Roman" w:hint="default"/>
                <w:sz w:val="18"/>
                <w:szCs w:val="18"/>
              </w:rPr>
            </w:pPr>
            <w:r>
              <w:rPr>
                <w:rFonts w:ascii="Times New Roman"/>
                <w:sz w:val="18"/>
              </w:rPr>
              <w:t>2021/6/30</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平安银行</w:t>
            </w:r>
          </w:p>
        </w:tc>
      </w:tr>
      <w:tr>
        <w:trPr>
          <w:trHeight w:val="422" w:hRule="exact"/>
        </w:trPr>
        <w:tc>
          <w:tcPr>
            <w:tcW w:w="3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深圳市地铁集团有限公司</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10,169,686.70</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z w:val="18"/>
              </w:rPr>
              <w:t>--</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5" w:right="0"/>
              <w:jc w:val="center"/>
              <w:rPr>
                <w:rFonts w:ascii="Times New Roman" w:hAnsi="Times New Roman" w:cs="Times New Roman" w:eastAsia="Times New Roman" w:hint="default"/>
                <w:sz w:val="18"/>
                <w:szCs w:val="18"/>
              </w:rPr>
            </w:pPr>
            <w:r>
              <w:rPr>
                <w:rFonts w:ascii="Times New Roman"/>
                <w:sz w:val="18"/>
              </w:rPr>
              <w:t>2021/11/20</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 w:right="0"/>
              <w:jc w:val="left"/>
              <w:rPr>
                <w:rFonts w:ascii="宋体" w:hAnsi="宋体" w:cs="宋体" w:eastAsia="宋体" w:hint="default"/>
                <w:sz w:val="18"/>
                <w:szCs w:val="18"/>
              </w:rPr>
            </w:pPr>
            <w:r>
              <w:rPr>
                <w:rFonts w:ascii="宋体" w:hAnsi="宋体" w:cs="宋体" w:eastAsia="宋体" w:hint="default"/>
                <w:sz w:val="18"/>
                <w:szCs w:val="18"/>
              </w:rPr>
              <w:t>平安银行</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38" w:type="dxa"/>
        <w:tblLayout w:type="fixed"/>
        <w:tblCellMar>
          <w:top w:w="0" w:type="dxa"/>
          <w:left w:w="0" w:type="dxa"/>
          <w:bottom w:w="0" w:type="dxa"/>
          <w:right w:w="0" w:type="dxa"/>
        </w:tblCellMar>
        <w:tblLook w:val="01E0"/>
      </w:tblPr>
      <w:tblGrid>
        <w:gridCol w:w="3781"/>
        <w:gridCol w:w="1145"/>
        <w:gridCol w:w="1056"/>
        <w:gridCol w:w="840"/>
        <w:gridCol w:w="2837"/>
      </w:tblGrid>
      <w:tr>
        <w:trPr>
          <w:trHeight w:val="420" w:hRule="exact"/>
        </w:trPr>
        <w:tc>
          <w:tcPr>
            <w:tcW w:w="3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4" w:right="0"/>
              <w:jc w:val="center"/>
              <w:rPr>
                <w:rFonts w:ascii="Times New Roman" w:hAnsi="Times New Roman" w:cs="Times New Roman" w:eastAsia="Times New Roman" w:hint="default"/>
                <w:sz w:val="18"/>
                <w:szCs w:val="18"/>
              </w:rPr>
            </w:pPr>
            <w:r>
              <w:rPr>
                <w:rFonts w:ascii="Times New Roman"/>
                <w:sz w:val="18"/>
              </w:rPr>
              <w:t>201,101,661.09</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1" w:right="0"/>
              <w:jc w:val="center"/>
              <w:rPr>
                <w:rFonts w:ascii="Times New Roman" w:hAnsi="Times New Roman" w:cs="Times New Roman" w:eastAsia="Times New Roman" w:hint="default"/>
                <w:sz w:val="18"/>
                <w:szCs w:val="18"/>
              </w:rPr>
            </w:pPr>
            <w:r>
              <w:rPr>
                <w:rFonts w:ascii="Times New Roman"/>
                <w:sz w:val="18"/>
              </w:rPr>
              <w:t>13,749,935.18</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z w:val="18"/>
              </w:rPr>
              <w:t>--</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7" w:right="0"/>
              <w:jc w:val="left"/>
              <w:rPr>
                <w:rFonts w:ascii="Times New Roman" w:hAnsi="Times New Roman" w:cs="Times New Roman" w:eastAsia="Times New Roman" w:hint="default"/>
                <w:sz w:val="18"/>
                <w:szCs w:val="18"/>
              </w:rPr>
            </w:pPr>
            <w:r>
              <w:rPr>
                <w:rFonts w:ascii="Times New Roman"/>
                <w:sz w:val="18"/>
              </w:rPr>
              <w:t>--</w:t>
            </w:r>
          </w:p>
        </w:tc>
      </w:tr>
      <w:tr>
        <w:trPr>
          <w:trHeight w:val="422" w:hRule="exact"/>
        </w:trPr>
        <w:tc>
          <w:tcPr>
            <w:tcW w:w="3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4" w:right="0"/>
              <w:jc w:val="center"/>
              <w:rPr>
                <w:rFonts w:ascii="Times New Roman" w:hAnsi="Times New Roman" w:cs="Times New Roman" w:eastAsia="Times New Roman" w:hint="default"/>
                <w:sz w:val="18"/>
                <w:szCs w:val="18"/>
              </w:rPr>
            </w:pPr>
            <w:r>
              <w:rPr>
                <w:rFonts w:ascii="Times New Roman"/>
                <w:sz w:val="18"/>
              </w:rPr>
              <w:t>395,725,120.74</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 w:right="0"/>
              <w:jc w:val="center"/>
              <w:rPr>
                <w:rFonts w:ascii="Times New Roman" w:hAnsi="Times New Roman" w:cs="Times New Roman" w:eastAsia="Times New Roman" w:hint="default"/>
                <w:sz w:val="18"/>
                <w:szCs w:val="18"/>
              </w:rPr>
            </w:pPr>
            <w:r>
              <w:rPr>
                <w:rFonts w:ascii="Times New Roman"/>
                <w:sz w:val="18"/>
              </w:rPr>
              <w:t>13,749,935.18</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z w:val="18"/>
              </w:rPr>
              <w:t>--</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7" w:right="0"/>
              <w:jc w:val="left"/>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8"/>
        <w:ind w:right="1133"/>
        <w:jc w:val="left"/>
      </w:pPr>
      <w:r>
        <w:rPr/>
        <w:t>若公司未按合同履约，将在有效期内向受益人支付不超过保函金额的赔偿额。</w:t>
      </w:r>
    </w:p>
    <w:p>
      <w:pPr>
        <w:spacing w:line="240" w:lineRule="auto" w:before="3"/>
        <w:rPr>
          <w:rFonts w:ascii="宋体" w:hAnsi="宋体" w:cs="宋体" w:eastAsia="宋体" w:hint="default"/>
          <w:sz w:val="25"/>
          <w:szCs w:val="25"/>
        </w:rPr>
      </w:pPr>
    </w:p>
    <w:p>
      <w:pPr>
        <w:pStyle w:val="Heading2"/>
        <w:spacing w:line="240" w:lineRule="auto"/>
        <w:ind w:right="1133"/>
        <w:jc w:val="left"/>
        <w:rPr>
          <w:b w:val="0"/>
          <w:bCs w:val="0"/>
        </w:rPr>
      </w:pPr>
      <w:bookmarkStart w:name="十四、母公司财务报表主要项目注释" w:id="395"/>
      <w:bookmarkEnd w:id="395"/>
      <w:r>
        <w:rPr>
          <w:b w:val="0"/>
          <w:bCs w:val="0"/>
        </w:rPr>
      </w:r>
      <w:r>
        <w:rPr/>
        <w:t>十四、母公司财务报表主要项目注释</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1133"/>
        <w:jc w:val="left"/>
        <w:rPr>
          <w:b w:val="0"/>
          <w:bCs w:val="0"/>
        </w:rPr>
      </w:pPr>
      <w:bookmarkStart w:name="1、应收账款" w:id="396"/>
      <w:bookmarkEnd w:id="396"/>
      <w:r>
        <w:rPr>
          <w:b w:val="0"/>
          <w:bCs w:val="0"/>
        </w:rPr>
      </w:r>
      <w:r>
        <w:rPr>
          <w:rFonts w:ascii="Times New Roman" w:hAnsi="Times New Roman" w:cs="Times New Roman" w:eastAsia="Times New Roman" w:hint="default"/>
        </w:rPr>
        <w:t>1</w:t>
      </w:r>
      <w:r>
        <w:rPr/>
        <w:t>、应收账款</w:t>
      </w:r>
      <w:r>
        <w:rPr>
          <w:b w:val="0"/>
          <w:bCs w:val="0"/>
        </w:rPr>
      </w:r>
    </w:p>
    <w:p>
      <w:pPr>
        <w:spacing w:line="240" w:lineRule="auto" w:before="7"/>
        <w:rPr>
          <w:rFonts w:ascii="宋体" w:hAnsi="宋体" w:cs="宋体" w:eastAsia="宋体" w:hint="default"/>
          <w:b/>
          <w:bCs/>
          <w:sz w:val="24"/>
          <w:szCs w:val="24"/>
        </w:rPr>
      </w:pPr>
    </w:p>
    <w:p>
      <w:pPr>
        <w:pStyle w:val="Heading4"/>
        <w:spacing w:line="240" w:lineRule="auto"/>
        <w:ind w:right="1133"/>
        <w:jc w:val="left"/>
        <w:rPr>
          <w:b w:val="0"/>
          <w:bCs w:val="0"/>
        </w:rPr>
      </w:pPr>
      <w:bookmarkStart w:name="（1）应收账款分类披露" w:id="397"/>
      <w:bookmarkEnd w:id="397"/>
      <w:r>
        <w:rPr>
          <w:b w:val="0"/>
          <w:bCs w:val="0"/>
        </w:rPr>
      </w:r>
      <w:r>
        <w:rPr/>
        <w:t>（</w:t>
      </w:r>
      <w:r>
        <w:rPr>
          <w:rFonts w:ascii="Times New Roman" w:hAnsi="Times New Roman" w:cs="Times New Roman" w:eastAsia="Times New Roman" w:hint="default"/>
        </w:rPr>
        <w:t>1</w:t>
      </w:r>
      <w:r>
        <w:rPr/>
        <w:t>）应收账款分类披露</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635"/>
        <w:gridCol w:w="763"/>
        <w:gridCol w:w="764"/>
        <w:gridCol w:w="761"/>
        <w:gridCol w:w="763"/>
        <w:gridCol w:w="790"/>
        <w:gridCol w:w="775"/>
        <w:gridCol w:w="797"/>
        <w:gridCol w:w="800"/>
        <w:gridCol w:w="790"/>
        <w:gridCol w:w="931"/>
      </w:tblGrid>
      <w:tr>
        <w:trPr>
          <w:trHeight w:val="399" w:hRule="exact"/>
        </w:trPr>
        <w:tc>
          <w:tcPr>
            <w:tcW w:w="1635" w:type="dxa"/>
            <w:vMerge w:val="restart"/>
            <w:tcBorders>
              <w:top w:val="single" w:sz="4" w:space="0" w:color="000000"/>
              <w:left w:val="single" w:sz="4" w:space="0" w:color="000000"/>
              <w:right w:val="single" w:sz="4" w:space="0" w:color="000000"/>
            </w:tcBorders>
            <w:shd w:val="clear" w:color="auto" w:fill="D2D2D2"/>
          </w:tcPr>
          <w:p>
            <w:pPr/>
          </w:p>
        </w:tc>
        <w:tc>
          <w:tcPr>
            <w:tcW w:w="3841"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3"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35" w:type="dxa"/>
            <w:vMerge/>
            <w:tcBorders>
              <w:left w:val="single" w:sz="4" w:space="0" w:color="000000"/>
              <w:bottom w:val="nil" w:sz="6" w:space="0" w:color="auto"/>
              <w:right w:val="single" w:sz="4" w:space="0" w:color="000000"/>
            </w:tcBorders>
            <w:shd w:val="clear" w:color="auto" w:fill="D2D2D2"/>
          </w:tcPr>
          <w:p>
            <w:pPr/>
          </w:p>
        </w:tc>
        <w:tc>
          <w:tcPr>
            <w:tcW w:w="152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57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2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8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2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2D2D2"/>
          </w:tcPr>
          <w:p>
            <w:pPr/>
          </w:p>
        </w:tc>
      </w:tr>
      <w:tr>
        <w:trPr>
          <w:trHeight w:val="240" w:hRule="exact"/>
        </w:trPr>
        <w:tc>
          <w:tcPr>
            <w:tcW w:w="163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527"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572" w:type="dxa"/>
            <w:gridSpan w:val="2"/>
            <w:vMerge/>
            <w:tcBorders>
              <w:left w:val="single" w:sz="4" w:space="0" w:color="000000"/>
              <w:bottom w:val="single" w:sz="4" w:space="0" w:color="000000"/>
              <w:right w:val="single" w:sz="4" w:space="0" w:color="000000"/>
            </w:tcBorders>
            <w:shd w:val="clear" w:color="auto" w:fill="D2D2D2"/>
          </w:tcPr>
          <w:p>
            <w:pPr/>
          </w:p>
        </w:tc>
        <w:tc>
          <w:tcPr>
            <w:tcW w:w="1589" w:type="dxa"/>
            <w:gridSpan w:val="2"/>
            <w:vMerge/>
            <w:tcBorders>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35" w:type="dxa"/>
            <w:vMerge/>
            <w:tcBorders>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4"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1"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288" w:right="10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775"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800" w:type="dxa"/>
            <w:tcBorders>
              <w:top w:val="single" w:sz="4" w:space="0" w:color="000000"/>
              <w:left w:val="single" w:sz="4" w:space="0" w:color="000000"/>
              <w:bottom w:val="nil" w:sz="6" w:space="0" w:color="auto"/>
              <w:right w:val="single" w:sz="4" w:space="0" w:color="000000"/>
            </w:tcBorders>
            <w:shd w:val="clear" w:color="auto" w:fill="D2D2D2"/>
          </w:tcPr>
          <w:p>
            <w:pPr/>
          </w:p>
        </w:tc>
        <w:tc>
          <w:tcPr>
            <w:tcW w:w="790" w:type="dxa"/>
            <w:tcBorders>
              <w:top w:val="single" w:sz="4" w:space="0" w:color="000000"/>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4" w:hRule="exact"/>
        </w:trPr>
        <w:tc>
          <w:tcPr>
            <w:tcW w:w="1635" w:type="dxa"/>
            <w:vMerge w:val="restart"/>
            <w:tcBorders>
              <w:top w:val="single" w:sz="4" w:space="0" w:color="FFFFFF"/>
              <w:left w:val="single" w:sz="4" w:space="0" w:color="000000"/>
              <w:right w:val="single" w:sz="4" w:space="0" w:color="000000"/>
            </w:tcBorders>
            <w:shd w:val="clear" w:color="auto" w:fill="D2D2D2"/>
          </w:tcPr>
          <w:p>
            <w:pP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4"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1"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77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0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13"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0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1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35" w:type="dxa"/>
            <w:vMerge/>
            <w:tcBorders>
              <w:left w:val="single" w:sz="4" w:space="0" w:color="000000"/>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4"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775"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800" w:type="dxa"/>
            <w:vMerge/>
            <w:tcBorders>
              <w:left w:val="single" w:sz="4" w:space="0" w:color="000000"/>
              <w:bottom w:val="nil" w:sz="6" w:space="0" w:color="auto"/>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775"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800" w:type="dxa"/>
            <w:tcBorders>
              <w:top w:val="nil" w:sz="6" w:space="0" w:color="auto"/>
              <w:left w:val="single" w:sz="4" w:space="0" w:color="000000"/>
              <w:bottom w:val="single" w:sz="4" w:space="0" w:color="000000"/>
              <w:right w:val="single" w:sz="4" w:space="0" w:color="000000"/>
            </w:tcBorders>
            <w:shd w:val="clear" w:color="auto" w:fill="D2D2D2"/>
          </w:tcPr>
          <w:p>
            <w:pPr/>
          </w:p>
        </w:tc>
        <w:tc>
          <w:tcPr>
            <w:tcW w:w="790" w:type="dxa"/>
            <w:tcBorders>
              <w:top w:val="nil" w:sz="6" w:space="0" w:color="auto"/>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713"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59"/>
              <w:jc w:val="left"/>
              <w:rPr>
                <w:rFonts w:ascii="宋体" w:hAnsi="宋体" w:cs="宋体" w:eastAsia="宋体" w:hint="default"/>
                <w:sz w:val="18"/>
                <w:szCs w:val="18"/>
              </w:rPr>
            </w:pPr>
            <w:r>
              <w:rPr>
                <w:rFonts w:ascii="宋体" w:hAnsi="宋体" w:cs="宋体" w:eastAsia="宋体" w:hint="default"/>
                <w:sz w:val="18"/>
                <w:szCs w:val="18"/>
              </w:rPr>
              <w:t>按单项计提坏账准 备的应收账款</w:t>
            </w:r>
          </w:p>
        </w:tc>
        <w:tc>
          <w:tcPr>
            <w:tcW w:w="76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93" w:right="0"/>
              <w:jc w:val="left"/>
              <w:rPr>
                <w:rFonts w:ascii="Times New Roman" w:hAnsi="Times New Roman" w:cs="Times New Roman" w:eastAsia="Times New Roman" w:hint="default"/>
                <w:sz w:val="18"/>
                <w:szCs w:val="18"/>
              </w:rPr>
            </w:pPr>
            <w:r>
              <w:rPr>
                <w:rFonts w:ascii="Times New Roman"/>
                <w:sz w:val="18"/>
              </w:rPr>
              <w:t>10,676,7</w:t>
            </w:r>
          </w:p>
          <w:p>
            <w:pPr>
              <w:pStyle w:val="TableParagraph"/>
              <w:spacing w:line="240" w:lineRule="auto" w:before="105"/>
              <w:ind w:left="319" w:right="0"/>
              <w:jc w:val="left"/>
              <w:rPr>
                <w:rFonts w:ascii="Times New Roman" w:hAnsi="Times New Roman" w:cs="Times New Roman" w:eastAsia="Times New Roman" w:hint="default"/>
                <w:sz w:val="18"/>
                <w:szCs w:val="18"/>
              </w:rPr>
            </w:pPr>
            <w:r>
              <w:rPr>
                <w:rFonts w:ascii="Times New Roman"/>
                <w:sz w:val="18"/>
              </w:rPr>
              <w:t>80.61</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0.77%</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10,676,7</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80.61</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90"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7,326,884</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.57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0.49%</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7,326,884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.57</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5" w:hRule="exact"/>
        </w:trPr>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9"/>
              <w:jc w:val="both"/>
              <w:rPr>
                <w:rFonts w:ascii="宋体" w:hAnsi="宋体" w:cs="宋体" w:eastAsia="宋体" w:hint="default"/>
                <w:sz w:val="18"/>
                <w:szCs w:val="18"/>
              </w:rPr>
            </w:pPr>
            <w:r>
              <w:rPr>
                <w:rFonts w:ascii="宋体" w:hAnsi="宋体" w:cs="宋体" w:eastAsia="宋体" w:hint="default"/>
                <w:sz w:val="18"/>
                <w:szCs w:val="18"/>
              </w:rPr>
              <w:t>单项金额重大单独 计提坏账准备的应 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6,358,90</w:t>
            </w:r>
          </w:p>
          <w:p>
            <w:pPr>
              <w:pStyle w:val="TableParagraph"/>
              <w:spacing w:line="240" w:lineRule="auto" w:before="105"/>
              <w:ind w:left="417" w:right="0"/>
              <w:jc w:val="left"/>
              <w:rPr>
                <w:rFonts w:ascii="Times New Roman" w:hAnsi="Times New Roman" w:cs="Times New Roman" w:eastAsia="Times New Roman" w:hint="default"/>
                <w:sz w:val="18"/>
                <w:szCs w:val="18"/>
              </w:rPr>
            </w:pPr>
            <w:r>
              <w:rPr>
                <w:rFonts w:ascii="Times New Roman"/>
                <w:sz w:val="18"/>
              </w:rPr>
              <w:t>5.64</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0.46%</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6,358,90</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5.64</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90"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2,735,338</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.40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0.18%</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2,735,338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.40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9"/>
              <w:jc w:val="both"/>
              <w:rPr>
                <w:rFonts w:ascii="宋体" w:hAnsi="宋体" w:cs="宋体" w:eastAsia="宋体" w:hint="default"/>
                <w:sz w:val="18"/>
                <w:szCs w:val="18"/>
              </w:rPr>
            </w:pPr>
            <w:r>
              <w:rPr>
                <w:rFonts w:ascii="宋体" w:hAnsi="宋体" w:cs="宋体" w:eastAsia="宋体" w:hint="default"/>
                <w:sz w:val="18"/>
                <w:szCs w:val="18"/>
              </w:rPr>
              <w:t>单项金额不重大但 单独计提坏账准备 的应收账款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4,317,87</w:t>
            </w:r>
          </w:p>
          <w:p>
            <w:pPr>
              <w:pStyle w:val="TableParagraph"/>
              <w:spacing w:line="240" w:lineRule="auto" w:before="105"/>
              <w:ind w:left="417" w:right="0"/>
              <w:jc w:val="left"/>
              <w:rPr>
                <w:rFonts w:ascii="Times New Roman" w:hAnsi="Times New Roman" w:cs="Times New Roman" w:eastAsia="Times New Roman" w:hint="default"/>
                <w:sz w:val="18"/>
                <w:szCs w:val="18"/>
              </w:rPr>
            </w:pPr>
            <w:r>
              <w:rPr>
                <w:rFonts w:ascii="Times New Roman"/>
                <w:sz w:val="18"/>
              </w:rPr>
              <w:t>4.97</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0.31%</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4,317,87</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4.97</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90"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4,591,546</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.17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0.31%</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4,591,546</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.17</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59"/>
              <w:jc w:val="left"/>
              <w:rPr>
                <w:rFonts w:ascii="宋体" w:hAnsi="宋体" w:cs="宋体" w:eastAsia="宋体" w:hint="default"/>
                <w:sz w:val="18"/>
                <w:szCs w:val="18"/>
              </w:rPr>
            </w:pPr>
            <w:r>
              <w:rPr>
                <w:rFonts w:ascii="宋体" w:hAnsi="宋体" w:cs="宋体" w:eastAsia="宋体" w:hint="default"/>
                <w:sz w:val="18"/>
                <w:szCs w:val="18"/>
              </w:rPr>
              <w:t>按组合计提坏账准 备的应收账款</w:t>
            </w:r>
          </w:p>
        </w:tc>
        <w:tc>
          <w:tcPr>
            <w:tcW w:w="76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93" w:right="0"/>
              <w:jc w:val="left"/>
              <w:rPr>
                <w:rFonts w:ascii="Times New Roman" w:hAnsi="Times New Roman" w:cs="Times New Roman" w:eastAsia="Times New Roman" w:hint="default"/>
                <w:sz w:val="18"/>
                <w:szCs w:val="18"/>
              </w:rPr>
            </w:pPr>
            <w:r>
              <w:rPr>
                <w:rFonts w:ascii="Times New Roman"/>
                <w:sz w:val="18"/>
              </w:rPr>
              <w:t>1,370,68</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5,833.85</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99.23%</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82,550,7</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34.88</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6.02%</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1,288,135</w:t>
            </w:r>
          </w:p>
          <w:p>
            <w:pPr>
              <w:pStyle w:val="TableParagraph"/>
              <w:spacing w:line="240" w:lineRule="auto" w:before="105"/>
              <w:ind w:left="191" w:right="0"/>
              <w:jc w:val="center"/>
              <w:rPr>
                <w:rFonts w:ascii="Times New Roman" w:hAnsi="Times New Roman" w:cs="Times New Roman" w:eastAsia="Times New Roman" w:hint="default"/>
                <w:sz w:val="18"/>
                <w:szCs w:val="18"/>
              </w:rPr>
            </w:pPr>
            <w:r>
              <w:rPr>
                <w:rFonts w:ascii="Times New Roman"/>
                <w:sz w:val="18"/>
              </w:rPr>
              <w:t>,098.97</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1,485,535</w:t>
            </w:r>
          </w:p>
          <w:p>
            <w:pPr>
              <w:pStyle w:val="TableParagraph"/>
              <w:spacing w:line="240" w:lineRule="auto" w:before="105"/>
              <w:ind w:left="182" w:right="0"/>
              <w:jc w:val="center"/>
              <w:rPr>
                <w:rFonts w:ascii="Times New Roman" w:hAnsi="Times New Roman" w:cs="Times New Roman" w:eastAsia="Times New Roman" w:hint="default"/>
                <w:sz w:val="18"/>
                <w:szCs w:val="18"/>
              </w:rPr>
            </w:pPr>
            <w:r>
              <w:rPr>
                <w:rFonts w:ascii="Times New Roman"/>
                <w:sz w:val="18"/>
              </w:rPr>
              <w:t>,612.25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99.51%</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85,056,28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3.66</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5.73%</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1,400,479,3</w:t>
            </w:r>
          </w:p>
          <w:p>
            <w:pPr>
              <w:pStyle w:val="TableParagraph"/>
              <w:spacing w:line="240" w:lineRule="auto" w:before="105"/>
              <w:ind w:left="494" w:right="0"/>
              <w:jc w:val="left"/>
              <w:rPr>
                <w:rFonts w:ascii="Times New Roman" w:hAnsi="Times New Roman" w:cs="Times New Roman" w:eastAsia="Times New Roman" w:hint="default"/>
                <w:sz w:val="18"/>
                <w:szCs w:val="18"/>
              </w:rPr>
            </w:pPr>
            <w:r>
              <w:rPr>
                <w:rFonts w:ascii="Times New Roman"/>
                <w:sz w:val="18"/>
              </w:rPr>
              <w:t>28.59</w:t>
            </w:r>
          </w:p>
        </w:tc>
      </w:tr>
      <w:tr>
        <w:trPr>
          <w:trHeight w:val="403"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5" w:hRule="exact"/>
        </w:trPr>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9"/>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1,370,68</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5,833.85</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99.23%</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82,550,7</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34.88</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6.02%</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 w:right="0"/>
              <w:jc w:val="center"/>
              <w:rPr>
                <w:rFonts w:ascii="Times New Roman" w:hAnsi="Times New Roman" w:cs="Times New Roman" w:eastAsia="Times New Roman" w:hint="default"/>
                <w:sz w:val="18"/>
                <w:szCs w:val="18"/>
              </w:rPr>
            </w:pPr>
            <w:r>
              <w:rPr>
                <w:rFonts w:ascii="Times New Roman"/>
                <w:sz w:val="18"/>
              </w:rPr>
              <w:t>1,288,135</w:t>
            </w:r>
          </w:p>
          <w:p>
            <w:pPr>
              <w:pStyle w:val="TableParagraph"/>
              <w:spacing w:line="240" w:lineRule="auto" w:before="105"/>
              <w:ind w:left="191" w:right="0"/>
              <w:jc w:val="center"/>
              <w:rPr>
                <w:rFonts w:ascii="Times New Roman" w:hAnsi="Times New Roman" w:cs="Times New Roman" w:eastAsia="Times New Roman" w:hint="default"/>
                <w:sz w:val="18"/>
                <w:szCs w:val="18"/>
              </w:rPr>
            </w:pPr>
            <w:r>
              <w:rPr>
                <w:rFonts w:ascii="Times New Roman"/>
                <w:sz w:val="18"/>
              </w:rPr>
              <w:t>,098.97</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1,485,535</w:t>
            </w:r>
          </w:p>
          <w:p>
            <w:pPr>
              <w:pStyle w:val="TableParagraph"/>
              <w:spacing w:line="240" w:lineRule="auto" w:before="105"/>
              <w:ind w:left="182" w:right="0"/>
              <w:jc w:val="center"/>
              <w:rPr>
                <w:rFonts w:ascii="Times New Roman" w:hAnsi="Times New Roman" w:cs="Times New Roman" w:eastAsia="Times New Roman" w:hint="default"/>
                <w:sz w:val="18"/>
                <w:szCs w:val="18"/>
              </w:rPr>
            </w:pPr>
            <w:r>
              <w:rPr>
                <w:rFonts w:ascii="Times New Roman"/>
                <w:sz w:val="18"/>
              </w:rPr>
              <w:t>,612.25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99.51%</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85,056,28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3.66</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5.73%</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1,400,479,3</w:t>
            </w:r>
          </w:p>
          <w:p>
            <w:pPr>
              <w:pStyle w:val="TableParagraph"/>
              <w:spacing w:line="240" w:lineRule="auto" w:before="105"/>
              <w:ind w:left="494" w:right="0"/>
              <w:jc w:val="left"/>
              <w:rPr>
                <w:rFonts w:ascii="Times New Roman" w:hAnsi="Times New Roman" w:cs="Times New Roman" w:eastAsia="Times New Roman" w:hint="default"/>
                <w:sz w:val="18"/>
                <w:szCs w:val="18"/>
              </w:rPr>
            </w:pPr>
            <w:r>
              <w:rPr>
                <w:rFonts w:ascii="Times New Roman"/>
                <w:sz w:val="18"/>
              </w:rPr>
              <w:t>28.59</w:t>
            </w:r>
          </w:p>
        </w:tc>
      </w:tr>
      <w:tr>
        <w:trPr>
          <w:trHeight w:val="71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 w:right="0"/>
              <w:jc w:val="left"/>
              <w:rPr>
                <w:rFonts w:ascii="Times New Roman" w:hAnsi="Times New Roman" w:cs="Times New Roman" w:eastAsia="Times New Roman" w:hint="default"/>
                <w:sz w:val="18"/>
                <w:szCs w:val="18"/>
              </w:rPr>
            </w:pPr>
            <w:r>
              <w:rPr>
                <w:rFonts w:ascii="Times New Roman"/>
                <w:sz w:val="18"/>
              </w:rPr>
              <w:t>1,381,36</w:t>
            </w:r>
          </w:p>
          <w:p>
            <w:pPr>
              <w:pStyle w:val="TableParagraph"/>
              <w:spacing w:line="240" w:lineRule="auto" w:before="105"/>
              <w:ind w:left="100" w:right="0"/>
              <w:jc w:val="left"/>
              <w:rPr>
                <w:rFonts w:ascii="Times New Roman" w:hAnsi="Times New Roman" w:cs="Times New Roman" w:eastAsia="Times New Roman" w:hint="default"/>
                <w:sz w:val="18"/>
                <w:szCs w:val="18"/>
              </w:rPr>
            </w:pPr>
            <w:r>
              <w:rPr>
                <w:rFonts w:ascii="Times New Roman"/>
                <w:sz w:val="18"/>
              </w:rPr>
              <w:t>2,614.46</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93,227,5</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15.49</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6.75%</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1,288,135</w:t>
            </w:r>
          </w:p>
          <w:p>
            <w:pPr>
              <w:pStyle w:val="TableParagraph"/>
              <w:spacing w:line="240" w:lineRule="auto" w:before="105"/>
              <w:ind w:left="192" w:right="0"/>
              <w:jc w:val="center"/>
              <w:rPr>
                <w:rFonts w:ascii="Times New Roman" w:hAnsi="Times New Roman" w:cs="Times New Roman" w:eastAsia="Times New Roman" w:hint="default"/>
                <w:sz w:val="18"/>
                <w:szCs w:val="18"/>
              </w:rPr>
            </w:pPr>
            <w:r>
              <w:rPr>
                <w:rFonts w:ascii="Times New Roman"/>
                <w:sz w:val="18"/>
              </w:rPr>
              <w:t>,098.97</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1,492,862</w:t>
            </w:r>
          </w:p>
          <w:p>
            <w:pPr>
              <w:pStyle w:val="TableParagraph"/>
              <w:spacing w:line="240" w:lineRule="auto" w:before="105"/>
              <w:ind w:left="182" w:right="0"/>
              <w:jc w:val="center"/>
              <w:rPr>
                <w:rFonts w:ascii="Times New Roman" w:hAnsi="Times New Roman" w:cs="Times New Roman" w:eastAsia="Times New Roman" w:hint="default"/>
                <w:sz w:val="18"/>
                <w:szCs w:val="18"/>
              </w:rPr>
            </w:pPr>
            <w:r>
              <w:rPr>
                <w:rFonts w:ascii="Times New Roman"/>
                <w:sz w:val="18"/>
              </w:rPr>
              <w:t>,496.82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92,383,16</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8.23</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6.19%</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1,400,479,3</w:t>
            </w:r>
          </w:p>
          <w:p>
            <w:pPr>
              <w:pStyle w:val="TableParagraph"/>
              <w:spacing w:line="240" w:lineRule="auto" w:before="105"/>
              <w:ind w:left="494" w:right="0"/>
              <w:jc w:val="left"/>
              <w:rPr>
                <w:rFonts w:ascii="Times New Roman" w:hAnsi="Times New Roman" w:cs="Times New Roman" w:eastAsia="Times New Roman" w:hint="default"/>
                <w:sz w:val="18"/>
                <w:szCs w:val="18"/>
              </w:rPr>
            </w:pPr>
            <w:r>
              <w:rPr>
                <w:rFonts w:ascii="Times New Roman"/>
                <w:sz w:val="18"/>
              </w:rPr>
              <w:t>28.59</w:t>
            </w:r>
          </w:p>
        </w:tc>
      </w:tr>
    </w:tbl>
    <w:p>
      <w:pPr>
        <w:pStyle w:val="BodyText"/>
        <w:spacing w:line="240" w:lineRule="auto" w:before="49"/>
        <w:ind w:right="1133"/>
        <w:jc w:val="left"/>
        <w:rPr>
          <w:rFonts w:ascii="Times New Roman" w:hAnsi="Times New Roman" w:cs="Times New Roman" w:eastAsia="Times New Roman" w:hint="default"/>
        </w:rPr>
      </w:pPr>
      <w:r>
        <w:rPr/>
        <w:t>按单项计提坏账准备：</w:t>
      </w:r>
      <w:r>
        <w:rPr>
          <w:spacing w:val="-4"/>
        </w:rPr>
        <w:t> </w:t>
      </w:r>
      <w:r>
        <w:rPr>
          <w:rFonts w:ascii="Times New Roman" w:hAnsi="Times New Roman" w:cs="Times New Roman" w:eastAsia="Times New Roman" w:hint="default"/>
        </w:rPr>
        <w:t>10,676,780.61</w:t>
      </w:r>
    </w:p>
    <w:p>
      <w:pPr>
        <w:pStyle w:val="BodyText"/>
        <w:spacing w:line="240" w:lineRule="auto" w:before="101"/>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3618"/>
        <w:gridCol w:w="1430"/>
        <w:gridCol w:w="1431"/>
        <w:gridCol w:w="1018"/>
        <w:gridCol w:w="2201"/>
      </w:tblGrid>
      <w:tr>
        <w:trPr>
          <w:trHeight w:val="402" w:hRule="exact"/>
        </w:trPr>
        <w:tc>
          <w:tcPr>
            <w:tcW w:w="361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608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3618" w:type="dxa"/>
            <w:vMerge/>
            <w:tcBorders>
              <w:left w:val="single" w:sz="4" w:space="0" w:color="000000"/>
              <w:bottom w:val="single" w:sz="4" w:space="0" w:color="000000"/>
              <w:right w:val="single" w:sz="4" w:space="0" w:color="000000"/>
            </w:tcBorders>
            <w:shd w:val="clear" w:color="auto" w:fill="D2D2D2"/>
          </w:tcPr>
          <w:p>
            <w:pPr/>
          </w:p>
        </w:tc>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50"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5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0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44"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2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734"/>
              <w:jc w:val="right"/>
              <w:rPr>
                <w:rFonts w:ascii="宋体" w:hAnsi="宋体" w:cs="宋体" w:eastAsia="宋体" w:hint="default"/>
                <w:sz w:val="18"/>
                <w:szCs w:val="18"/>
              </w:rPr>
            </w:pPr>
            <w:r>
              <w:rPr>
                <w:rFonts w:ascii="宋体" w:hAnsi="宋体" w:cs="宋体" w:eastAsia="宋体" w:hint="default"/>
                <w:sz w:val="18"/>
                <w:szCs w:val="18"/>
              </w:rPr>
              <w:t>计提理由</w:t>
            </w:r>
          </w:p>
        </w:tc>
      </w:tr>
      <w:tr>
        <w:trPr>
          <w:trHeight w:val="401" w:hRule="exact"/>
        </w:trPr>
        <w:tc>
          <w:tcPr>
            <w:tcW w:w="3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大连飞通房地产开发有限公司</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6,358,905.64</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6,358,905.64</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725"/>
              <w:jc w:val="right"/>
              <w:rPr>
                <w:rFonts w:ascii="宋体" w:hAnsi="宋体" w:cs="宋体" w:eastAsia="宋体" w:hint="default"/>
                <w:sz w:val="18"/>
                <w:szCs w:val="18"/>
              </w:rPr>
            </w:pPr>
            <w:r>
              <w:rPr>
                <w:rFonts w:ascii="宋体" w:hAnsi="宋体" w:cs="宋体" w:eastAsia="宋体" w:hint="default"/>
                <w:sz w:val="18"/>
                <w:szCs w:val="18"/>
              </w:rPr>
              <w:t>期限长，难以收回</w:t>
            </w:r>
          </w:p>
        </w:tc>
      </w:tr>
      <w:tr>
        <w:trPr>
          <w:trHeight w:val="403" w:hRule="exact"/>
        </w:trPr>
        <w:tc>
          <w:tcPr>
            <w:tcW w:w="3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深圳市罗湖区笋岗街道办事处</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820,372.30</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820,372.30</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725"/>
              <w:jc w:val="right"/>
              <w:rPr>
                <w:rFonts w:ascii="宋体" w:hAnsi="宋体" w:cs="宋体" w:eastAsia="宋体" w:hint="default"/>
                <w:sz w:val="18"/>
                <w:szCs w:val="18"/>
              </w:rPr>
            </w:pPr>
            <w:r>
              <w:rPr>
                <w:rFonts w:ascii="宋体" w:hAnsi="宋体" w:cs="宋体" w:eastAsia="宋体" w:hint="default"/>
                <w:sz w:val="18"/>
                <w:szCs w:val="18"/>
              </w:rPr>
              <w:t>期限长，难以收回</w:t>
            </w:r>
          </w:p>
        </w:tc>
      </w:tr>
    </w:tbl>
    <w:p>
      <w:pPr>
        <w:spacing w:after="0" w:line="240" w:lineRule="auto"/>
        <w:jc w:val="right"/>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19" w:type="dxa"/>
        <w:tblLayout w:type="fixed"/>
        <w:tblCellMar>
          <w:top w:w="0" w:type="dxa"/>
          <w:left w:w="0" w:type="dxa"/>
          <w:bottom w:w="0" w:type="dxa"/>
          <w:right w:w="0" w:type="dxa"/>
        </w:tblCellMar>
        <w:tblLook w:val="01E0"/>
      </w:tblPr>
      <w:tblGrid>
        <w:gridCol w:w="3618"/>
        <w:gridCol w:w="1430"/>
        <w:gridCol w:w="1431"/>
        <w:gridCol w:w="1018"/>
        <w:gridCol w:w="2201"/>
      </w:tblGrid>
      <w:tr>
        <w:trPr>
          <w:trHeight w:val="401" w:hRule="exact"/>
        </w:trPr>
        <w:tc>
          <w:tcPr>
            <w:tcW w:w="3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深圳市罗湖区清水河街道办事处</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734,425.55</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734,425.55</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已诉讼，回收有风险</w:t>
            </w:r>
          </w:p>
        </w:tc>
      </w:tr>
      <w:tr>
        <w:trPr>
          <w:trHeight w:val="403" w:hRule="exact"/>
        </w:trPr>
        <w:tc>
          <w:tcPr>
            <w:tcW w:w="3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江苏润地房地产开发有限公司</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739,189.48</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739,189.48</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期限长，难以收回</w:t>
            </w:r>
          </w:p>
        </w:tc>
      </w:tr>
      <w:tr>
        <w:trPr>
          <w:trHeight w:val="401" w:hRule="exact"/>
        </w:trPr>
        <w:tc>
          <w:tcPr>
            <w:tcW w:w="3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深圳市南山区物业管理办公室</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372,640.74</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372,640.74</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期限长，难以收回</w:t>
            </w:r>
          </w:p>
        </w:tc>
      </w:tr>
      <w:tr>
        <w:trPr>
          <w:trHeight w:val="403" w:hRule="exact"/>
        </w:trPr>
        <w:tc>
          <w:tcPr>
            <w:tcW w:w="3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三亚四海永富投资管理有限公司</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249,015.00</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249,015.00</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期限长，难以收回</w:t>
            </w:r>
          </w:p>
        </w:tc>
      </w:tr>
      <w:tr>
        <w:trPr>
          <w:trHeight w:val="401" w:hRule="exact"/>
        </w:trPr>
        <w:tc>
          <w:tcPr>
            <w:tcW w:w="3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深圳市武龙源房地产开发有限公司</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210,000.00</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210,000.00</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期限长，难以收回</w:t>
            </w:r>
          </w:p>
        </w:tc>
      </w:tr>
      <w:tr>
        <w:trPr>
          <w:trHeight w:val="403" w:hRule="exact"/>
        </w:trPr>
        <w:tc>
          <w:tcPr>
            <w:tcW w:w="3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深圳市盐田区建筑工程事务局</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170,394.63</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170,394.63</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期限长，难以收回</w:t>
            </w:r>
          </w:p>
        </w:tc>
      </w:tr>
      <w:tr>
        <w:trPr>
          <w:trHeight w:val="401" w:hRule="exact"/>
        </w:trPr>
        <w:tc>
          <w:tcPr>
            <w:tcW w:w="3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广州新中新工程技术有限公司</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120,000.00</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120,000.00</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期限长，难以收回</w:t>
            </w:r>
          </w:p>
        </w:tc>
      </w:tr>
      <w:tr>
        <w:trPr>
          <w:trHeight w:val="403" w:hRule="exact"/>
        </w:trPr>
        <w:tc>
          <w:tcPr>
            <w:tcW w:w="3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大同市泰和春实业有限责任公司</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114,000.00</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114,000.00</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期限长，难以收回</w:t>
            </w:r>
          </w:p>
        </w:tc>
      </w:tr>
      <w:tr>
        <w:trPr>
          <w:trHeight w:val="401" w:hRule="exact"/>
        </w:trPr>
        <w:tc>
          <w:tcPr>
            <w:tcW w:w="3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佛山市金茂房地产开发有限公司</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2"/>
                <w:sz w:val="18"/>
              </w:rPr>
              <w:t>111,068.02</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2"/>
                <w:sz w:val="18"/>
              </w:rPr>
              <w:t>111,068.02</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期限长，难以收回</w:t>
            </w:r>
          </w:p>
        </w:tc>
      </w:tr>
      <w:tr>
        <w:trPr>
          <w:trHeight w:val="404" w:hRule="exact"/>
        </w:trPr>
        <w:tc>
          <w:tcPr>
            <w:tcW w:w="3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其他客户</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676,769.25</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676,769.25</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期限长，难以收回</w:t>
            </w:r>
          </w:p>
        </w:tc>
      </w:tr>
      <w:tr>
        <w:trPr>
          <w:trHeight w:val="403" w:hRule="exact"/>
        </w:trPr>
        <w:tc>
          <w:tcPr>
            <w:tcW w:w="36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3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10,676,780.61</w:t>
            </w:r>
          </w:p>
        </w:tc>
        <w:tc>
          <w:tcPr>
            <w:tcW w:w="1431"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pacing w:val="-1"/>
                <w:sz w:val="18"/>
              </w:rPr>
              <w:t>10,676,780.61</w:t>
            </w:r>
          </w:p>
        </w:tc>
        <w:tc>
          <w:tcPr>
            <w:tcW w:w="10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1133"/>
        <w:jc w:val="left"/>
        <w:rPr>
          <w:rFonts w:ascii="Times New Roman" w:hAnsi="Times New Roman" w:cs="Times New Roman" w:eastAsia="Times New Roman" w:hint="default"/>
        </w:rPr>
      </w:pPr>
      <w:r>
        <w:rPr/>
        <w:t>按组合计提坏账准备：</w:t>
      </w:r>
      <w:r>
        <w:rPr>
          <w:spacing w:val="-4"/>
        </w:rPr>
        <w:t> </w:t>
      </w:r>
      <w:r>
        <w:rPr>
          <w:rFonts w:ascii="Times New Roman" w:hAnsi="Times New Roman" w:cs="Times New Roman" w:eastAsia="Times New Roman" w:hint="default"/>
        </w:rPr>
        <w:t>82,550,734.88</w:t>
      </w: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9"/>
          <w:szCs w:val="19"/>
        </w:rPr>
      </w:pPr>
    </w:p>
    <w:p>
      <w:pPr>
        <w:pStyle w:val="BodyText"/>
        <w:spacing w:line="240" w:lineRule="auto"/>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3"/>
        <w:gridCol w:w="2391"/>
        <w:gridCol w:w="2393"/>
        <w:gridCol w:w="2393"/>
      </w:tblGrid>
      <w:tr>
        <w:trPr>
          <w:trHeight w:val="403" w:hRule="exact"/>
        </w:trPr>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名称</w:t>
            </w:r>
          </w:p>
        </w:tc>
        <w:tc>
          <w:tcPr>
            <w:tcW w:w="717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2393" w:type="dxa"/>
            <w:vMerge/>
            <w:tcBorders>
              <w:left w:val="single" w:sz="4" w:space="0" w:color="000000"/>
              <w:bottom w:val="single" w:sz="4" w:space="0" w:color="000000"/>
              <w:right w:val="single" w:sz="4" w:space="0" w:color="000000"/>
            </w:tcBorders>
            <w:shd w:val="clear" w:color="auto" w:fill="D2D2D2"/>
          </w:tcPr>
          <w:p>
            <w:pP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715"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97"/>
              <w:jc w:val="left"/>
              <w:rPr>
                <w:rFonts w:ascii="宋体" w:hAnsi="宋体" w:cs="宋体" w:eastAsia="宋体" w:hint="default"/>
                <w:sz w:val="18"/>
                <w:szCs w:val="18"/>
              </w:rPr>
            </w:pPr>
            <w:r>
              <w:rPr>
                <w:rFonts w:ascii="宋体" w:hAnsi="宋体" w:cs="宋体" w:eastAsia="宋体" w:hint="default"/>
                <w:sz w:val="18"/>
                <w:szCs w:val="18"/>
              </w:rPr>
              <w:t>按信用风险特征组合计提坏 账准备的应收账款</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1,370,685,833.85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82,550,734.88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6.02%</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1,370,685,833.85</w:t>
            </w:r>
          </w:p>
        </w:tc>
        <w:tc>
          <w:tcPr>
            <w:tcW w:w="2393"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pacing w:val="-1"/>
                <w:sz w:val="18"/>
              </w:rPr>
              <w:t>82,550,734.88</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1133"/>
        <w:jc w:val="left"/>
      </w:pPr>
      <w:r>
        <w:rPr/>
        <w:t>如是按照预期信用损失一般模型计提应收账款坏账准备，请参照其他应收款的披露方式披露坏账准备的相关信息：</w:t>
      </w:r>
    </w:p>
    <w:p>
      <w:pPr>
        <w:pStyle w:val="BodyText"/>
        <w:spacing w:line="338" w:lineRule="auto" w:before="117"/>
        <w:ind w:right="9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按账龄披露</w:t>
      </w:r>
    </w:p>
    <w:p>
      <w:pPr>
        <w:pStyle w:val="BodyText"/>
        <w:spacing w:line="240" w:lineRule="auto" w:before="43"/>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761"/>
        <w:gridCol w:w="4797"/>
      </w:tblGrid>
      <w:tr>
        <w:trPr>
          <w:trHeight w:val="401"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823,663,954.68</w:t>
            </w:r>
          </w:p>
        </w:tc>
      </w:tr>
      <w:tr>
        <w:trPr>
          <w:trHeight w:val="401"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253,544,318.18</w:t>
            </w:r>
          </w:p>
        </w:tc>
      </w:tr>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218,804,421.83</w:t>
            </w:r>
          </w:p>
        </w:tc>
      </w:tr>
      <w:tr>
        <w:trPr>
          <w:trHeight w:val="401"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85,349,919.77</w:t>
            </w:r>
          </w:p>
        </w:tc>
      </w:tr>
      <w:tr>
        <w:trPr>
          <w:trHeight w:val="404"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42,737,275.35</w:t>
            </w:r>
          </w:p>
        </w:tc>
      </w:tr>
      <w:tr>
        <w:trPr>
          <w:trHeight w:val="401"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18,931,584.98</w:t>
            </w:r>
          </w:p>
        </w:tc>
      </w:tr>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23,681,059.44</w:t>
            </w:r>
          </w:p>
        </w:tc>
      </w:tr>
      <w:tr>
        <w:trPr>
          <w:trHeight w:val="401"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1,381,362,614.46</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本期计提、收回或转回的坏账准备情况" w:id="398"/>
      <w:bookmarkEnd w:id="398"/>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t>本期计提坏账准备情况：</w:t>
      </w:r>
    </w:p>
    <w:p>
      <w:pPr>
        <w:spacing w:after="0" w:line="240" w:lineRule="auto"/>
        <w:jc w:val="left"/>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left="0" w:right="1131"/>
        <w:jc w:val="right"/>
      </w:pPr>
      <w:r>
        <w:rPr/>
        <w:t>单位：</w:t>
      </w:r>
      <w:r>
        <w:rPr>
          <w:spacing w:val="1"/>
        </w:rPr>
        <w:t> </w:t>
      </w:r>
      <w:r>
        <w:rPr/>
        <w:t>元</w:t>
      </w:r>
    </w:p>
    <w:p>
      <w:pPr>
        <w:spacing w:line="240" w:lineRule="auto" w:before="5"/>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2470"/>
        <w:gridCol w:w="1450"/>
        <w:gridCol w:w="1412"/>
        <w:gridCol w:w="1330"/>
        <w:gridCol w:w="1032"/>
        <w:gridCol w:w="553"/>
        <w:gridCol w:w="1452"/>
      </w:tblGrid>
      <w:tr>
        <w:trPr>
          <w:trHeight w:val="401" w:hRule="exact"/>
        </w:trPr>
        <w:tc>
          <w:tcPr>
            <w:tcW w:w="24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4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60"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32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45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60"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2470" w:type="dxa"/>
            <w:vMerge/>
            <w:tcBorders>
              <w:left w:val="single" w:sz="4" w:space="0" w:color="000000"/>
              <w:bottom w:val="single" w:sz="4" w:space="0" w:color="000000"/>
              <w:right w:val="single" w:sz="4" w:space="0" w:color="000000"/>
            </w:tcBorders>
            <w:shd w:val="clear" w:color="auto" w:fill="D2D2D2"/>
          </w:tcPr>
          <w:p>
            <w:pPr/>
          </w:p>
        </w:tc>
        <w:tc>
          <w:tcPr>
            <w:tcW w:w="1450" w:type="dxa"/>
            <w:vMerge/>
            <w:tcBorders>
              <w:left w:val="single" w:sz="4" w:space="0" w:color="000000"/>
              <w:bottom w:val="single" w:sz="4" w:space="0" w:color="000000"/>
              <w:right w:val="single" w:sz="4" w:space="0" w:color="000000"/>
            </w:tcBorders>
            <w:shd w:val="clear" w:color="auto" w:fill="D2D2D2"/>
          </w:tcPr>
          <w:p>
            <w:pPr/>
          </w:p>
        </w:tc>
        <w:tc>
          <w:tcPr>
            <w:tcW w:w="14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11"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0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31" w:right="0"/>
              <w:jc w:val="left"/>
              <w:rPr>
                <w:rFonts w:ascii="宋体" w:hAnsi="宋体" w:cs="宋体" w:eastAsia="宋体" w:hint="default"/>
                <w:sz w:val="18"/>
                <w:szCs w:val="18"/>
              </w:rPr>
            </w:pPr>
            <w:r>
              <w:rPr>
                <w:rFonts w:ascii="宋体" w:hAnsi="宋体" w:cs="宋体" w:eastAsia="宋体" w:hint="default"/>
                <w:sz w:val="18"/>
                <w:szCs w:val="18"/>
              </w:rPr>
              <w:t>核销</w:t>
            </w:r>
          </w:p>
        </w:tc>
        <w:tc>
          <w:tcPr>
            <w:tcW w:w="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52"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2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单项计提</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7,326,884.57</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7,028,964.81</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3,679,068.77</w:t>
            </w:r>
          </w:p>
        </w:tc>
        <w:tc>
          <w:tcPr>
            <w:tcW w:w="1032" w:type="dxa"/>
            <w:tcBorders>
              <w:top w:val="single" w:sz="4" w:space="0" w:color="000000"/>
              <w:left w:val="single" w:sz="4" w:space="0" w:color="000000"/>
              <w:bottom w:val="single" w:sz="4" w:space="0" w:color="000000"/>
              <w:right w:val="single" w:sz="4" w:space="0" w:color="000000"/>
            </w:tcBorders>
          </w:tcPr>
          <w:p>
            <w:pPr/>
          </w:p>
        </w:tc>
        <w:tc>
          <w:tcPr>
            <w:tcW w:w="553"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10,676,780.61</w:t>
            </w:r>
          </w:p>
        </w:tc>
      </w:tr>
      <w:tr>
        <w:trPr>
          <w:trHeight w:val="403" w:hRule="exact"/>
        </w:trPr>
        <w:tc>
          <w:tcPr>
            <w:tcW w:w="2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信用风险特征组合计提</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85,056,283.66</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-2,489,154.97</w:t>
            </w:r>
          </w:p>
        </w:tc>
        <w:tc>
          <w:tcPr>
            <w:tcW w:w="1330" w:type="dxa"/>
            <w:tcBorders>
              <w:top w:val="single" w:sz="4" w:space="0" w:color="000000"/>
              <w:left w:val="single" w:sz="4" w:space="0" w:color="000000"/>
              <w:bottom w:val="single" w:sz="4" w:space="0" w:color="000000"/>
              <w:right w:val="single" w:sz="4" w:space="0" w:color="000000"/>
            </w:tcBorders>
          </w:tcPr>
          <w:p>
            <w:pP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8" w:right="0"/>
              <w:jc w:val="left"/>
              <w:rPr>
                <w:rFonts w:ascii="Times New Roman" w:hAnsi="Times New Roman" w:cs="Times New Roman" w:eastAsia="Times New Roman" w:hint="default"/>
                <w:sz w:val="18"/>
                <w:szCs w:val="18"/>
              </w:rPr>
            </w:pPr>
            <w:r>
              <w:rPr>
                <w:rFonts w:ascii="Times New Roman"/>
                <w:sz w:val="18"/>
              </w:rPr>
              <w:t>16,393.81</w:t>
            </w:r>
          </w:p>
        </w:tc>
        <w:tc>
          <w:tcPr>
            <w:tcW w:w="553"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82,550,734.88</w:t>
            </w:r>
          </w:p>
        </w:tc>
      </w:tr>
      <w:tr>
        <w:trPr>
          <w:trHeight w:val="401" w:hRule="exact"/>
        </w:trPr>
        <w:tc>
          <w:tcPr>
            <w:tcW w:w="24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92,383,168.23</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4,539,809.84</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3,679,068.77</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8" w:right="0"/>
              <w:jc w:val="left"/>
              <w:rPr>
                <w:rFonts w:ascii="Times New Roman" w:hAnsi="Times New Roman" w:cs="Times New Roman" w:eastAsia="Times New Roman" w:hint="default"/>
                <w:sz w:val="18"/>
                <w:szCs w:val="18"/>
              </w:rPr>
            </w:pPr>
            <w:r>
              <w:rPr>
                <w:rFonts w:ascii="Times New Roman"/>
                <w:sz w:val="18"/>
              </w:rPr>
              <w:t>16,393.81</w:t>
            </w:r>
          </w:p>
        </w:tc>
        <w:tc>
          <w:tcPr>
            <w:tcW w:w="553"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93,227,515.49</w:t>
            </w:r>
          </w:p>
        </w:tc>
      </w:tr>
    </w:tbl>
    <w:p>
      <w:pPr>
        <w:pStyle w:val="BodyText"/>
        <w:spacing w:line="240" w:lineRule="auto" w:before="49"/>
        <w:ind w:right="1133"/>
        <w:jc w:val="left"/>
      </w:pPr>
      <w:r>
        <w:rPr/>
        <w:t>其中本期坏账准备收回或转回金额重要的：</w:t>
      </w:r>
    </w:p>
    <w:p>
      <w:pPr>
        <w:pStyle w:val="BodyText"/>
        <w:spacing w:line="240" w:lineRule="auto" w:before="117"/>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368"/>
        <w:gridCol w:w="3101"/>
        <w:gridCol w:w="3101"/>
      </w:tblGrid>
      <w:tr>
        <w:trPr>
          <w:trHeight w:val="403" w:hRule="exact"/>
        </w:trPr>
        <w:tc>
          <w:tcPr>
            <w:tcW w:w="3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4" w:right="0"/>
              <w:jc w:val="left"/>
              <w:rPr>
                <w:rFonts w:ascii="宋体" w:hAnsi="宋体" w:cs="宋体" w:eastAsia="宋体" w:hint="default"/>
                <w:sz w:val="18"/>
                <w:szCs w:val="18"/>
              </w:rPr>
            </w:pPr>
            <w:r>
              <w:rPr>
                <w:rFonts w:ascii="宋体" w:hAnsi="宋体" w:cs="宋体" w:eastAsia="宋体" w:hint="default"/>
                <w:sz w:val="18"/>
                <w:szCs w:val="18"/>
              </w:rPr>
              <w:t>收回或转回金额</w:t>
            </w:r>
          </w:p>
        </w:tc>
        <w:tc>
          <w:tcPr>
            <w:tcW w:w="31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r>
        <w:trPr>
          <w:trHeight w:val="401"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镇江华龙广场置业有限公司</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2,735,338.40</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货币回款</w:t>
            </w:r>
          </w:p>
        </w:tc>
      </w:tr>
      <w:tr>
        <w:trPr>
          <w:trHeight w:val="403" w:hRule="exact"/>
        </w:trPr>
        <w:tc>
          <w:tcPr>
            <w:tcW w:w="3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01"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pacing w:val="-1"/>
                <w:sz w:val="18"/>
              </w:rPr>
              <w:t>2,735,338.40</w:t>
            </w:r>
          </w:p>
        </w:tc>
        <w:tc>
          <w:tcPr>
            <w:tcW w:w="31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3）本期实际核销的应收账款情况" w:id="399"/>
      <w:bookmarkEnd w:id="399"/>
      <w:r>
        <w:rPr>
          <w:b w:val="0"/>
          <w:bCs w:val="0"/>
        </w:rPr>
      </w:r>
      <w:r>
        <w:rPr/>
        <w:t>（</w:t>
      </w:r>
      <w:r>
        <w:rPr>
          <w:rFonts w:ascii="Times New Roman" w:hAnsi="Times New Roman" w:cs="Times New Roman" w:eastAsia="Times New Roman" w:hint="default"/>
        </w:rPr>
        <w:t>3</w:t>
      </w:r>
      <w:r>
        <w:rPr/>
        <w:t>）本期实际核销的应收账款情况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983"/>
        <w:gridCol w:w="4587"/>
      </w:tblGrid>
      <w:tr>
        <w:trPr>
          <w:trHeight w:val="403" w:hRule="exact"/>
        </w:trPr>
        <w:tc>
          <w:tcPr>
            <w:tcW w:w="4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5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1" w:hRule="exact"/>
        </w:trPr>
        <w:tc>
          <w:tcPr>
            <w:tcW w:w="4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实际核销的应收账款</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16,393.81</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4）按欠款方归集的期末余额前五名的应收账款情况" w:id="400"/>
      <w:bookmarkEnd w:id="400"/>
      <w:r>
        <w:rPr>
          <w:b w:val="0"/>
          <w:bCs w:val="0"/>
        </w:rPr>
      </w: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3"/>
        <w:gridCol w:w="2391"/>
        <w:gridCol w:w="2393"/>
        <w:gridCol w:w="2393"/>
      </w:tblGrid>
      <w:tr>
        <w:trPr>
          <w:trHeight w:val="71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70" w:right="0"/>
              <w:jc w:val="left"/>
              <w:rPr>
                <w:rFonts w:ascii="宋体" w:hAnsi="宋体" w:cs="宋体" w:eastAsia="宋体" w:hint="default"/>
                <w:sz w:val="18"/>
                <w:szCs w:val="18"/>
              </w:rPr>
            </w:pPr>
            <w:r>
              <w:rPr>
                <w:rFonts w:ascii="宋体" w:hAnsi="宋体" w:cs="宋体" w:eastAsia="宋体" w:hint="default"/>
                <w:sz w:val="18"/>
                <w:szCs w:val="18"/>
              </w:rPr>
              <w:t>应收账款期末余额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921" w:right="111" w:hanging="812"/>
              <w:jc w:val="left"/>
              <w:rPr>
                <w:rFonts w:ascii="宋体" w:hAnsi="宋体" w:cs="宋体" w:eastAsia="宋体" w:hint="default"/>
                <w:sz w:val="18"/>
                <w:szCs w:val="18"/>
              </w:rPr>
            </w:pPr>
            <w:r>
              <w:rPr>
                <w:rFonts w:ascii="宋体" w:hAnsi="宋体" w:cs="宋体" w:eastAsia="宋体" w:hint="default"/>
                <w:sz w:val="18"/>
                <w:szCs w:val="18"/>
              </w:rPr>
              <w:t>占应收账款期末余额合计数 的比例</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70"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128,463,889.21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9.30%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3,853,916.68</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66,861,740.81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4.84%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2,005,852.22</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77,569,520.00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5.62%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2,327,085.60</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68,259,728.56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4.94%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2,507,609.26</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46,045,278.16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3.33%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1,550,358.35</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387,200,156.74</w:t>
            </w:r>
          </w:p>
        </w:tc>
        <w:tc>
          <w:tcPr>
            <w:tcW w:w="2393"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6"/>
              <w:jc w:val="right"/>
              <w:rPr>
                <w:rFonts w:ascii="Times New Roman" w:hAnsi="Times New Roman" w:cs="Times New Roman" w:eastAsia="Times New Roman" w:hint="default"/>
                <w:sz w:val="18"/>
                <w:szCs w:val="18"/>
              </w:rPr>
            </w:pPr>
            <w:r>
              <w:rPr>
                <w:rFonts w:ascii="Times New Roman"/>
                <w:sz w:val="18"/>
              </w:rPr>
              <w:t>28.03%</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其他应收款" w:id="401"/>
      <w:bookmarkEnd w:id="401"/>
      <w:r>
        <w:rPr>
          <w:b w:val="0"/>
          <w:bCs w:val="0"/>
        </w:rPr>
      </w:r>
      <w:r>
        <w:rPr>
          <w:rFonts w:ascii="Times New Roman" w:hAnsi="Times New Roman" w:cs="Times New Roman" w:eastAsia="Times New Roman" w:hint="default"/>
        </w:rPr>
        <w:t>2</w:t>
      </w:r>
      <w:r>
        <w:rPr/>
        <w:t>、其他应收款</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273,319,814.52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434,748,913.43</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273,319,814.52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434,748,913.43</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1133"/>
        <w:jc w:val="left"/>
        <w:rPr>
          <w:b w:val="0"/>
          <w:bCs w:val="0"/>
        </w:rPr>
      </w:pPr>
      <w:bookmarkStart w:name="（1）其他应收款" w:id="402"/>
      <w:bookmarkEnd w:id="402"/>
      <w:r>
        <w:rPr>
          <w:b w:val="0"/>
          <w:bCs w:val="0"/>
        </w:rPr>
      </w:r>
      <w:r>
        <w:rPr/>
        <w:t>（</w:t>
      </w:r>
      <w:r>
        <w:rPr>
          <w:rFonts w:ascii="Times New Roman" w:hAnsi="Times New Roman" w:cs="Times New Roman" w:eastAsia="Times New Roman" w:hint="default"/>
        </w:rPr>
        <w:t>1</w:t>
      </w:r>
      <w:r>
        <w:rPr/>
        <w:t>）其他应收款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33"/>
        <w:jc w:val="left"/>
        <w:rPr>
          <w:b w:val="0"/>
          <w:bCs w:val="0"/>
        </w:rPr>
      </w:pPr>
      <w:bookmarkStart w:name="1）其他应收款按款项性质分类情况" w:id="403"/>
      <w:bookmarkEnd w:id="403"/>
      <w:r>
        <w:rPr>
          <w:b w:val="0"/>
          <w:bCs w:val="0"/>
        </w:rPr>
      </w:r>
      <w:r>
        <w:rPr>
          <w:rFonts w:ascii="Times New Roman" w:hAnsi="Times New Roman" w:cs="Times New Roman" w:eastAsia="Times New Roman" w:hint="default"/>
        </w:rPr>
        <w:t>1</w:t>
      </w:r>
      <w:r>
        <w:rPr/>
        <w:t>）其他应收款按款项性质分类情况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1,112,576.88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1,470,178.64</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押金保证金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55,825,198.89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66,862,636.44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合并范围内内部往来款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146,547,834.86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252,485,768.78</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应收长期股权投资处置款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80,000,000.00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122,400,000.00</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1,275,892.54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1,565,999.08</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293,323.15</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285,054,826.32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444,784,582.94</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坏账准备计提情况" w:id="404"/>
      <w:bookmarkEnd w:id="404"/>
      <w:r>
        <w:rPr>
          <w:b w:val="0"/>
          <w:bCs w:val="0"/>
        </w:rPr>
      </w:r>
      <w:r>
        <w:rPr>
          <w:rFonts w:ascii="Times New Roman" w:hAnsi="Times New Roman" w:cs="Times New Roman" w:eastAsia="Times New Roman" w:hint="default"/>
        </w:rPr>
        <w:t>2</w:t>
      </w:r>
      <w:r>
        <w:rPr/>
        <w:t>）坏账准备计提情况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93"/>
        <w:gridCol w:w="1663"/>
        <w:gridCol w:w="2098"/>
        <w:gridCol w:w="2101"/>
        <w:gridCol w:w="1805"/>
      </w:tblGrid>
      <w:tr>
        <w:trPr>
          <w:trHeight w:val="403" w:hRule="exact"/>
        </w:trPr>
        <w:tc>
          <w:tcPr>
            <w:tcW w:w="1893" w:type="dxa"/>
            <w:tcBorders>
              <w:top w:val="single" w:sz="4" w:space="0" w:color="000000"/>
              <w:left w:val="single" w:sz="4" w:space="0" w:color="000000"/>
              <w:bottom w:val="nil" w:sz="6" w:space="0" w:color="auto"/>
              <w:right w:val="single" w:sz="4" w:space="0" w:color="000000"/>
            </w:tcBorders>
            <w:shd w:val="clear" w:color="auto" w:fill="D2D2D2"/>
          </w:tcPr>
          <w:p>
            <w:pPr/>
          </w:p>
        </w:tc>
        <w:tc>
          <w:tcPr>
            <w:tcW w:w="16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1" w:right="0"/>
              <w:jc w:val="left"/>
              <w:rPr>
                <w:rFonts w:ascii="宋体" w:hAnsi="宋体" w:cs="宋体" w:eastAsia="宋体" w:hint="default"/>
                <w:sz w:val="18"/>
                <w:szCs w:val="18"/>
              </w:rPr>
            </w:pPr>
            <w:r>
              <w:rPr>
                <w:rFonts w:ascii="宋体" w:hAnsi="宋体" w:cs="宋体" w:eastAsia="宋体" w:hint="default"/>
                <w:sz w:val="18"/>
                <w:szCs w:val="18"/>
              </w:rPr>
              <w:t>第一阶段</w:t>
            </w:r>
          </w:p>
        </w:tc>
        <w:tc>
          <w:tcPr>
            <w:tcW w:w="20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83" w:right="0"/>
              <w:jc w:val="left"/>
              <w:rPr>
                <w:rFonts w:ascii="宋体" w:hAnsi="宋体" w:cs="宋体" w:eastAsia="宋体" w:hint="default"/>
                <w:sz w:val="18"/>
                <w:szCs w:val="18"/>
              </w:rPr>
            </w:pPr>
            <w:r>
              <w:rPr>
                <w:rFonts w:ascii="宋体" w:hAnsi="宋体" w:cs="宋体" w:eastAsia="宋体" w:hint="default"/>
                <w:sz w:val="18"/>
                <w:szCs w:val="18"/>
              </w:rPr>
              <w:t>第二阶段</w:t>
            </w:r>
          </w:p>
        </w:tc>
        <w:tc>
          <w:tcPr>
            <w:tcW w:w="21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86" w:right="0"/>
              <w:jc w:val="left"/>
              <w:rPr>
                <w:rFonts w:ascii="宋体" w:hAnsi="宋体" w:cs="宋体" w:eastAsia="宋体" w:hint="default"/>
                <w:sz w:val="18"/>
                <w:szCs w:val="18"/>
              </w:rPr>
            </w:pPr>
            <w:r>
              <w:rPr>
                <w:rFonts w:ascii="宋体" w:hAnsi="宋体" w:cs="宋体" w:eastAsia="宋体" w:hint="default"/>
                <w:sz w:val="18"/>
                <w:szCs w:val="18"/>
              </w:rPr>
              <w:t>第三阶段</w:t>
            </w:r>
          </w:p>
        </w:tc>
        <w:tc>
          <w:tcPr>
            <w:tcW w:w="180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50" w:hRule="exact"/>
        </w:trPr>
        <w:tc>
          <w:tcPr>
            <w:tcW w:w="189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8"/>
              <w:ind w:left="58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63" w:type="dxa"/>
            <w:vMerge w:val="restart"/>
            <w:tcBorders>
              <w:top w:val="single" w:sz="4" w:space="0" w:color="000000"/>
              <w:left w:val="single" w:sz="4" w:space="0" w:color="000000"/>
              <w:right w:val="single" w:sz="4" w:space="0" w:color="000000"/>
            </w:tcBorders>
            <w:shd w:val="clear" w:color="auto" w:fill="D2D2D2"/>
          </w:tcPr>
          <w:p>
            <w:pPr>
              <w:pStyle w:val="TableParagraph"/>
              <w:spacing w:line="297" w:lineRule="auto" w:before="49"/>
              <w:ind w:left="560" w:right="51" w:hanging="495"/>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个月预期信 用损失</w:t>
            </w:r>
          </w:p>
        </w:tc>
        <w:tc>
          <w:tcPr>
            <w:tcW w:w="20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整个存续期预期信用损失</w:t>
            </w:r>
          </w:p>
          <w:p>
            <w:pPr>
              <w:pStyle w:val="TableParagraph"/>
              <w:spacing w:line="240" w:lineRule="auto" w:before="74"/>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未发生信用减值</w:t>
            </w:r>
            <w:r>
              <w:rPr>
                <w:rFonts w:ascii="Times New Roman" w:hAnsi="Times New Roman" w:cs="Times New Roman" w:eastAsia="Times New Roman" w:hint="default"/>
                <w:sz w:val="18"/>
                <w:szCs w:val="18"/>
              </w:rPr>
              <w:t>)</w:t>
            </w:r>
          </w:p>
        </w:tc>
        <w:tc>
          <w:tcPr>
            <w:tcW w:w="210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整个存续期预期信用损失</w:t>
            </w:r>
          </w:p>
          <w:p>
            <w:pPr>
              <w:pStyle w:val="TableParagraph"/>
              <w:spacing w:line="240" w:lineRule="auto" w:before="74"/>
              <w:ind w:left="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已发生信用减值</w:t>
            </w:r>
            <w:r>
              <w:rPr>
                <w:rFonts w:ascii="Times New Roman" w:hAnsi="Times New Roman" w:cs="Times New Roman" w:eastAsia="Times New Roman" w:hint="default"/>
                <w:sz w:val="18"/>
                <w:szCs w:val="18"/>
              </w:rPr>
              <w:t>)</w:t>
            </w:r>
          </w:p>
        </w:tc>
        <w:tc>
          <w:tcPr>
            <w:tcW w:w="180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8"/>
              <w:ind w:left="717" w:right="0"/>
              <w:jc w:val="left"/>
              <w:rPr>
                <w:rFonts w:ascii="宋体" w:hAnsi="宋体" w:cs="宋体" w:eastAsia="宋体" w:hint="default"/>
                <w:sz w:val="18"/>
                <w:szCs w:val="18"/>
              </w:rPr>
            </w:pPr>
            <w:r>
              <w:rPr>
                <w:rFonts w:ascii="宋体" w:hAnsi="宋体" w:cs="宋体" w:eastAsia="宋体" w:hint="default"/>
                <w:sz w:val="18"/>
                <w:szCs w:val="18"/>
              </w:rPr>
              <w:t>合计</w:t>
            </w:r>
          </w:p>
        </w:tc>
      </w:tr>
      <w:tr>
        <w:trPr>
          <w:trHeight w:val="362" w:hRule="exact"/>
        </w:trPr>
        <w:tc>
          <w:tcPr>
            <w:tcW w:w="1893" w:type="dxa"/>
            <w:tcBorders>
              <w:top w:val="nil" w:sz="6" w:space="0" w:color="auto"/>
              <w:left w:val="single" w:sz="4" w:space="0" w:color="000000"/>
              <w:bottom w:val="single" w:sz="4" w:space="0" w:color="000000"/>
              <w:right w:val="single" w:sz="4" w:space="0" w:color="000000"/>
            </w:tcBorders>
            <w:shd w:val="clear" w:color="auto" w:fill="D2D2D2"/>
          </w:tcPr>
          <w:p>
            <w:pPr/>
          </w:p>
        </w:tc>
        <w:tc>
          <w:tcPr>
            <w:tcW w:w="1663" w:type="dxa"/>
            <w:vMerge/>
            <w:tcBorders>
              <w:left w:val="single" w:sz="4" w:space="0" w:color="000000"/>
              <w:bottom w:val="single" w:sz="4" w:space="0" w:color="000000"/>
              <w:right w:val="single" w:sz="4" w:space="0" w:color="000000"/>
            </w:tcBorders>
            <w:shd w:val="clear" w:color="auto" w:fill="D2D2D2"/>
          </w:tcPr>
          <w:p>
            <w:pPr/>
          </w:p>
        </w:tc>
        <w:tc>
          <w:tcPr>
            <w:tcW w:w="2098" w:type="dxa"/>
            <w:vMerge/>
            <w:tcBorders>
              <w:left w:val="single" w:sz="4" w:space="0" w:color="000000"/>
              <w:bottom w:val="single" w:sz="4" w:space="0" w:color="000000"/>
              <w:right w:val="single" w:sz="4" w:space="0" w:color="000000"/>
            </w:tcBorders>
            <w:shd w:val="clear" w:color="auto" w:fill="D2D2D2"/>
          </w:tcPr>
          <w:p>
            <w:pPr/>
          </w:p>
        </w:tc>
        <w:tc>
          <w:tcPr>
            <w:tcW w:w="2101" w:type="dxa"/>
            <w:vMerge/>
            <w:tcBorders>
              <w:left w:val="single" w:sz="4" w:space="0" w:color="000000"/>
              <w:bottom w:val="single" w:sz="4" w:space="0" w:color="000000"/>
              <w:right w:val="single" w:sz="4" w:space="0" w:color="000000"/>
            </w:tcBorders>
            <w:shd w:val="clear" w:color="auto" w:fill="D2D2D2"/>
          </w:tcPr>
          <w:p>
            <w:pPr/>
          </w:p>
        </w:tc>
        <w:tc>
          <w:tcPr>
            <w:tcW w:w="180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4" w:hRule="exact"/>
        </w:trPr>
        <w:tc>
          <w:tcPr>
            <w:tcW w:w="1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w:t>
            </w:r>
          </w:p>
        </w:tc>
        <w:tc>
          <w:tcPr>
            <w:tcW w:w="166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9,915,669.51</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120,000.00</w:t>
            </w:r>
          </w:p>
        </w:tc>
        <w:tc>
          <w:tcPr>
            <w:tcW w:w="2101"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10,035,669.51</w:t>
            </w:r>
          </w:p>
        </w:tc>
      </w:tr>
      <w:tr>
        <w:trPr>
          <w:trHeight w:val="161" w:hRule="exact"/>
        </w:trPr>
        <w:tc>
          <w:tcPr>
            <w:tcW w:w="1893" w:type="dxa"/>
            <w:vMerge w:val="restart"/>
            <w:tcBorders>
              <w:top w:val="single" w:sz="4" w:space="0" w:color="000000"/>
              <w:left w:val="single" w:sz="4" w:space="0" w:color="000000"/>
              <w:right w:val="single" w:sz="4" w:space="0" w:color="000000"/>
            </w:tcBorders>
            <w:shd w:val="clear" w:color="auto" w:fill="D2D2D2"/>
          </w:tcPr>
          <w:p>
            <w:pPr>
              <w:pStyle w:val="TableParagraph"/>
              <w:spacing w:line="297" w:lineRule="auto" w:before="49"/>
              <w:ind w:left="12"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日余额在 本期</w:t>
            </w:r>
          </w:p>
        </w:tc>
        <w:tc>
          <w:tcPr>
            <w:tcW w:w="1663" w:type="dxa"/>
            <w:tcBorders>
              <w:top w:val="single" w:sz="4" w:space="0" w:color="000000"/>
              <w:left w:val="single" w:sz="4" w:space="0" w:color="000000"/>
              <w:bottom w:val="nil" w:sz="6" w:space="0" w:color="auto"/>
              <w:right w:val="single" w:sz="4" w:space="0" w:color="000000"/>
            </w:tcBorders>
            <w:shd w:val="clear" w:color="auto" w:fill="D2D2D2"/>
          </w:tcPr>
          <w:p>
            <w:pPr/>
          </w:p>
        </w:tc>
        <w:tc>
          <w:tcPr>
            <w:tcW w:w="2098" w:type="dxa"/>
            <w:tcBorders>
              <w:top w:val="single" w:sz="4" w:space="0" w:color="000000"/>
              <w:left w:val="single" w:sz="4" w:space="0" w:color="000000"/>
              <w:bottom w:val="nil" w:sz="6" w:space="0" w:color="auto"/>
              <w:right w:val="single" w:sz="4" w:space="0" w:color="000000"/>
            </w:tcBorders>
            <w:shd w:val="clear" w:color="auto" w:fill="D2D2D2"/>
          </w:tcPr>
          <w:p>
            <w:pPr/>
          </w:p>
        </w:tc>
        <w:tc>
          <w:tcPr>
            <w:tcW w:w="2101" w:type="dxa"/>
            <w:tcBorders>
              <w:top w:val="single" w:sz="4" w:space="0" w:color="000000"/>
              <w:left w:val="single" w:sz="4" w:space="0" w:color="000000"/>
              <w:bottom w:val="nil" w:sz="6" w:space="0" w:color="auto"/>
              <w:right w:val="single" w:sz="4" w:space="0" w:color="000000"/>
            </w:tcBorders>
            <w:shd w:val="clear" w:color="auto" w:fill="D2D2D2"/>
          </w:tcPr>
          <w:p>
            <w:pPr/>
          </w:p>
        </w:tc>
        <w:tc>
          <w:tcPr>
            <w:tcW w:w="180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1" w:hRule="exact"/>
        </w:trPr>
        <w:tc>
          <w:tcPr>
            <w:tcW w:w="1893" w:type="dxa"/>
            <w:vMerge/>
            <w:tcBorders>
              <w:left w:val="single" w:sz="4" w:space="0" w:color="000000"/>
              <w:right w:val="single" w:sz="4" w:space="0" w:color="000000"/>
            </w:tcBorders>
            <w:shd w:val="clear" w:color="auto" w:fill="D2D2D2"/>
          </w:tcPr>
          <w:p>
            <w:pPr/>
          </w:p>
        </w:tc>
        <w:tc>
          <w:tcPr>
            <w:tcW w:w="166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209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210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80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71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161" w:hRule="exact"/>
        </w:trPr>
        <w:tc>
          <w:tcPr>
            <w:tcW w:w="1893" w:type="dxa"/>
            <w:vMerge/>
            <w:tcBorders>
              <w:left w:val="single" w:sz="4" w:space="0" w:color="000000"/>
              <w:bottom w:val="single" w:sz="4" w:space="0" w:color="000000"/>
              <w:right w:val="single" w:sz="4" w:space="0" w:color="000000"/>
            </w:tcBorders>
            <w:shd w:val="clear" w:color="auto" w:fill="D2D2D2"/>
          </w:tcPr>
          <w:p>
            <w:pPr/>
          </w:p>
        </w:tc>
        <w:tc>
          <w:tcPr>
            <w:tcW w:w="1663" w:type="dxa"/>
            <w:tcBorders>
              <w:top w:val="nil" w:sz="6" w:space="0" w:color="auto"/>
              <w:left w:val="single" w:sz="4" w:space="0" w:color="000000"/>
              <w:bottom w:val="single" w:sz="4" w:space="0" w:color="000000"/>
              <w:right w:val="single" w:sz="4" w:space="0" w:color="000000"/>
            </w:tcBorders>
            <w:shd w:val="clear" w:color="auto" w:fill="D2D2D2"/>
          </w:tcPr>
          <w:p>
            <w:pPr/>
          </w:p>
        </w:tc>
        <w:tc>
          <w:tcPr>
            <w:tcW w:w="2098" w:type="dxa"/>
            <w:tcBorders>
              <w:top w:val="nil" w:sz="6" w:space="0" w:color="auto"/>
              <w:left w:val="single" w:sz="4" w:space="0" w:color="000000"/>
              <w:bottom w:val="single" w:sz="4" w:space="0" w:color="000000"/>
              <w:right w:val="single" w:sz="4" w:space="0" w:color="000000"/>
            </w:tcBorders>
            <w:shd w:val="clear" w:color="auto" w:fill="D2D2D2"/>
          </w:tcPr>
          <w:p>
            <w:pPr/>
          </w:p>
        </w:tc>
        <w:tc>
          <w:tcPr>
            <w:tcW w:w="21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80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3" w:hRule="exact"/>
        </w:trPr>
        <w:tc>
          <w:tcPr>
            <w:tcW w:w="1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转入第三阶段</w:t>
            </w:r>
          </w:p>
        </w:tc>
        <w:tc>
          <w:tcPr>
            <w:tcW w:w="166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-144,550.00</w:t>
            </w:r>
          </w:p>
        </w:tc>
        <w:tc>
          <w:tcPr>
            <w:tcW w:w="2098" w:type="dxa"/>
            <w:tcBorders>
              <w:top w:val="single" w:sz="4" w:space="0" w:color="000000"/>
              <w:left w:val="single" w:sz="4" w:space="0" w:color="000000"/>
              <w:bottom w:val="single" w:sz="4" w:space="0" w:color="000000"/>
              <w:right w:val="single" w:sz="4" w:space="0" w:color="000000"/>
            </w:tcBorders>
          </w:tcPr>
          <w:p>
            <w:pP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144,550.00</w:t>
            </w:r>
          </w:p>
        </w:tc>
        <w:tc>
          <w:tcPr>
            <w:tcW w:w="180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166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1,843,892.29</w:t>
            </w:r>
          </w:p>
        </w:tc>
        <w:tc>
          <w:tcPr>
            <w:tcW w:w="2098" w:type="dxa"/>
            <w:tcBorders>
              <w:top w:val="single" w:sz="4" w:space="0" w:color="000000"/>
              <w:left w:val="single" w:sz="4" w:space="0" w:color="000000"/>
              <w:bottom w:val="single" w:sz="4" w:space="0" w:color="000000"/>
              <w:right w:val="single" w:sz="4" w:space="0" w:color="000000"/>
            </w:tcBorders>
          </w:tcPr>
          <w:p>
            <w:pPr/>
          </w:p>
        </w:tc>
        <w:tc>
          <w:tcPr>
            <w:tcW w:w="2101"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1,843,892.29</w:t>
            </w:r>
          </w:p>
        </w:tc>
      </w:tr>
      <w:tr>
        <w:trPr>
          <w:trHeight w:val="403" w:hRule="exact"/>
        </w:trPr>
        <w:tc>
          <w:tcPr>
            <w:tcW w:w="1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本期核销</w:t>
            </w:r>
          </w:p>
        </w:tc>
        <w:tc>
          <w:tcPr>
            <w:tcW w:w="1663" w:type="dxa"/>
            <w:tcBorders>
              <w:top w:val="single" w:sz="4" w:space="0" w:color="000000"/>
              <w:left w:val="single" w:sz="10" w:space="0" w:color="D2D2D2"/>
              <w:bottom w:val="single" w:sz="4" w:space="0" w:color="000000"/>
              <w:right w:val="single" w:sz="4" w:space="0" w:color="000000"/>
            </w:tcBorders>
          </w:tcPr>
          <w:p>
            <w:pPr/>
          </w:p>
        </w:tc>
        <w:tc>
          <w:tcPr>
            <w:tcW w:w="2098" w:type="dxa"/>
            <w:tcBorders>
              <w:top w:val="single" w:sz="4" w:space="0" w:color="000000"/>
              <w:left w:val="single" w:sz="4" w:space="0" w:color="000000"/>
              <w:bottom w:val="single" w:sz="4" w:space="0" w:color="000000"/>
              <w:right w:val="single" w:sz="4" w:space="0" w:color="000000"/>
            </w:tcBorders>
          </w:tcPr>
          <w:p>
            <w:pP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144,550.00</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144,550.00</w:t>
            </w:r>
          </w:p>
        </w:tc>
      </w:tr>
      <w:tr>
        <w:trPr>
          <w:trHeight w:val="401" w:hRule="exact"/>
        </w:trPr>
        <w:tc>
          <w:tcPr>
            <w:tcW w:w="1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日余额</w:t>
            </w:r>
          </w:p>
        </w:tc>
        <w:tc>
          <w:tcPr>
            <w:tcW w:w="166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2"/>
                <w:sz w:val="18"/>
              </w:rPr>
              <w:t>11,615,011.80</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120,000.00</w:t>
            </w:r>
          </w:p>
        </w:tc>
        <w:tc>
          <w:tcPr>
            <w:tcW w:w="2101"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11,735,011.80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0"/>
        </w:sectPr>
      </w:pPr>
    </w:p>
    <w:p>
      <w:pPr>
        <w:pStyle w:val="BodyText"/>
        <w:spacing w:line="240" w:lineRule="auto" w:before="49"/>
        <w:ind w:right="-20"/>
        <w:jc w:val="left"/>
      </w:pPr>
      <w:r>
        <w:rPr/>
        <w:t>损失准备本期变动金额重大的账面余额变动情况</w:t>
      </w:r>
    </w:p>
    <w:p>
      <w:pPr>
        <w:pStyle w:val="BodyText"/>
        <w:spacing w:line="338" w:lineRule="auto" w:before="117"/>
        <w:ind w:right="16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按账龄披露</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2"/>
          <w:szCs w:val="12"/>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3933" w:space="4896"/>
            <w:col w:w="2101"/>
          </w:cols>
        </w:sectPr>
      </w:pP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761"/>
        <w:gridCol w:w="4797"/>
      </w:tblGrid>
      <w:tr>
        <w:trPr>
          <w:trHeight w:val="401"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146,870,500.16</w:t>
            </w:r>
          </w:p>
        </w:tc>
      </w:tr>
      <w:tr>
        <w:trPr>
          <w:trHeight w:val="401"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117,856,269.69</w:t>
            </w:r>
          </w:p>
        </w:tc>
      </w:tr>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9,576,790.62</w:t>
            </w:r>
          </w:p>
        </w:tc>
      </w:tr>
      <w:tr>
        <w:trPr>
          <w:trHeight w:val="401"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10,751,265.85</w:t>
            </w:r>
          </w:p>
        </w:tc>
      </w:tr>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6,689,762.53</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4783"/>
        <w:gridCol w:w="4787"/>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3891"/>
              <w:jc w:val="righ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726,169.18</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3891"/>
              <w:jc w:val="righ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3,335,334.14</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285,054,826.32</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3）本期计提、收回或转回的坏账准备情况" w:id="405"/>
      <w:bookmarkEnd w:id="405"/>
      <w:r>
        <w:rPr>
          <w:b w:val="0"/>
          <w:bCs w:val="0"/>
        </w:rPr>
      </w:r>
      <w:r>
        <w:rPr>
          <w:rFonts w:ascii="Times New Roman" w:hAnsi="Times New Roman" w:cs="Times New Roman" w:eastAsia="Times New Roman" w:hint="default"/>
        </w:rPr>
        <w:t>3</w:t>
      </w:r>
      <w:r>
        <w:rPr/>
        <w:t>）本期计提、收回或转回的坏账准备情况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right="1133"/>
        <w:jc w:val="left"/>
      </w:pPr>
      <w:r>
        <w:rPr/>
        <w:t>本期计提坏账准备情况：</w:t>
      </w:r>
    </w:p>
    <w:p>
      <w:pPr>
        <w:pStyle w:val="BodyText"/>
        <w:spacing w:line="240" w:lineRule="auto" w:before="117"/>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2477"/>
        <w:gridCol w:w="1457"/>
        <w:gridCol w:w="1337"/>
        <w:gridCol w:w="1274"/>
        <w:gridCol w:w="1157"/>
        <w:gridCol w:w="555"/>
        <w:gridCol w:w="1440"/>
      </w:tblGrid>
      <w:tr>
        <w:trPr>
          <w:trHeight w:val="401" w:hRule="exact"/>
        </w:trPr>
        <w:tc>
          <w:tcPr>
            <w:tcW w:w="24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45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6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323"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44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55"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2477" w:type="dxa"/>
            <w:vMerge/>
            <w:tcBorders>
              <w:left w:val="single" w:sz="4" w:space="0" w:color="000000"/>
              <w:bottom w:val="single" w:sz="4" w:space="0" w:color="000000"/>
              <w:right w:val="single" w:sz="4" w:space="0" w:color="000000"/>
            </w:tcBorders>
            <w:shd w:val="clear" w:color="auto" w:fill="D2D2D2"/>
          </w:tcPr>
          <w:p>
            <w:pPr/>
          </w:p>
        </w:tc>
        <w:tc>
          <w:tcPr>
            <w:tcW w:w="1457" w:type="dxa"/>
            <w:vMerge/>
            <w:tcBorders>
              <w:left w:val="single" w:sz="4" w:space="0" w:color="000000"/>
              <w:bottom w:val="single" w:sz="4" w:space="0" w:color="000000"/>
              <w:right w:val="single" w:sz="4" w:space="0" w:color="000000"/>
            </w:tcBorders>
            <w:shd w:val="clear" w:color="auto" w:fill="D2D2D2"/>
          </w:tcPr>
          <w:p>
            <w:pPr/>
          </w:p>
        </w:tc>
        <w:tc>
          <w:tcPr>
            <w:tcW w:w="1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82"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1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核销</w:t>
            </w:r>
          </w:p>
        </w:tc>
        <w:tc>
          <w:tcPr>
            <w:tcW w:w="5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40"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2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单项计提</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120,000.00</w:t>
            </w:r>
          </w:p>
        </w:tc>
        <w:tc>
          <w:tcPr>
            <w:tcW w:w="133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555"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120,000.00</w:t>
            </w:r>
          </w:p>
        </w:tc>
      </w:tr>
      <w:tr>
        <w:trPr>
          <w:trHeight w:val="403" w:hRule="exact"/>
        </w:trPr>
        <w:tc>
          <w:tcPr>
            <w:tcW w:w="2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信用风险特征组合计提</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9,915,669.51</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1,843,892.29</w:t>
            </w:r>
          </w:p>
        </w:tc>
        <w:tc>
          <w:tcPr>
            <w:tcW w:w="127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144,550.00</w:t>
            </w:r>
          </w:p>
        </w:tc>
        <w:tc>
          <w:tcPr>
            <w:tcW w:w="555"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11,615,011.80</w:t>
            </w:r>
          </w:p>
        </w:tc>
      </w:tr>
      <w:tr>
        <w:trPr>
          <w:trHeight w:val="401" w:hRule="exact"/>
        </w:trPr>
        <w:tc>
          <w:tcPr>
            <w:tcW w:w="24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10,035,669.51</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1,843,892.29</w:t>
            </w:r>
          </w:p>
        </w:tc>
        <w:tc>
          <w:tcPr>
            <w:tcW w:w="1274"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144,550.00</w:t>
            </w:r>
          </w:p>
        </w:tc>
        <w:tc>
          <w:tcPr>
            <w:tcW w:w="555"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11,735,011.80</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4）本期实际核销的其他应收款情况" w:id="406"/>
      <w:bookmarkEnd w:id="406"/>
      <w:r>
        <w:rPr>
          <w:b w:val="0"/>
          <w:bCs w:val="0"/>
        </w:rPr>
      </w:r>
      <w:r>
        <w:rPr>
          <w:rFonts w:ascii="Times New Roman" w:hAnsi="Times New Roman" w:cs="Times New Roman" w:eastAsia="Times New Roman" w:hint="default"/>
        </w:rPr>
        <w:t>4</w:t>
      </w:r>
      <w:r>
        <w:rPr/>
        <w:t>）本期实际核销的其他应收款情况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782"/>
        <w:gridCol w:w="4789"/>
      </w:tblGrid>
      <w:tr>
        <w:trPr>
          <w:trHeight w:val="402" w:hRule="exact"/>
        </w:trPr>
        <w:tc>
          <w:tcPr>
            <w:tcW w:w="4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3"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实际核销的其他应收款</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144,550.00</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5）按欠款方归集的期末余额前五名的其他应收款情况" w:id="407"/>
      <w:bookmarkEnd w:id="407"/>
      <w:r>
        <w:rPr>
          <w:b w:val="0"/>
          <w:bCs w:val="0"/>
        </w:rPr>
      </w: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685"/>
        <w:gridCol w:w="1551"/>
        <w:gridCol w:w="1553"/>
        <w:gridCol w:w="1551"/>
        <w:gridCol w:w="1616"/>
        <w:gridCol w:w="1615"/>
      </w:tblGrid>
      <w:tr>
        <w:trPr>
          <w:trHeight w:val="713" w:hRule="exact"/>
        </w:trPr>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78"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6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83" w:right="80"/>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79"/>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3"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股权处置款</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80,000,000.00</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28.06%</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4,000,000.00</w:t>
            </w:r>
          </w:p>
        </w:tc>
      </w:tr>
      <w:tr>
        <w:trPr>
          <w:trHeight w:val="401"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19,392,380.00</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6.80%</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969,619.00</w:t>
            </w:r>
          </w:p>
        </w:tc>
      </w:tr>
      <w:tr>
        <w:trPr>
          <w:trHeight w:val="403"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4,800,000.00</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1.68%</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240,000.00</w:t>
            </w:r>
          </w:p>
        </w:tc>
      </w:tr>
      <w:tr>
        <w:trPr>
          <w:trHeight w:val="401"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4,750,000.00</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1.67%</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2,375,000.00</w:t>
            </w:r>
          </w:p>
        </w:tc>
      </w:tr>
      <w:tr>
        <w:trPr>
          <w:trHeight w:val="403"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2,070,000.00</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年</w:t>
            </w: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0.72%</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135,000.00</w:t>
            </w:r>
          </w:p>
        </w:tc>
      </w:tr>
      <w:tr>
        <w:trPr>
          <w:trHeight w:val="401" w:hRule="exact"/>
        </w:trPr>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53"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111,012,380.00</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38.93%</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7,719,619.00</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3、长期股权投资" w:id="408"/>
      <w:bookmarkEnd w:id="408"/>
      <w:r>
        <w:rPr>
          <w:b w:val="0"/>
          <w:bCs w:val="0"/>
        </w:rPr>
      </w:r>
      <w:r>
        <w:rPr>
          <w:rFonts w:ascii="Times New Roman" w:hAnsi="Times New Roman" w:cs="Times New Roman" w:eastAsia="Times New Roman" w:hint="default"/>
        </w:rPr>
        <w:t>3</w:t>
      </w:r>
      <w:r>
        <w:rPr/>
        <w:t>、长期股权投资</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368"/>
        <w:gridCol w:w="1357"/>
        <w:gridCol w:w="1368"/>
        <w:gridCol w:w="1367"/>
        <w:gridCol w:w="1367"/>
        <w:gridCol w:w="1366"/>
        <w:gridCol w:w="1357"/>
      </w:tblGrid>
      <w:tr>
        <w:trPr>
          <w:trHeight w:val="206" w:hRule="exact"/>
        </w:trPr>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409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8"/>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0"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6"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0" w:hRule="exact"/>
        </w:trPr>
        <w:tc>
          <w:tcPr>
            <w:tcW w:w="13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21"/>
              <w:jc w:val="center"/>
              <w:rPr>
                <w:rFonts w:ascii="宋体" w:hAnsi="宋体" w:cs="宋体" w:eastAsia="宋体" w:hint="default"/>
                <w:sz w:val="18"/>
                <w:szCs w:val="18"/>
              </w:rPr>
            </w:pPr>
            <w:r>
              <w:rPr>
                <w:rFonts w:ascii="宋体" w:hAnsi="宋体" w:cs="宋体" w:eastAsia="宋体" w:hint="default"/>
                <w:sz w:val="18"/>
                <w:szCs w:val="18"/>
              </w:rPr>
              <w:t>项目</w:t>
            </w:r>
          </w:p>
        </w:tc>
        <w:tc>
          <w:tcPr>
            <w:tcW w:w="4092" w:type="dxa"/>
            <w:gridSpan w:val="3"/>
            <w:vMerge/>
            <w:tcBorders>
              <w:left w:val="single" w:sz="4" w:space="0" w:color="000000"/>
              <w:bottom w:val="single" w:sz="4" w:space="0" w:color="000000"/>
              <w:right w:val="single" w:sz="4" w:space="0" w:color="000000"/>
            </w:tcBorders>
            <w:shd w:val="clear" w:color="auto" w:fill="D2D2D2"/>
          </w:tcPr>
          <w:p>
            <w:pPr/>
          </w:p>
        </w:tc>
        <w:tc>
          <w:tcPr>
            <w:tcW w:w="4090" w:type="dxa"/>
            <w:gridSpan w:val="3"/>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368" w:type="dxa"/>
            <w:vMerge/>
            <w:tcBorders>
              <w:left w:val="single" w:sz="4" w:space="0" w:color="000000"/>
              <w:bottom w:val="nil" w:sz="6" w:space="0" w:color="auto"/>
              <w:right w:val="single" w:sz="4" w:space="0" w:color="000000"/>
            </w:tcBorders>
            <w:shd w:val="clear" w:color="auto" w:fill="D2D2D2"/>
          </w:tcPr>
          <w:p>
            <w:pPr/>
          </w:p>
        </w:tc>
        <w:tc>
          <w:tcPr>
            <w:tcW w:w="135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0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5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6" w:hRule="exact"/>
        </w:trPr>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57"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57"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57"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53" w:right="0"/>
              <w:jc w:val="left"/>
              <w:rPr>
                <w:rFonts w:ascii="Times New Roman" w:hAnsi="Times New Roman" w:cs="Times New Roman" w:eastAsia="Times New Roman" w:hint="default"/>
                <w:sz w:val="18"/>
                <w:szCs w:val="18"/>
              </w:rPr>
            </w:pPr>
            <w:r>
              <w:rPr>
                <w:rFonts w:ascii="Times New Roman"/>
                <w:sz w:val="18"/>
              </w:rPr>
              <w:t>1,735,564,722.08</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1,735,564,722.08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1,495,306,635.79</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1,495,306,635.79</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67"/>
        <w:gridCol w:w="1369"/>
        <w:gridCol w:w="1368"/>
        <w:gridCol w:w="1366"/>
        <w:gridCol w:w="1368"/>
        <w:gridCol w:w="1366"/>
        <w:gridCol w:w="1368"/>
      </w:tblGrid>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2" w:right="72"/>
              <w:jc w:val="left"/>
              <w:rPr>
                <w:rFonts w:ascii="宋体" w:hAnsi="宋体" w:cs="宋体" w:eastAsia="宋体" w:hint="default"/>
                <w:sz w:val="18"/>
                <w:szCs w:val="18"/>
              </w:rPr>
            </w:pPr>
            <w:r>
              <w:rPr>
                <w:rFonts w:ascii="宋体" w:hAnsi="宋体" w:cs="宋体" w:eastAsia="宋体" w:hint="default"/>
                <w:sz w:val="18"/>
                <w:szCs w:val="18"/>
              </w:rPr>
              <w:t>对联营、合营企 业投资</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33,810,569.07</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33,810,569.07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29,455,567.84</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29,455,567.84</w:t>
            </w: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1,769,375,291.15</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1,769,375,291.15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1,524,762,203.63</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1,524,762,203.63</w:t>
            </w: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1）对子公司投资" w:id="409"/>
      <w:bookmarkEnd w:id="409"/>
      <w:r>
        <w:rPr>
          <w:b w:val="0"/>
          <w:bCs w:val="0"/>
        </w:rPr>
      </w:r>
      <w:r>
        <w:rPr/>
        <w:t>（</w:t>
      </w:r>
      <w:r>
        <w:rPr>
          <w:rFonts w:ascii="Times New Roman" w:hAnsi="Times New Roman" w:cs="Times New Roman" w:eastAsia="Times New Roman" w:hint="default"/>
        </w:rPr>
        <w:t>1</w:t>
      </w:r>
      <w:r>
        <w:rPr/>
        <w:t>）对子公司投资</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745"/>
        <w:gridCol w:w="1484"/>
        <w:gridCol w:w="1183"/>
        <w:gridCol w:w="1090"/>
        <w:gridCol w:w="739"/>
        <w:gridCol w:w="1001"/>
        <w:gridCol w:w="1484"/>
        <w:gridCol w:w="943"/>
      </w:tblGrid>
      <w:tr>
        <w:trPr>
          <w:trHeight w:val="402" w:hRule="exact"/>
        </w:trPr>
        <w:tc>
          <w:tcPr>
            <w:tcW w:w="174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418"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4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300" w:lineRule="auto"/>
              <w:ind w:left="616" w:right="75" w:hanging="540"/>
              <w:jc w:val="left"/>
              <w:rPr>
                <w:rFonts w:ascii="Times New Roman" w:hAnsi="Times New Roman" w:cs="Times New Roman" w:eastAsia="Times New Roman"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账面价 值</w:t>
            </w:r>
            <w:r>
              <w:rPr>
                <w:rFonts w:ascii="Times New Roman" w:hAnsi="Times New Roman" w:cs="Times New Roman" w:eastAsia="Times New Roman" w:hint="default"/>
                <w:sz w:val="18"/>
                <w:szCs w:val="18"/>
              </w:rPr>
              <w:t>)</w:t>
            </w:r>
          </w:p>
        </w:tc>
        <w:tc>
          <w:tcPr>
            <w:tcW w:w="4013"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14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300" w:lineRule="auto"/>
              <w:ind w:left="617" w:right="74" w:hanging="541"/>
              <w:jc w:val="left"/>
              <w:rPr>
                <w:rFonts w:ascii="Times New Roman" w:hAnsi="Times New Roman" w:cs="Times New Roman" w:eastAsia="Times New Roman"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账面价 值</w:t>
            </w:r>
            <w:r>
              <w:rPr>
                <w:rFonts w:ascii="Times New Roman" w:hAnsi="Times New Roman" w:cs="Times New Roman" w:eastAsia="Times New Roman" w:hint="default"/>
                <w:sz w:val="18"/>
                <w:szCs w:val="18"/>
              </w:rPr>
              <w:t>)</w:t>
            </w:r>
          </w:p>
        </w:tc>
        <w:tc>
          <w:tcPr>
            <w:tcW w:w="94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316" w:lineRule="auto"/>
              <w:ind w:left="108" w:right="103"/>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713" w:hRule="exact"/>
        </w:trPr>
        <w:tc>
          <w:tcPr>
            <w:tcW w:w="1745" w:type="dxa"/>
            <w:vMerge/>
            <w:tcBorders>
              <w:left w:val="single" w:sz="4" w:space="0" w:color="000000"/>
              <w:bottom w:val="single" w:sz="4" w:space="0" w:color="000000"/>
              <w:right w:val="single" w:sz="4" w:space="0" w:color="000000"/>
            </w:tcBorders>
            <w:shd w:val="clear" w:color="auto" w:fill="D2D2D2"/>
          </w:tcPr>
          <w:p>
            <w:pPr/>
          </w:p>
        </w:tc>
        <w:tc>
          <w:tcPr>
            <w:tcW w:w="1484" w:type="dxa"/>
            <w:vMerge/>
            <w:tcBorders>
              <w:left w:val="single" w:sz="4" w:space="0" w:color="000000"/>
              <w:bottom w:val="single" w:sz="4" w:space="0" w:color="000000"/>
              <w:right w:val="single" w:sz="4" w:space="0" w:color="000000"/>
            </w:tcBorders>
            <w:shd w:val="clear" w:color="auto" w:fill="D2D2D2"/>
          </w:tcPr>
          <w:p>
            <w:pPr/>
          </w:p>
        </w:tc>
        <w:tc>
          <w:tcPr>
            <w:tcW w:w="11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8"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10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79"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95" w:right="91"/>
              <w:jc w:val="left"/>
              <w:rPr>
                <w:rFonts w:ascii="宋体" w:hAnsi="宋体" w:cs="宋体" w:eastAsia="宋体" w:hint="default"/>
                <w:sz w:val="18"/>
                <w:szCs w:val="18"/>
              </w:rPr>
            </w:pPr>
            <w:r>
              <w:rPr>
                <w:rFonts w:ascii="宋体" w:hAnsi="宋体" w:cs="宋体" w:eastAsia="宋体" w:hint="default"/>
                <w:sz w:val="18"/>
                <w:szCs w:val="18"/>
              </w:rPr>
              <w:t>计提减 值准备</w:t>
            </w:r>
          </w:p>
        </w:tc>
        <w:tc>
          <w:tcPr>
            <w:tcW w:w="1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1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84" w:type="dxa"/>
            <w:vMerge/>
            <w:tcBorders>
              <w:left w:val="single" w:sz="4" w:space="0" w:color="000000"/>
              <w:bottom w:val="single" w:sz="4" w:space="0" w:color="000000"/>
              <w:right w:val="single" w:sz="4" w:space="0" w:color="000000"/>
            </w:tcBorders>
            <w:shd w:val="clear" w:color="auto" w:fill="D2D2D2"/>
          </w:tcPr>
          <w:p>
            <w:pPr/>
          </w:p>
        </w:tc>
        <w:tc>
          <w:tcPr>
            <w:tcW w:w="943" w:type="dxa"/>
            <w:vMerge/>
            <w:tcBorders>
              <w:left w:val="single" w:sz="4" w:space="0" w:color="000000"/>
              <w:bottom w:val="single" w:sz="4" w:space="0" w:color="000000"/>
              <w:right w:val="single" w:sz="4" w:space="0" w:color="000000"/>
            </w:tcBorders>
            <w:shd w:val="clear" w:color="auto" w:fill="D2D2D2"/>
          </w:tcPr>
          <w:p>
            <w:pPr/>
          </w:p>
        </w:tc>
      </w:tr>
      <w:tr>
        <w:trPr>
          <w:trHeight w:val="716"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89"/>
              <w:jc w:val="left"/>
              <w:rPr>
                <w:rFonts w:ascii="宋体" w:hAnsi="宋体" w:cs="宋体" w:eastAsia="宋体" w:hint="default"/>
                <w:sz w:val="18"/>
                <w:szCs w:val="18"/>
              </w:rPr>
            </w:pPr>
            <w:r>
              <w:rPr>
                <w:rFonts w:ascii="宋体" w:hAnsi="宋体" w:cs="宋体" w:eastAsia="宋体" w:hint="default"/>
                <w:sz w:val="18"/>
                <w:szCs w:val="18"/>
              </w:rPr>
              <w:t>上海达实自动化工程 有限公司</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2,868,938.71</w:t>
            </w:r>
          </w:p>
        </w:tc>
        <w:tc>
          <w:tcPr>
            <w:tcW w:w="1183"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2,868,938.71</w:t>
            </w:r>
          </w:p>
        </w:tc>
        <w:tc>
          <w:tcPr>
            <w:tcW w:w="739"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9"/>
              <w:jc w:val="left"/>
              <w:rPr>
                <w:rFonts w:ascii="宋体" w:hAnsi="宋体" w:cs="宋体" w:eastAsia="宋体" w:hint="default"/>
                <w:sz w:val="18"/>
                <w:szCs w:val="18"/>
              </w:rPr>
            </w:pPr>
            <w:r>
              <w:rPr>
                <w:rFonts w:ascii="宋体" w:hAnsi="宋体" w:cs="宋体" w:eastAsia="宋体" w:hint="default"/>
                <w:sz w:val="18"/>
                <w:szCs w:val="18"/>
              </w:rPr>
              <w:t>深圳达实信息技术有 限公司</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219,485,556.56</w:t>
            </w:r>
          </w:p>
        </w:tc>
        <w:tc>
          <w:tcPr>
            <w:tcW w:w="1183"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50,000,000.00</w:t>
            </w:r>
          </w:p>
        </w:tc>
        <w:tc>
          <w:tcPr>
            <w:tcW w:w="739"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171,416.67</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169,656,973.23</w:t>
            </w:r>
          </w:p>
        </w:tc>
        <w:tc>
          <w:tcPr>
            <w:tcW w:w="94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89"/>
              <w:jc w:val="left"/>
              <w:rPr>
                <w:rFonts w:ascii="宋体" w:hAnsi="宋体" w:cs="宋体" w:eastAsia="宋体" w:hint="default"/>
                <w:sz w:val="18"/>
                <w:szCs w:val="18"/>
              </w:rPr>
            </w:pPr>
            <w:r>
              <w:rPr>
                <w:rFonts w:ascii="宋体" w:hAnsi="宋体" w:cs="宋体" w:eastAsia="宋体" w:hint="default"/>
                <w:sz w:val="18"/>
                <w:szCs w:val="18"/>
              </w:rPr>
              <w:t>深圳达实物联网技术 有限公司</w:t>
            </w:r>
          </w:p>
        </w:tc>
        <w:tc>
          <w:tcPr>
            <w:tcW w:w="1484"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50,000,000.00</w:t>
            </w:r>
          </w:p>
        </w:tc>
        <w:tc>
          <w:tcPr>
            <w:tcW w:w="1090"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380,233.33</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50,380,233.33</w:t>
            </w:r>
          </w:p>
        </w:tc>
        <w:tc>
          <w:tcPr>
            <w:tcW w:w="94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9"/>
              <w:jc w:val="left"/>
              <w:rPr>
                <w:rFonts w:ascii="宋体" w:hAnsi="宋体" w:cs="宋体" w:eastAsia="宋体" w:hint="default"/>
                <w:sz w:val="18"/>
                <w:szCs w:val="18"/>
              </w:rPr>
            </w:pPr>
            <w:r>
              <w:rPr>
                <w:rFonts w:ascii="宋体" w:hAnsi="宋体" w:cs="宋体" w:eastAsia="宋体" w:hint="default"/>
                <w:sz w:val="18"/>
                <w:szCs w:val="18"/>
              </w:rPr>
              <w:t>深圳达实融资租赁有 限公司</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150,000,000.00</w:t>
            </w:r>
          </w:p>
        </w:tc>
        <w:tc>
          <w:tcPr>
            <w:tcW w:w="1183"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150,000,000.00</w:t>
            </w:r>
          </w:p>
        </w:tc>
        <w:tc>
          <w:tcPr>
            <w:tcW w:w="94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89"/>
              <w:jc w:val="left"/>
              <w:rPr>
                <w:rFonts w:ascii="宋体" w:hAnsi="宋体" w:cs="宋体" w:eastAsia="宋体" w:hint="default"/>
                <w:sz w:val="18"/>
                <w:szCs w:val="18"/>
              </w:rPr>
            </w:pPr>
            <w:r>
              <w:rPr>
                <w:rFonts w:ascii="宋体" w:hAnsi="宋体" w:cs="宋体" w:eastAsia="宋体" w:hint="default"/>
                <w:sz w:val="18"/>
                <w:szCs w:val="18"/>
              </w:rPr>
              <w:t>遵义达实绿色智慧发 展有限公司</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1183"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94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89"/>
              <w:jc w:val="left"/>
              <w:rPr>
                <w:rFonts w:ascii="宋体" w:hAnsi="宋体" w:cs="宋体" w:eastAsia="宋体" w:hint="default"/>
                <w:sz w:val="18"/>
                <w:szCs w:val="18"/>
              </w:rPr>
            </w:pPr>
            <w:r>
              <w:rPr>
                <w:rFonts w:ascii="宋体" w:hAnsi="宋体" w:cs="宋体" w:eastAsia="宋体" w:hint="default"/>
                <w:sz w:val="18"/>
                <w:szCs w:val="18"/>
              </w:rPr>
              <w:t>珠海达实科技发展有 限公司</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3,100,000.00</w:t>
            </w:r>
          </w:p>
        </w:tc>
        <w:tc>
          <w:tcPr>
            <w:tcW w:w="1183"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3,100,000.00</w:t>
            </w:r>
          </w:p>
        </w:tc>
        <w:tc>
          <w:tcPr>
            <w:tcW w:w="94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89"/>
              <w:jc w:val="left"/>
              <w:rPr>
                <w:rFonts w:ascii="宋体" w:hAnsi="宋体" w:cs="宋体" w:eastAsia="宋体" w:hint="default"/>
                <w:sz w:val="18"/>
                <w:szCs w:val="18"/>
              </w:rPr>
            </w:pPr>
            <w:r>
              <w:rPr>
                <w:rFonts w:ascii="宋体" w:hAnsi="宋体" w:cs="宋体" w:eastAsia="宋体" w:hint="default"/>
                <w:sz w:val="18"/>
                <w:szCs w:val="18"/>
              </w:rPr>
              <w:t>江苏达实久信医疗科 技有限公司</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971,975,000.00</w:t>
            </w:r>
          </w:p>
        </w:tc>
        <w:tc>
          <w:tcPr>
            <w:tcW w:w="1183"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1,009,800.00</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972,984,800.00</w:t>
            </w:r>
          </w:p>
        </w:tc>
        <w:tc>
          <w:tcPr>
            <w:tcW w:w="94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9"/>
              <w:jc w:val="left"/>
              <w:rPr>
                <w:rFonts w:ascii="宋体" w:hAnsi="宋体" w:cs="宋体" w:eastAsia="宋体" w:hint="default"/>
                <w:sz w:val="18"/>
                <w:szCs w:val="18"/>
              </w:rPr>
            </w:pPr>
            <w:r>
              <w:rPr>
                <w:rFonts w:ascii="宋体" w:hAnsi="宋体" w:cs="宋体" w:eastAsia="宋体" w:hint="default"/>
                <w:sz w:val="18"/>
                <w:szCs w:val="18"/>
              </w:rPr>
              <w:t>淮南达实智慧城市投 资发展有限公司</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21,000,000.00</w:t>
            </w:r>
          </w:p>
        </w:tc>
        <w:tc>
          <w:tcPr>
            <w:tcW w:w="1183"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59,216.67</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21,059,216.67</w:t>
            </w:r>
          </w:p>
        </w:tc>
        <w:tc>
          <w:tcPr>
            <w:tcW w:w="94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89"/>
              <w:jc w:val="left"/>
              <w:rPr>
                <w:rFonts w:ascii="宋体" w:hAnsi="宋体" w:cs="宋体" w:eastAsia="宋体" w:hint="default"/>
                <w:sz w:val="18"/>
                <w:szCs w:val="18"/>
              </w:rPr>
            </w:pPr>
            <w:r>
              <w:rPr>
                <w:rFonts w:ascii="宋体" w:hAnsi="宋体" w:cs="宋体" w:eastAsia="宋体" w:hint="default"/>
                <w:sz w:val="18"/>
                <w:szCs w:val="18"/>
              </w:rPr>
              <w:t>仁怀达实绿色智慧发 展有限公司</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1183"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94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9"/>
              <w:jc w:val="left"/>
              <w:rPr>
                <w:rFonts w:ascii="宋体" w:hAnsi="宋体" w:cs="宋体" w:eastAsia="宋体" w:hint="default"/>
                <w:sz w:val="18"/>
                <w:szCs w:val="18"/>
              </w:rPr>
            </w:pPr>
            <w:r>
              <w:rPr>
                <w:rFonts w:ascii="宋体" w:hAnsi="宋体" w:cs="宋体" w:eastAsia="宋体" w:hint="default"/>
                <w:sz w:val="18"/>
                <w:szCs w:val="18"/>
              </w:rPr>
              <w:t>深圳达实软件有限公 司</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3,000,000.00</w:t>
            </w:r>
          </w:p>
        </w:tc>
        <w:tc>
          <w:tcPr>
            <w:tcW w:w="1183"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48,308.33</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3,048,308.33</w:t>
            </w:r>
          </w:p>
        </w:tc>
        <w:tc>
          <w:tcPr>
            <w:tcW w:w="943"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89"/>
              <w:jc w:val="left"/>
              <w:rPr>
                <w:rFonts w:ascii="宋体" w:hAnsi="宋体" w:cs="宋体" w:eastAsia="宋体" w:hint="default"/>
                <w:sz w:val="18"/>
                <w:szCs w:val="18"/>
              </w:rPr>
            </w:pPr>
            <w:r>
              <w:rPr>
                <w:rFonts w:ascii="宋体" w:hAnsi="宋体" w:cs="宋体" w:eastAsia="宋体" w:hint="default"/>
                <w:sz w:val="18"/>
                <w:szCs w:val="18"/>
              </w:rPr>
              <w:t>雄安达实智慧科技有 限公司</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5,000,000.00</w:t>
            </w:r>
          </w:p>
        </w:tc>
        <w:tc>
          <w:tcPr>
            <w:tcW w:w="1090"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20,258.33</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15,020,258.33</w:t>
            </w:r>
          </w:p>
        </w:tc>
        <w:tc>
          <w:tcPr>
            <w:tcW w:w="94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9"/>
              <w:jc w:val="left"/>
              <w:rPr>
                <w:rFonts w:ascii="宋体" w:hAnsi="宋体" w:cs="宋体" w:eastAsia="宋体" w:hint="default"/>
                <w:sz w:val="18"/>
                <w:szCs w:val="18"/>
              </w:rPr>
            </w:pPr>
            <w:r>
              <w:rPr>
                <w:rFonts w:ascii="宋体" w:hAnsi="宋体" w:cs="宋体" w:eastAsia="宋体" w:hint="default"/>
                <w:sz w:val="18"/>
                <w:szCs w:val="18"/>
              </w:rPr>
              <w:t>江苏洪泽湖达实智慧 医养有限公司</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70,000,000.00</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62,530,000.00</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1,100,000.00</w:t>
            </w:r>
          </w:p>
        </w:tc>
        <w:tc>
          <w:tcPr>
            <w:tcW w:w="739"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131,430,000.00</w:t>
            </w:r>
          </w:p>
        </w:tc>
        <w:tc>
          <w:tcPr>
            <w:tcW w:w="94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89"/>
              <w:jc w:val="left"/>
              <w:rPr>
                <w:rFonts w:ascii="宋体" w:hAnsi="宋体" w:cs="宋体" w:eastAsia="宋体" w:hint="default"/>
                <w:sz w:val="18"/>
                <w:szCs w:val="18"/>
              </w:rPr>
            </w:pPr>
            <w:r>
              <w:rPr>
                <w:rFonts w:ascii="宋体" w:hAnsi="宋体" w:cs="宋体" w:eastAsia="宋体" w:hint="default"/>
                <w:sz w:val="18"/>
                <w:szCs w:val="18"/>
              </w:rPr>
              <w:t>深圳市小鹿暖暖科技 有限公司</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8,377,140.52</w:t>
            </w:r>
          </w:p>
        </w:tc>
        <w:tc>
          <w:tcPr>
            <w:tcW w:w="1183"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8,377,140.52</w:t>
            </w:r>
          </w:p>
        </w:tc>
        <w:tc>
          <w:tcPr>
            <w:tcW w:w="94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9"/>
              <w:jc w:val="left"/>
              <w:rPr>
                <w:rFonts w:ascii="宋体" w:hAnsi="宋体" w:cs="宋体" w:eastAsia="宋体" w:hint="default"/>
                <w:sz w:val="18"/>
                <w:szCs w:val="18"/>
              </w:rPr>
            </w:pPr>
            <w:r>
              <w:rPr>
                <w:rFonts w:ascii="宋体" w:hAnsi="宋体" w:cs="宋体" w:eastAsia="宋体" w:hint="default"/>
                <w:sz w:val="18"/>
                <w:szCs w:val="18"/>
              </w:rPr>
              <w:t>湖南桃江达实智慧医 养有限公司</w:t>
            </w:r>
          </w:p>
        </w:tc>
        <w:tc>
          <w:tcPr>
            <w:tcW w:w="1484"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83,000,000.00</w:t>
            </w:r>
          </w:p>
        </w:tc>
        <w:tc>
          <w:tcPr>
            <w:tcW w:w="1090"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83,000,000.00</w:t>
            </w:r>
          </w:p>
        </w:tc>
        <w:tc>
          <w:tcPr>
            <w:tcW w:w="94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4" w:right="0"/>
              <w:jc w:val="left"/>
              <w:rPr>
                <w:rFonts w:ascii="宋体" w:hAnsi="宋体" w:cs="宋体" w:eastAsia="宋体" w:hint="default"/>
                <w:sz w:val="18"/>
                <w:szCs w:val="18"/>
              </w:rPr>
            </w:pPr>
            <w:r>
              <w:rPr>
                <w:rFonts w:ascii="宋体" w:hAnsi="宋体" w:cs="宋体" w:eastAsia="宋体" w:hint="default"/>
                <w:sz w:val="18"/>
                <w:szCs w:val="18"/>
              </w:rPr>
              <w:t>成都聚雅医信科技有</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15,500,000.00</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2,000,000.00</w:t>
            </w:r>
          </w:p>
        </w:tc>
        <w:tc>
          <w:tcPr>
            <w:tcW w:w="1090"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7,791.67</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17,507,791.67</w:t>
            </w:r>
          </w:p>
        </w:tc>
        <w:tc>
          <w:tcPr>
            <w:tcW w:w="94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745"/>
        <w:gridCol w:w="1484"/>
        <w:gridCol w:w="1183"/>
        <w:gridCol w:w="1090"/>
        <w:gridCol w:w="739"/>
        <w:gridCol w:w="1001"/>
        <w:gridCol w:w="1484"/>
        <w:gridCol w:w="943"/>
      </w:tblGrid>
      <w:tr>
        <w:trPr>
          <w:trHeight w:val="363"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1484"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平行咨询有限公司</w:t>
            </w:r>
          </w:p>
        </w:tc>
        <w:tc>
          <w:tcPr>
            <w:tcW w:w="1484"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88,000,000.00</w:t>
            </w:r>
          </w:p>
        </w:tc>
        <w:tc>
          <w:tcPr>
            <w:tcW w:w="1090"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88,000,000.00</w:t>
            </w:r>
          </w:p>
        </w:tc>
        <w:tc>
          <w:tcPr>
            <w:tcW w:w="94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9"/>
              <w:jc w:val="left"/>
              <w:rPr>
                <w:rFonts w:ascii="宋体" w:hAnsi="宋体" w:cs="宋体" w:eastAsia="宋体" w:hint="default"/>
                <w:sz w:val="18"/>
                <w:szCs w:val="18"/>
              </w:rPr>
            </w:pPr>
            <w:r>
              <w:rPr>
                <w:rFonts w:ascii="宋体" w:hAnsi="宋体" w:cs="宋体" w:eastAsia="宋体" w:hint="default"/>
                <w:sz w:val="18"/>
                <w:szCs w:val="18"/>
              </w:rPr>
              <w:t>深圳达实智慧医疗有 限公司</w:t>
            </w:r>
          </w:p>
        </w:tc>
        <w:tc>
          <w:tcPr>
            <w:tcW w:w="1484"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2,000,000.00</w:t>
            </w:r>
          </w:p>
        </w:tc>
        <w:tc>
          <w:tcPr>
            <w:tcW w:w="1090"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2,000,000.00</w:t>
            </w:r>
          </w:p>
        </w:tc>
        <w:tc>
          <w:tcPr>
            <w:tcW w:w="94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2" w:right="0"/>
              <w:jc w:val="left"/>
              <w:rPr>
                <w:rFonts w:ascii="Times New Roman" w:hAnsi="Times New Roman" w:cs="Times New Roman" w:eastAsia="Times New Roman" w:hint="default"/>
                <w:sz w:val="18"/>
                <w:szCs w:val="18"/>
              </w:rPr>
            </w:pPr>
            <w:r>
              <w:rPr>
                <w:rFonts w:ascii="Times New Roman"/>
                <w:sz w:val="18"/>
              </w:rPr>
              <w:t>1,495,306,635.79</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292,530,000.00</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53,968,938.71</w:t>
            </w:r>
          </w:p>
        </w:tc>
        <w:tc>
          <w:tcPr>
            <w:tcW w:w="739"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1,697,025.00</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1,735,564,722.08</w:t>
            </w:r>
          </w:p>
        </w:tc>
        <w:tc>
          <w:tcPr>
            <w:tcW w:w="94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2）对联营、合营企业投资" w:id="410"/>
      <w:bookmarkEnd w:id="410"/>
      <w:r>
        <w:rPr>
          <w:b w:val="0"/>
          <w:bCs w:val="0"/>
        </w:rPr>
      </w:r>
      <w:r>
        <w:rPr/>
        <w:t>（</w:t>
      </w:r>
      <w:r>
        <w:rPr>
          <w:rFonts w:ascii="Times New Roman" w:hAnsi="Times New Roman" w:cs="Times New Roman" w:eastAsia="Times New Roman" w:hint="default"/>
        </w:rPr>
        <w:t>2</w:t>
      </w:r>
      <w:r>
        <w:rPr/>
        <w:t>）对联营、合营企业投资</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191"/>
        <w:gridCol w:w="1282"/>
        <w:gridCol w:w="430"/>
        <w:gridCol w:w="430"/>
        <w:gridCol w:w="1373"/>
        <w:gridCol w:w="689"/>
        <w:gridCol w:w="559"/>
        <w:gridCol w:w="883"/>
        <w:gridCol w:w="562"/>
        <w:gridCol w:w="301"/>
        <w:gridCol w:w="1279"/>
        <w:gridCol w:w="691"/>
      </w:tblGrid>
      <w:tr>
        <w:trPr>
          <w:trHeight w:val="401" w:hRule="exact"/>
        </w:trPr>
        <w:tc>
          <w:tcPr>
            <w:tcW w:w="11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投资单位</w:t>
            </w:r>
          </w:p>
        </w:tc>
        <w:tc>
          <w:tcPr>
            <w:tcW w:w="128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97" w:lineRule="auto"/>
              <w:ind w:left="424" w:right="65" w:hanging="360"/>
              <w:jc w:val="left"/>
              <w:rPr>
                <w:rFonts w:ascii="Times New Roman" w:hAnsi="Times New Roman" w:cs="Times New Roman" w:eastAsia="Times New Roman"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账面 价值</w:t>
            </w:r>
            <w:r>
              <w:rPr>
                <w:rFonts w:ascii="Times New Roman" w:hAnsi="Times New Roman" w:cs="Times New Roman" w:eastAsia="Times New Roman" w:hint="default"/>
                <w:sz w:val="18"/>
                <w:szCs w:val="18"/>
              </w:rPr>
              <w:t>)</w:t>
            </w:r>
          </w:p>
        </w:tc>
        <w:tc>
          <w:tcPr>
            <w:tcW w:w="5226"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127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97" w:lineRule="auto"/>
              <w:ind w:left="424" w:right="62" w:hanging="360"/>
              <w:jc w:val="left"/>
              <w:rPr>
                <w:rFonts w:ascii="Times New Roman" w:hAnsi="Times New Roman" w:cs="Times New Roman" w:eastAsia="Times New Roman"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账面 价值</w:t>
            </w:r>
            <w:r>
              <w:rPr>
                <w:rFonts w:ascii="Times New Roman" w:hAnsi="Times New Roman" w:cs="Times New Roman" w:eastAsia="Times New Roman" w:hint="default"/>
                <w:sz w:val="18"/>
                <w:szCs w:val="18"/>
              </w:rPr>
              <w:t>)</w:t>
            </w:r>
          </w:p>
        </w:tc>
        <w:tc>
          <w:tcPr>
            <w:tcW w:w="6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71" w:right="67"/>
              <w:jc w:val="both"/>
              <w:rPr>
                <w:rFonts w:ascii="宋体" w:hAnsi="宋体" w:cs="宋体" w:eastAsia="宋体" w:hint="default"/>
                <w:sz w:val="18"/>
                <w:szCs w:val="18"/>
              </w:rPr>
            </w:pPr>
            <w:r>
              <w:rPr>
                <w:rFonts w:ascii="宋体" w:hAnsi="宋体" w:cs="宋体" w:eastAsia="宋体" w:hint="default"/>
                <w:sz w:val="18"/>
                <w:szCs w:val="18"/>
              </w:rPr>
              <w:t>减值准 备期末 余额</w:t>
            </w:r>
          </w:p>
        </w:tc>
      </w:tr>
      <w:tr>
        <w:trPr>
          <w:trHeight w:val="1028" w:hRule="exact"/>
        </w:trPr>
        <w:tc>
          <w:tcPr>
            <w:tcW w:w="1191" w:type="dxa"/>
            <w:vMerge/>
            <w:tcBorders>
              <w:left w:val="single" w:sz="4" w:space="0" w:color="000000"/>
              <w:bottom w:val="single" w:sz="4" w:space="0" w:color="000000"/>
              <w:right w:val="single" w:sz="4" w:space="0" w:color="000000"/>
            </w:tcBorders>
            <w:shd w:val="clear" w:color="auto" w:fill="D2D2D2"/>
          </w:tcPr>
          <w:p>
            <w:pPr/>
          </w:p>
        </w:tc>
        <w:tc>
          <w:tcPr>
            <w:tcW w:w="1282" w:type="dxa"/>
            <w:vMerge/>
            <w:tcBorders>
              <w:left w:val="single" w:sz="4" w:space="0" w:color="000000"/>
              <w:bottom w:val="single" w:sz="4" w:space="0" w:color="000000"/>
              <w:right w:val="single" w:sz="4" w:space="0" w:color="000000"/>
            </w:tcBorders>
            <w:shd w:val="clear" w:color="auto" w:fill="D2D2D2"/>
          </w:tcPr>
          <w:p>
            <w:pPr/>
          </w:p>
        </w:tc>
        <w:tc>
          <w:tcPr>
            <w:tcW w:w="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1" w:right="27"/>
              <w:jc w:val="left"/>
              <w:rPr>
                <w:rFonts w:ascii="宋体" w:hAnsi="宋体" w:cs="宋体" w:eastAsia="宋体" w:hint="default"/>
                <w:sz w:val="18"/>
                <w:szCs w:val="18"/>
              </w:rPr>
            </w:pPr>
            <w:r>
              <w:rPr>
                <w:rFonts w:ascii="宋体" w:hAnsi="宋体" w:cs="宋体" w:eastAsia="宋体" w:hint="default"/>
                <w:sz w:val="18"/>
                <w:szCs w:val="18"/>
              </w:rPr>
              <w:t>追加 投资</w:t>
            </w:r>
          </w:p>
        </w:tc>
        <w:tc>
          <w:tcPr>
            <w:tcW w:w="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1" w:right="26"/>
              <w:jc w:val="left"/>
              <w:rPr>
                <w:rFonts w:ascii="宋体" w:hAnsi="宋体" w:cs="宋体" w:eastAsia="宋体" w:hint="default"/>
                <w:sz w:val="18"/>
                <w:szCs w:val="18"/>
              </w:rPr>
            </w:pPr>
            <w:r>
              <w:rPr>
                <w:rFonts w:ascii="宋体" w:hAnsi="宋体" w:cs="宋体" w:eastAsia="宋体" w:hint="default"/>
                <w:sz w:val="18"/>
                <w:szCs w:val="18"/>
              </w:rPr>
              <w:t>减少 投资</w:t>
            </w:r>
          </w:p>
        </w:tc>
        <w:tc>
          <w:tcPr>
            <w:tcW w:w="1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21" w:right="48" w:hanging="269"/>
              <w:jc w:val="left"/>
              <w:rPr>
                <w:rFonts w:ascii="宋体" w:hAnsi="宋体" w:cs="宋体" w:eastAsia="宋体" w:hint="default"/>
                <w:sz w:val="18"/>
                <w:szCs w:val="18"/>
              </w:rPr>
            </w:pPr>
            <w:r>
              <w:rPr>
                <w:rFonts w:ascii="宋体" w:hAnsi="宋体" w:cs="宋体" w:eastAsia="宋体" w:hint="default"/>
                <w:sz w:val="18"/>
                <w:szCs w:val="18"/>
              </w:rPr>
              <w:t>权益法下确认的 投资损益</w:t>
            </w:r>
          </w:p>
        </w:tc>
        <w:tc>
          <w:tcPr>
            <w:tcW w:w="6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69" w:right="69"/>
              <w:jc w:val="both"/>
              <w:rPr>
                <w:rFonts w:ascii="宋体" w:hAnsi="宋体" w:cs="宋体" w:eastAsia="宋体" w:hint="default"/>
                <w:sz w:val="18"/>
                <w:szCs w:val="18"/>
              </w:rPr>
            </w:pPr>
            <w:r>
              <w:rPr>
                <w:rFonts w:ascii="宋体" w:hAnsi="宋体" w:cs="宋体" w:eastAsia="宋体" w:hint="default"/>
                <w:sz w:val="18"/>
                <w:szCs w:val="18"/>
              </w:rPr>
              <w:t>其他综 合收益 调整</w:t>
            </w:r>
          </w:p>
        </w:tc>
        <w:tc>
          <w:tcPr>
            <w:tcW w:w="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95" w:right="91"/>
              <w:jc w:val="both"/>
              <w:rPr>
                <w:rFonts w:ascii="宋体" w:hAnsi="宋体" w:cs="宋体" w:eastAsia="宋体" w:hint="default"/>
                <w:sz w:val="18"/>
                <w:szCs w:val="18"/>
              </w:rPr>
            </w:pPr>
            <w:r>
              <w:rPr>
                <w:rFonts w:ascii="宋体" w:hAnsi="宋体" w:cs="宋体" w:eastAsia="宋体" w:hint="default"/>
                <w:sz w:val="18"/>
                <w:szCs w:val="18"/>
              </w:rPr>
              <w:t>其他 权益 变动</w:t>
            </w:r>
          </w:p>
        </w:tc>
        <w:tc>
          <w:tcPr>
            <w:tcW w:w="8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79" w:right="72"/>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95" w:right="95"/>
              <w:jc w:val="both"/>
              <w:rPr>
                <w:rFonts w:ascii="宋体" w:hAnsi="宋体" w:cs="宋体" w:eastAsia="宋体" w:hint="default"/>
                <w:sz w:val="18"/>
                <w:szCs w:val="18"/>
              </w:rPr>
            </w:pPr>
            <w:r>
              <w:rPr>
                <w:rFonts w:ascii="宋体" w:hAnsi="宋体" w:cs="宋体" w:eastAsia="宋体" w:hint="default"/>
                <w:sz w:val="18"/>
                <w:szCs w:val="18"/>
              </w:rPr>
              <w:t>计提 减值 准备</w:t>
            </w:r>
          </w:p>
        </w:tc>
        <w:tc>
          <w:tcPr>
            <w:tcW w:w="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55" w:right="53"/>
              <w:jc w:val="left"/>
              <w:rPr>
                <w:rFonts w:ascii="宋体" w:hAnsi="宋体" w:cs="宋体" w:eastAsia="宋体" w:hint="default"/>
                <w:sz w:val="18"/>
                <w:szCs w:val="18"/>
              </w:rPr>
            </w:pPr>
            <w:r>
              <w:rPr>
                <w:rFonts w:ascii="宋体" w:hAnsi="宋体" w:cs="宋体" w:eastAsia="宋体" w:hint="default"/>
                <w:sz w:val="18"/>
                <w:szCs w:val="18"/>
              </w:rPr>
              <w:t>其 他</w:t>
            </w:r>
          </w:p>
        </w:tc>
        <w:tc>
          <w:tcPr>
            <w:tcW w:w="1279" w:type="dxa"/>
            <w:vMerge/>
            <w:tcBorders>
              <w:left w:val="single" w:sz="4" w:space="0" w:color="000000"/>
              <w:bottom w:val="single" w:sz="4" w:space="0" w:color="000000"/>
              <w:right w:val="single" w:sz="4" w:space="0" w:color="000000"/>
            </w:tcBorders>
            <w:shd w:val="clear" w:color="auto" w:fill="D2D2D2"/>
          </w:tcPr>
          <w:p>
            <w:pPr/>
          </w:p>
        </w:tc>
        <w:tc>
          <w:tcPr>
            <w:tcW w:w="691"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9669"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715" w:hRule="exact"/>
        </w:trPr>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5"/>
              <w:jc w:val="left"/>
              <w:rPr>
                <w:rFonts w:ascii="宋体" w:hAnsi="宋体" w:cs="宋体" w:eastAsia="宋体" w:hint="default"/>
                <w:sz w:val="18"/>
                <w:szCs w:val="18"/>
              </w:rPr>
            </w:pPr>
            <w:r>
              <w:rPr>
                <w:rFonts w:ascii="宋体" w:hAnsi="宋体" w:cs="宋体" w:eastAsia="宋体" w:hint="default"/>
                <w:sz w:val="18"/>
                <w:szCs w:val="18"/>
              </w:rPr>
              <w:t>上海沧洱实业 有限公司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9,288,617.20</w:t>
            </w:r>
          </w:p>
        </w:tc>
        <w:tc>
          <w:tcPr>
            <w:tcW w:w="430" w:type="dxa"/>
            <w:tcBorders>
              <w:top w:val="single" w:sz="4" w:space="0" w:color="000000"/>
              <w:left w:val="single" w:sz="4" w:space="0" w:color="000000"/>
              <w:bottom w:val="single" w:sz="4" w:space="0" w:color="000000"/>
              <w:right w:val="single" w:sz="4" w:space="0" w:color="000000"/>
            </w:tcBorders>
          </w:tcPr>
          <w:p>
            <w:pPr/>
          </w:p>
        </w:tc>
        <w:tc>
          <w:tcPr>
            <w:tcW w:w="430"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3,431,940.36</w:t>
            </w:r>
          </w:p>
        </w:tc>
        <w:tc>
          <w:tcPr>
            <w:tcW w:w="689" w:type="dxa"/>
            <w:tcBorders>
              <w:top w:val="single" w:sz="4" w:space="0" w:color="000000"/>
              <w:left w:val="single" w:sz="4" w:space="0" w:color="000000"/>
              <w:bottom w:val="single" w:sz="4" w:space="0" w:color="000000"/>
              <w:right w:val="single" w:sz="4" w:space="0" w:color="000000"/>
            </w:tcBorders>
          </w:tcPr>
          <w:p>
            <w:pPr/>
          </w:p>
        </w:tc>
        <w:tc>
          <w:tcPr>
            <w:tcW w:w="559"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301"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12,720,557.56</w:t>
            </w:r>
          </w:p>
        </w:tc>
        <w:tc>
          <w:tcPr>
            <w:tcW w:w="69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28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9,288,617.20</w:t>
            </w:r>
          </w:p>
        </w:tc>
        <w:tc>
          <w:tcPr>
            <w:tcW w:w="430" w:type="dxa"/>
            <w:tcBorders>
              <w:top w:val="single" w:sz="4" w:space="0" w:color="000000"/>
              <w:left w:val="single" w:sz="4" w:space="0" w:color="000000"/>
              <w:bottom w:val="single" w:sz="4" w:space="0" w:color="000000"/>
              <w:right w:val="single" w:sz="4" w:space="0" w:color="000000"/>
            </w:tcBorders>
          </w:tcPr>
          <w:p>
            <w:pPr/>
          </w:p>
        </w:tc>
        <w:tc>
          <w:tcPr>
            <w:tcW w:w="430"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3,431,940.36</w:t>
            </w:r>
          </w:p>
        </w:tc>
        <w:tc>
          <w:tcPr>
            <w:tcW w:w="689" w:type="dxa"/>
            <w:tcBorders>
              <w:top w:val="single" w:sz="4" w:space="0" w:color="000000"/>
              <w:left w:val="single" w:sz="4" w:space="0" w:color="000000"/>
              <w:bottom w:val="single" w:sz="4" w:space="0" w:color="000000"/>
              <w:right w:val="single" w:sz="4" w:space="0" w:color="000000"/>
            </w:tcBorders>
          </w:tcPr>
          <w:p>
            <w:pPr/>
          </w:p>
        </w:tc>
        <w:tc>
          <w:tcPr>
            <w:tcW w:w="559"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301"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12,720,557.56</w:t>
            </w:r>
          </w:p>
        </w:tc>
        <w:tc>
          <w:tcPr>
            <w:tcW w:w="69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9669"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025" w:hRule="exact"/>
        </w:trPr>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融智节能环保</w:t>
            </w:r>
          </w:p>
          <w:p>
            <w:pPr>
              <w:pStyle w:val="TableParagraph"/>
              <w:spacing w:line="316" w:lineRule="auto" w:before="76"/>
              <w:ind w:left="24" w:right="75"/>
              <w:jc w:val="left"/>
              <w:rPr>
                <w:rFonts w:ascii="宋体" w:hAnsi="宋体" w:cs="宋体" w:eastAsia="宋体" w:hint="default"/>
                <w:sz w:val="18"/>
                <w:szCs w:val="18"/>
              </w:rPr>
            </w:pPr>
            <w:r>
              <w:rPr>
                <w:rFonts w:ascii="宋体" w:hAnsi="宋体" w:cs="宋体" w:eastAsia="宋体" w:hint="default"/>
                <w:sz w:val="18"/>
                <w:szCs w:val="18"/>
              </w:rPr>
              <w:t>（深圳）有限 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8,260,702.69</w:t>
            </w:r>
          </w:p>
        </w:tc>
        <w:tc>
          <w:tcPr>
            <w:tcW w:w="430" w:type="dxa"/>
            <w:tcBorders>
              <w:top w:val="single" w:sz="4" w:space="0" w:color="000000"/>
              <w:left w:val="single" w:sz="4" w:space="0" w:color="000000"/>
              <w:bottom w:val="single" w:sz="4" w:space="0" w:color="000000"/>
              <w:right w:val="single" w:sz="4" w:space="0" w:color="000000"/>
            </w:tcBorders>
          </w:tcPr>
          <w:p>
            <w:pPr/>
          </w:p>
        </w:tc>
        <w:tc>
          <w:tcPr>
            <w:tcW w:w="430"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505,498.27</w:t>
            </w:r>
          </w:p>
        </w:tc>
        <w:tc>
          <w:tcPr>
            <w:tcW w:w="689" w:type="dxa"/>
            <w:tcBorders>
              <w:top w:val="single" w:sz="4" w:space="0" w:color="000000"/>
              <w:left w:val="single" w:sz="4" w:space="0" w:color="000000"/>
              <w:bottom w:val="single" w:sz="4" w:space="0" w:color="000000"/>
              <w:right w:val="single" w:sz="4" w:space="0" w:color="000000"/>
            </w:tcBorders>
          </w:tcPr>
          <w:p>
            <w:pPr/>
          </w:p>
        </w:tc>
        <w:tc>
          <w:tcPr>
            <w:tcW w:w="559"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301"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8,766,200.96</w:t>
            </w:r>
          </w:p>
        </w:tc>
        <w:tc>
          <w:tcPr>
            <w:tcW w:w="691"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5"/>
              <w:jc w:val="both"/>
              <w:rPr>
                <w:rFonts w:ascii="宋体" w:hAnsi="宋体" w:cs="宋体" w:eastAsia="宋体" w:hint="default"/>
                <w:sz w:val="18"/>
                <w:szCs w:val="18"/>
              </w:rPr>
            </w:pPr>
            <w:r>
              <w:rPr>
                <w:rFonts w:ascii="宋体" w:hAnsi="宋体" w:cs="宋体" w:eastAsia="宋体" w:hint="default"/>
                <w:sz w:val="18"/>
                <w:szCs w:val="18"/>
              </w:rPr>
              <w:t>山东茗信股权 投资管理有限 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10,626,247.95</w:t>
            </w:r>
          </w:p>
        </w:tc>
        <w:tc>
          <w:tcPr>
            <w:tcW w:w="430" w:type="dxa"/>
            <w:tcBorders>
              <w:top w:val="single" w:sz="4" w:space="0" w:color="000000"/>
              <w:left w:val="single" w:sz="4" w:space="0" w:color="000000"/>
              <w:bottom w:val="single" w:sz="4" w:space="0" w:color="000000"/>
              <w:right w:val="single" w:sz="4" w:space="0" w:color="000000"/>
            </w:tcBorders>
          </w:tcPr>
          <w:p>
            <w:pPr/>
          </w:p>
        </w:tc>
        <w:tc>
          <w:tcPr>
            <w:tcW w:w="430"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417,562.60</w:t>
            </w:r>
          </w:p>
        </w:tc>
        <w:tc>
          <w:tcPr>
            <w:tcW w:w="689" w:type="dxa"/>
            <w:tcBorders>
              <w:top w:val="single" w:sz="4" w:space="0" w:color="000000"/>
              <w:left w:val="single" w:sz="4" w:space="0" w:color="000000"/>
              <w:bottom w:val="single" w:sz="4" w:space="0" w:color="000000"/>
              <w:right w:val="single" w:sz="4" w:space="0" w:color="000000"/>
            </w:tcBorders>
          </w:tcPr>
          <w:p>
            <w:pPr/>
          </w:p>
        </w:tc>
        <w:tc>
          <w:tcPr>
            <w:tcW w:w="559"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301"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11,043,810.55</w:t>
            </w:r>
          </w:p>
        </w:tc>
        <w:tc>
          <w:tcPr>
            <w:tcW w:w="69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5"/>
              <w:jc w:val="left"/>
              <w:rPr>
                <w:rFonts w:ascii="宋体" w:hAnsi="宋体" w:cs="宋体" w:eastAsia="宋体" w:hint="default"/>
                <w:sz w:val="18"/>
                <w:szCs w:val="18"/>
              </w:rPr>
            </w:pPr>
            <w:r>
              <w:rPr>
                <w:rFonts w:ascii="宋体" w:hAnsi="宋体" w:cs="宋体" w:eastAsia="宋体" w:hint="default"/>
                <w:sz w:val="18"/>
                <w:szCs w:val="18"/>
              </w:rPr>
              <w:t>泰山健康保险 股份有限公司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1,280,000.00</w:t>
            </w:r>
          </w:p>
        </w:tc>
        <w:tc>
          <w:tcPr>
            <w:tcW w:w="430" w:type="dxa"/>
            <w:tcBorders>
              <w:top w:val="single" w:sz="4" w:space="0" w:color="000000"/>
              <w:left w:val="single" w:sz="4" w:space="0" w:color="000000"/>
              <w:bottom w:val="single" w:sz="4" w:space="0" w:color="000000"/>
              <w:right w:val="single" w:sz="4" w:space="0" w:color="000000"/>
            </w:tcBorders>
          </w:tcPr>
          <w:p>
            <w:pPr/>
          </w:p>
        </w:tc>
        <w:tc>
          <w:tcPr>
            <w:tcW w:w="430"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559"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301"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1,280,000.00</w:t>
            </w:r>
          </w:p>
        </w:tc>
        <w:tc>
          <w:tcPr>
            <w:tcW w:w="69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20,166,950.64</w:t>
            </w:r>
          </w:p>
        </w:tc>
        <w:tc>
          <w:tcPr>
            <w:tcW w:w="430" w:type="dxa"/>
            <w:tcBorders>
              <w:top w:val="single" w:sz="4" w:space="0" w:color="000000"/>
              <w:left w:val="single" w:sz="4" w:space="0" w:color="000000"/>
              <w:bottom w:val="single" w:sz="4" w:space="0" w:color="000000"/>
              <w:right w:val="single" w:sz="4" w:space="0" w:color="000000"/>
            </w:tcBorders>
          </w:tcPr>
          <w:p>
            <w:pPr/>
          </w:p>
        </w:tc>
        <w:tc>
          <w:tcPr>
            <w:tcW w:w="430"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923,060.87</w:t>
            </w:r>
          </w:p>
        </w:tc>
        <w:tc>
          <w:tcPr>
            <w:tcW w:w="689" w:type="dxa"/>
            <w:tcBorders>
              <w:top w:val="single" w:sz="4" w:space="0" w:color="000000"/>
              <w:left w:val="single" w:sz="4" w:space="0" w:color="000000"/>
              <w:bottom w:val="single" w:sz="4" w:space="0" w:color="000000"/>
              <w:right w:val="single" w:sz="4" w:space="0" w:color="000000"/>
            </w:tcBorders>
          </w:tcPr>
          <w:p>
            <w:pPr/>
          </w:p>
        </w:tc>
        <w:tc>
          <w:tcPr>
            <w:tcW w:w="559"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301"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21,090,011.51</w:t>
            </w:r>
          </w:p>
        </w:tc>
        <w:tc>
          <w:tcPr>
            <w:tcW w:w="69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29,455,567.84</w:t>
            </w:r>
          </w:p>
        </w:tc>
        <w:tc>
          <w:tcPr>
            <w:tcW w:w="430" w:type="dxa"/>
            <w:tcBorders>
              <w:top w:val="single" w:sz="4" w:space="0" w:color="000000"/>
              <w:left w:val="single" w:sz="4" w:space="0" w:color="000000"/>
              <w:bottom w:val="single" w:sz="4" w:space="0" w:color="000000"/>
              <w:right w:val="single" w:sz="4" w:space="0" w:color="000000"/>
            </w:tcBorders>
          </w:tcPr>
          <w:p>
            <w:pPr/>
          </w:p>
        </w:tc>
        <w:tc>
          <w:tcPr>
            <w:tcW w:w="430" w:type="dxa"/>
            <w:tcBorders>
              <w:top w:val="single" w:sz="4" w:space="0" w:color="000000"/>
              <w:left w:val="single" w:sz="4" w:space="0" w:color="000000"/>
              <w:bottom w:val="single" w:sz="4" w:space="0" w:color="000000"/>
              <w:right w:val="single" w:sz="4" w:space="0" w:color="000000"/>
            </w:tcBorders>
          </w:tcPr>
          <w:p>
            <w:pP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4,355,001.23</w:t>
            </w:r>
          </w:p>
        </w:tc>
        <w:tc>
          <w:tcPr>
            <w:tcW w:w="689" w:type="dxa"/>
            <w:tcBorders>
              <w:top w:val="single" w:sz="4" w:space="0" w:color="000000"/>
              <w:left w:val="single" w:sz="4" w:space="0" w:color="000000"/>
              <w:bottom w:val="single" w:sz="4" w:space="0" w:color="000000"/>
              <w:right w:val="single" w:sz="4" w:space="0" w:color="000000"/>
            </w:tcBorders>
          </w:tcPr>
          <w:p>
            <w:pPr/>
          </w:p>
        </w:tc>
        <w:tc>
          <w:tcPr>
            <w:tcW w:w="559"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301"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33,810,569.07</w:t>
            </w:r>
          </w:p>
        </w:tc>
        <w:tc>
          <w:tcPr>
            <w:tcW w:w="69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40" w:lineRule="auto" w:before="36"/>
        <w:ind w:right="1133"/>
        <w:jc w:val="left"/>
        <w:rPr>
          <w:b w:val="0"/>
          <w:bCs w:val="0"/>
        </w:rPr>
      </w:pPr>
      <w:bookmarkStart w:name="4、营业收入和营业成本" w:id="411"/>
      <w:bookmarkEnd w:id="411"/>
      <w:r>
        <w:rPr>
          <w:b w:val="0"/>
          <w:bCs w:val="0"/>
        </w:rPr>
      </w:r>
      <w:r>
        <w:rPr>
          <w:rFonts w:ascii="Times New Roman" w:hAnsi="Times New Roman" w:cs="Times New Roman" w:eastAsia="Times New Roman" w:hint="default"/>
        </w:rPr>
        <w:t>4</w:t>
      </w:r>
      <w:r>
        <w:rPr/>
        <w:t>、营业收入和营业成本</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984"/>
        <w:gridCol w:w="1835"/>
        <w:gridCol w:w="1913"/>
        <w:gridCol w:w="1913"/>
        <w:gridCol w:w="1916"/>
      </w:tblGrid>
      <w:tr>
        <w:trPr>
          <w:trHeight w:val="204" w:hRule="exact"/>
        </w:trPr>
        <w:tc>
          <w:tcPr>
            <w:tcW w:w="1984" w:type="dxa"/>
            <w:tcBorders>
              <w:top w:val="single" w:sz="4" w:space="0" w:color="000000"/>
              <w:left w:val="single" w:sz="4" w:space="0" w:color="000000"/>
              <w:bottom w:val="nil" w:sz="6" w:space="0" w:color="auto"/>
              <w:right w:val="single" w:sz="4" w:space="0" w:color="000000"/>
            </w:tcBorders>
            <w:shd w:val="clear" w:color="auto" w:fill="D2D2D2"/>
          </w:tcPr>
          <w:p>
            <w:pPr/>
          </w:p>
        </w:tc>
        <w:tc>
          <w:tcPr>
            <w:tcW w:w="374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2" w:hRule="exact"/>
        </w:trPr>
        <w:tc>
          <w:tcPr>
            <w:tcW w:w="198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3"/>
              <w:jc w:val="center"/>
              <w:rPr>
                <w:rFonts w:ascii="宋体" w:hAnsi="宋体" w:cs="宋体" w:eastAsia="宋体" w:hint="default"/>
                <w:sz w:val="18"/>
                <w:szCs w:val="18"/>
              </w:rPr>
            </w:pPr>
            <w:r>
              <w:rPr>
                <w:rFonts w:ascii="宋体" w:hAnsi="宋体" w:cs="宋体" w:eastAsia="宋体" w:hint="default"/>
                <w:sz w:val="18"/>
                <w:szCs w:val="18"/>
              </w:rPr>
              <w:t>项目</w:t>
            </w:r>
          </w:p>
        </w:tc>
        <w:tc>
          <w:tcPr>
            <w:tcW w:w="3749" w:type="dxa"/>
            <w:gridSpan w:val="2"/>
            <w:vMerge/>
            <w:tcBorders>
              <w:left w:val="single" w:sz="4" w:space="0" w:color="000000"/>
              <w:bottom w:val="single" w:sz="4" w:space="0" w:color="000000"/>
              <w:right w:val="single" w:sz="4" w:space="0" w:color="000000"/>
            </w:tcBorders>
            <w:shd w:val="clear" w:color="auto" w:fill="D2D2D2"/>
          </w:tcPr>
          <w:p>
            <w:pPr/>
          </w:p>
        </w:tc>
        <w:tc>
          <w:tcPr>
            <w:tcW w:w="3829"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984" w:type="dxa"/>
            <w:vMerge/>
            <w:tcBorders>
              <w:left w:val="single" w:sz="4" w:space="0" w:color="000000"/>
              <w:bottom w:val="nil" w:sz="6" w:space="0" w:color="auto"/>
              <w:right w:val="single" w:sz="4" w:space="0" w:color="000000"/>
            </w:tcBorders>
            <w:shd w:val="clear" w:color="auto" w:fill="D2D2D2"/>
          </w:tcPr>
          <w:p>
            <w:pPr/>
          </w:p>
        </w:tc>
        <w:tc>
          <w:tcPr>
            <w:tcW w:w="18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6" w:hRule="exact"/>
        </w:trPr>
        <w:tc>
          <w:tcPr>
            <w:tcW w:w="1984" w:type="dxa"/>
            <w:tcBorders>
              <w:top w:val="nil" w:sz="6" w:space="0" w:color="auto"/>
              <w:left w:val="single" w:sz="4" w:space="0" w:color="000000"/>
              <w:bottom w:val="single" w:sz="4" w:space="0" w:color="000000"/>
              <w:right w:val="single" w:sz="4" w:space="0" w:color="000000"/>
            </w:tcBorders>
            <w:shd w:val="clear" w:color="auto" w:fill="D2D2D2"/>
          </w:tcPr>
          <w:p>
            <w:pPr/>
          </w:p>
        </w:tc>
        <w:tc>
          <w:tcPr>
            <w:tcW w:w="1835"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3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1,407,676,120.65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1,034,256,481.24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1,606,442,112.35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1,187,345,833.70</w:t>
            </w:r>
          </w:p>
        </w:tc>
      </w:tr>
      <w:tr>
        <w:trPr>
          <w:trHeight w:val="403" w:hRule="exact"/>
        </w:trPr>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3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3,737,794.66</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2,620,179.24</w:t>
            </w: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1,411,413,915.31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1,034,256,481.24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1,609,062,291.59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1,187,345,833.70</w:t>
            </w:r>
          </w:p>
        </w:tc>
      </w:tr>
    </w:tbl>
    <w:p>
      <w:pPr>
        <w:pStyle w:val="BodyText"/>
        <w:spacing w:line="240" w:lineRule="auto" w:before="49"/>
        <w:ind w:right="1133"/>
        <w:jc w:val="left"/>
      </w:pPr>
      <w:r>
        <w:rPr/>
        <w:t>是否已执行新收入准则</w:t>
      </w:r>
    </w:p>
    <w:p>
      <w:pPr>
        <w:spacing w:after="0" w:line="240" w:lineRule="auto"/>
        <w:jc w:val="left"/>
        <w:sectPr>
          <w:pgSz w:w="11910" w:h="16840"/>
          <w:pgMar w:header="745" w:footer="980"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right="1133"/>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2"/>
        <w:rPr>
          <w:rFonts w:ascii="宋体" w:hAnsi="宋体" w:cs="宋体" w:eastAsia="宋体" w:hint="default"/>
          <w:sz w:val="26"/>
          <w:szCs w:val="26"/>
        </w:rPr>
      </w:pPr>
    </w:p>
    <w:p>
      <w:pPr>
        <w:pStyle w:val="Heading4"/>
        <w:spacing w:line="240" w:lineRule="auto"/>
        <w:ind w:right="1133"/>
        <w:jc w:val="left"/>
        <w:rPr>
          <w:b w:val="0"/>
          <w:bCs w:val="0"/>
        </w:rPr>
      </w:pPr>
      <w:bookmarkStart w:name="5、投资收益" w:id="412"/>
      <w:bookmarkEnd w:id="412"/>
      <w:r>
        <w:rPr>
          <w:b w:val="0"/>
          <w:bCs w:val="0"/>
        </w:rPr>
      </w:r>
      <w:r>
        <w:rPr>
          <w:rFonts w:ascii="Times New Roman" w:hAnsi="Times New Roman" w:cs="Times New Roman" w:eastAsia="Times New Roman" w:hint="default"/>
        </w:rPr>
        <w:t>5</w:t>
      </w:r>
      <w:r>
        <w:rPr/>
        <w:t>、投资收益</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2"/>
        <w:gridCol w:w="3071"/>
        <w:gridCol w:w="3185"/>
      </w:tblGrid>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3071" w:type="dxa"/>
            <w:tcBorders>
              <w:top w:val="single" w:sz="4" w:space="0" w:color="000000"/>
              <w:left w:val="single" w:sz="9" w:space="0" w:color="D2D2D2"/>
              <w:bottom w:val="single" w:sz="4" w:space="0" w:color="000000"/>
              <w:right w:val="single" w:sz="4" w:space="0" w:color="000000"/>
            </w:tcBorders>
          </w:tcPr>
          <w:p>
            <w:pP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50,710,000.00</w:t>
            </w: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4,355,001.23</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701,495.18</w:t>
            </w:r>
          </w:p>
        </w:tc>
      </w:tr>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969,071.73</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-6,277,312.70</w:t>
            </w: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3071" w:type="dxa"/>
            <w:tcBorders>
              <w:top w:val="single" w:sz="4" w:space="0" w:color="000000"/>
              <w:left w:val="single" w:sz="9" w:space="0" w:color="D2D2D2"/>
              <w:bottom w:val="single" w:sz="4" w:space="0" w:color="000000"/>
              <w:right w:val="single" w:sz="4" w:space="0" w:color="000000"/>
            </w:tcBorders>
          </w:tcPr>
          <w:p>
            <w:pP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323,365.63</w:t>
            </w:r>
          </w:p>
        </w:tc>
      </w:tr>
      <w:tr>
        <w:trPr>
          <w:trHeight w:val="71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38"/>
              <w:jc w:val="left"/>
              <w:rPr>
                <w:rFonts w:ascii="宋体" w:hAnsi="宋体" w:cs="宋体" w:eastAsia="宋体" w:hint="default"/>
                <w:sz w:val="18"/>
                <w:szCs w:val="18"/>
              </w:rPr>
            </w:pPr>
            <w:r>
              <w:rPr>
                <w:rFonts w:ascii="宋体" w:hAnsi="宋体" w:cs="宋体" w:eastAsia="宋体" w:hint="default"/>
                <w:sz w:val="18"/>
                <w:szCs w:val="18"/>
              </w:rPr>
              <w:t>丧失控制权后，剩余股权按公允价值重新 计量产生的利得</w:t>
            </w:r>
          </w:p>
        </w:tc>
        <w:tc>
          <w:tcPr>
            <w:tcW w:w="3071" w:type="dxa"/>
            <w:tcBorders>
              <w:top w:val="single" w:sz="4" w:space="0" w:color="000000"/>
              <w:left w:val="single" w:sz="9" w:space="0" w:color="D2D2D2"/>
              <w:bottom w:val="single" w:sz="4" w:space="0" w:color="000000"/>
              <w:right w:val="single" w:sz="4" w:space="0" w:color="000000"/>
            </w:tcBorders>
          </w:tcPr>
          <w:p>
            <w:pP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-3,138,656.35</w:t>
            </w: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5,324,072.96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42,318,891.76</w:t>
            </w:r>
          </w:p>
        </w:tc>
      </w:tr>
    </w:tbl>
    <w:p>
      <w:pPr>
        <w:spacing w:line="240" w:lineRule="auto" w:before="1"/>
        <w:rPr>
          <w:rFonts w:ascii="宋体" w:hAnsi="宋体" w:cs="宋体" w:eastAsia="宋体" w:hint="default"/>
          <w:sz w:val="18"/>
          <w:szCs w:val="18"/>
        </w:rPr>
      </w:pPr>
    </w:p>
    <w:p>
      <w:pPr>
        <w:pStyle w:val="Heading2"/>
        <w:spacing w:line="240" w:lineRule="auto" w:before="26"/>
        <w:ind w:right="1133"/>
        <w:jc w:val="left"/>
        <w:rPr>
          <w:b w:val="0"/>
          <w:bCs w:val="0"/>
        </w:rPr>
      </w:pPr>
      <w:bookmarkStart w:name="十五、补充资料" w:id="413"/>
      <w:bookmarkEnd w:id="413"/>
      <w:r>
        <w:rPr>
          <w:b w:val="0"/>
          <w:bCs w:val="0"/>
        </w:rPr>
      </w:r>
      <w:r>
        <w:rPr/>
        <w:t>十五、补充资料</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1133"/>
        <w:jc w:val="left"/>
        <w:rPr>
          <w:b w:val="0"/>
          <w:bCs w:val="0"/>
        </w:rPr>
      </w:pPr>
      <w:bookmarkStart w:name="1、当期非经常性损益明细表" w:id="414"/>
      <w:bookmarkEnd w:id="414"/>
      <w:r>
        <w:rPr>
          <w:b w:val="0"/>
          <w:bCs w:val="0"/>
        </w:rPr>
      </w:r>
      <w:r>
        <w:rPr>
          <w:rFonts w:ascii="Times New Roman" w:hAnsi="Times New Roman" w:cs="Times New Roman" w:eastAsia="Times New Roman" w:hint="default"/>
        </w:rPr>
        <w:t>1</w:t>
      </w:r>
      <w:r>
        <w:rPr/>
        <w:t>、当期非经常性损益明细表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2"/>
        <w:gridCol w:w="3071"/>
        <w:gridCol w:w="3185"/>
      </w:tblGrid>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-137,547.61</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固定资产及长期股权投资处置损益</w:t>
            </w:r>
          </w:p>
        </w:tc>
      </w:tr>
      <w:tr>
        <w:trPr>
          <w:trHeight w:val="1027"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38"/>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22,432,731.99</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参见</w:t>
            </w:r>
            <w:r>
              <w:rPr>
                <w:rFonts w:ascii="Times New Roman" w:hAnsi="Times New Roman" w:cs="Times New Roman" w:eastAsia="Times New Roman" w:hint="default"/>
                <w:sz w:val="18"/>
                <w:szCs w:val="18"/>
              </w:rPr>
              <w:t>“</w:t>
            </w:r>
            <w:r>
              <w:rPr>
                <w:rFonts w:ascii="宋体" w:hAnsi="宋体" w:cs="宋体" w:eastAsia="宋体" w:hint="default"/>
                <w:sz w:val="18"/>
                <w:szCs w:val="18"/>
              </w:rPr>
              <w:t>附注七、</w:t>
            </w:r>
            <w:r>
              <w:rPr>
                <w:rFonts w:ascii="Times New Roman" w:hAnsi="Times New Roman" w:cs="Times New Roman" w:eastAsia="Times New Roman" w:hint="default"/>
                <w:sz w:val="18"/>
                <w:szCs w:val="18"/>
              </w:rPr>
              <w:t>45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其他收益</w:t>
            </w:r>
            <w:r>
              <w:rPr>
                <w:rFonts w:ascii="Times New Roman" w:hAnsi="Times New Roman" w:cs="Times New Roman" w:eastAsia="Times New Roman" w:hint="default"/>
                <w:sz w:val="18"/>
                <w:szCs w:val="18"/>
              </w:rPr>
              <w:t>”</w:t>
            </w:r>
          </w:p>
        </w:tc>
      </w:tr>
      <w:tr>
        <w:trPr>
          <w:trHeight w:val="71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38"/>
              <w:jc w:val="left"/>
              <w:rPr>
                <w:rFonts w:ascii="宋体" w:hAnsi="宋体" w:cs="宋体" w:eastAsia="宋体" w:hint="default"/>
                <w:sz w:val="18"/>
                <w:szCs w:val="18"/>
              </w:rPr>
            </w:pPr>
            <w:r>
              <w:rPr>
                <w:rFonts w:ascii="宋体" w:hAnsi="宋体" w:cs="宋体" w:eastAsia="宋体" w:hint="default"/>
                <w:sz w:val="18"/>
                <w:szCs w:val="18"/>
              </w:rPr>
              <w:t>单独进行减值测试的应收款项、合同资产 减值准备转回</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2,904,618.30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5,635,899.58</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4,393,950.21</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-1,902.41</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71" w:type="dxa"/>
            <w:tcBorders>
              <w:top w:val="single" w:sz="4" w:space="0" w:color="000000"/>
              <w:left w:val="single" w:sz="9" w:space="0" w:color="D2D2D2"/>
              <w:bottom w:val="single" w:sz="4" w:space="0" w:color="000000"/>
              <w:right w:val="single" w:sz="10" w:space="0" w:color="D2D2D2"/>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26,443,654.46</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0"/>
        <w:jc w:val="left"/>
      </w:pPr>
      <w:r>
        <w:rPr>
          <w:spacing w:val="-3"/>
        </w:rPr>
        <w:t>对公司根据《公开发行证券的公司信息披露解释性公告第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5"/>
        </w:rPr>
        <w:t> </w:t>
      </w:r>
      <w:r>
        <w:rPr>
          <w:spacing w:val="-7"/>
        </w:rPr>
        <w:t>号</w:t>
      </w:r>
      <w:r>
        <w:rPr>
          <w:rFonts w:ascii="Times New Roman" w:hAnsi="Times New Roman" w:cs="Times New Roman" w:eastAsia="Times New Roman" w:hint="default"/>
          <w:spacing w:val="-7"/>
        </w:rPr>
        <w:t>——</w:t>
      </w:r>
      <w:r>
        <w:rPr>
          <w:spacing w:val="-7"/>
        </w:rPr>
        <w:t>非经常性损益》定义界定的非经常性损益项目，以及把《公</w:t>
      </w:r>
    </w:p>
    <w:p>
      <w:pPr>
        <w:pStyle w:val="BodyText"/>
        <w:spacing w:line="300" w:lineRule="auto" w:before="63"/>
        <w:ind w:right="1119"/>
        <w:jc w:val="left"/>
      </w:pPr>
      <w:r>
        <w:rPr/>
        <w:t>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5"/>
        </w:rPr>
        <w:t> </w:t>
      </w:r>
      <w:r>
        <w:rPr>
          <w:spacing w:val="-3"/>
        </w:rPr>
        <w:t>号</w:t>
      </w:r>
      <w:r>
        <w:rPr>
          <w:rFonts w:ascii="Times New Roman" w:hAnsi="Times New Roman" w:cs="Times New Roman" w:eastAsia="Times New Roman" w:hint="default"/>
          <w:spacing w:val="-3"/>
        </w:rPr>
        <w:t>——</w:t>
      </w:r>
      <w:r>
        <w:rPr>
          <w:spacing w:val="-3"/>
        </w:rPr>
        <w:t>非经常性损益》中列举的非经常性损益项目界定为经常性损益的项目，应</w:t>
      </w:r>
      <w:r>
        <w:rPr/>
        <w:t> 说明原因。</w:t>
      </w:r>
    </w:p>
    <w:p>
      <w:pPr>
        <w:pStyle w:val="BodyText"/>
        <w:spacing w:line="240" w:lineRule="auto" w:before="72"/>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4"/>
        <w:spacing w:line="240" w:lineRule="auto"/>
        <w:ind w:right="1133"/>
        <w:jc w:val="left"/>
        <w:rPr>
          <w:b w:val="0"/>
          <w:bCs w:val="0"/>
        </w:rPr>
      </w:pPr>
      <w:bookmarkStart w:name="2、净资产收益率及每股收益" w:id="415"/>
      <w:bookmarkEnd w:id="415"/>
      <w:r>
        <w:rPr>
          <w:b w:val="0"/>
          <w:bCs w:val="0"/>
        </w:rPr>
      </w:r>
      <w:r>
        <w:rPr>
          <w:rFonts w:ascii="Times New Roman" w:hAnsi="Times New Roman" w:cs="Times New Roman" w:eastAsia="Times New Roman" w:hint="default"/>
        </w:rPr>
        <w:t>2</w:t>
      </w:r>
      <w:r>
        <w:rPr/>
        <w:t>、净资产收益率及每股收益</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661"/>
        <w:gridCol w:w="3082"/>
        <w:gridCol w:w="3814"/>
      </w:tblGrid>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75"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30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36"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8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 w:right="0"/>
              <w:jc w:val="center"/>
              <w:rPr>
                <w:rFonts w:ascii="宋体" w:hAnsi="宋体" w:cs="宋体" w:eastAsia="宋体" w:hint="default"/>
                <w:sz w:val="18"/>
                <w:szCs w:val="18"/>
              </w:rPr>
            </w:pPr>
            <w:r>
              <w:rPr>
                <w:rFonts w:ascii="宋体" w:hAnsi="宋体" w:cs="宋体" w:eastAsia="宋体" w:hint="default"/>
                <w:sz w:val="18"/>
                <w:szCs w:val="18"/>
              </w:rPr>
              <w:t>每股收益</w:t>
            </w:r>
          </w:p>
        </w:tc>
      </w:tr>
    </w:tbl>
    <w:p>
      <w:pPr>
        <w:spacing w:after="0" w:line="240" w:lineRule="auto"/>
        <w:jc w:val="center"/>
        <w:rPr>
          <w:rFonts w:ascii="宋体" w:hAnsi="宋体" w:cs="宋体" w:eastAsia="宋体" w:hint="default"/>
          <w:sz w:val="18"/>
          <w:szCs w:val="18"/>
        </w:rPr>
        <w:sectPr>
          <w:pgSz w:w="11910" w:h="16840"/>
          <w:pgMar w:header="745" w:footer="980"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60" w:type="dxa"/>
        <w:tblLayout w:type="fixed"/>
        <w:tblCellMar>
          <w:top w:w="0" w:type="dxa"/>
          <w:left w:w="0" w:type="dxa"/>
          <w:bottom w:w="0" w:type="dxa"/>
          <w:right w:w="0" w:type="dxa"/>
        </w:tblCellMar>
        <w:tblLook w:val="01E0"/>
      </w:tblPr>
      <w:tblGrid>
        <w:gridCol w:w="2639"/>
        <w:gridCol w:w="3093"/>
        <w:gridCol w:w="1913"/>
        <w:gridCol w:w="1913"/>
      </w:tblGrid>
      <w:tr>
        <w:trPr>
          <w:trHeight w:val="401" w:hRule="exact"/>
        </w:trPr>
        <w:tc>
          <w:tcPr>
            <w:tcW w:w="263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09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4"/>
              <w:jc w:val="righ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4"/>
              <w:jc w:val="righ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r>
      <w:tr>
        <w:trPr>
          <w:trHeight w:val="403" w:hRule="exact"/>
        </w:trPr>
        <w:tc>
          <w:tcPr>
            <w:tcW w:w="26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309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-11.27%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-0.1803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-0.1792</w:t>
            </w:r>
          </w:p>
        </w:tc>
      </w:tr>
      <w:tr>
        <w:trPr>
          <w:trHeight w:val="715" w:hRule="exact"/>
        </w:trPr>
        <w:tc>
          <w:tcPr>
            <w:tcW w:w="26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5"/>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 普通股股东的净利润</w:t>
            </w:r>
          </w:p>
        </w:tc>
        <w:tc>
          <w:tcPr>
            <w:tcW w:w="309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-12.14%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-0.1942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-0.1931</w:t>
            </w:r>
          </w:p>
        </w:tc>
      </w:tr>
    </w:tbl>
    <w:p>
      <w:pPr>
        <w:spacing w:line="240" w:lineRule="auto" w:before="3"/>
        <w:rPr>
          <w:rFonts w:ascii="宋体" w:hAnsi="宋体" w:cs="宋体" w:eastAsia="宋体" w:hint="default"/>
          <w:b/>
          <w:bCs/>
          <w:sz w:val="19"/>
          <w:szCs w:val="19"/>
        </w:rPr>
      </w:pPr>
    </w:p>
    <w:p>
      <w:pPr>
        <w:pStyle w:val="Heading4"/>
        <w:spacing w:line="240" w:lineRule="auto" w:before="36"/>
        <w:ind w:right="1133"/>
        <w:jc w:val="left"/>
        <w:rPr>
          <w:b w:val="0"/>
          <w:bCs w:val="0"/>
        </w:rPr>
      </w:pPr>
      <w:bookmarkStart w:name="3、境内外会计准则下会计数据差异" w:id="416"/>
      <w:bookmarkEnd w:id="416"/>
      <w:r>
        <w:rPr>
          <w:b w:val="0"/>
          <w:bCs w:val="0"/>
        </w:rPr>
      </w:r>
      <w:r>
        <w:rPr>
          <w:rFonts w:ascii="Times New Roman" w:hAnsi="Times New Roman" w:cs="Times New Roman" w:eastAsia="Times New Roman" w:hint="default"/>
        </w:rPr>
        <w:t>3</w:t>
      </w:r>
      <w:r>
        <w:rPr/>
        <w:t>、境内外会计准则下会计数据差异</w:t>
      </w:r>
      <w:r>
        <w:rPr>
          <w:b w:val="0"/>
          <w:bCs w:val="0"/>
        </w:rPr>
      </w:r>
    </w:p>
    <w:p>
      <w:pPr>
        <w:spacing w:line="240" w:lineRule="auto" w:before="7"/>
        <w:rPr>
          <w:rFonts w:ascii="宋体" w:hAnsi="宋体" w:cs="宋体" w:eastAsia="宋体" w:hint="default"/>
          <w:b/>
          <w:bCs/>
          <w:sz w:val="24"/>
          <w:szCs w:val="24"/>
        </w:rPr>
      </w:pPr>
    </w:p>
    <w:p>
      <w:pPr>
        <w:pStyle w:val="Heading4"/>
        <w:spacing w:line="240" w:lineRule="auto"/>
        <w:ind w:right="1133"/>
        <w:jc w:val="left"/>
        <w:rPr>
          <w:b w:val="0"/>
          <w:bCs w:val="0"/>
        </w:rPr>
      </w:pPr>
      <w:bookmarkStart w:name="（1）同时按照国际会计准则与按中国会计准则披露的财务报告中净利润和净资产差异情况" w:id="417"/>
      <w:bookmarkEnd w:id="417"/>
      <w:r>
        <w:rPr>
          <w:b w:val="0"/>
          <w:bCs w:val="0"/>
        </w:rPr>
      </w:r>
      <w:r>
        <w:rPr/>
        <w:t>（</w:t>
      </w:r>
      <w:r>
        <w:rPr>
          <w:rFonts w:ascii="Times New Roman" w:hAnsi="Times New Roman" w:cs="Times New Roman" w:eastAsia="Times New Roman" w:hint="default"/>
        </w:rPr>
        <w:t>1</w:t>
      </w:r>
      <w:r>
        <w:rPr/>
        <w:t>）同时按照国际会计准则与按中国会计准则披露的财务报告中净利润和净资产差异情况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4"/>
        <w:spacing w:line="240" w:lineRule="auto"/>
        <w:ind w:right="1133"/>
        <w:jc w:val="left"/>
        <w:rPr>
          <w:b w:val="0"/>
          <w:bCs w:val="0"/>
        </w:rPr>
      </w:pPr>
      <w:bookmarkStart w:name="（2）同时按照境外会计准则与按中国会计准则披露的财务报告中净利润和净资产差异情况" w:id="418"/>
      <w:bookmarkEnd w:id="418"/>
      <w:r>
        <w:rPr>
          <w:b w:val="0"/>
          <w:bCs w:val="0"/>
        </w:rPr>
      </w:r>
      <w:r>
        <w:rPr/>
        <w:t>（</w:t>
      </w:r>
      <w:r>
        <w:rPr>
          <w:rFonts w:ascii="Times New Roman" w:hAnsi="Times New Roman" w:cs="Times New Roman" w:eastAsia="Times New Roman" w:hint="default"/>
        </w:rPr>
        <w:t>2</w:t>
      </w:r>
      <w:r>
        <w:rPr/>
        <w:t>）同时按照境外会计准则与按中国会计准则披露的财务报告中净利润和净资产差异情况</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11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4"/>
        <w:spacing w:line="259" w:lineRule="auto"/>
        <w:ind w:right="1133"/>
        <w:jc w:val="left"/>
        <w:rPr>
          <w:b w:val="0"/>
          <w:bCs w:val="0"/>
        </w:rPr>
      </w:pPr>
      <w:bookmarkStart w:name="（3）境内外会计准则下会计数据差异原因说明，对已经境外审计机构审计的数据进行差异" w:id="419"/>
      <w:bookmarkEnd w:id="419"/>
      <w:r>
        <w:rPr>
          <w:b w:val="0"/>
          <w:bCs w:val="0"/>
        </w:rPr>
      </w:r>
      <w:r>
        <w:rPr/>
        <w:t>（</w:t>
      </w:r>
      <w:r>
        <w:rPr>
          <w:rFonts w:ascii="Times New Roman" w:hAnsi="Times New Roman" w:cs="Times New Roman" w:eastAsia="Times New Roman" w:hint="default"/>
        </w:rPr>
        <w:t>3</w:t>
      </w:r>
      <w:r>
        <w:rPr/>
        <w:t>）境内外会计准则下会计数据差异原因说明，对已经境外审计机构审计的数据进行差异调节的，应注</w:t>
      </w:r>
      <w:r>
        <w:rPr>
          <w:spacing w:val="-64"/>
        </w:rPr>
        <w:t> </w:t>
      </w:r>
      <w:r>
        <w:rPr>
          <w:spacing w:val="-64"/>
        </w:rPr>
      </w:r>
      <w:r>
        <w:rPr/>
        <w:t>明该境外机构的名称</w:t>
      </w:r>
      <w:r>
        <w:rPr>
          <w:b w:val="0"/>
          <w:bCs w:val="0"/>
        </w:rPr>
      </w:r>
    </w:p>
    <w:p>
      <w:pPr>
        <w:spacing w:after="0" w:line="259" w:lineRule="auto"/>
        <w:jc w:val="left"/>
        <w:sectPr>
          <w:pgSz w:w="11910" w:h="16840"/>
          <w:pgMar w:header="745" w:footer="980" w:top="1060" w:bottom="1160" w:left="980" w:right="0"/>
        </w:sect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pStyle w:val="Heading1"/>
        <w:spacing w:line="240" w:lineRule="auto"/>
        <w:ind w:left="3285" w:right="1133"/>
        <w:jc w:val="left"/>
        <w:rPr>
          <w:b w:val="0"/>
          <w:bCs w:val="0"/>
        </w:rPr>
      </w:pPr>
      <w:bookmarkStart w:name="_TOC_250000" w:id="420"/>
      <w:bookmarkStart w:name="第十三节 备查文件目录" w:id="421"/>
      <w:r>
        <w:rPr>
          <w:b w:val="0"/>
          <w:bCs w:val="0"/>
        </w:rPr>
      </w:r>
      <w:r>
        <w:rPr/>
        <w:t>第十三节</w:t>
      </w:r>
      <w:r>
        <w:rPr>
          <w:spacing w:val="-6"/>
        </w:rPr>
        <w:t> </w:t>
      </w:r>
      <w:r>
        <w:rPr/>
        <w:t>备查文件目录</w:t>
      </w:r>
      <w:bookmarkEnd w:id="420"/>
      <w:r>
        <w:rPr>
          <w:b w:val="0"/>
          <w:bCs w:val="0"/>
        </w:rPr>
      </w:r>
    </w:p>
    <w:p>
      <w:pPr>
        <w:spacing w:line="240" w:lineRule="auto" w:before="0"/>
        <w:rPr>
          <w:rFonts w:ascii="宋体" w:hAnsi="宋体" w:cs="宋体" w:eastAsia="宋体" w:hint="default"/>
          <w:b/>
          <w:bCs/>
          <w:sz w:val="32"/>
          <w:szCs w:val="32"/>
        </w:rPr>
      </w:pPr>
    </w:p>
    <w:p>
      <w:pPr>
        <w:pStyle w:val="BodyText"/>
        <w:spacing w:line="458" w:lineRule="auto" w:before="216"/>
        <w:ind w:left="441" w:right="1129"/>
        <w:jc w:val="left"/>
      </w:pPr>
      <w:r>
        <w:rPr/>
        <w:t>一、载有董事长刘磅先生签名的</w:t>
      </w:r>
      <w:r>
        <w:rPr>
          <w:rFonts w:ascii="Times New Roman" w:hAnsi="Times New Roman" w:cs="Times New Roman" w:eastAsia="Times New Roman" w:hint="default"/>
        </w:rPr>
        <w:t>2019</w:t>
      </w:r>
      <w:r>
        <w:rPr/>
        <w:t>年年度报告全文及摘要。 二、载有公司法定代表人、主管会计工作负责人及会计机构负责人签名并盖章的财务报表。 三、载有会计师事务所、注册会计师签名并盖章的公司</w:t>
      </w:r>
      <w:r>
        <w:rPr>
          <w:rFonts w:ascii="Times New Roman" w:hAnsi="Times New Roman" w:cs="Times New Roman" w:eastAsia="Times New Roman" w:hint="default"/>
        </w:rPr>
        <w:t>2019</w:t>
      </w:r>
      <w:r>
        <w:rPr/>
        <w:t>年年度审计报告。 </w:t>
      </w:r>
      <w:r>
        <w:rPr>
          <w:spacing w:val="-1"/>
        </w:rPr>
        <w:t>四、报告期内在《中国证券报》、《证券时报》、及指定信息披露网站巨潮资讯网（</w:t>
      </w:r>
      <w:hyperlink r:id="rId11">
        <w:r>
          <w:rPr>
            <w:rFonts w:ascii="Times New Roman" w:hAnsi="Times New Roman" w:cs="Times New Roman" w:eastAsia="Times New Roman" w:hint="default"/>
            <w:spacing w:val="-1"/>
          </w:rPr>
          <w:t>www.cninfo.com.cn</w:t>
        </w:r>
      </w:hyperlink>
      <w:r>
        <w:rPr>
          <w:spacing w:val="-1"/>
        </w:rPr>
        <w:t>）上披露的所有</w:t>
      </w:r>
    </w:p>
    <w:p>
      <w:pPr>
        <w:pStyle w:val="BodyText"/>
        <w:spacing w:line="240" w:lineRule="auto" w:before="37"/>
        <w:ind w:right="1133"/>
        <w:jc w:val="left"/>
      </w:pPr>
      <w:r>
        <w:rPr/>
        <w:t>公司文件的正本及公告的原稿。</w:t>
      </w:r>
    </w:p>
    <w:sectPr>
      <w:pgSz w:w="11910" w:h="16840"/>
      <w:pgMar w:header="745" w:footer="980" w:top="1060" w:bottom="1160" w:left="9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95136" type="#_x0000_t75" stroked="false">
          <v:imagedata r:id="rId1" o:title=""/>
        </v:shape>
      </w:pict>
    </w:r>
    <w:r>
      <w:rPr/>
      <w:pict>
        <v:shape style="position:absolute;margin-left:533.099976pt;margin-top:795.637939pt;width:6.5pt;height:11pt;mso-position-horizontal-relative:page;mso-position-vertical-relative:page;z-index:-1095112"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1</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95088" type="#_x0000_t75" stroked="false">
          <v:imagedata r:id="rId1" o:title=""/>
        </v:shape>
      </w:pict>
    </w:r>
    <w:r>
      <w:rPr/>
      <w:pict>
        <v:shape style="position:absolute;margin-left:527.659973pt;margin-top:781.933899pt;width:13.15pt;height:11pt;mso-position-horizontal-relative:page;mso-position-vertical-relative:page;z-index:-1095064"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w:t>
                </w:r>
                <w:r>
                  <w:rPr/>
                  <w:fldChar w:fldCharType="end"/>
                </w:r>
                <w:r>
                  <w:rPr>
                    <w:rFonts w:ascii="Times New Roman"/>
                    <w:spacing w:val="1"/>
                  </w:rPr>
                </w:r>
                <w:r>
                  <w:rPr>
                    <w:rFonts w:ascii="Times New Roman"/>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95040" type="#_x0000_t75" stroked="false">
          <v:imagedata r:id="rId1" o:title=""/>
        </v:shape>
      </w:pict>
    </w:r>
    <w:r>
      <w:rPr/>
      <w:pict>
        <v:shape style="position:absolute;margin-left:524.099976pt;margin-top:781.933899pt;width:15.7pt;height:11pt;mso-position-horizontal-relative:page;mso-position-vertical-relative:page;z-index:-1095016"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100</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94992" type="#_x0000_t75" stroked="false">
          <v:imagedata r:id="rId1" o:title=""/>
        </v:shape>
      </w:pict>
    </w:r>
    <w:r>
      <w:rPr/>
      <w:pict>
        <v:shape style="position:absolute;margin-left:523.099976pt;margin-top:781.933899pt;width:17.7pt;height:11pt;mso-position-horizontal-relative:page;mso-position-vertical-relative:page;z-index:-1094968"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101</w:t>
                </w:r>
                <w:r>
                  <w:rPr/>
                  <w:fldChar w:fldCharType="end"/>
                </w:r>
                <w:r>
                  <w:rPr>
                    <w:rFonts w:ascii="Times New Roman"/>
                    <w:spacing w:val="1"/>
                  </w:rPr>
                </w:r>
                <w:r>
                  <w:rPr>
                    <w:rFonts w:ascii="Times New Roman"/>
                  </w:rPr>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94944" type="#_x0000_t75" stroked="false">
          <v:imagedata r:id="rId1" o:title=""/>
        </v:shape>
      </w:pict>
    </w:r>
    <w:r>
      <w:rPr/>
      <w:pict>
        <v:shape style="position:absolute;margin-left:523.460022pt;margin-top:781.933899pt;width:17.3pt;height:11pt;mso-position-horizontal-relative:page;mso-position-vertical-relative:page;z-index:-109492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110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94896" type="#_x0000_t75" stroked="false">
          <v:imagedata r:id="rId1" o:title=""/>
        </v:shape>
      </w:pict>
    </w:r>
    <w:r>
      <w:rPr/>
      <w:pict>
        <v:shape style="position:absolute;margin-left:523.460022pt;margin-top:781.933899pt;width:17.3pt;height:11pt;mso-position-horizontal-relative:page;mso-position-vertical-relative:page;z-index:-1094872"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112</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94848" type="#_x0000_t75" stroked="false">
          <v:imagedata r:id="rId1" o:title=""/>
        </v:shape>
      </w:pict>
    </w:r>
    <w:r>
      <w:rPr/>
      <w:pict>
        <v:shape style="position:absolute;margin-left:523.099976pt;margin-top:781.933899pt;width:17.7pt;height:11pt;mso-position-horizontal-relative:page;mso-position-vertical-relative:page;z-index:-1094824"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120</w:t>
                </w:r>
                <w:r>
                  <w:rPr/>
                  <w:fldChar w:fldCharType="end"/>
                </w:r>
                <w:r>
                  <w:rPr>
                    <w:rFonts w:ascii="Times New Roman"/>
                    <w:spacing w:val="1"/>
                  </w:rPr>
                </w:r>
                <w:r>
                  <w:rPr>
                    <w:rFonts w:ascii="Times New Roman"/>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44.070007pt;margin-top:36.265610pt;width:195.75pt;height:11.5pt;mso-position-horizontal-relative:page;mso-position-vertical-relative:page;z-index:-1095160" type="#_x0000_t202" filled="false" stroked="false">
          <v:textbox inset="0,0,0,0">
            <w:txbxContent>
              <w:p>
                <w:pPr>
                  <w:pStyle w:val="BodyText"/>
                  <w:spacing w:line="214" w:lineRule="exact"/>
                  <w:ind w:left="20" w:right="0"/>
                  <w:jc w:val="left"/>
                </w:pPr>
                <w:r>
                  <w:rPr/>
                  <w:t>深圳达实智能股份有限公司</w:t>
                </w:r>
                <w:r>
                  <w:rPr>
                    <w:spacing w:val="-44"/>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315"/>
      <w:ind w:left="152"/>
    </w:pPr>
    <w:rPr>
      <w:rFonts w:ascii="宋体" w:hAnsi="宋体" w:eastAsia="宋体"/>
      <w:b/>
      <w:bCs/>
      <w:sz w:val="24"/>
      <w:szCs w:val="24"/>
    </w:rPr>
  </w:style>
  <w:style w:styleId="BodyText" w:type="paragraph">
    <w:name w:val="Body Text"/>
    <w:basedOn w:val="Normal"/>
    <w:uiPriority w:val="1"/>
    <w:qFormat/>
    <w:pPr>
      <w:ind w:left="152"/>
    </w:pPr>
    <w:rPr>
      <w:rFonts w:ascii="宋体" w:hAnsi="宋体" w:eastAsia="宋体"/>
      <w:sz w:val="18"/>
      <w:szCs w:val="18"/>
    </w:rPr>
  </w:style>
  <w:style w:styleId="Heading1" w:type="paragraph">
    <w:name w:val="Heading 1"/>
    <w:basedOn w:val="Normal"/>
    <w:uiPriority w:val="1"/>
    <w:qFormat/>
    <w:pPr>
      <w:ind w:left="778"/>
      <w:outlineLvl w:val="1"/>
    </w:pPr>
    <w:rPr>
      <w:rFonts w:ascii="宋体" w:hAnsi="宋体" w:eastAsia="宋体"/>
      <w:b/>
      <w:bCs/>
      <w:sz w:val="32"/>
      <w:szCs w:val="32"/>
    </w:rPr>
  </w:style>
  <w:style w:styleId="Heading2" w:type="paragraph">
    <w:name w:val="Heading 2"/>
    <w:basedOn w:val="Normal"/>
    <w:uiPriority w:val="1"/>
    <w:qFormat/>
    <w:pPr>
      <w:ind w:left="152"/>
      <w:outlineLvl w:val="2"/>
    </w:pPr>
    <w:rPr>
      <w:rFonts w:ascii="宋体" w:hAnsi="宋体" w:eastAsia="宋体"/>
      <w:b/>
      <w:bCs/>
      <w:sz w:val="24"/>
      <w:szCs w:val="24"/>
    </w:rPr>
  </w:style>
  <w:style w:styleId="Heading3" w:type="paragraph">
    <w:name w:val="Heading 3"/>
    <w:basedOn w:val="Normal"/>
    <w:uiPriority w:val="1"/>
    <w:qFormat/>
    <w:pPr>
      <w:spacing w:before="32"/>
      <w:ind w:left="635"/>
      <w:outlineLvl w:val="3"/>
    </w:pPr>
    <w:rPr>
      <w:rFonts w:ascii="宋体" w:hAnsi="宋体" w:eastAsia="宋体"/>
      <w:sz w:val="22"/>
      <w:szCs w:val="22"/>
    </w:rPr>
  </w:style>
  <w:style w:styleId="Heading4" w:type="paragraph">
    <w:name w:val="Heading 4"/>
    <w:basedOn w:val="Normal"/>
    <w:uiPriority w:val="1"/>
    <w:qFormat/>
    <w:pPr>
      <w:ind w:left="152"/>
      <w:outlineLvl w:val="4"/>
    </w:pPr>
    <w:rPr>
      <w:rFonts w:ascii="宋体" w:hAnsi="宋体" w:eastAsia="宋体"/>
      <w:b/>
      <w:bCs/>
      <w:sz w:val="21"/>
      <w:szCs w:val="21"/>
    </w:rPr>
  </w:style>
  <w:style w:styleId="Heading5" w:type="paragraph">
    <w:name w:val="Heading 5"/>
    <w:basedOn w:val="Normal"/>
    <w:uiPriority w:val="1"/>
    <w:qFormat/>
    <w:pPr>
      <w:spacing w:before="7"/>
      <w:ind w:left="152"/>
      <w:outlineLvl w:val="5"/>
    </w:pPr>
    <w:rPr>
      <w:rFonts w:ascii="宋体" w:hAnsi="宋体" w:eastAsia="宋体"/>
      <w:sz w:val="21"/>
      <w:szCs w:val="21"/>
    </w:rPr>
  </w:style>
  <w:style w:styleId="Heading6" w:type="paragraph">
    <w:name w:val="Heading 6"/>
    <w:basedOn w:val="Normal"/>
    <w:uiPriority w:val="1"/>
    <w:qFormat/>
    <w:pPr>
      <w:ind w:left="152"/>
      <w:outlineLvl w:val="6"/>
    </w:pPr>
    <w:rPr>
      <w:rFonts w:ascii="宋体" w:hAnsi="宋体" w:eastAsia="宋体"/>
      <w:b/>
      <w:bCs/>
      <w:sz w:val="18"/>
      <w:szCs w:val="18"/>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footer" Target="footer2.xml"/><Relationship Id="rId9" Type="http://schemas.openxmlformats.org/officeDocument/2006/relationships/hyperlink" Target="http://www.chn-das.com/" TargetMode="External"/><Relationship Id="rId10" Type="http://schemas.openxmlformats.org/officeDocument/2006/relationships/hyperlink" Target="mailto:das@chn-das.com" TargetMode="External"/><Relationship Id="rId11" Type="http://schemas.openxmlformats.org/officeDocument/2006/relationships/hyperlink" Target="http://www.cninfo.com.cn/" TargetMode="External"/><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hyperlink" Target="http://irm.cninfo.com.cn/" TargetMode="External"/><Relationship Id="rId16" Type="http://schemas.openxmlformats.org/officeDocument/2006/relationships/image" Target="media/image6.jpeg"/><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footer" Target="footer5.xml"/><Relationship Id="rId20" Type="http://schemas.openxmlformats.org/officeDocument/2006/relationships/footer" Target="footer6.xml"/><Relationship Id="rId21" Type="http://schemas.openxmlformats.org/officeDocument/2006/relationships/footer" Target="footer7.xml"/><Relationship Id="rId22" Type="http://schemas.openxmlformats.org/officeDocument/2006/relationships/image" Target="media/image7.jpeg"/><Relationship Id="rId23"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_rels/footer7.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深圳达实智能股份有限公司</dc:creator>
  <dc:title>深圳达实智能股份有限公司2019年年度报告全文</dc:title>
  <dcterms:created xsi:type="dcterms:W3CDTF">2020-05-19T07:18:46Z</dcterms:created>
  <dcterms:modified xsi:type="dcterms:W3CDTF">2020-05-19T07:18:46Z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2020-04-24T00:00:00Z</vt:filetime>
  </property>
  <property fmtid="{D5CDD505-2E9C-101B-9397-08002B2CF9AE}" pid="3" name="Creator">
    <vt:lpwstr>Microsoft® Office Word 2007</vt:lpwstr>
  </property>
  <property fmtid="{D5CDD505-2E9C-101B-9397-08002B2CF9AE}" pid="4" name="LastSaved">
    <vt:filetime>2020-05-18T00:00:00Z</vt:filetime>
  </property>
</Properties>
</file>