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91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10335" cy="5810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58102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495" w:right="1473" w:firstLine="0"/>
        <w:jc w:val="center"/>
        <w:rPr>
          <w:rFonts w:ascii="宋体" w:hAnsi="宋体" w:cs="宋体" w:eastAsia="宋体" w:hint="default"/>
          <w:sz w:val="36"/>
          <w:szCs w:val="36"/>
        </w:rPr>
      </w:pPr>
      <w:r>
        <w:rPr>
          <w:rFonts w:ascii="宋体" w:hAnsi="宋体" w:cs="宋体" w:eastAsia="宋体" w:hint="default"/>
          <w:b/>
          <w:bCs/>
          <w:sz w:val="36"/>
          <w:szCs w:val="36"/>
        </w:rPr>
        <w:t>二六三网络通信股份有限公司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14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95" w:right="147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03</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482,238,782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1.80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30"/>
          <w:w w:val="99"/>
          <w:sz w:val="28"/>
          <w:szCs w:val="28"/>
        </w:rPr>
        <w:t> </w:t>
      </w:r>
      <w:r>
        <w:rPr>
          <w:rFonts w:ascii="宋体" w:hAnsi="宋体" w:cs="宋体" w:eastAsia="宋体" w:hint="default"/>
          <w:b/>
          <w:bCs/>
          <w:w w:val="95"/>
          <w:sz w:val="28"/>
          <w:szCs w:val="28"/>
        </w:rPr>
        <w:t>公司负责人李小龙、主管会计工作负责人刘江涛及会计机构负责人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董桂英声明：保证年度报告中财务报告的真实、准确、完整。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5" w:right="147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9"/>
              </w:rPr>
              <w:t> </w:t>
            </w:r>
            <w:r>
              <w:rPr/>
              <w:t>董事会报告</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9"/>
              </w:rPr>
              <w:t> </w:t>
            </w:r>
            <w:r>
              <w:rPr/>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内部控制</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9"/>
              </w:rPr>
              <w:t> </w:t>
            </w:r>
            <w:r>
              <w:rPr/>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0"/>
              </w:rPr>
              <w:t> </w:t>
            </w:r>
            <w:r>
              <w:rPr/>
              <w:t>备查文件目录</w:t>
            </w:r>
            <w:r>
              <w:rPr>
                <w:rFonts w:ascii="Times New Roman" w:hAnsi="Times New Roman" w:cs="Times New Roman" w:eastAsia="Times New Roman" w:hint="default"/>
              </w:rPr>
              <w:tab/>
              <w:t>157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495" w:right="147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如无说明，指人民币元、人民币万元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495" w:right="1472"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可能存在技术、行业竞争、经营与管理、市场、国家政策等风险，敬请广</w:t>
      </w:r>
      <w:r>
        <w:rPr>
          <w:rFonts w:ascii="宋体" w:hAnsi="宋体" w:cs="宋体" w:eastAsia="宋体" w:hint="default"/>
          <w:b/>
          <w:bCs/>
          <w:w w:val="99"/>
          <w:sz w:val="28"/>
          <w:szCs w:val="28"/>
        </w:rPr>
        <w:t> </w:t>
      </w:r>
      <w:r>
        <w:rPr>
          <w:rFonts w:ascii="宋体" w:hAnsi="宋体" w:cs="宋体" w:eastAsia="宋体" w:hint="default"/>
          <w:b/>
          <w:bCs/>
          <w:sz w:val="28"/>
          <w:szCs w:val="28"/>
        </w:rPr>
        <w:t>大投资者注意投资风险。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473"/>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002467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Net263</w:t>
            </w:r>
            <w:r>
              <w:rPr>
                <w:rFonts w:ascii="Times New Roman"/>
                <w:spacing w:val="-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李小龙</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北京市昌平区城区镇超前路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102200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www.net263.com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号建达</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号建达</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010-64260109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010-64260109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公司法务证券部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企业法人营业执照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85"/>
        <w:gridCol w:w="1605"/>
        <w:gridCol w:w="1595"/>
        <w:gridCol w:w="1594"/>
        <w:gridCol w:w="1594"/>
        <w:gridCol w:w="1595"/>
      </w:tblGrid>
      <w:tr>
        <w:trPr>
          <w:trHeight w:val="36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北京市昌平县城区 镇超前路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1102211099173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110114700347267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70034726-7</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0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北京市昌平区城区 镇超前路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110000000991739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110114700347267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70034726-7</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0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马旭、刘涛</w:t>
            </w:r>
          </w:p>
        </w:tc>
      </w:tr>
    </w:tbl>
    <w:p>
      <w:pPr>
        <w:pStyle w:val="BodyText"/>
        <w:spacing w:line="240" w:lineRule="auto" w:before="51"/>
        <w:ind w:left="154" w:right="0"/>
        <w:jc w:val="left"/>
      </w:pPr>
      <w:r>
        <w:rPr/>
        <w:t>公司聘请的报告期内履行持续督导职责的保荐机构</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231"/>
        <w:gridCol w:w="1389"/>
        <w:gridCol w:w="1315"/>
        <w:gridCol w:w="1404"/>
        <w:gridCol w:w="1316"/>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684,897,755.79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715,974,866.79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382,227,363.60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147,862,351.01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137,791,122.41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265,579,660.83</w:t>
            </w: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132,130,042.31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123,011,431.26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58,184,412.39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200,866,658.92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176,414,925.72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73,020,481.77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22.58%</w:t>
            </w:r>
          </w:p>
        </w:tc>
      </w:tr>
      <w:tr>
        <w:trPr>
          <w:trHeight w:val="161" w:hRule="exact"/>
        </w:trPr>
        <w:tc>
          <w:tcPr>
            <w:tcW w:w="4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17" w:right="65" w:hanging="450"/>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4231" w:type="dxa"/>
            <w:tcBorders>
              <w:top w:val="nil" w:sz="6" w:space="0" w:color="auto"/>
              <w:left w:val="single" w:sz="4" w:space="0" w:color="000000"/>
              <w:bottom w:val="nil" w:sz="6" w:space="0" w:color="auto"/>
              <w:right w:val="single" w:sz="4" w:space="0" w:color="000000"/>
            </w:tcBorders>
            <w:shd w:val="clear" w:color="auto" w:fill="D2D2D2"/>
          </w:tcPr>
          <w:p>
            <w:pPr/>
          </w:p>
        </w:tc>
        <w:tc>
          <w:tcPr>
            <w:tcW w:w="1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04" w:type="dxa"/>
            <w:vMerge/>
            <w:tcBorders>
              <w:left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4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4"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1,685,543,751.27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1,600,100,379.57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1,571,848,384.62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1,418,231,835.44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1,325,300,652.33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1,289,134,959.45</w:t>
            </w:r>
          </w:p>
        </w:tc>
      </w:tr>
    </w:tbl>
    <w:p>
      <w:pPr>
        <w:pStyle w:val="BodyText"/>
        <w:spacing w:line="319" w:lineRule="auto" w:before="51"/>
        <w:ind w:left="154" w:right="1118"/>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0.3066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7"/>
        <w:gridCol w:w="1286"/>
        <w:gridCol w:w="1134"/>
        <w:gridCol w:w="1181"/>
        <w:gridCol w:w="547"/>
      </w:tblGrid>
      <w:tr>
        <w:trPr>
          <w:trHeight w:val="40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2,474,327.46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4,245,202.71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-486,291.76</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10,865,402.33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3,609,306.00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6,870,906.00</w:t>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86"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-3,954,243.79</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1,199,191.30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10,404,264.11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17,896,827.35</w:t>
            </w:r>
          </w:p>
        </w:tc>
        <w:tc>
          <w:tcPr>
            <w:tcW w:w="5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30"/>
        <w:gridCol w:w="1274"/>
        <w:gridCol w:w="1134"/>
        <w:gridCol w:w="1181"/>
        <w:gridCol w:w="547"/>
      </w:tblGrid>
      <w:tr>
        <w:trPr>
          <w:trHeight w:val="714"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 期损益的影响</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185,590,550.81</w:t>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489,763.91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614,419.90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102,194.56</w:t>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清算子公司外币报表折算差异结转损益形成的影响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2,583,907.74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1,880,284.04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139,333.19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2,368,806.70</w:t>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210,131.82</w:t>
            </w: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15,732,308.70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14,779,691.15</w:t>
            </w:r>
          </w:p>
        </w:tc>
        <w:tc>
          <w:tcPr>
            <w:tcW w:w="11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207,395,248.44</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6"/>
      <w:bookmarkEnd w:id="16"/>
      <w:r>
        <w:rPr>
          <w:b w:val="0"/>
          <w:bCs w:val="0"/>
        </w:rPr>
      </w:r>
      <w:r>
        <w:rPr/>
        <w:t>一、概述</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0" w:firstLine="423"/>
        <w:jc w:val="both"/>
      </w:pPr>
      <w:r>
        <w:rPr>
          <w:rFonts w:ascii="宋体" w:hAnsi="宋体" w:cs="宋体" w:eastAsia="宋体" w:hint="default"/>
        </w:rPr>
        <w:t>2014</w:t>
      </w:r>
      <w:r>
        <w:rPr/>
        <w:t>年公司继续积极拓展国内企业和海外华人家庭通信市场，同时，公司在典型大企业的集成通信服务方面探索积累 </w:t>
      </w:r>
      <w:r>
        <w:rPr>
          <w:spacing w:val="-2"/>
        </w:rPr>
        <w:t>实现突破，公司获得移动通信转售业务试点资质并确定移动通信服务的业务方向，公司在新业务牌照获取、新业务模式探索</w:t>
      </w:r>
      <w:r>
        <w:rPr>
          <w:spacing w:val="-66"/>
        </w:rPr>
        <w:t> </w:t>
      </w:r>
      <w:r>
        <w:rPr>
          <w:spacing w:val="-66"/>
        </w:rPr>
      </w:r>
      <w:r>
        <w:rPr/>
        <w:t>方面取得积极进展，进一步拓展了公司的战略发展空间。</w:t>
      </w:r>
    </w:p>
    <w:p>
      <w:pPr>
        <w:pStyle w:val="BodyText"/>
        <w:spacing w:line="477" w:lineRule="auto" w:before="54"/>
        <w:ind w:right="1039" w:firstLine="420"/>
        <w:jc w:val="left"/>
      </w:pPr>
      <w:r>
        <w:rPr/>
        <w:t>公司</w:t>
      </w:r>
      <w:r>
        <w:rPr>
          <w:rFonts w:ascii="宋体" w:hAnsi="宋体" w:cs="宋体" w:eastAsia="宋体" w:hint="default"/>
        </w:rPr>
        <w:t>2014</w:t>
      </w:r>
      <w:r>
        <w:rPr/>
        <w:t>年度实现营业收入</w:t>
      </w:r>
      <w:r>
        <w:rPr>
          <w:rFonts w:ascii="宋体" w:hAnsi="宋体" w:cs="宋体" w:eastAsia="宋体" w:hint="default"/>
        </w:rPr>
        <w:t>68,489.78</w:t>
      </w:r>
      <w:r>
        <w:rPr/>
        <w:t>万元，较上年同期减少</w:t>
      </w:r>
      <w:r>
        <w:rPr>
          <w:rFonts w:ascii="宋体" w:hAnsi="宋体" w:cs="宋体" w:eastAsia="宋体" w:hint="default"/>
        </w:rPr>
        <w:t>4.34%</w:t>
      </w:r>
      <w:r>
        <w:rPr/>
        <w:t>（增值通信业务板块中的</w:t>
      </w:r>
      <w:r>
        <w:rPr>
          <w:rFonts w:ascii="宋体" w:hAnsi="宋体" w:cs="宋体" w:eastAsia="宋体" w:hint="default"/>
        </w:rPr>
        <w:t>96446IP</w:t>
      </w:r>
      <w:r>
        <w:rPr/>
        <w:t>长途转售和</w:t>
      </w:r>
      <w:r>
        <w:rPr>
          <w:rFonts w:ascii="宋体" w:hAnsi="宋体" w:cs="宋体" w:eastAsia="宋体" w:hint="default"/>
        </w:rPr>
        <w:t>95050 </w:t>
      </w:r>
      <w:r>
        <w:rPr>
          <w:spacing w:val="-3"/>
        </w:rPr>
        <w:t>多方通话收入下降及运营商结算政策变化影响）；实现归属于上市公司股东的净利润</w:t>
      </w:r>
      <w:r>
        <w:rPr>
          <w:rFonts w:ascii="宋体" w:hAnsi="宋体" w:cs="宋体" w:eastAsia="宋体" w:hint="default"/>
          <w:spacing w:val="-3"/>
        </w:rPr>
        <w:t>14,786.24</w:t>
      </w:r>
      <w:r>
        <w:rPr>
          <w:spacing w:val="-3"/>
        </w:rPr>
        <w:t>万元，较上年同期增长</w:t>
      </w:r>
      <w:r>
        <w:rPr>
          <w:rFonts w:ascii="宋体" w:hAnsi="宋体" w:cs="宋体" w:eastAsia="宋体" w:hint="default"/>
          <w:spacing w:val="-3"/>
        </w:rPr>
        <w:t>7.31%</w:t>
      </w:r>
      <w:r>
        <w:rPr>
          <w:spacing w:val="-3"/>
        </w:rPr>
        <w:t>；</w:t>
      </w:r>
      <w:r>
        <w:rPr>
          <w:spacing w:val="-78"/>
        </w:rPr>
        <w:t> </w:t>
      </w:r>
      <w:r>
        <w:rPr/>
        <w:t>归属于上市公司股东的扣除非经常性损益后的净利润为</w:t>
      </w:r>
      <w:r>
        <w:rPr>
          <w:rFonts w:ascii="宋体" w:hAnsi="宋体" w:cs="宋体" w:eastAsia="宋体" w:hint="default"/>
        </w:rPr>
        <w:t>13,213.00</w:t>
      </w:r>
      <w:r>
        <w:rPr/>
        <w:t>万元，较上年同期增长</w:t>
      </w:r>
      <w:r>
        <w:rPr>
          <w:rFonts w:ascii="宋体" w:hAnsi="宋体" w:cs="宋体" w:eastAsia="宋体" w:hint="default"/>
        </w:rPr>
        <w:t>7.41%</w:t>
      </w:r>
      <w:r>
        <w:rPr/>
        <w:t>。</w:t>
      </w:r>
    </w:p>
    <w:p>
      <w:pPr>
        <w:pStyle w:val="BodyText"/>
        <w:spacing w:line="477" w:lineRule="auto" w:before="54"/>
        <w:ind w:right="0" w:firstLine="423"/>
        <w:jc w:val="left"/>
      </w:pPr>
      <w:r>
        <w:rPr/>
        <w:t>报告期内公司企业通信业务板块不断增强企业云通信产品的通信协作功能，公司与国内权威公证机构合作推出云归档 </w:t>
      </w:r>
      <w:r>
        <w:rPr>
          <w:spacing w:val="-2"/>
        </w:rPr>
        <w:t>产品，针对云网盘产品开展了大规模的促销活动，针对松耦合引入第三方服务应用进行诸多开创性的尝试，为云通信平台第</w:t>
      </w:r>
      <w:r>
        <w:rPr>
          <w:spacing w:val="-66"/>
        </w:rPr>
        <w:t> </w:t>
      </w:r>
      <w:r>
        <w:rPr>
          <w:spacing w:val="-66"/>
        </w:rPr>
      </w:r>
      <w:r>
        <w:rPr>
          <w:spacing w:val="-2"/>
        </w:rPr>
        <w:t>三方应用服务业务模式打下基础；企业会议业务继续坚持服务于大客户需求的业务运营模式，着力打造重点支撑大客户的专</w:t>
      </w:r>
      <w:r>
        <w:rPr>
          <w:spacing w:val="-64"/>
        </w:rPr>
        <w:t> </w:t>
      </w:r>
      <w:r>
        <w:rPr>
          <w:spacing w:val="-64"/>
        </w:rPr>
      </w:r>
      <w:r>
        <w:rPr>
          <w:spacing w:val="-4"/>
        </w:rPr>
        <w:t>业服务模式，形成和完善了从大客户销售、售前支持到会议服务、个性化开发，全环节的支持体系，在标准化运营的基础上，</w:t>
      </w:r>
      <w:r>
        <w:rPr>
          <w:spacing w:val="-44"/>
        </w:rPr>
        <w:t> </w:t>
      </w:r>
      <w:r>
        <w:rPr>
          <w:spacing w:val="-44"/>
        </w:rPr>
      </w:r>
      <w:r>
        <w:rPr>
          <w:spacing w:val="-2"/>
        </w:rPr>
        <w:t>突出了差异化服务，实现了会议收入的持续高速增长；企业邮箱立足快速、安全、稳定、易用，在收发顺畅稳定、数据安全</w:t>
      </w:r>
      <w:r>
        <w:rPr>
          <w:spacing w:val="-70"/>
        </w:rPr>
        <w:t> </w:t>
      </w:r>
      <w:r>
        <w:rPr>
          <w:spacing w:val="-70"/>
        </w:rPr>
      </w:r>
      <w:r>
        <w:rPr/>
        <w:t>保密、邮件信息可管理审计、国家级反垃圾邮件技术等核心技术方面不断提高竞争能力，并继续保持市场领先地位。</w:t>
      </w:r>
    </w:p>
    <w:p>
      <w:pPr>
        <w:pStyle w:val="BodyText"/>
        <w:spacing w:line="477" w:lineRule="auto" w:before="54"/>
        <w:ind w:right="0" w:firstLine="423"/>
        <w:jc w:val="left"/>
      </w:pPr>
      <w:r>
        <w:rPr/>
        <w:t>报告期内公司增值通信业务板块全面转向企业客户，积极探索新业务模式并取得重要进展。通过物流行业一个样本大 </w:t>
      </w:r>
      <w:r>
        <w:rPr>
          <w:spacing w:val="-2"/>
        </w:rPr>
        <w:t>企业客户的探索和积累，公司从产品形式、运营模型和业务模式等方面论证了针对典型大企业（具有区域覆盖全国、数万名</w:t>
      </w:r>
      <w:r>
        <w:rPr>
          <w:spacing w:val="-66"/>
        </w:rPr>
        <w:t> </w:t>
      </w:r>
      <w:r>
        <w:rPr>
          <w:spacing w:val="-66"/>
        </w:rPr>
      </w:r>
      <w:r>
        <w:rPr>
          <w:spacing w:val="-4"/>
        </w:rPr>
        <w:t>员工、数千家门店分支、整体通信费用高企、通信管控困难等特征）的集成通信业务成立的可行性和必要性，并在业务能力、</w:t>
      </w:r>
      <w:r>
        <w:rPr>
          <w:spacing w:val="-44"/>
        </w:rPr>
        <w:t> </w:t>
      </w:r>
      <w:r>
        <w:rPr>
          <w:spacing w:val="-44"/>
        </w:rPr>
      </w:r>
      <w:r>
        <w:rPr>
          <w:spacing w:val="-2"/>
        </w:rPr>
        <w:t>全国获取资源能力和服务提供能力等方面取得实质性进展，为公司企业通信服务探索出新的业务方向——针对典型大企业的</w:t>
      </w:r>
      <w:r>
        <w:rPr>
          <w:spacing w:val="-64"/>
        </w:rPr>
        <w:t> </w:t>
      </w:r>
      <w:r>
        <w:rPr>
          <w:spacing w:val="-64"/>
        </w:rPr>
      </w:r>
      <w:r>
        <w:rPr>
          <w:spacing w:val="-5"/>
        </w:rPr>
        <w:t>基础通信整体解决方案；</w:t>
      </w:r>
      <w:r>
        <w:rPr>
          <w:rFonts w:ascii="宋体" w:hAnsi="宋体" w:cs="宋体" w:eastAsia="宋体" w:hint="default"/>
          <w:spacing w:val="-5"/>
        </w:rPr>
        <w:t>3GVPN</w:t>
      </w:r>
      <w:r>
        <w:rPr>
          <w:spacing w:val="-5"/>
        </w:rPr>
        <w:t>业务从原来主攻连锁行业转向站点数量规模更大、增速更快的自助终端行业，同时，提高</w:t>
      </w:r>
      <w:r>
        <w:rPr>
          <w:rFonts w:ascii="宋体" w:hAnsi="宋体" w:cs="宋体" w:eastAsia="宋体" w:hint="default"/>
          <w:spacing w:val="-5"/>
        </w:rPr>
        <w:t>3GVPN</w:t>
      </w:r>
      <w:r>
        <w:rPr>
          <w:rFonts w:ascii="宋体" w:hAnsi="宋体" w:cs="宋体" w:eastAsia="宋体" w:hint="default"/>
          <w:spacing w:val="-55"/>
        </w:rPr>
        <w:t> </w:t>
      </w:r>
      <w:r>
        <w:rPr/>
        <w:t>业务的基本运营能力和产品构建能力，实现了该业务销售效率的提升、运营能效的提高及业务成本的降低。</w:t>
      </w:r>
    </w:p>
    <w:p>
      <w:pPr>
        <w:pStyle w:val="BodyText"/>
        <w:spacing w:line="477" w:lineRule="auto" w:before="54"/>
        <w:ind w:right="1130" w:firstLine="423"/>
        <w:jc w:val="both"/>
      </w:pPr>
      <w:r>
        <w:rPr/>
        <w:t>报告期内公司海外互联网综合服务板块继续优化组织结构，梳理完善内部业务流程，为业务发展建立了良好的运营环 </w:t>
      </w:r>
      <w:r>
        <w:rPr>
          <w:spacing w:val="-2"/>
        </w:rPr>
        <w:t>境。报告期内海外业务的</w:t>
      </w:r>
      <w:r>
        <w:rPr>
          <w:rFonts w:ascii="宋体" w:hAnsi="宋体" w:cs="宋体" w:eastAsia="宋体" w:hint="default"/>
          <w:spacing w:val="-2"/>
        </w:rPr>
        <w:t>VOIP</w:t>
      </w:r>
      <w:r>
        <w:rPr>
          <w:spacing w:val="-2"/>
        </w:rPr>
        <w:t>和</w:t>
      </w:r>
      <w:r>
        <w:rPr>
          <w:rFonts w:ascii="宋体" w:hAnsi="宋体" w:cs="宋体" w:eastAsia="宋体" w:hint="default"/>
          <w:spacing w:val="-2"/>
        </w:rPr>
        <w:t>IPTV</w:t>
      </w:r>
      <w:r>
        <w:rPr>
          <w:spacing w:val="-2"/>
        </w:rPr>
        <w:t>两个主打产品协同发展、相互促进，</w:t>
      </w:r>
      <w:r>
        <w:rPr>
          <w:rFonts w:ascii="宋体" w:hAnsi="宋体" w:cs="宋体" w:eastAsia="宋体" w:hint="default"/>
          <w:spacing w:val="-2"/>
        </w:rPr>
        <w:t>IPTV</w:t>
      </w:r>
      <w:r>
        <w:rPr>
          <w:spacing w:val="-2"/>
        </w:rPr>
        <w:t>产品定位于迅速扩展用户数量，通过多种渠道</w:t>
      </w:r>
      <w:r>
        <w:rPr>
          <w:spacing w:val="-54"/>
        </w:rPr>
        <w:t> </w:t>
      </w:r>
      <w:r>
        <w:rPr>
          <w:spacing w:val="-54"/>
        </w:rPr>
      </w:r>
      <w:r>
        <w:rPr/>
        <w:t>和手段发展用户，用户数量增长明显，</w:t>
      </w:r>
      <w:r>
        <w:rPr>
          <w:rFonts w:ascii="宋体" w:hAnsi="宋体" w:cs="宋体" w:eastAsia="宋体" w:hint="default"/>
        </w:rPr>
        <w:t>iTalkBB</w:t>
      </w:r>
      <w:r>
        <w:rPr/>
        <w:t>中文电视成为业内第一品牌，引领北美华人中文电视业务。</w:t>
      </w:r>
      <w:r>
        <w:rPr>
          <w:rFonts w:ascii="宋体" w:hAnsi="宋体" w:cs="宋体" w:eastAsia="宋体" w:hint="default"/>
        </w:rPr>
        <w:t>IPTV</w:t>
      </w:r>
      <w:r>
        <w:rPr/>
        <w:t>业务在自身</w:t>
      </w:r>
      <w:r>
        <w:rPr>
          <w:spacing w:val="-85"/>
        </w:rPr>
        <w:t> </w:t>
      </w:r>
      <w:r>
        <w:rPr>
          <w:spacing w:val="-85"/>
        </w:rPr>
      </w:r>
      <w:r>
        <w:rPr>
          <w:spacing w:val="-2"/>
        </w:rPr>
        <w:t>用户数量增长的同时，也带动了</w:t>
      </w:r>
      <w:r>
        <w:rPr>
          <w:rFonts w:ascii="宋体" w:hAnsi="宋体" w:cs="宋体" w:eastAsia="宋体" w:hint="default"/>
          <w:spacing w:val="-2"/>
        </w:rPr>
        <w:t>VOIP</w:t>
      </w:r>
      <w:r>
        <w:rPr>
          <w:spacing w:val="-2"/>
        </w:rPr>
        <w:t>业务的发展。此外，报告期内海外业务板块还推出了宽带接入服务，以进一步全方位满</w:t>
      </w:r>
      <w:r>
        <w:rPr>
          <w:spacing w:val="-62"/>
        </w:rPr>
        <w:t> </w:t>
      </w:r>
      <w:r>
        <w:rPr>
          <w:spacing w:val="-62"/>
        </w:rPr>
      </w:r>
      <w:r>
        <w:rPr/>
        <w:t>足海外华人家庭综合通信需求。</w:t>
      </w:r>
    </w:p>
    <w:p>
      <w:pPr>
        <w:pStyle w:val="BodyText"/>
        <w:spacing w:line="477" w:lineRule="auto" w:before="54"/>
        <w:ind w:right="0" w:firstLine="423"/>
        <w:jc w:val="left"/>
      </w:pPr>
      <w:r>
        <w:rPr/>
        <w:t>报告期内公司获得移动通信转售业务试点资质，得以进入移动通信业务领域。公司完成了移动通信业务方向的论证， </w:t>
      </w:r>
      <w:r>
        <w:rPr>
          <w:spacing w:val="-2"/>
        </w:rPr>
        <w:t>并着手组建相关团队。根据公司第四届董事会第二十八次会议的决议，公司将设立全资子公司——广州二六三移动通信有限</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公司，针对全球商旅华人及海外华人、国内企业，构建移动通信业务体系、资源和能力，充分发挥公司在虚拟通信运营方面</w:t>
      </w:r>
      <w:r>
        <w:rPr>
          <w:spacing w:val="-66"/>
        </w:rPr>
        <w:t> </w:t>
      </w:r>
      <w:r>
        <w:rPr>
          <w:spacing w:val="-66"/>
        </w:rPr>
      </w:r>
      <w:r>
        <w:rPr/>
        <w:t>的优势，面向企业和个人开展移动话音及数据通信服务。</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营业务收入和成本" w:id="19"/>
      <w:bookmarkEnd w:id="19"/>
      <w:r>
        <w:rPr>
          <w:b w:val="0"/>
          <w:bCs w:val="0"/>
        </w:rPr>
      </w:r>
      <w:r>
        <w:rPr/>
        <w:t>（</w:t>
      </w:r>
      <w:r>
        <w:rPr>
          <w:rFonts w:ascii="Times New Roman" w:hAnsi="Times New Roman" w:cs="Times New Roman" w:eastAsia="Times New Roman" w:hint="default"/>
        </w:rPr>
        <w:t>1</w:t>
      </w:r>
      <w:r>
        <w:rPr/>
        <w:t>）主营业务收入和成本</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213" w:right="1128" w:firstLine="360"/>
        <w:jc w:val="both"/>
      </w:pPr>
      <w:r>
        <w:rPr/>
        <w:t>公司</w:t>
      </w:r>
      <w:r>
        <w:rPr>
          <w:rFonts w:ascii="宋体" w:hAnsi="宋体" w:cs="宋体" w:eastAsia="宋体" w:hint="default"/>
        </w:rPr>
        <w:t>2014</w:t>
      </w:r>
      <w:r>
        <w:rPr/>
        <w:t>年度实现营业收入</w:t>
      </w:r>
      <w:r>
        <w:rPr>
          <w:rFonts w:ascii="宋体" w:hAnsi="宋体" w:cs="宋体" w:eastAsia="宋体" w:hint="default"/>
        </w:rPr>
        <w:t>68,489.78</w:t>
      </w:r>
      <w:r>
        <w:rPr/>
        <w:t>万元，较上年减少</w:t>
      </w:r>
      <w:r>
        <w:rPr>
          <w:rFonts w:ascii="宋体" w:hAnsi="宋体" w:cs="宋体" w:eastAsia="宋体" w:hint="default"/>
        </w:rPr>
        <w:t>3,107.71</w:t>
      </w:r>
      <w:r>
        <w:rPr/>
        <w:t>万元，减少</w:t>
      </w:r>
      <w:r>
        <w:rPr>
          <w:rFonts w:ascii="宋体" w:hAnsi="宋体" w:cs="宋体" w:eastAsia="宋体" w:hint="default"/>
        </w:rPr>
        <w:t>4.34%</w:t>
      </w:r>
      <w:r>
        <w:rPr/>
        <w:t>。收入减少的主要原因为增值通信 业务板块中的</w:t>
      </w:r>
      <w:r>
        <w:rPr>
          <w:rFonts w:ascii="宋体" w:hAnsi="宋体" w:cs="宋体" w:eastAsia="宋体" w:hint="default"/>
        </w:rPr>
        <w:t>96446IP</w:t>
      </w:r>
      <w:r>
        <w:rPr/>
        <w:t>长途转售和</w:t>
      </w:r>
      <w:r>
        <w:rPr>
          <w:rFonts w:ascii="宋体" w:hAnsi="宋体" w:cs="宋体" w:eastAsia="宋体" w:hint="default"/>
        </w:rPr>
        <w:t>95050</w:t>
      </w:r>
      <w:r>
        <w:rPr/>
        <w:t>多方通话收入下降及运营商结算政策变化对收入影响。公司主营业务毛利率从</w:t>
      </w:r>
      <w:r>
        <w:rPr>
          <w:rFonts w:ascii="宋体" w:hAnsi="宋体" w:cs="宋体" w:eastAsia="宋体" w:hint="default"/>
        </w:rPr>
        <w:t>2013</w:t>
      </w:r>
      <w:r>
        <w:rPr>
          <w:rFonts w:ascii="宋体" w:hAnsi="宋体" w:cs="宋体" w:eastAsia="宋体" w:hint="default"/>
          <w:spacing w:val="-56"/>
        </w:rPr>
        <w:t> </w:t>
      </w:r>
      <w:r>
        <w:rPr/>
        <w:t>年的</w:t>
      </w:r>
      <w:r>
        <w:rPr>
          <w:rFonts w:ascii="宋体" w:hAnsi="宋体" w:cs="宋体" w:eastAsia="宋体" w:hint="default"/>
        </w:rPr>
        <w:t>64.43%</w:t>
      </w:r>
      <w:r>
        <w:rPr/>
        <w:t>上升至</w:t>
      </w:r>
      <w:r>
        <w:rPr>
          <w:rFonts w:ascii="宋体" w:hAnsi="宋体" w:cs="宋体" w:eastAsia="宋体" w:hint="default"/>
        </w:rPr>
        <w:t>68.52%</w:t>
      </w:r>
      <w:r>
        <w:rPr/>
        <w:t>，主要得益于公司本年成本结构的进一步优化；此外，增值通信业务板块中的运营商结算政策变</w:t>
      </w:r>
      <w:r>
        <w:rPr>
          <w:spacing w:val="-54"/>
        </w:rPr>
        <w:t> </w:t>
      </w:r>
      <w:r>
        <w:rPr>
          <w:spacing w:val="-54"/>
        </w:rPr>
      </w:r>
      <w:r>
        <w:rPr/>
        <w:t>化，导致主营业务毛利率略有上升。</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2）三项期间费用" w:id="20"/>
      <w:bookmarkEnd w:id="20"/>
      <w:r>
        <w:rPr>
          <w:b w:val="0"/>
          <w:bCs w:val="0"/>
        </w:rPr>
      </w:r>
      <w:r>
        <w:rPr/>
        <w:t>（</w:t>
      </w:r>
      <w:r>
        <w:rPr>
          <w:rFonts w:ascii="Times New Roman" w:hAnsi="Times New Roman" w:cs="Times New Roman" w:eastAsia="Times New Roman" w:hint="default"/>
        </w:rPr>
        <w:t>2</w:t>
      </w:r>
      <w:r>
        <w:rPr/>
        <w:t>）三项期间费用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3" w:firstLine="360"/>
        <w:jc w:val="both"/>
      </w:pPr>
      <w:r>
        <w:rPr>
          <w:rFonts w:ascii="宋体" w:hAnsi="宋体" w:cs="宋体" w:eastAsia="宋体" w:hint="default"/>
        </w:rPr>
        <w:t>2014</w:t>
      </w:r>
      <w:r>
        <w:rPr/>
        <w:t>年，公司三项期间费用（销售费用、管理费用、财务费用）合计</w:t>
      </w:r>
      <w:r>
        <w:rPr>
          <w:rFonts w:ascii="宋体" w:hAnsi="宋体" w:cs="宋体" w:eastAsia="宋体" w:hint="default"/>
        </w:rPr>
        <w:t>30,773.02</w:t>
      </w:r>
      <w:r>
        <w:rPr/>
        <w:t>万元，较上年减少</w:t>
      </w:r>
      <w:r>
        <w:rPr>
          <w:rFonts w:ascii="宋体" w:hAnsi="宋体" w:cs="宋体" w:eastAsia="宋体" w:hint="default"/>
        </w:rPr>
        <w:t>1,409.84</w:t>
      </w:r>
      <w:r>
        <w:rPr/>
        <w:t>万元，同比 </w:t>
      </w:r>
      <w:r>
        <w:rPr>
          <w:spacing w:val="6"/>
        </w:rPr>
        <w:t>减少</w:t>
      </w:r>
      <w:r>
        <w:rPr>
          <w:rFonts w:ascii="宋体" w:hAnsi="宋体" w:cs="宋体" w:eastAsia="宋体" w:hint="default"/>
          <w:spacing w:val="6"/>
        </w:rPr>
        <w:t>4%</w:t>
      </w:r>
      <w:r>
        <w:rPr>
          <w:spacing w:val="6"/>
        </w:rPr>
        <w:t>，主要得益于公司进一步加大费用管控力度以及相关中介机构费用的下降；财务费用由上年</w:t>
      </w:r>
      <w:r>
        <w:rPr>
          <w:rFonts w:ascii="宋体" w:hAnsi="宋体" w:cs="宋体" w:eastAsia="宋体" w:hint="default"/>
          <w:spacing w:val="6"/>
        </w:rPr>
        <w:t>-191.19</w:t>
      </w:r>
      <w:r>
        <w:rPr>
          <w:spacing w:val="6"/>
        </w:rPr>
        <w:t>万元减少至</w:t>
      </w:r>
    </w:p>
    <w:p>
      <w:pPr>
        <w:pStyle w:val="BodyText"/>
        <w:spacing w:line="240" w:lineRule="auto" w:before="54"/>
        <w:ind w:right="0"/>
        <w:jc w:val="left"/>
      </w:pPr>
      <w:r>
        <w:rPr>
          <w:rFonts w:ascii="宋体" w:hAnsi="宋体" w:cs="宋体" w:eastAsia="宋体" w:hint="default"/>
        </w:rPr>
        <w:t>-1,068.40</w:t>
      </w:r>
      <w:r>
        <w:rPr/>
        <w:t>万元，主要原因为公司本年度存款利息收入上升。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357" w:lineRule="auto"/>
        <w:ind w:right="5353"/>
        <w:jc w:val="left"/>
      </w:pPr>
      <w:r>
        <w:rPr/>
        <w:t>公司回顾总结前期披露的发展战略和经营计划在报告期内的进展情况 无。</w:t>
      </w:r>
    </w:p>
    <w:p>
      <w:pPr>
        <w:pStyle w:val="BodyText"/>
        <w:spacing w:line="240" w:lineRule="auto" w:before="29"/>
        <w:ind w:left="154"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收入" w:id="21"/>
      <w:bookmarkEnd w:id="21"/>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4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1"/>
        <w:gridCol w:w="1639"/>
        <w:gridCol w:w="1146"/>
        <w:gridCol w:w="1279"/>
        <w:gridCol w:w="1145"/>
        <w:gridCol w:w="1515"/>
        <w:gridCol w:w="992"/>
      </w:tblGrid>
      <w:tr>
        <w:trPr>
          <w:trHeight w:val="342" w:hRule="exact"/>
        </w:trPr>
        <w:tc>
          <w:tcPr>
            <w:tcW w:w="164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3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99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2" w:hRule="exact"/>
        </w:trPr>
        <w:tc>
          <w:tcPr>
            <w:tcW w:w="1641" w:type="dxa"/>
            <w:vMerge/>
            <w:tcBorders>
              <w:left w:val="single" w:sz="4" w:space="0" w:color="000000"/>
              <w:bottom w:val="single" w:sz="4" w:space="0" w:color="000000"/>
              <w:right w:val="single" w:sz="4" w:space="0" w:color="000000"/>
            </w:tcBorders>
            <w:shd w:val="clear" w:color="auto" w:fill="C0C0C0"/>
          </w:tcPr>
          <w:p>
            <w:pPr/>
          </w:p>
        </w:tc>
        <w:tc>
          <w:tcPr>
            <w:tcW w:w="1639" w:type="dxa"/>
            <w:vMerge/>
            <w:tcBorders>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1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92" w:type="dxa"/>
            <w:vMerge/>
            <w:tcBorders>
              <w:left w:val="single" w:sz="4" w:space="0" w:color="000000"/>
              <w:bottom w:val="single" w:sz="4" w:space="0" w:color="000000"/>
              <w:right w:val="single" w:sz="4" w:space="0" w:color="000000"/>
            </w:tcBorders>
            <w:shd w:val="clear" w:color="auto" w:fill="C0C0C0"/>
          </w:tcPr>
          <w:p>
            <w:pP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684,897,755.79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715,974,866.79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-4.34%</w:t>
            </w:r>
          </w:p>
        </w:tc>
      </w:tr>
      <w:tr>
        <w:trPr>
          <w:trHeight w:val="342" w:hRule="exact"/>
        </w:trPr>
        <w:tc>
          <w:tcPr>
            <w:tcW w:w="164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63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99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2" w:hRule="exact"/>
        </w:trPr>
        <w:tc>
          <w:tcPr>
            <w:tcW w:w="1641" w:type="dxa"/>
            <w:vMerge/>
            <w:tcBorders>
              <w:left w:val="single" w:sz="4" w:space="0" w:color="000000"/>
              <w:bottom w:val="single" w:sz="4" w:space="0" w:color="000000"/>
              <w:right w:val="single" w:sz="4" w:space="0" w:color="000000"/>
            </w:tcBorders>
            <w:shd w:val="clear" w:color="auto" w:fill="C0C0C0"/>
          </w:tcPr>
          <w:p>
            <w:pPr/>
          </w:p>
        </w:tc>
        <w:tc>
          <w:tcPr>
            <w:tcW w:w="1639" w:type="dxa"/>
            <w:vMerge/>
            <w:tcBorders>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1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92" w:type="dxa"/>
            <w:vMerge/>
            <w:tcBorders>
              <w:left w:val="single" w:sz="4" w:space="0" w:color="000000"/>
              <w:bottom w:val="single" w:sz="4" w:space="0" w:color="000000"/>
              <w:right w:val="single" w:sz="4" w:space="0" w:color="000000"/>
            </w:tcBorders>
            <w:shd w:val="clear" w:color="auto" w:fill="C0C0C0"/>
          </w:tcPr>
          <w:p>
            <w:pP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141,155,087.17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20.61%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200,346,462.04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-29.54%</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170,532,636.54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24.90%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156,266,610.77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9.13%</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海外互联网综合业务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海外互联网综合业务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354,553,879.74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51.77%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340,605,561.78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4.10%</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18,656,152.34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18,756,232.20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-0.53%</w:t>
            </w:r>
          </w:p>
        </w:tc>
      </w:tr>
      <w:tr>
        <w:trPr>
          <w:trHeight w:val="342" w:hRule="exact"/>
        </w:trPr>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9"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684,897,755.79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715,974,866.79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公司实物销售收入是否大于劳务收入</w:t>
      </w:r>
    </w:p>
    <w:p>
      <w:pPr>
        <w:pStyle w:val="BodyText"/>
        <w:spacing w:line="340" w:lineRule="auto" w:before="116"/>
        <w:ind w:right="8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3"/>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21,146,482.88</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成本" w:id="22"/>
      <w:bookmarkEnd w:id="22"/>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28"/>
        <w:gridCol w:w="1027"/>
        <w:gridCol w:w="1562"/>
        <w:gridCol w:w="1743"/>
        <w:gridCol w:w="1562"/>
        <w:gridCol w:w="1743"/>
        <w:gridCol w:w="967"/>
      </w:tblGrid>
      <w:tr>
        <w:trPr>
          <w:trHeight w:val="402" w:hRule="exact"/>
        </w:trPr>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3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028"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9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215,592,158.39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4" w:right="0"/>
              <w:jc w:val="left"/>
              <w:rPr>
                <w:rFonts w:ascii="Times New Roman" w:hAnsi="Times New Roman" w:cs="Times New Roman" w:eastAsia="Times New Roman" w:hint="default"/>
                <w:sz w:val="18"/>
                <w:szCs w:val="18"/>
              </w:rPr>
            </w:pPr>
            <w:r>
              <w:rPr>
                <w:rFonts w:ascii="Times New Roman"/>
                <w:sz w:val="18"/>
              </w:rPr>
              <w:t>100.00%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254,648,796.64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-15.34%</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8"/>
        <w:gridCol w:w="1766"/>
        <w:gridCol w:w="1246"/>
        <w:gridCol w:w="1387"/>
        <w:gridCol w:w="1246"/>
        <w:gridCol w:w="1387"/>
        <w:gridCol w:w="818"/>
      </w:tblGrid>
      <w:tr>
        <w:trPr>
          <w:trHeight w:val="402" w:hRule="exact"/>
        </w:trPr>
        <w:tc>
          <w:tcPr>
            <w:tcW w:w="1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68" w:type="dxa"/>
            <w:vMerge/>
            <w:tcBorders>
              <w:left w:val="single" w:sz="4" w:space="0" w:color="000000"/>
              <w:bottom w:val="single" w:sz="4" w:space="0" w:color="000000"/>
              <w:right w:val="single" w:sz="4" w:space="0" w:color="000000"/>
            </w:tcBorders>
            <w:shd w:val="clear" w:color="auto" w:fill="D2D2D2"/>
          </w:tcPr>
          <w:p>
            <w:pPr/>
          </w:p>
        </w:tc>
        <w:tc>
          <w:tcPr>
            <w:tcW w:w="1766" w:type="dxa"/>
            <w:vMerge/>
            <w:tcBorders>
              <w:left w:val="single" w:sz="4" w:space="0" w:color="000000"/>
              <w:bottom w:val="single" w:sz="4" w:space="0" w:color="000000"/>
              <w:right w:val="single" w:sz="4" w:space="0" w:color="000000"/>
            </w:tcBorders>
            <w:shd w:val="clear" w:color="auto" w:fill="D2D2D2"/>
          </w:tcPr>
          <w:p>
            <w:pP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8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78,197,868.09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113,562,428.06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-31.14%</w:t>
            </w: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44,531,969.74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41,400,630.67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海外互联网综合业务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海外互联网综合业务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82,002,467.49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89,134,236.32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10,859,853.07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10,551,501.59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w:t>
            </w:r>
          </w:p>
        </w:tc>
      </w:tr>
      <w:tr>
        <w:trPr>
          <w:trHeight w:val="41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215,592,158.39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254,648,796.64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-15.34%</w:t>
            </w:r>
          </w:p>
        </w:tc>
      </w:tr>
    </w:tbl>
    <w:p>
      <w:pPr>
        <w:pStyle w:val="BodyText"/>
        <w:spacing w:line="357" w:lineRule="auto" w:before="51"/>
        <w:ind w:left="154" w:right="10392"/>
        <w:jc w:val="left"/>
      </w:pPr>
      <w:r>
        <w:rPr/>
        <w:t>说明 无。</w:t>
      </w:r>
    </w:p>
    <w:p>
      <w:pPr>
        <w:pStyle w:val="BodyText"/>
        <w:spacing w:line="240" w:lineRule="auto" w:before="29"/>
        <w:ind w:left="15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62,056,720.92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28.78%</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费用" w:id="23"/>
      <w:bookmarkEnd w:id="23"/>
      <w:r>
        <w:rPr>
          <w:b w:val="0"/>
          <w:bCs w:val="0"/>
        </w:rPr>
      </w:r>
      <w:r>
        <w:rPr>
          <w:rFonts w:ascii="Times New Roman" w:hAnsi="Times New Roman" w:cs="Times New Roman" w:eastAsia="Times New Roman" w:hint="default"/>
        </w:rPr>
        <w:t>4</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499"/>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192"/>
        <w:jc w:val="right"/>
      </w:pPr>
      <w:r>
        <w:rPr/>
        <w:pict>
          <v:shape style="position:absolute;margin-left:56.34pt;margin-top:-72.448265pt;width:476.05pt;height:90.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274"/>
                    <w:gridCol w:w="1276"/>
                    <w:gridCol w:w="993"/>
                    <w:gridCol w:w="4962"/>
                  </w:tblGrid>
                  <w:tr>
                    <w:trPr>
                      <w:trHeight w:val="36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增减幅度</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6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 w:right="0"/>
                          <w:jc w:val="center"/>
                          <w:rPr>
                            <w:rFonts w:ascii="Times New Roman" w:hAnsi="Times New Roman" w:cs="Times New Roman" w:eastAsia="Times New Roman" w:hint="default"/>
                            <w:sz w:val="18"/>
                            <w:szCs w:val="18"/>
                          </w:rPr>
                        </w:pPr>
                        <w:r>
                          <w:rPr>
                            <w:rFonts w:ascii="Times New Roman"/>
                            <w:sz w:val="18"/>
                          </w:rPr>
                          <w:t>132,502,592.65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 w:right="0"/>
                          <w:jc w:val="center"/>
                          <w:rPr>
                            <w:rFonts w:ascii="Times New Roman" w:hAnsi="Times New Roman" w:cs="Times New Roman" w:eastAsia="Times New Roman" w:hint="default"/>
                            <w:sz w:val="18"/>
                            <w:szCs w:val="18"/>
                          </w:rPr>
                        </w:pPr>
                        <w:r>
                          <w:rPr>
                            <w:rFonts w:ascii="Times New Roman"/>
                            <w:sz w:val="18"/>
                          </w:rPr>
                          <w:t>131,883,358.24</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0.47%</w:t>
                        </w:r>
                      </w:p>
                    </w:tc>
                    <w:tc>
                      <w:tcPr>
                        <w:tcW w:w="4962" w:type="dxa"/>
                        <w:tcBorders>
                          <w:top w:val="single" w:sz="6" w:space="0" w:color="000000"/>
                          <w:left w:val="single" w:sz="6" w:space="0" w:color="000000"/>
                          <w:bottom w:val="single" w:sz="6" w:space="0" w:color="000000"/>
                          <w:right w:val="single" w:sz="6" w:space="0" w:color="000000"/>
                        </w:tcBorders>
                      </w:tcPr>
                      <w:p>
                        <w:pPr/>
                      </w:p>
                    </w:tc>
                  </w:tr>
                  <w:tr>
                    <w:trPr>
                      <w:trHeight w:val="36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 w:right="0"/>
                          <w:jc w:val="center"/>
                          <w:rPr>
                            <w:rFonts w:ascii="Times New Roman" w:hAnsi="Times New Roman" w:cs="Times New Roman" w:eastAsia="Times New Roman" w:hint="default"/>
                            <w:sz w:val="18"/>
                            <w:szCs w:val="18"/>
                          </w:rPr>
                        </w:pPr>
                        <w:r>
                          <w:rPr>
                            <w:rFonts w:ascii="Times New Roman"/>
                            <w:sz w:val="18"/>
                          </w:rPr>
                          <w:t>185,911,579.77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 w:right="0"/>
                          <w:jc w:val="center"/>
                          <w:rPr>
                            <w:rFonts w:ascii="Times New Roman" w:hAnsi="Times New Roman" w:cs="Times New Roman" w:eastAsia="Times New Roman" w:hint="default"/>
                            <w:sz w:val="18"/>
                            <w:szCs w:val="18"/>
                          </w:rPr>
                        </w:pPr>
                        <w:r>
                          <w:rPr>
                            <w:rFonts w:ascii="Times New Roman"/>
                            <w:sz w:val="18"/>
                          </w:rPr>
                          <w:t>191,857,084.23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-3.10%</w:t>
                        </w:r>
                      </w:p>
                    </w:tc>
                    <w:tc>
                      <w:tcPr>
                        <w:tcW w:w="4962"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 w:right="0"/>
                          <w:jc w:val="center"/>
                          <w:rPr>
                            <w:rFonts w:ascii="Times New Roman" w:hAnsi="Times New Roman" w:cs="Times New Roman" w:eastAsia="Times New Roman" w:hint="default"/>
                            <w:sz w:val="18"/>
                            <w:szCs w:val="18"/>
                          </w:rPr>
                        </w:pPr>
                        <w:r>
                          <w:rPr>
                            <w:rFonts w:ascii="Times New Roman"/>
                            <w:sz w:val="18"/>
                          </w:rPr>
                          <w:t>-10,683,981.81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 w:right="0"/>
                          <w:jc w:val="center"/>
                          <w:rPr>
                            <w:rFonts w:ascii="Times New Roman" w:hAnsi="Times New Roman" w:cs="Times New Roman" w:eastAsia="Times New Roman" w:hint="default"/>
                            <w:sz w:val="18"/>
                            <w:szCs w:val="18"/>
                          </w:rPr>
                        </w:pPr>
                        <w:r>
                          <w:rPr>
                            <w:rFonts w:ascii="Times New Roman"/>
                            <w:sz w:val="18"/>
                          </w:rPr>
                          <w:t>-1,911,889.28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458.82%</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本公司利息收入的增加。</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 w:right="0"/>
                          <w:jc w:val="center"/>
                          <w:rPr>
                            <w:rFonts w:ascii="Times New Roman" w:hAnsi="Times New Roman" w:cs="Times New Roman" w:eastAsia="Times New Roman" w:hint="default"/>
                            <w:sz w:val="18"/>
                            <w:szCs w:val="18"/>
                          </w:rPr>
                        </w:pPr>
                        <w:r>
                          <w:rPr>
                            <w:rFonts w:ascii="Times New Roman"/>
                            <w:sz w:val="18"/>
                          </w:rPr>
                          <w:t>8,211,899.15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 w:right="0"/>
                          <w:jc w:val="center"/>
                          <w:rPr>
                            <w:rFonts w:ascii="Times New Roman" w:hAnsi="Times New Roman" w:cs="Times New Roman" w:eastAsia="Times New Roman" w:hint="default"/>
                            <w:sz w:val="18"/>
                            <w:szCs w:val="18"/>
                          </w:rPr>
                        </w:pPr>
                        <w:r>
                          <w:rPr>
                            <w:rFonts w:ascii="Times New Roman"/>
                            <w:sz w:val="18"/>
                          </w:rPr>
                          <w:t>848,148.08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868.22%</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本年度公司下属子公司软件企业免税优惠期结束，进入纳税期</w:t>
                        </w:r>
                      </w:p>
                    </w:tc>
                  </w:tr>
                </w:tbl>
                <w:p>
                  <w:pPr/>
                </w:p>
              </w:txbxContent>
            </v:textbox>
            <w10:wrap type="none"/>
          </v:shape>
        </w:pict>
      </w:r>
      <w:r>
        <w:rPr/>
        <w:t>。</w:t>
      </w: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5、研发支出" w:id="24"/>
      <w:bookmarkEnd w:id="24"/>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180"/>
        <w:gridCol w:w="2726"/>
        <w:gridCol w:w="2592"/>
      </w:tblGrid>
      <w:tr>
        <w:trPr>
          <w:trHeight w:val="364" w:hRule="exact"/>
        </w:trPr>
        <w:tc>
          <w:tcPr>
            <w:tcW w:w="4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64" w:hRule="exact"/>
        </w:trPr>
        <w:tc>
          <w:tcPr>
            <w:tcW w:w="4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研发投入金额（人民币元）</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91,225,993.42</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83,653,505.60</w:t>
            </w:r>
          </w:p>
        </w:tc>
      </w:tr>
      <w:tr>
        <w:trPr>
          <w:trHeight w:val="365" w:hRule="exact"/>
        </w:trPr>
        <w:tc>
          <w:tcPr>
            <w:tcW w:w="4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研发投入占营业收入的比例</w:t>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13.32%</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现金流" w:id="25"/>
      <w:bookmarkEnd w:id="25"/>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422"/>
        <w:gridCol w:w="2268"/>
        <w:gridCol w:w="1913"/>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745,308,179.40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794,146,322.17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544,441,520.48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617,731,396.45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200,866,658.92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176,414,925.72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228,276,306.39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15,485,533.56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1,374.13%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125,352,465.43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367,445,809.96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102,923,840.96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-351,960,276.40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-129.24%</w:t>
            </w:r>
            <w:r>
              <w:rPr>
                <w:rFonts w:ascii="Times New Roman"/>
                <w:sz w:val="18"/>
              </w:rPr>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13,797,630.00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96,942,400.00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71,999,994.30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-83,144,770.00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-71,999,994.30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218,220,778.92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-250,973,518.53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-187.05%</w:t>
            </w:r>
            <w:r>
              <w:rPr>
                <w:rFonts w:ascii="Times New Roman"/>
                <w:sz w:val="18"/>
              </w:rPr>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412" w:lineRule="auto" w:before="103"/>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公司本年投资活动产生的现金流量净额比上年减少了</w:t>
      </w:r>
      <w:r>
        <w:rPr>
          <w:rFonts w:ascii="Times New Roman" w:hAnsi="Times New Roman" w:cs="Times New Roman" w:eastAsia="Times New Roman" w:hint="default"/>
          <w:spacing w:val="-2"/>
        </w:rPr>
        <w:t>129.24%</w:t>
      </w:r>
      <w:r>
        <w:rPr>
          <w:spacing w:val="-2"/>
        </w:rPr>
        <w:t>，其中投资活动现金流入增加</w:t>
      </w:r>
      <w:r>
        <w:rPr>
          <w:rFonts w:ascii="Times New Roman" w:hAnsi="Times New Roman" w:cs="Times New Roman" w:eastAsia="Times New Roman" w:hint="default"/>
          <w:spacing w:val="-2"/>
        </w:rPr>
        <w:t>1,374.13%</w:t>
      </w:r>
      <w:r>
        <w:rPr>
          <w:spacing w:val="-2"/>
        </w:rPr>
        <w:t>，投资活动现金流</w:t>
      </w:r>
    </w:p>
    <w:p>
      <w:pPr>
        <w:pStyle w:val="BodyText"/>
        <w:spacing w:line="451" w:lineRule="auto" w:before="75"/>
        <w:ind w:right="1123"/>
        <w:jc w:val="left"/>
      </w:pPr>
      <w:r>
        <w:rPr/>
        <w:t>出减少</w:t>
      </w:r>
      <w:r>
        <w:rPr>
          <w:rFonts w:ascii="Times New Roman" w:hAnsi="Times New Roman" w:cs="Times New Roman" w:eastAsia="Times New Roman" w:hint="default"/>
        </w:rPr>
        <w:t>65.89%</w:t>
      </w:r>
      <w:r>
        <w:rPr/>
        <w:t>。主要因为公司上年度购买的保本固定收益理财产品到期，赎回投资</w:t>
      </w:r>
      <w:r>
        <w:rPr>
          <w:rFonts w:ascii="Times New Roman" w:hAnsi="Times New Roman" w:cs="Times New Roman" w:eastAsia="Times New Roman" w:hint="default"/>
        </w:rPr>
        <w:t>22,552.00</w:t>
      </w:r>
      <w:r>
        <w:rPr/>
        <w:t>万元，同时，公司本年度增加</w:t>
      </w:r>
      <w:r>
        <w:rPr>
          <w:spacing w:val="-18"/>
        </w:rPr>
        <w:t> </w:t>
      </w:r>
      <w:r>
        <w:rPr>
          <w:spacing w:val="-18"/>
        </w:rPr>
      </w:r>
      <w:r>
        <w:rPr/>
        <w:t>对可随时赎回型理财产品投资</w:t>
      </w:r>
      <w:r>
        <w:rPr>
          <w:rFonts w:ascii="Times New Roman" w:hAnsi="Times New Roman" w:cs="Times New Roman" w:eastAsia="Times New Roman" w:hint="default"/>
        </w:rPr>
        <w:t>3,450</w:t>
      </w:r>
      <w:r>
        <w:rPr/>
        <w:t>万元；公司本年增加对外投资款（其中展动科技（北京）有限公司</w:t>
      </w:r>
      <w:r>
        <w:rPr>
          <w:rFonts w:ascii="Times New Roman" w:hAnsi="Times New Roman" w:cs="Times New Roman" w:eastAsia="Times New Roman" w:hint="default"/>
        </w:rPr>
        <w:t>1,853</w:t>
      </w:r>
      <w:r>
        <w:rPr/>
        <w:t>万元、北京企飞</w:t>
      </w:r>
    </w:p>
    <w:p>
      <w:pPr>
        <w:pStyle w:val="BodyText"/>
        <w:spacing w:line="415" w:lineRule="auto" w:before="43"/>
        <w:ind w:right="2394"/>
        <w:jc w:val="left"/>
      </w:pPr>
      <w:r>
        <w:rPr/>
        <w:t>力网络科技有限公司</w:t>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Yulore Technology</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Limited400</w:t>
      </w:r>
      <w:r>
        <w:rPr/>
        <w:t>万元、支付以前年度投资并购款</w:t>
      </w:r>
      <w:r>
        <w:rPr>
          <w:rFonts w:ascii="Times New Roman" w:hAnsi="Times New Roman" w:cs="Times New Roman" w:eastAsia="Times New Roman" w:hint="default"/>
        </w:rPr>
        <w:t>2,847</w:t>
      </w:r>
      <w:r>
        <w:rPr/>
        <w:t>万元）。 报告期内公司经营活动的现金流量与本年度净利润存在重大差异的原因说明</w:t>
      </w:r>
    </w:p>
    <w:p>
      <w:pPr>
        <w:spacing w:after="0" w:line="415"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3" w:right="0"/>
        <w:jc w:val="left"/>
        <w:rPr>
          <w:b w:val="0"/>
          <w:bCs w:val="0"/>
        </w:rPr>
      </w:pPr>
      <w:bookmarkStart w:name="三、主营业务构成情况" w:id="26"/>
      <w:bookmarkEnd w:id="26"/>
      <w:r>
        <w:rPr>
          <w:b w:val="0"/>
          <w:bCs w:val="0"/>
        </w:rPr>
      </w:r>
      <w:r>
        <w:rPr/>
        <w:t>三、主营业务构成情况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6"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6"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684,897,755.79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215,592,158.39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141,155,087.17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78,197,868.09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170,532,636.54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44,531,969.74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0.38%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海外互联网综 合业务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354,553,879.74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82,002,467.49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18,656,152.34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10,859,853.07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330,343,876.05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133,589,690.90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354,553,879.74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82,002,467.49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3.04%</w:t>
            </w:r>
          </w:p>
        </w:tc>
      </w:tr>
    </w:tbl>
    <w:p>
      <w:pPr>
        <w:pStyle w:val="BodyText"/>
        <w:spacing w:line="240" w:lineRule="auto" w:before="51"/>
        <w:ind w:left="21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3" w:right="0"/>
        <w:jc w:val="left"/>
        <w:rPr>
          <w:b w:val="0"/>
          <w:bCs w:val="0"/>
        </w:rPr>
      </w:pPr>
      <w:bookmarkStart w:name="四、资产、负债状况分析" w:id="27"/>
      <w:bookmarkEnd w:id="27"/>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0"/>
        <w:jc w:val="left"/>
        <w:rPr>
          <w:b w:val="0"/>
          <w:bCs w:val="0"/>
        </w:rPr>
      </w:pPr>
      <w:bookmarkStart w:name="1、资产项目重大变动情况" w:id="28"/>
      <w:bookmarkEnd w:id="28"/>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228"/>
        <w:gridCol w:w="1342"/>
        <w:gridCol w:w="770"/>
        <w:gridCol w:w="1342"/>
        <w:gridCol w:w="800"/>
        <w:gridCol w:w="832"/>
        <w:gridCol w:w="3542"/>
      </w:tblGrid>
      <w:tr>
        <w:trPr>
          <w:trHeight w:val="402" w:hRule="exact"/>
        </w:trPr>
        <w:tc>
          <w:tcPr>
            <w:tcW w:w="1228" w:type="dxa"/>
            <w:vMerge w:val="restart"/>
            <w:tcBorders>
              <w:top w:val="single" w:sz="4" w:space="0" w:color="000000"/>
              <w:left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32" w:type="dxa"/>
            <w:vMerge w:val="restart"/>
            <w:tcBorders>
              <w:top w:val="single" w:sz="4" w:space="0" w:color="000000"/>
              <w:left w:val="single" w:sz="4" w:space="0" w:color="000000"/>
              <w:right w:val="single" w:sz="4" w:space="0" w:color="000000"/>
            </w:tcBorders>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542"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228"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 w:right="10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5" w:right="122"/>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32" w:type="dxa"/>
            <w:vMerge/>
            <w:tcBorders>
              <w:left w:val="single" w:sz="4" w:space="0" w:color="000000"/>
              <w:bottom w:val="single" w:sz="4" w:space="0" w:color="000000"/>
              <w:right w:val="single" w:sz="4" w:space="0" w:color="000000"/>
            </w:tcBorders>
          </w:tcPr>
          <w:p>
            <w:pPr/>
          </w:p>
        </w:tc>
        <w:tc>
          <w:tcPr>
            <w:tcW w:w="3542" w:type="dxa"/>
            <w:vMerge/>
            <w:tcBorders>
              <w:left w:val="single" w:sz="4" w:space="0" w:color="000000"/>
              <w:bottom w:val="single" w:sz="4" w:space="0" w:color="000000"/>
              <w:right w:val="single" w:sz="4" w:space="0" w:color="000000"/>
            </w:tcBorders>
          </w:tcPr>
          <w:p>
            <w:pPr/>
          </w:p>
        </w:tc>
      </w:tr>
      <w:tr>
        <w:trPr>
          <w:trHeight w:val="71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510,293,386.15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291,855,818.55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18.24%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12.03%</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本年公司赎回保本固定收益类理财产品本 金。</w:t>
            </w:r>
          </w:p>
        </w:tc>
      </w:tr>
      <w:tr>
        <w:trPr>
          <w:trHeight w:val="402"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48,448,631.14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43,887,237.12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center"/>
              <w:rPr>
                <w:rFonts w:ascii="Times New Roman" w:hAnsi="Times New Roman" w:cs="Times New Roman" w:eastAsia="Times New Roman" w:hint="default"/>
                <w:sz w:val="18"/>
                <w:szCs w:val="18"/>
              </w:rPr>
            </w:pPr>
            <w:r>
              <w:rPr>
                <w:rFonts w:ascii="Times New Roman"/>
                <w:sz w:val="18"/>
              </w:rPr>
              <w:t>0.13%</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4,838,269.75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10,404,176.01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0.65%</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-0.36%</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本年公司存货交付客户，存货余额减少。</w:t>
            </w:r>
          </w:p>
        </w:tc>
      </w:tr>
      <w:tr>
        <w:trPr>
          <w:trHeight w:val="71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3"/>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34,681,810.41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41,232,445.52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2.58%</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-0.52%</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90,708,327.41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5.38%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88,433,515.21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5.53%</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-0.15%</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本年公司在建工程完工，已转为固定资产。</w:t>
            </w:r>
          </w:p>
        </w:tc>
      </w:tr>
      <w:tr>
        <w:trPr>
          <w:trHeight w:val="402"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4,504,899.17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0.28%</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-0.28%</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本年公司在建工程完工，已转为固定资产。</w:t>
            </w:r>
          </w:p>
        </w:tc>
      </w:tr>
      <w:tr>
        <w:trPr>
          <w:trHeight w:val="402"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14,913,314.96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4,302,090.48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0.27%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center"/>
              <w:rPr>
                <w:rFonts w:ascii="Times New Roman" w:hAnsi="Times New Roman" w:cs="Times New Roman" w:eastAsia="Times New Roman" w:hint="default"/>
                <w:sz w:val="18"/>
                <w:szCs w:val="18"/>
              </w:rPr>
            </w:pPr>
            <w:r>
              <w:rPr>
                <w:rFonts w:ascii="Times New Roman"/>
                <w:sz w:val="18"/>
              </w:rPr>
              <w:t>0.61%</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本年公司支付的业务保证金增加。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228"/>
        <w:gridCol w:w="1342"/>
        <w:gridCol w:w="770"/>
        <w:gridCol w:w="1342"/>
        <w:gridCol w:w="800"/>
        <w:gridCol w:w="832"/>
        <w:gridCol w:w="3542"/>
      </w:tblGrid>
      <w:tr>
        <w:trPr>
          <w:trHeight w:val="71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3"/>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1,035,629.95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219,444,016.43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13.71%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-13.65%</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本年公司赎回保本固定收益类理财产品本 金。</w:t>
            </w:r>
          </w:p>
        </w:tc>
      </w:tr>
      <w:tr>
        <w:trPr>
          <w:trHeight w:val="71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10,804,040.89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5,970,939.51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0.37%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本年公司部分研发项目完工，已转为无形 资产。</w:t>
            </w:r>
          </w:p>
        </w:tc>
      </w:tr>
      <w:tr>
        <w:trPr>
          <w:trHeight w:val="71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3"/>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5,057,791.45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2,374,343.66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0.15%</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0.15%</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本年公司下属子公司累计亏损而产生的可 抵扣暂时性差异。</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2、负债项目重大变动情况" w:id="29"/>
      <w:bookmarkEnd w:id="29"/>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21,634,023.93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31,937,931.87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本年度公司支付上年度奖金，公司计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提本年奖金较上年减少。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4,686,352.63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-3,299,708.74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本年度公司下属子公司软件企业免 税优惠期结束，进入纳税期。</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34,147,364.37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58,299,773.55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本年度公司支付以前年度投资款。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7,662,015.67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本年度公司新增的与资产相关的政 府补助。</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3、以公允价值计量的资产和负债" w:id="30"/>
      <w:bookmarkEnd w:id="30"/>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199"/>
        <w:gridCol w:w="1195"/>
        <w:gridCol w:w="1196"/>
        <w:gridCol w:w="1194"/>
        <w:gridCol w:w="1198"/>
        <w:gridCol w:w="1197"/>
        <w:gridCol w:w="1194"/>
        <w:gridCol w:w="1195"/>
      </w:tblGrid>
      <w:tr>
        <w:trPr>
          <w:trHeight w:val="161" w:hRule="exact"/>
        </w:trPr>
        <w:tc>
          <w:tcPr>
            <w:tcW w:w="1199"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FFFFFF"/>
            </w:tcBorders>
            <w:shd w:val="clear" w:color="auto" w:fill="D2D2D2"/>
          </w:tcPr>
          <w:p>
            <w:pPr/>
          </w:p>
        </w:tc>
        <w:tc>
          <w:tcPr>
            <w:tcW w:w="1196" w:type="dxa"/>
            <w:tcBorders>
              <w:top w:val="single" w:sz="4" w:space="0" w:color="000000"/>
              <w:left w:val="single" w:sz="4" w:space="0" w:color="FFFFFF"/>
              <w:bottom w:val="nil" w:sz="6" w:space="0" w:color="auto"/>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1"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9"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FFFFFF"/>
            </w:tcBorders>
            <w:shd w:val="clear" w:color="auto" w:fill="D2D2D2"/>
          </w:tcPr>
          <w:p>
            <w:pPr/>
          </w:p>
        </w:tc>
        <w:tc>
          <w:tcPr>
            <w:tcW w:w="119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32" w:right="5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4"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03"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97"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196" w:type="dxa"/>
            <w:vMerge/>
            <w:tcBorders>
              <w:left w:val="single" w:sz="4" w:space="0" w:color="FFFFFF"/>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9"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FFFFFF"/>
            </w:tcBorders>
            <w:shd w:val="clear" w:color="auto" w:fill="D2D2D2"/>
          </w:tcPr>
          <w:p>
            <w:pPr/>
          </w:p>
        </w:tc>
        <w:tc>
          <w:tcPr>
            <w:tcW w:w="1196" w:type="dxa"/>
            <w:vMerge/>
            <w:tcBorders>
              <w:left w:val="single" w:sz="4" w:space="0" w:color="FFFFFF"/>
              <w:bottom w:val="nil" w:sz="6" w:space="0" w:color="auto"/>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99"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FFFFFF"/>
            </w:tcBorders>
            <w:shd w:val="clear" w:color="auto" w:fill="D2D2D2"/>
          </w:tcPr>
          <w:p>
            <w:pPr/>
          </w:p>
        </w:tc>
        <w:tc>
          <w:tcPr>
            <w:tcW w:w="119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195"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16,310,800.00</w:t>
            </w:r>
          </w:p>
        </w:tc>
        <w:tc>
          <w:tcPr>
            <w:tcW w:w="1196" w:type="dxa"/>
            <w:tcBorders>
              <w:top w:val="single" w:sz="4" w:space="0" w:color="000000"/>
              <w:left w:val="single" w:sz="4" w:space="0" w:color="FFFFFF"/>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35,879,893.97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3,921,669.12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56,112,363.09</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5"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16,310,800.00</w:t>
            </w:r>
          </w:p>
        </w:tc>
        <w:tc>
          <w:tcPr>
            <w:tcW w:w="1196" w:type="dxa"/>
            <w:tcBorders>
              <w:top w:val="single" w:sz="4" w:space="0" w:color="000000"/>
              <w:left w:val="single" w:sz="4" w:space="0" w:color="FFFFFF"/>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35,879,893.97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3,921,669.12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56,112,363.09</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5"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16,310,800.00</w:t>
            </w:r>
          </w:p>
        </w:tc>
        <w:tc>
          <w:tcPr>
            <w:tcW w:w="1196" w:type="dxa"/>
            <w:tcBorders>
              <w:top w:val="single" w:sz="4" w:space="0" w:color="000000"/>
              <w:left w:val="single" w:sz="4" w:space="0" w:color="FFFFFF"/>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35,879,893.97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3,921,669.12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56,112,363.09</w:t>
            </w:r>
          </w:p>
        </w:tc>
      </w:tr>
    </w:tbl>
    <w:p>
      <w:pPr>
        <w:pStyle w:val="BodyText"/>
        <w:spacing w:line="240" w:lineRule="auto" w:before="51"/>
        <w:ind w:left="214" w:right="0"/>
        <w:jc w:val="left"/>
      </w:pPr>
      <w:r>
        <w:rPr/>
        <w:t>报告期内公司主要资产计量属性是否发生重大变化</w:t>
      </w:r>
    </w:p>
    <w:p>
      <w:pPr>
        <w:pStyle w:val="BodyText"/>
        <w:spacing w:line="240" w:lineRule="auto" w:before="117"/>
        <w:ind w:left="21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31"/>
      <w:bookmarkEnd w:id="31"/>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2"/>
      <w:bookmarkEnd w:id="32"/>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3"/>
      <w:bookmarkEnd w:id="33"/>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85,466,044.28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北京企飞力网络科技有限公司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因特网信息服务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委托理财、衍生品投资和委托贷款情况" w:id="34"/>
      <w:bookmarkEnd w:id="34"/>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35"/>
      <w:bookmarkEnd w:id="3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425"/>
        <w:gridCol w:w="551"/>
        <w:gridCol w:w="739"/>
        <w:gridCol w:w="807"/>
        <w:gridCol w:w="809"/>
        <w:gridCol w:w="809"/>
        <w:gridCol w:w="551"/>
        <w:gridCol w:w="1058"/>
        <w:gridCol w:w="1045"/>
        <w:gridCol w:w="630"/>
        <w:gridCol w:w="940"/>
      </w:tblGrid>
      <w:tr>
        <w:trPr>
          <w:trHeight w:val="102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6"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9" w:right="89"/>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3" w:right="9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9"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9" w:right="89"/>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3" w:right="72"/>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0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厦门国际银行 北京分行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r>
      <w:tr>
        <w:trPr>
          <w:trHeight w:val="71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4"/>
              <w:jc w:val="left"/>
              <w:rPr>
                <w:rFonts w:ascii="宋体" w:hAnsi="宋体" w:cs="宋体" w:eastAsia="宋体" w:hint="default"/>
                <w:sz w:val="18"/>
                <w:szCs w:val="18"/>
              </w:rPr>
            </w:pPr>
            <w:r>
              <w:rPr>
                <w:rFonts w:ascii="宋体" w:hAnsi="宋体" w:cs="宋体" w:eastAsia="宋体" w:hint="default"/>
                <w:sz w:val="18"/>
                <w:szCs w:val="18"/>
              </w:rPr>
              <w:t>每日可 赎回理</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56"/>
              <w:jc w:val="left"/>
              <w:rPr>
                <w:rFonts w:ascii="宋体" w:hAnsi="宋体" w:cs="宋体" w:eastAsia="宋体" w:hint="default"/>
                <w:sz w:val="18"/>
                <w:szCs w:val="18"/>
              </w:rPr>
            </w:pPr>
            <w:r>
              <w:rPr>
                <w:rFonts w:ascii="宋体" w:hAnsi="宋体" w:cs="宋体" w:eastAsia="宋体" w:hint="default"/>
                <w:sz w:val="18"/>
                <w:szCs w:val="18"/>
              </w:rPr>
              <w:t>保本 浮动</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425"/>
        <w:gridCol w:w="551"/>
        <w:gridCol w:w="739"/>
        <w:gridCol w:w="807"/>
        <w:gridCol w:w="809"/>
        <w:gridCol w:w="809"/>
        <w:gridCol w:w="551"/>
        <w:gridCol w:w="1058"/>
        <w:gridCol w:w="1045"/>
        <w:gridCol w:w="630"/>
        <w:gridCol w:w="940"/>
      </w:tblGrid>
      <w:tr>
        <w:trPr>
          <w:trHeight w:val="362" w:hRule="exact"/>
        </w:trPr>
        <w:tc>
          <w:tcPr>
            <w:tcW w:w="130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0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9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中国农业银行 股份有限公司 惠新里支行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425"/>
        <w:gridCol w:w="551"/>
        <w:gridCol w:w="739"/>
        <w:gridCol w:w="807"/>
        <w:gridCol w:w="809"/>
        <w:gridCol w:w="809"/>
        <w:gridCol w:w="551"/>
        <w:gridCol w:w="1058"/>
        <w:gridCol w:w="1045"/>
        <w:gridCol w:w="630"/>
        <w:gridCol w:w="940"/>
      </w:tblGrid>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中国农业银行 股份有限公司 惠新里支行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中国农业银行 股份有限公司 惠新里支行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2,709</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8.83</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中国农业银行 股份有限公司 惠新里支行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0.71</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1,786</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招商银行北京</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每日可</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425"/>
        <w:gridCol w:w="551"/>
        <w:gridCol w:w="739"/>
        <w:gridCol w:w="807"/>
        <w:gridCol w:w="809"/>
        <w:gridCol w:w="809"/>
        <w:gridCol w:w="551"/>
        <w:gridCol w:w="1058"/>
        <w:gridCol w:w="1045"/>
        <w:gridCol w:w="630"/>
        <w:gridCol w:w="940"/>
      </w:tblGrid>
      <w:tr>
        <w:trPr>
          <w:trHeight w:val="67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4"/>
              <w:jc w:val="left"/>
              <w:rPr>
                <w:rFonts w:ascii="宋体" w:hAnsi="宋体" w:cs="宋体" w:eastAsia="宋体" w:hint="default"/>
                <w:sz w:val="18"/>
                <w:szCs w:val="18"/>
              </w:rPr>
            </w:pPr>
            <w:r>
              <w:rPr>
                <w:rFonts w:ascii="宋体" w:hAnsi="宋体" w:cs="宋体" w:eastAsia="宋体" w:hint="default"/>
                <w:sz w:val="18"/>
                <w:szCs w:val="18"/>
              </w:rPr>
              <w:t>赎回理 财产品</w:t>
            </w:r>
          </w:p>
        </w:tc>
        <w:tc>
          <w:tcPr>
            <w:tcW w:w="80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4.11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公司黄寺支行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4"/>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保收 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招商银行北京 朝阳门支行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每日可 赎回理 财产品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850</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3"/>
                <w:sz w:val="18"/>
              </w:rPr>
              <w:t>111,007</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111,007</w:t>
            </w:r>
          </w:p>
        </w:tc>
        <w:tc>
          <w:tcPr>
            <w:tcW w:w="1045"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119.92</w:t>
            </w:r>
          </w:p>
        </w:tc>
      </w:tr>
      <w:tr>
        <w:trPr>
          <w:trHeight w:val="402" w:hRule="exact"/>
        </w:trPr>
        <w:tc>
          <w:tcPr>
            <w:tcW w:w="30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6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募集资金及自有资金</w:t>
            </w:r>
          </w:p>
        </w:tc>
      </w:tr>
      <w:tr>
        <w:trPr>
          <w:trHeight w:val="402" w:hRule="exact"/>
        </w:trPr>
        <w:tc>
          <w:tcPr>
            <w:tcW w:w="30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6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6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6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0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648"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主要子公司、参股公司分析" w:id="36"/>
      <w:bookmarkEnd w:id="36"/>
      <w:r>
        <w:rPr>
          <w:b w:val="0"/>
          <w:bCs w:val="0"/>
        </w:rPr>
      </w:r>
      <w:r>
        <w:rPr>
          <w:rFonts w:ascii="Times New Roman" w:hAnsi="Times New Roman" w:cs="Times New Roman" w:eastAsia="Times New Roman" w:hint="default"/>
        </w:rPr>
        <w:t>3</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北京二六三 企业通信有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z w:val="18"/>
                <w:szCs w:val="18"/>
              </w:rPr>
              <w:t>信息传输、 软件和信息 技术服务业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企业通信服 务（企业邮 箱、</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 通信）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304,293,929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108,486,990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164,176,922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46,036,594.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41,096,504.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北京二六三 网络科技有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VoIP</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IPTV</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1,011,889,0</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01.50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816,933,629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358,528,292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114,427,244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118,982,358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上海二六三 通信有限公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增值通信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106,158,493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64,429,073.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143,942,438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14,130,603.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16,681,300.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公司未来发展的展望" w:id="37"/>
      <w:bookmarkEnd w:id="37"/>
      <w:r>
        <w:rPr>
          <w:b w:val="0"/>
          <w:bCs w:val="0"/>
        </w:rPr>
      </w:r>
      <w:r>
        <w:rPr/>
        <w:t>六、公司未来发展的展望</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78" w:right="0"/>
        <w:jc w:val="left"/>
      </w:pPr>
      <w:r>
        <w:rPr/>
        <w:t>（一）公司整体战略 公司是一家运用互联网技术和转售方式为企业和个人提供虚拟运营通信服务的新型通信服务商。在企业客户市场，公</w:t>
      </w:r>
    </w:p>
    <w:p>
      <w:pPr>
        <w:pStyle w:val="BodyText"/>
        <w:spacing w:line="477" w:lineRule="auto" w:before="54"/>
        <w:ind w:right="1033"/>
        <w:jc w:val="left"/>
      </w:pPr>
      <w:r>
        <w:rPr>
          <w:spacing w:val="-2"/>
        </w:rPr>
        <w:t>司为国内各类企业提供云统一通信服务，致力于成为中国领先的企业通信服务商；在个人客户市场，公司在为海外华人家庭</w:t>
      </w:r>
      <w:r>
        <w:rPr>
          <w:spacing w:val="-66"/>
        </w:rPr>
        <w:t> </w:t>
      </w:r>
      <w:r>
        <w:rPr>
          <w:spacing w:val="-66"/>
        </w:rPr>
      </w:r>
      <w:r>
        <w:rPr/>
        <w:t>提供互联网综合通信服务的基础上，将面向全球商旅华人和海外华人开展移动通信服务，致力于成为全球华人通信服务商。</w:t>
      </w:r>
    </w:p>
    <w:p>
      <w:pPr>
        <w:pStyle w:val="BodyText"/>
        <w:spacing w:line="477" w:lineRule="auto" w:before="54"/>
        <w:ind w:left="578" w:right="0"/>
        <w:jc w:val="left"/>
      </w:pPr>
      <w:r>
        <w:rPr/>
        <w:t>（二）行业发展趋势 </w:t>
      </w:r>
      <w:r>
        <w:rPr>
          <w:spacing w:val="-3"/>
        </w:rPr>
        <w:t>中国（移动）互联网迅猛发展。根据</w:t>
      </w:r>
      <w:r>
        <w:rPr>
          <w:rFonts w:ascii="Times New Roman" w:hAnsi="Times New Roman" w:cs="Times New Roman" w:eastAsia="Times New Roman" w:hint="default"/>
          <w:spacing w:val="-3"/>
        </w:rPr>
        <w:t>CNNIC</w:t>
      </w:r>
      <w:r>
        <w:rPr>
          <w:spacing w:val="-3"/>
        </w:rPr>
        <w:t>的报告，截至</w:t>
      </w:r>
      <w:r>
        <w:rPr>
          <w:rFonts w:ascii="Times New Roman" w:hAnsi="Times New Roman" w:cs="Times New Roman" w:eastAsia="Times New Roman" w:hint="default"/>
          <w:spacing w:val="-3"/>
        </w:rPr>
        <w:t>2014</w:t>
      </w:r>
      <w:r>
        <w:rPr>
          <w:spacing w:val="-3"/>
        </w:rPr>
        <w:t>年末，中国网民数量已达</w:t>
      </w:r>
      <w:r>
        <w:rPr>
          <w:rFonts w:ascii="Times New Roman" w:hAnsi="Times New Roman" w:cs="Times New Roman" w:eastAsia="Times New Roman" w:hint="default"/>
          <w:spacing w:val="-3"/>
        </w:rPr>
        <w:t>6.48</w:t>
      </w:r>
      <w:r>
        <w:rPr>
          <w:spacing w:val="-3"/>
        </w:rPr>
        <w:t>亿，互联网普及率达</w:t>
      </w:r>
      <w:r>
        <w:rPr>
          <w:rFonts w:ascii="Times New Roman" w:hAnsi="Times New Roman" w:cs="Times New Roman" w:eastAsia="Times New Roman" w:hint="default"/>
          <w:spacing w:val="-3"/>
        </w:rPr>
        <w:t>47.9%</w:t>
      </w:r>
      <w:r>
        <w:rPr>
          <w:spacing w:val="-3"/>
        </w:rPr>
        <w:t>，</w:t>
      </w:r>
    </w:p>
    <w:p>
      <w:pPr>
        <w:pStyle w:val="BodyText"/>
        <w:spacing w:line="451" w:lineRule="auto" w:before="21"/>
        <w:ind w:left="578" w:right="0" w:hanging="425"/>
        <w:jc w:val="left"/>
      </w:pPr>
      <w:r>
        <w:rPr/>
        <w:t>其中手机网民达到</w:t>
      </w:r>
      <w:r>
        <w:rPr>
          <w:rFonts w:ascii="Times New Roman" w:hAnsi="Times New Roman" w:cs="Times New Roman" w:eastAsia="Times New Roman" w:hint="default"/>
        </w:rPr>
        <w:t>5.56</w:t>
      </w:r>
      <w:r>
        <w:rPr/>
        <w:t>亿，占整体网民数量的</w:t>
      </w:r>
      <w:r>
        <w:rPr>
          <w:rFonts w:ascii="Times New Roman" w:hAnsi="Times New Roman" w:cs="Times New Roman" w:eastAsia="Times New Roman" w:hint="default"/>
        </w:rPr>
        <w:t>85.8%</w:t>
      </w:r>
      <w:r>
        <w:rPr/>
        <w:t>。 产业互联网时代的到来和企业的互联网化趋势。过去</w:t>
      </w:r>
      <w:r>
        <w:rPr>
          <w:rFonts w:ascii="Times New Roman" w:hAnsi="Times New Roman" w:cs="Times New Roman" w:eastAsia="Times New Roman" w:hint="default"/>
        </w:rPr>
        <w:t>20</w:t>
      </w:r>
      <w:r>
        <w:rPr/>
        <w:t>年，中国互联网的发展主要针对个人用户，提升人们消费过程</w:t>
      </w:r>
    </w:p>
    <w:p>
      <w:pPr>
        <w:pStyle w:val="BodyText"/>
        <w:spacing w:line="477" w:lineRule="auto" w:before="44"/>
        <w:ind w:right="0"/>
        <w:jc w:val="left"/>
      </w:pPr>
      <w:r>
        <w:rPr>
          <w:spacing w:val="-2"/>
        </w:rPr>
        <w:t>的体验，改变人们的消费行为和消费环境，即消费互联网的时代。随着智能手机和平板电脑等智能移动终端的迅速兴起和普</w:t>
      </w:r>
      <w:r>
        <w:rPr>
          <w:spacing w:val="-66"/>
        </w:rPr>
        <w:t> </w:t>
      </w:r>
      <w:r>
        <w:rPr>
          <w:spacing w:val="-66"/>
        </w:rPr>
      </w:r>
      <w:r>
        <w:rPr>
          <w:spacing w:val="-2"/>
        </w:rPr>
        <w:t>及、云计算和大数据处理能力的不断提升、宽带网络的不断升级，互联网逐渐从改变消费者的个体行为习惯，转为改变企业</w:t>
      </w:r>
      <w:r>
        <w:rPr>
          <w:spacing w:val="-66"/>
        </w:rPr>
        <w:t> </w:t>
      </w:r>
      <w:r>
        <w:rPr>
          <w:spacing w:val="-66"/>
        </w:rPr>
      </w:r>
      <w:r>
        <w:rPr>
          <w:spacing w:val="-4"/>
        </w:rPr>
        <w:t>的运作管理方式和服务模式，中国互联网的发展正从消费互联网时代过渡到产业互联网时代。产业互联网以企业为主要用户，</w:t>
      </w:r>
      <w:r>
        <w:rPr>
          <w:spacing w:val="-44"/>
        </w:rPr>
        <w:t> </w:t>
      </w:r>
      <w:r>
        <w:rPr>
          <w:spacing w:val="-44"/>
        </w:rPr>
      </w:r>
      <w:r>
        <w:rPr>
          <w:spacing w:val="-2"/>
        </w:rPr>
        <w:t>通过在生产、交易、流通、融资等环节的互联网技术渗透从而达到提升生产、交易和资源配置效率的作用。产业互联网的到</w:t>
      </w:r>
      <w:r>
        <w:rPr>
          <w:spacing w:val="-66"/>
        </w:rPr>
        <w:t> </w:t>
      </w:r>
      <w:r>
        <w:rPr>
          <w:spacing w:val="-66"/>
        </w:rPr>
      </w:r>
      <w:r>
        <w:rPr>
          <w:spacing w:val="-2"/>
        </w:rPr>
        <w:t>来意味着企业的互联网化，即：各行业的企业与互联网融合，在管理和服务中更多更深地应用互联网技术，为消费者提供更</w:t>
      </w:r>
      <w:r>
        <w:rPr>
          <w:spacing w:val="-66"/>
        </w:rPr>
        <w:t> </w:t>
      </w:r>
      <w:r>
        <w:rPr>
          <w:spacing w:val="-66"/>
        </w:rPr>
      </w:r>
      <w:r>
        <w:rPr>
          <w:spacing w:val="-2"/>
        </w:rPr>
        <w:t>好的服务体验，提升企业运营效率，创造出更高价值的产业形态。公司长期专注于企业客户市场，企业互联网化的趋势必将</w:t>
      </w:r>
      <w:r>
        <w:rPr>
          <w:spacing w:val="-66"/>
        </w:rPr>
        <w:t> </w:t>
      </w:r>
      <w:r>
        <w:rPr>
          <w:spacing w:val="-66"/>
        </w:rPr>
      </w:r>
      <w:r>
        <w:rPr/>
        <w:t>为公司企业业务带来大量的潜在客户和提供丰富崭新的市场机会。</w:t>
      </w:r>
    </w:p>
    <w:p>
      <w:pPr>
        <w:pStyle w:val="BodyText"/>
        <w:spacing w:line="463" w:lineRule="auto" w:before="54"/>
        <w:ind w:right="1074" w:firstLine="424"/>
        <w:jc w:val="both"/>
      </w:pPr>
      <w:r>
        <w:rPr/>
        <w:t>通信服务业体量巨大且日趋开放。根据工信部《</w:t>
      </w:r>
      <w:r>
        <w:rPr>
          <w:rFonts w:ascii="Times New Roman" w:hAnsi="Times New Roman" w:cs="Times New Roman" w:eastAsia="Times New Roman" w:hint="default"/>
        </w:rPr>
        <w:t>2014</w:t>
      </w:r>
      <w:r>
        <w:rPr/>
        <w:t>年通信运营业统计公报》，</w:t>
      </w:r>
      <w:r>
        <w:rPr>
          <w:rFonts w:ascii="Times New Roman" w:hAnsi="Times New Roman" w:cs="Times New Roman" w:eastAsia="Times New Roman" w:hint="default"/>
        </w:rPr>
        <w:t>2014</w:t>
      </w:r>
      <w:r>
        <w:rPr/>
        <w:t>年电信业务收入为</w:t>
      </w:r>
      <w:r>
        <w:rPr>
          <w:rFonts w:ascii="Times New Roman" w:hAnsi="Times New Roman" w:cs="Times New Roman" w:eastAsia="Times New Roman" w:hint="default"/>
        </w:rPr>
        <w:t>11,541.1</w:t>
      </w:r>
      <w:r>
        <w:rPr/>
        <w:t>亿元， 按可比口径测算同比增长</w:t>
      </w:r>
      <w:r>
        <w:rPr>
          <w:rFonts w:ascii="Times New Roman" w:hAnsi="Times New Roman" w:cs="Times New Roman" w:eastAsia="Times New Roman" w:hint="default"/>
        </w:rPr>
        <w:t>3.6%</w:t>
      </w:r>
      <w:r>
        <w:rPr/>
        <w:t>，其中话音收入和非话收入占比分别为</w:t>
      </w:r>
      <w:r>
        <w:rPr>
          <w:rFonts w:ascii="Times New Roman" w:hAnsi="Times New Roman" w:cs="Times New Roman" w:eastAsia="Times New Roman" w:hint="default"/>
        </w:rPr>
        <w:t>41.8%</w:t>
      </w:r>
      <w:r>
        <w:rPr/>
        <w:t>和</w:t>
      </w:r>
      <w:r>
        <w:rPr>
          <w:rFonts w:ascii="Times New Roman" w:hAnsi="Times New Roman" w:cs="Times New Roman" w:eastAsia="Times New Roman" w:hint="default"/>
        </w:rPr>
        <w:t>58.2%</w:t>
      </w:r>
      <w:r>
        <w:rPr/>
        <w:t>。截至</w:t>
      </w:r>
      <w:r>
        <w:rPr>
          <w:rFonts w:ascii="Times New Roman" w:hAnsi="Times New Roman" w:cs="Times New Roman" w:eastAsia="Times New Roman" w:hint="default"/>
        </w:rPr>
        <w:t>2014</w:t>
      </w:r>
      <w:r>
        <w:rPr/>
        <w:t>年末，全国电话用户总数达</w:t>
      </w:r>
      <w:r>
        <w:rPr>
          <w:spacing w:val="-49"/>
        </w:rPr>
        <w:t> </w:t>
      </w:r>
      <w:r>
        <w:rPr>
          <w:spacing w:val="-49"/>
        </w:rPr>
      </w:r>
      <w:r>
        <w:rPr/>
        <w:t>到</w:t>
      </w:r>
      <w:r>
        <w:rPr>
          <w:rFonts w:ascii="Times New Roman" w:hAnsi="Times New Roman" w:cs="Times New Roman" w:eastAsia="Times New Roman" w:hint="default"/>
        </w:rPr>
        <w:t>15.36</w:t>
      </w:r>
      <w:r>
        <w:rPr/>
        <w:t>亿户，其中，移动电话用户总数达</w:t>
      </w:r>
      <w:r>
        <w:rPr>
          <w:rFonts w:ascii="Times New Roman" w:hAnsi="Times New Roman" w:cs="Times New Roman" w:eastAsia="Times New Roman" w:hint="default"/>
        </w:rPr>
        <w:t>12.86</w:t>
      </w:r>
      <w:r>
        <w:rPr/>
        <w:t>亿户，固定电话用户总数</w:t>
      </w:r>
      <w:r>
        <w:rPr>
          <w:rFonts w:ascii="Times New Roman" w:hAnsi="Times New Roman" w:cs="Times New Roman" w:eastAsia="Times New Roman" w:hint="default"/>
        </w:rPr>
        <w:t>2.49</w:t>
      </w:r>
      <w:r>
        <w:rPr/>
        <w:t>亿户。在扩大信息消费、拉动国内有效需求、</w:t>
      </w:r>
      <w:r>
        <w:rPr>
          <w:spacing w:val="-48"/>
        </w:rPr>
        <w:t> </w:t>
      </w:r>
      <w:r>
        <w:rPr>
          <w:spacing w:val="-48"/>
        </w:rPr>
      </w:r>
      <w:r>
        <w:rPr>
          <w:spacing w:val="-2"/>
        </w:rPr>
        <w:t>推动经济转型升级、推进电信业深化改革开放的政策背景下，行业主管部门近年来出台了一系列电信行业开放政策，特别是</w:t>
      </w:r>
      <w:r>
        <w:rPr>
          <w:spacing w:val="-66"/>
        </w:rPr>
        <w:t> </w:t>
      </w:r>
      <w:r>
        <w:rPr>
          <w:spacing w:val="-66"/>
        </w:rPr>
      </w:r>
      <w:r>
        <w:rPr>
          <w:spacing w:val="-2"/>
        </w:rPr>
        <w:t>开展移动通信转售业务试点政策的推出，标志着体量巨大的基础通信业务开始对民间资本开放。公司在报告期内获得移动通</w:t>
      </w:r>
      <w:r>
        <w:rPr>
          <w:spacing w:val="-64"/>
        </w:rPr>
        <w:t> </w:t>
      </w:r>
      <w:r>
        <w:rPr>
          <w:spacing w:val="-64"/>
        </w:rPr>
      </w:r>
      <w:r>
        <w:rPr>
          <w:spacing w:val="-2"/>
        </w:rPr>
        <w:t>信转售业务试点资质，加上公司在报告期内对典型大企业客户基础通信整体解决方案的模式验证和能力构建基本完成，公司</w:t>
      </w:r>
      <w:r>
        <w:rPr>
          <w:spacing w:val="-64"/>
        </w:rPr>
        <w:t> </w:t>
      </w:r>
      <w:r>
        <w:rPr>
          <w:spacing w:val="-64"/>
        </w:rPr>
      </w:r>
      <w:r>
        <w:rPr/>
        <w:t>得以进入企业基础语音服务这一规模巨大的市场。</w:t>
      </w:r>
    </w:p>
    <w:p>
      <w:pPr>
        <w:pStyle w:val="BodyText"/>
        <w:spacing w:line="240" w:lineRule="auto" w:before="65"/>
        <w:ind w:left="578" w:right="0"/>
        <w:jc w:val="left"/>
      </w:pPr>
      <w:r>
        <w:rPr/>
        <w:t>通信服务市场整体竞争激烈，特别是在标准化、普遍化服务的领域。而在细分市场，由于基础运营商管理架构、业务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流程等方面的原因，客户需求却未被很好地满足甚至被压抑，特别是企业的通信需求，以及移民、留学、出境商旅人群的移</w:t>
      </w:r>
      <w:r>
        <w:rPr>
          <w:spacing w:val="-66"/>
        </w:rPr>
        <w:t> </w:t>
      </w:r>
      <w:r>
        <w:rPr>
          <w:spacing w:val="-66"/>
        </w:rPr>
      </w:r>
      <w:r>
        <w:rPr/>
        <w:t>动通信需求，这为公司在细分市场开展虚拟运营通信服务提供了广阔的市场空间。</w:t>
      </w:r>
    </w:p>
    <w:p>
      <w:pPr>
        <w:pStyle w:val="BodyText"/>
        <w:spacing w:line="477" w:lineRule="auto" w:before="54"/>
        <w:ind w:left="578" w:right="0"/>
        <w:jc w:val="left"/>
      </w:pPr>
      <w:r>
        <w:rPr/>
        <w:t>（三）公司企业通信业务战略。 企业互联网化已形成趋势，企业在互联网化的过程中会将企业内部的业务和信息资源同互联网相连，将互联网广泛应</w:t>
      </w:r>
    </w:p>
    <w:p>
      <w:pPr>
        <w:pStyle w:val="BodyText"/>
        <w:spacing w:line="477" w:lineRule="auto" w:before="54"/>
        <w:ind w:right="0"/>
        <w:jc w:val="left"/>
      </w:pPr>
      <w:r>
        <w:rPr>
          <w:spacing w:val="-2"/>
        </w:rPr>
        <w:t>用于企业内部的管理业务和业务流程，并会越来越多地利用互联网来为企业内外部的商务活动提速增效；随着信息技术和互</w:t>
      </w:r>
      <w:r>
        <w:rPr>
          <w:spacing w:val="-64"/>
        </w:rPr>
        <w:t> </w:t>
      </w:r>
      <w:r>
        <w:rPr>
          <w:spacing w:val="-64"/>
        </w:rPr>
      </w:r>
      <w:r>
        <w:rPr>
          <w:spacing w:val="-4"/>
        </w:rPr>
        <w:t>联网技术的发展，智能手机和平板电脑等智能移动终端的迅速普及，企业规模扩张引致的团队分散在全国甚至全球各地办公，</w:t>
      </w:r>
      <w:r>
        <w:rPr>
          <w:spacing w:val="-44"/>
        </w:rPr>
        <w:t> </w:t>
      </w:r>
      <w:r>
        <w:rPr>
          <w:spacing w:val="-44"/>
        </w:rPr>
      </w:r>
      <w:r>
        <w:rPr>
          <w:spacing w:val="-4"/>
        </w:rPr>
        <w:t>企业内外沟通的通信形式、手段与行为也发生着巨大的变化，通信的内涵和边界已远远超出语音电话等传统意义通信的范畴；</w:t>
      </w:r>
      <w:r>
        <w:rPr>
          <w:spacing w:val="-43"/>
        </w:rPr>
        <w:t> </w:t>
      </w:r>
      <w:r>
        <w:rPr>
          <w:spacing w:val="-43"/>
        </w:rPr>
      </w:r>
      <w:r>
        <w:rPr>
          <w:spacing w:val="-2"/>
        </w:rPr>
        <w:t>企业通信也不再是单纯的通信应用，而是成为与企业各项信息化建设、企业业务流程密不可分的系统工程，大中型企业客户</w:t>
      </w:r>
      <w:r>
        <w:rPr>
          <w:spacing w:val="-66"/>
        </w:rPr>
        <w:t> </w:t>
      </w:r>
      <w:r>
        <w:rPr>
          <w:spacing w:val="-66"/>
        </w:rPr>
      </w:r>
      <w:r>
        <w:rPr>
          <w:spacing w:val="-2"/>
        </w:rPr>
        <w:t>往往有着行业属性很强的定制化需求。因此，企业需要的是易管理、高安全、易维护使用、高效率、低成本的通信服务，需</w:t>
      </w:r>
      <w:r>
        <w:rPr>
          <w:spacing w:val="-71"/>
        </w:rPr>
        <w:t> </w:t>
      </w:r>
      <w:r>
        <w:rPr>
          <w:spacing w:val="-71"/>
        </w:rPr>
      </w:r>
      <w:r>
        <w:rPr>
          <w:spacing w:val="-2"/>
        </w:rPr>
        <w:t>要的是能够跨网络，跨终端，将基础话音、会议、呼叫中心、视频、存储、协同、虚拟办公、数据共享等各种通信工具互联</w:t>
      </w:r>
      <w:r>
        <w:rPr>
          <w:spacing w:val="-69"/>
        </w:rPr>
        <w:t> </w:t>
      </w:r>
      <w:r>
        <w:rPr>
          <w:spacing w:val="-69"/>
        </w:rPr>
      </w:r>
      <w:r>
        <w:rPr/>
        <w:t>互通，基于云端的统一通信服务。</w:t>
      </w:r>
    </w:p>
    <w:p>
      <w:pPr>
        <w:pStyle w:val="BodyText"/>
        <w:spacing w:line="477" w:lineRule="auto" w:before="54"/>
        <w:ind w:right="1135" w:firstLine="424"/>
        <w:jc w:val="both"/>
      </w:pPr>
      <w:r>
        <w:rPr/>
        <w:t>由于管理架构、业务流程等方面的原因，基础运营商用标准化普遍化的通信服务来应对企业复杂的通信需求，专门针 对企业服务方面的产品和服务很少，企业通信的需求未被市场很好地满足甚至被压抑。</w:t>
      </w:r>
    </w:p>
    <w:p>
      <w:pPr>
        <w:pStyle w:val="BodyText"/>
        <w:spacing w:line="463" w:lineRule="auto" w:before="54"/>
        <w:ind w:right="1131" w:firstLine="424"/>
        <w:jc w:val="both"/>
      </w:pPr>
      <w:r>
        <w:rPr/>
        <w:t>公司长期专注于企业通信市场，公司获得移动通信转售业务资质得以进入基础通信业务领域，且公司在典型大企业的 </w:t>
      </w:r>
      <w:r>
        <w:rPr>
          <w:spacing w:val="-2"/>
        </w:rPr>
        <w:t>基础通信整体解决方案方面探索积累取得突破，在移动互联网、大数据、云计算、物联网等技术迅猛发展的背景下，公司顺</w:t>
      </w:r>
      <w:r>
        <w:rPr>
          <w:spacing w:val="-66"/>
        </w:rPr>
        <w:t> </w:t>
      </w:r>
      <w:r>
        <w:rPr>
          <w:spacing w:val="-66"/>
        </w:rPr>
      </w:r>
      <w:r>
        <w:rPr/>
        <w:t>应产业互联网和企业互联网化的趋势，充分发挥长期专注于虚拟运营通信服务的优势，拟在既有</w:t>
      </w:r>
      <w:r>
        <w:rPr>
          <w:rFonts w:ascii="Times New Roman" w:hAnsi="Times New Roman" w:cs="Times New Roman" w:eastAsia="Times New Roman" w:hint="default"/>
        </w:rPr>
        <w:t>“263</w:t>
      </w:r>
      <w:r>
        <w:rPr/>
        <w:t>云通信</w:t>
      </w:r>
      <w:r>
        <w:rPr>
          <w:rFonts w:ascii="Times New Roman" w:hAnsi="Times New Roman" w:cs="Times New Roman" w:eastAsia="Times New Roman" w:hint="default"/>
        </w:rPr>
        <w:t>”</w:t>
      </w:r>
      <w:r>
        <w:rPr/>
        <w:t>服务的基础上</w:t>
      </w:r>
      <w:r>
        <w:rPr>
          <w:spacing w:val="-65"/>
        </w:rPr>
        <w:t> </w:t>
      </w:r>
      <w:r>
        <w:rPr>
          <w:spacing w:val="-65"/>
        </w:rPr>
      </w:r>
      <w:r>
        <w:rPr>
          <w:spacing w:val="-2"/>
        </w:rPr>
        <w:t>推出企业通信的整体解决方案</w:t>
      </w:r>
      <w:r>
        <w:rPr>
          <w:rFonts w:ascii="Times New Roman" w:hAnsi="Times New Roman" w:cs="Times New Roman" w:eastAsia="Times New Roman" w:hint="default"/>
          <w:spacing w:val="-2"/>
        </w:rPr>
        <w:t>——</w:t>
      </w:r>
      <w:r>
        <w:rPr>
          <w:spacing w:val="-2"/>
        </w:rPr>
        <w:t>企业云统一通信服务，致力于成为中国领先的企业通信服务商。企业云统一通信服务的业</w:t>
      </w:r>
      <w:r>
        <w:rPr>
          <w:spacing w:val="-64"/>
        </w:rPr>
        <w:t> </w:t>
      </w:r>
      <w:r>
        <w:rPr>
          <w:spacing w:val="-64"/>
        </w:rPr>
      </w:r>
      <w:r>
        <w:rPr/>
        <w:t>务逻辑图示如下：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19"/>
        <w:ind w:left="1086" w:right="0" w:firstLine="0"/>
        <w:jc w:val="left"/>
        <w:rPr>
          <w:rFonts w:ascii="Microsoft JhengHei" w:hAnsi="Microsoft JhengHei" w:cs="Microsoft JhengHei" w:eastAsia="Microsoft JhengHei" w:hint="default"/>
          <w:sz w:val="12"/>
          <w:szCs w:val="12"/>
        </w:rPr>
      </w:pPr>
      <w:r>
        <w:rPr/>
        <w:pict>
          <v:group style="position:absolute;margin-left:142.029465pt;margin-top:-23.522594pt;width:279.45pt;height:64.55pt;mso-position-horizontal-relative:page;mso-position-vertical-relative:paragraph;z-index:1648" coordorigin="2841,-470" coordsize="5589,1291">
            <v:group style="position:absolute;left:2850;top:-461;width:5570;height:1272" coordorigin="2850,-461" coordsize="5570,1272">
              <v:shape style="position:absolute;left:2850;top:-461;width:5570;height:1272" coordorigin="2850,-461" coordsize="5570,1272" path="m2850,175l2871,97,2907,47,2960,-2,3029,-50,3113,-95,3212,-139,3326,-181,3387,-201,3452,-220,3520,-239,3592,-257,3666,-275,3743,-292,3823,-308,3905,-323,3990,-338,4078,-352,4168,-366,4260,-378,4355,-390,4452,-401,4551,-411,4652,-420,4755,-429,4859,-436,4966,-442,5074,-448,5183,-453,5294,-456,5407,-459,5520,-460,5635,-461,5750,-460,5863,-459,5976,-456,6087,-453,6196,-448,6304,-442,6411,-436,6515,-429,6618,-420,6719,-411,6818,-401,6915,-390,7010,-378,7102,-366,7192,-352,7280,-338,7365,-323,7448,-308,7527,-292,7604,-275,7679,-257,7750,-239,7818,-220,7883,-201,7944,-181,8003,-160,8109,-117,8201,-73,8278,-26,8339,22,8384,72,8418,148,8420,175,8418,201,8384,278,8339,327,8278,375,8201,422,8109,467,8003,509,7944,530,7883,550,7818,569,7750,588,7679,606,7604,624,7527,641,7448,657,7365,673,7280,688,7192,702,7102,715,7010,727,6915,739,6818,750,6719,760,6618,769,6515,778,6411,785,6304,792,6196,797,6087,802,5976,805,5863,808,5750,810,5635,810,5520,810,5407,808,5294,805,5183,802,5074,797,4966,792,4859,785,4755,778,4652,769,4551,760,4452,750,4355,739,4260,727,4168,715,4078,702,3990,688,3905,673,3823,657,3743,641,3666,624,3592,606,3520,588,3452,569,3387,550,3326,530,3267,509,3161,467,3069,422,2992,375,2931,327,2887,278,2852,201,2850,175xe" filled="false" stroked="true" strokeweight=".949272pt" strokecolor="#00afef">
                <v:path arrowok="t"/>
                <v:stroke dashstyle="dash"/>
              </v:shape>
              <v:shape style="position:absolute;left:4614;top:-302;width:1564;height:119" type="#_x0000_t202" filled="false" stroked="false">
                <v:textbox inset="0,0,0,0">
                  <w:txbxContent>
                    <w:p>
                      <w:pPr>
                        <w:spacing w:line="119" w:lineRule="exact" w:before="0"/>
                        <w:ind w:left="0" w:right="0" w:firstLine="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大数据、云计算、物联网……</w:t>
                      </w:r>
                      <w:r>
                        <w:rPr>
                          <w:rFonts w:ascii="Microsoft JhengHei" w:hAnsi="Microsoft JhengHei" w:cs="Microsoft JhengHei" w:eastAsia="Microsoft JhengHei" w:hint="default"/>
                          <w:sz w:val="12"/>
                          <w:szCs w:val="12"/>
                        </w:rPr>
                      </w:r>
                    </w:p>
                  </w:txbxContent>
                </v:textbox>
                <w10:wrap type="none"/>
              </v:shape>
              <v:shape style="position:absolute;left:7398;top:371;width:251;height:178" type="#_x0000_t202" filled="false" stroked="false">
                <v:textbox inset="0,0,0,0">
                  <w:txbxContent>
                    <w:p>
                      <w:pPr>
                        <w:spacing w:line="178" w:lineRule="exact" w:before="0"/>
                        <w:ind w:left="0" w:right="0" w:firstLine="0"/>
                        <w:jc w:val="left"/>
                        <w:rPr>
                          <w:rFonts w:ascii="Calibri" w:hAnsi="Calibri" w:cs="Calibri" w:eastAsia="Calibri" w:hint="default"/>
                          <w:sz w:val="17"/>
                          <w:szCs w:val="17"/>
                        </w:rPr>
                      </w:pPr>
                      <w:r>
                        <w:rPr>
                          <w:rFonts w:ascii="Calibri" w:hAnsi="Calibri" w:cs="Calibri" w:eastAsia="Calibri" w:hint="default"/>
                          <w:w w:val="105"/>
                          <w:sz w:val="17"/>
                          <w:szCs w:val="17"/>
                        </w:rPr>
                        <w:t>……</w:t>
                      </w:r>
                      <w:r>
                        <w:rPr>
                          <w:rFonts w:ascii="Calibri" w:hAnsi="Calibri" w:cs="Calibri" w:eastAsia="Calibri" w:hint="default"/>
                          <w:sz w:val="17"/>
                          <w:szCs w:val="17"/>
                        </w:rPr>
                      </w:r>
                    </w:p>
                  </w:txbxContent>
                </v:textbox>
                <w10:wrap type="none"/>
              </v:shape>
              <v:shape style="position:absolute;left:4442;top:-89;width:765;height:280" type="#_x0000_t202" filled="false" stroked="true" strokeweight=".95023pt" strokecolor="#385d89">
                <v:textbox inset="0,0,0,0">
                  <w:txbxContent>
                    <w:p>
                      <w:pPr>
                        <w:spacing w:before="43"/>
                        <w:ind w:left="133" w:right="0" w:firstLine="0"/>
                        <w:jc w:val="left"/>
                        <w:rPr>
                          <w:rFonts w:ascii="宋体" w:hAnsi="宋体" w:cs="宋体" w:eastAsia="宋体" w:hint="default"/>
                          <w:sz w:val="12"/>
                          <w:szCs w:val="12"/>
                        </w:rPr>
                      </w:pPr>
                      <w:r>
                        <w:rPr>
                          <w:rFonts w:ascii="宋体" w:hAnsi="宋体" w:cs="宋体" w:eastAsia="宋体" w:hint="default"/>
                          <w:sz w:val="12"/>
                          <w:szCs w:val="12"/>
                        </w:rPr>
                        <w:t>企业社交</w:t>
                      </w:r>
                    </w:p>
                  </w:txbxContent>
                </v:textbox>
                <w10:wrap type="none"/>
              </v:shape>
              <v:shape style="position:absolute;left:5700;top:-112;width:837;height:280" type="#_x0000_t202" filled="false" stroked="true" strokeweight=".94999pt" strokecolor="#385d89">
                <v:textbox inset="0,0,0,0">
                  <w:txbxContent>
                    <w:p>
                      <w:pPr>
                        <w:spacing w:before="43"/>
                        <w:ind w:left="77" w:right="0" w:firstLine="0"/>
                        <w:jc w:val="left"/>
                        <w:rPr>
                          <w:rFonts w:ascii="宋体" w:hAnsi="宋体" w:cs="宋体" w:eastAsia="宋体" w:hint="default"/>
                          <w:sz w:val="12"/>
                          <w:szCs w:val="12"/>
                        </w:rPr>
                      </w:pPr>
                      <w:r>
                        <w:rPr>
                          <w:rFonts w:ascii="宋体" w:hAnsi="宋体" w:cs="宋体" w:eastAsia="宋体" w:hint="default"/>
                          <w:sz w:val="12"/>
                          <w:szCs w:val="12"/>
                        </w:rPr>
                        <w:t>CRM/ERP</w:t>
                      </w:r>
                      <w:r>
                        <w:rPr>
                          <w:rFonts w:ascii="宋体" w:hAnsi="宋体" w:cs="宋体" w:eastAsia="宋体" w:hint="default"/>
                          <w:sz w:val="12"/>
                          <w:szCs w:val="12"/>
                        </w:rPr>
                        <w:t>整合</w:t>
                      </w:r>
                    </w:p>
                  </w:txbxContent>
                </v:textbox>
                <w10:wrap type="none"/>
              </v:shape>
              <v:shape style="position:absolute;left:7068;top:-112;width:720;height:280" type="#_x0000_t202" filled="false" stroked="true" strokeweight=".950413pt" strokecolor="#385d89">
                <v:textbox inset="0,0,0,0">
                  <w:txbxContent>
                    <w:p>
                      <w:pPr>
                        <w:spacing w:before="43"/>
                        <w:ind w:left="109" w:right="0" w:firstLine="0"/>
                        <w:jc w:val="left"/>
                        <w:rPr>
                          <w:rFonts w:ascii="宋体" w:hAnsi="宋体" w:cs="宋体" w:eastAsia="宋体" w:hint="default"/>
                          <w:sz w:val="12"/>
                          <w:szCs w:val="12"/>
                        </w:rPr>
                      </w:pPr>
                      <w:r>
                        <w:rPr>
                          <w:rFonts w:ascii="宋体" w:hAnsi="宋体" w:cs="宋体" w:eastAsia="宋体" w:hint="default"/>
                          <w:sz w:val="12"/>
                          <w:szCs w:val="12"/>
                        </w:rPr>
                        <w:t>视频监控</w:t>
                      </w:r>
                    </w:p>
                  </w:txbxContent>
                </v:textbox>
                <w10:wrap type="none"/>
              </v:shape>
              <v:shape style="position:absolute;left:3158;top:-36;width:768;height:280" type="#_x0000_t202" filled="false" stroked="true" strokeweight=".950221pt" strokecolor="#385d89">
                <v:textbox inset="0,0,0,0">
                  <w:txbxContent>
                    <w:p>
                      <w:pPr>
                        <w:spacing w:before="42"/>
                        <w:ind w:left="132" w:right="0" w:firstLine="0"/>
                        <w:jc w:val="left"/>
                        <w:rPr>
                          <w:rFonts w:ascii="宋体" w:hAnsi="宋体" w:cs="宋体" w:eastAsia="宋体" w:hint="default"/>
                          <w:sz w:val="12"/>
                          <w:szCs w:val="12"/>
                        </w:rPr>
                      </w:pPr>
                      <w:r>
                        <w:rPr>
                          <w:rFonts w:ascii="宋体" w:hAnsi="宋体" w:cs="宋体" w:eastAsia="宋体" w:hint="default"/>
                          <w:sz w:val="12"/>
                          <w:szCs w:val="12"/>
                        </w:rPr>
                        <w:t>数据挖掘</w:t>
                      </w:r>
                    </w:p>
                  </w:txbxContent>
                </v:textbox>
                <w10:wrap type="none"/>
              </v:shape>
              <v:shape style="position:absolute;left:4043;top:360;width:768;height:280" type="#_x0000_t202" filled="false" stroked="true" strokeweight=".950221pt" strokecolor="#385d89">
                <v:textbox inset="0,0,0,0">
                  <w:txbxContent>
                    <w:p>
                      <w:pPr>
                        <w:spacing w:before="43"/>
                        <w:ind w:left="74" w:right="0" w:firstLine="0"/>
                        <w:jc w:val="left"/>
                        <w:rPr>
                          <w:rFonts w:ascii="宋体" w:hAnsi="宋体" w:cs="宋体" w:eastAsia="宋体" w:hint="default"/>
                          <w:sz w:val="12"/>
                          <w:szCs w:val="12"/>
                        </w:rPr>
                      </w:pPr>
                      <w:r>
                        <w:rPr>
                          <w:rFonts w:ascii="宋体" w:hAnsi="宋体" w:cs="宋体" w:eastAsia="宋体" w:hint="default"/>
                          <w:sz w:val="12"/>
                          <w:szCs w:val="12"/>
                        </w:rPr>
                        <w:t>互联网金融</w:t>
                      </w:r>
                    </w:p>
                  </w:txbxContent>
                </v:textbox>
                <w10:wrap type="none"/>
              </v:shape>
              <v:shape style="position:absolute;left:5087;top:338;width:513;height:280" type="#_x0000_t202" filled="false" stroked="true" strokeweight=".951753pt" strokecolor="#385d89">
                <v:textbox inset="0,0,0,0">
                  <w:txbxContent>
                    <w:p>
                      <w:pPr>
                        <w:spacing w:before="44"/>
                        <w:ind w:left="67" w:right="0" w:firstLine="0"/>
                        <w:jc w:val="left"/>
                        <w:rPr>
                          <w:rFonts w:ascii="宋体" w:hAnsi="宋体" w:cs="宋体" w:eastAsia="宋体" w:hint="default"/>
                          <w:sz w:val="12"/>
                          <w:szCs w:val="12"/>
                        </w:rPr>
                      </w:pPr>
                      <w:r>
                        <w:rPr>
                          <w:rFonts w:ascii="宋体" w:hAnsi="宋体" w:cs="宋体" w:eastAsia="宋体" w:hint="default"/>
                          <w:sz w:val="12"/>
                          <w:szCs w:val="12"/>
                        </w:rPr>
                        <w:t>车联网</w:t>
                      </w:r>
                    </w:p>
                  </w:txbxContent>
                </v:textbox>
                <w10:wrap type="none"/>
              </v:shape>
              <v:shape style="position:absolute;left:5801;top:341;width:1557;height:280" type="#_x0000_t202" filled="false" stroked="true" strokeweight=".94904pt" strokecolor="#385d89">
                <v:textbox inset="0,0,0,0">
                  <w:txbxContent>
                    <w:p>
                      <w:pPr>
                        <w:spacing w:before="44"/>
                        <w:ind w:left="168" w:right="0" w:firstLine="0"/>
                        <w:jc w:val="left"/>
                        <w:rPr>
                          <w:rFonts w:ascii="宋体" w:hAnsi="宋体" w:cs="宋体" w:eastAsia="宋体" w:hint="default"/>
                          <w:sz w:val="12"/>
                          <w:szCs w:val="12"/>
                        </w:rPr>
                      </w:pPr>
                      <w:r>
                        <w:rPr>
                          <w:rFonts w:ascii="宋体" w:hAnsi="宋体" w:cs="宋体" w:eastAsia="宋体" w:hint="default"/>
                          <w:sz w:val="12"/>
                          <w:szCs w:val="12"/>
                        </w:rPr>
                        <w:t>通信驱动业务流程</w:t>
                      </w:r>
                      <w:r>
                        <w:rPr>
                          <w:rFonts w:ascii="宋体" w:hAnsi="宋体" w:cs="宋体" w:eastAsia="宋体" w:hint="default"/>
                          <w:sz w:val="12"/>
                          <w:szCs w:val="12"/>
                        </w:rPr>
                        <w:t>CEBP</w:t>
                      </w:r>
                    </w:p>
                  </w:txbxContent>
                </v:textbox>
                <w10:wrap type="none"/>
              </v:shape>
            </v:group>
            <w10:wrap type="none"/>
          </v:group>
        </w:pict>
      </w:r>
      <w:r>
        <w:rPr>
          <w:rFonts w:ascii="Microsoft JhengHei" w:hAnsi="Microsoft JhengHei" w:cs="Microsoft JhengHei" w:eastAsia="Microsoft JhengHei" w:hint="default"/>
          <w:b/>
          <w:bCs/>
          <w:w w:val="100"/>
          <w:sz w:val="12"/>
          <w:szCs w:val="12"/>
        </w:rPr>
      </w:r>
      <w:r>
        <w:rPr>
          <w:rFonts w:ascii="Microsoft JhengHei" w:hAnsi="Microsoft JhengHei" w:cs="Microsoft JhengHei" w:eastAsia="Microsoft JhengHei" w:hint="default"/>
          <w:b/>
          <w:bCs/>
          <w:sz w:val="12"/>
          <w:szCs w:val="12"/>
          <w:u w:val="single" w:color="000000"/>
        </w:rPr>
        <w:t>企业应用</w:t>
      </w:r>
      <w:r>
        <w:rPr>
          <w:rFonts w:ascii="Microsoft JhengHei" w:hAnsi="Microsoft JhengHei" w:cs="Microsoft JhengHei" w:eastAsia="Microsoft JhengHei" w:hint="default"/>
          <w:b/>
          <w:bCs/>
          <w:sz w:val="12"/>
          <w:szCs w:val="12"/>
        </w:rPr>
      </w:r>
      <w:r>
        <w:rPr>
          <w:rFonts w:ascii="Microsoft JhengHei" w:hAnsi="Microsoft JhengHei" w:cs="Microsoft JhengHei" w:eastAsia="Microsoft JhengHei" w:hint="default"/>
          <w:sz w:val="12"/>
          <w:szCs w:val="1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0"/>
          <w:szCs w:val="20"/>
        </w:rPr>
      </w:pPr>
    </w:p>
    <w:p>
      <w:pPr>
        <w:spacing w:line="26" w:lineRule="exact"/>
        <w:ind w:left="76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339.75pt;height:1.35pt;mso-position-horizontal-relative:char;mso-position-vertical-relative:line" coordorigin="0,0" coordsize="6795,27">
            <v:group style="position:absolute;left:11;top:11;width:6774;height:6" coordorigin="11,11" coordsize="6774,6">
              <v:shape style="position:absolute;left:11;top:11;width:6774;height:6" coordorigin="11,11" coordsize="6774,6" path="m11,16l6784,11e" filled="false" stroked="true" strokeweight="1.067185pt" strokecolor="#ff0000">
                <v:path arrowok="t"/>
                <v:stroke dashstyle="dash"/>
              </v:shape>
            </v:group>
          </v:group>
        </w:pict>
      </w:r>
      <w:r>
        <w:rPr>
          <w:rFonts w:ascii="Microsoft JhengHei" w:hAnsi="Microsoft JhengHei" w:cs="Microsoft JhengHei" w:eastAsia="Microsoft JhengHei" w:hint="default"/>
          <w:position w:val="0"/>
          <w:sz w:val="2"/>
          <w:szCs w:val="2"/>
        </w:rPr>
      </w:r>
    </w:p>
    <w:p>
      <w:pPr>
        <w:spacing w:line="240" w:lineRule="auto" w:before="17"/>
        <w:rPr>
          <w:rFonts w:ascii="Microsoft JhengHei" w:hAnsi="Microsoft JhengHei" w:cs="Microsoft JhengHei" w:eastAsia="Microsoft JhengHei" w:hint="default"/>
          <w:b/>
          <w:bCs/>
          <w:sz w:val="4"/>
          <w:szCs w:val="4"/>
        </w:rPr>
      </w:pPr>
    </w:p>
    <w:p>
      <w:pPr>
        <w:pStyle w:val="Heading5"/>
        <w:tabs>
          <w:tab w:pos="4568" w:val="left" w:leader="none"/>
        </w:tabs>
        <w:spacing w:line="710" w:lineRule="exact" w:before="0"/>
        <w:ind w:left="2088" w:right="0"/>
        <w:jc w:val="left"/>
        <w:rPr>
          <w:rFonts w:ascii="Microsoft JhengHei" w:hAnsi="Microsoft JhengHei" w:cs="Microsoft JhengHei" w:eastAsia="Microsoft JhengHei" w:hint="default"/>
        </w:rPr>
      </w:pPr>
      <w:r>
        <w:rPr>
          <w:rFonts w:ascii="Microsoft JhengHei"/>
          <w:position w:val="-11"/>
        </w:rPr>
        <w:pict>
          <v:shape style="width:101.65pt;height:34.6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11"/>
                    <w:gridCol w:w="340"/>
                    <w:gridCol w:w="335"/>
                    <w:gridCol w:w="340"/>
                    <w:gridCol w:w="355"/>
                    <w:gridCol w:w="321"/>
                  </w:tblGrid>
                  <w:tr>
                    <w:trPr>
                      <w:trHeight w:val="674" w:hRule="exact"/>
                    </w:trPr>
                    <w:tc>
                      <w:tcPr>
                        <w:tcW w:w="311" w:type="dxa"/>
                        <w:tcBorders>
                          <w:top w:val="single" w:sz="8" w:space="0" w:color="385D89"/>
                          <w:left w:val="single" w:sz="8" w:space="0" w:color="385D89"/>
                          <w:bottom w:val="single" w:sz="8" w:space="0" w:color="385D89"/>
                          <w:right w:val="single" w:sz="30" w:space="0" w:color="385D89"/>
                        </w:tcBorders>
                      </w:tcPr>
                      <w:p>
                        <w:pPr>
                          <w:pStyle w:val="TableParagraph"/>
                          <w:spacing w:line="218" w:lineRule="auto" w:before="38"/>
                          <w:ind w:left="72" w:right="69"/>
                          <w:jc w:val="both"/>
                          <w:rPr>
                            <w:rFonts w:ascii="宋体" w:hAnsi="宋体" w:cs="宋体" w:eastAsia="宋体" w:hint="default"/>
                            <w:sz w:val="12"/>
                            <w:szCs w:val="12"/>
                          </w:rPr>
                        </w:pPr>
                        <w:r>
                          <w:rPr>
                            <w:rFonts w:ascii="宋体" w:hAnsi="宋体" w:cs="宋体" w:eastAsia="宋体" w:hint="default"/>
                            <w:sz w:val="12"/>
                            <w:szCs w:val="12"/>
                          </w:rPr>
                          <w:t>内</w:t>
                        </w:r>
                        <w:r>
                          <w:rPr>
                            <w:rFonts w:ascii="宋体" w:hAnsi="宋体" w:cs="宋体" w:eastAsia="宋体" w:hint="default"/>
                            <w:w w:val="100"/>
                            <w:sz w:val="12"/>
                            <w:szCs w:val="12"/>
                          </w:rPr>
                          <w:t> </w:t>
                        </w:r>
                        <w:r>
                          <w:rPr>
                            <w:rFonts w:ascii="宋体" w:hAnsi="宋体" w:cs="宋体" w:eastAsia="宋体" w:hint="default"/>
                            <w:sz w:val="12"/>
                            <w:szCs w:val="12"/>
                          </w:rPr>
                          <w:t>部</w:t>
                        </w:r>
                        <w:r>
                          <w:rPr>
                            <w:rFonts w:ascii="宋体" w:hAnsi="宋体" w:cs="宋体" w:eastAsia="宋体" w:hint="default"/>
                            <w:w w:val="100"/>
                            <w:sz w:val="12"/>
                            <w:szCs w:val="12"/>
                          </w:rPr>
                          <w:t> </w:t>
                        </w:r>
                        <w:r>
                          <w:rPr>
                            <w:rFonts w:ascii="宋体" w:hAnsi="宋体" w:cs="宋体" w:eastAsia="宋体" w:hint="default"/>
                            <w:sz w:val="12"/>
                            <w:szCs w:val="12"/>
                          </w:rPr>
                          <w:t>通</w:t>
                        </w:r>
                        <w:r>
                          <w:rPr>
                            <w:rFonts w:ascii="宋体" w:hAnsi="宋体" w:cs="宋体" w:eastAsia="宋体" w:hint="default"/>
                            <w:w w:val="100"/>
                            <w:sz w:val="12"/>
                            <w:szCs w:val="12"/>
                          </w:rPr>
                          <w:t> </w:t>
                        </w:r>
                        <w:r>
                          <w:rPr>
                            <w:rFonts w:ascii="宋体" w:hAnsi="宋体" w:cs="宋体" w:eastAsia="宋体" w:hint="default"/>
                            <w:sz w:val="12"/>
                            <w:szCs w:val="12"/>
                          </w:rPr>
                          <w:t>话</w:t>
                        </w:r>
                      </w:p>
                    </w:tc>
                    <w:tc>
                      <w:tcPr>
                        <w:tcW w:w="340" w:type="dxa"/>
                        <w:tcBorders>
                          <w:top w:val="single" w:sz="8" w:space="0" w:color="385D89"/>
                          <w:left w:val="single" w:sz="30" w:space="0" w:color="385D89"/>
                          <w:bottom w:val="single" w:sz="8" w:space="0" w:color="385D89"/>
                          <w:right w:val="single" w:sz="31" w:space="0" w:color="385D89"/>
                        </w:tcBorders>
                      </w:tcPr>
                      <w:p>
                        <w:pPr>
                          <w:pStyle w:val="TableParagraph"/>
                          <w:spacing w:line="213" w:lineRule="auto" w:before="41"/>
                          <w:ind w:left="74" w:right="67"/>
                          <w:jc w:val="both"/>
                          <w:rPr>
                            <w:rFonts w:ascii="宋体" w:hAnsi="宋体" w:cs="宋体" w:eastAsia="宋体" w:hint="default"/>
                            <w:sz w:val="12"/>
                            <w:szCs w:val="12"/>
                          </w:rPr>
                        </w:pPr>
                        <w:r>
                          <w:rPr>
                            <w:rFonts w:ascii="宋体" w:hAnsi="宋体" w:cs="宋体" w:eastAsia="宋体" w:hint="default"/>
                            <w:sz w:val="12"/>
                            <w:szCs w:val="12"/>
                          </w:rPr>
                          <w:t>外</w:t>
                        </w:r>
                        <w:r>
                          <w:rPr>
                            <w:rFonts w:ascii="宋体" w:hAnsi="宋体" w:cs="宋体" w:eastAsia="宋体" w:hint="default"/>
                            <w:w w:val="100"/>
                            <w:sz w:val="12"/>
                            <w:szCs w:val="12"/>
                          </w:rPr>
                          <w:t> </w:t>
                        </w:r>
                        <w:r>
                          <w:rPr>
                            <w:rFonts w:ascii="宋体" w:hAnsi="宋体" w:cs="宋体" w:eastAsia="宋体" w:hint="default"/>
                            <w:sz w:val="12"/>
                            <w:szCs w:val="12"/>
                          </w:rPr>
                          <w:t>联</w:t>
                        </w:r>
                        <w:r>
                          <w:rPr>
                            <w:rFonts w:ascii="宋体" w:hAnsi="宋体" w:cs="宋体" w:eastAsia="宋体" w:hint="default"/>
                            <w:w w:val="100"/>
                            <w:sz w:val="12"/>
                            <w:szCs w:val="12"/>
                          </w:rPr>
                          <w:t> </w:t>
                        </w:r>
                        <w:r>
                          <w:rPr>
                            <w:rFonts w:ascii="宋体" w:hAnsi="宋体" w:cs="宋体" w:eastAsia="宋体" w:hint="default"/>
                            <w:sz w:val="12"/>
                            <w:szCs w:val="12"/>
                          </w:rPr>
                          <w:t>通</w:t>
                        </w:r>
                        <w:r>
                          <w:rPr>
                            <w:rFonts w:ascii="宋体" w:hAnsi="宋体" w:cs="宋体" w:eastAsia="宋体" w:hint="default"/>
                            <w:w w:val="100"/>
                            <w:sz w:val="12"/>
                            <w:szCs w:val="12"/>
                          </w:rPr>
                          <w:t> </w:t>
                        </w:r>
                        <w:r>
                          <w:rPr>
                            <w:rFonts w:ascii="宋体" w:hAnsi="宋体" w:cs="宋体" w:eastAsia="宋体" w:hint="default"/>
                            <w:sz w:val="12"/>
                            <w:szCs w:val="12"/>
                          </w:rPr>
                          <w:t>话</w:t>
                        </w:r>
                      </w:p>
                    </w:tc>
                    <w:tc>
                      <w:tcPr>
                        <w:tcW w:w="335" w:type="dxa"/>
                        <w:tcBorders>
                          <w:top w:val="single" w:sz="8" w:space="0" w:color="385D89"/>
                          <w:left w:val="single" w:sz="31" w:space="0" w:color="385D89"/>
                          <w:bottom w:val="single" w:sz="8" w:space="0" w:color="385D89"/>
                          <w:right w:val="single" w:sz="26" w:space="0" w:color="385D89"/>
                        </w:tcBorders>
                      </w:tcPr>
                      <w:p>
                        <w:pPr>
                          <w:pStyle w:val="TableParagraph"/>
                          <w:spacing w:line="218" w:lineRule="auto" w:before="38"/>
                          <w:ind w:left="73" w:right="68"/>
                          <w:jc w:val="both"/>
                          <w:rPr>
                            <w:rFonts w:ascii="宋体" w:hAnsi="宋体" w:cs="宋体" w:eastAsia="宋体" w:hint="default"/>
                            <w:sz w:val="12"/>
                            <w:szCs w:val="12"/>
                          </w:rPr>
                        </w:pPr>
                        <w:r>
                          <w:rPr>
                            <w:rFonts w:ascii="宋体" w:hAnsi="宋体" w:cs="宋体" w:eastAsia="宋体" w:hint="default"/>
                            <w:sz w:val="12"/>
                            <w:szCs w:val="12"/>
                          </w:rPr>
                          <w:t>电</w:t>
                        </w:r>
                        <w:r>
                          <w:rPr>
                            <w:rFonts w:ascii="宋体" w:hAnsi="宋体" w:cs="宋体" w:eastAsia="宋体" w:hint="default"/>
                            <w:w w:val="100"/>
                            <w:sz w:val="12"/>
                            <w:szCs w:val="12"/>
                          </w:rPr>
                          <w:t> </w:t>
                        </w:r>
                        <w:r>
                          <w:rPr>
                            <w:rFonts w:ascii="宋体" w:hAnsi="宋体" w:cs="宋体" w:eastAsia="宋体" w:hint="default"/>
                            <w:sz w:val="12"/>
                            <w:szCs w:val="12"/>
                          </w:rPr>
                          <w:t>话</w:t>
                        </w:r>
                        <w:r>
                          <w:rPr>
                            <w:rFonts w:ascii="宋体" w:hAnsi="宋体" w:cs="宋体" w:eastAsia="宋体" w:hint="default"/>
                            <w:w w:val="100"/>
                            <w:sz w:val="12"/>
                            <w:szCs w:val="12"/>
                          </w:rPr>
                          <w:t> </w:t>
                        </w:r>
                        <w:r>
                          <w:rPr>
                            <w:rFonts w:ascii="宋体" w:hAnsi="宋体" w:cs="宋体" w:eastAsia="宋体" w:hint="default"/>
                            <w:sz w:val="12"/>
                            <w:szCs w:val="12"/>
                          </w:rPr>
                          <w:t>会</w:t>
                        </w:r>
                        <w:r>
                          <w:rPr>
                            <w:rFonts w:ascii="宋体" w:hAnsi="宋体" w:cs="宋体" w:eastAsia="宋体" w:hint="default"/>
                            <w:w w:val="100"/>
                            <w:sz w:val="12"/>
                            <w:szCs w:val="12"/>
                          </w:rPr>
                          <w:t> </w:t>
                        </w:r>
                        <w:r>
                          <w:rPr>
                            <w:rFonts w:ascii="宋体" w:hAnsi="宋体" w:cs="宋体" w:eastAsia="宋体" w:hint="default"/>
                            <w:sz w:val="12"/>
                            <w:szCs w:val="12"/>
                          </w:rPr>
                          <w:t>议</w:t>
                        </w:r>
                      </w:p>
                    </w:tc>
                    <w:tc>
                      <w:tcPr>
                        <w:tcW w:w="340" w:type="dxa"/>
                        <w:tcBorders>
                          <w:top w:val="single" w:sz="8" w:space="0" w:color="385D89"/>
                          <w:left w:val="single" w:sz="26" w:space="0" w:color="385D89"/>
                          <w:bottom w:val="single" w:sz="8" w:space="0" w:color="385D89"/>
                          <w:right w:val="single" w:sz="35" w:space="0" w:color="385D89"/>
                        </w:tcBorders>
                      </w:tcPr>
                      <w:p>
                        <w:pPr>
                          <w:pStyle w:val="TableParagraph"/>
                          <w:spacing w:line="142" w:lineRule="exact" w:before="54"/>
                          <w:ind w:left="73" w:right="69"/>
                          <w:jc w:val="both"/>
                          <w:rPr>
                            <w:rFonts w:ascii="宋体" w:hAnsi="宋体" w:cs="宋体" w:eastAsia="宋体" w:hint="default"/>
                            <w:sz w:val="12"/>
                            <w:szCs w:val="12"/>
                          </w:rPr>
                        </w:pPr>
                        <w:r>
                          <w:rPr>
                            <w:rFonts w:ascii="宋体" w:hAnsi="宋体" w:cs="宋体" w:eastAsia="宋体" w:hint="default"/>
                            <w:sz w:val="12"/>
                            <w:szCs w:val="12"/>
                          </w:rPr>
                          <w:t>网</w:t>
                        </w:r>
                        <w:r>
                          <w:rPr>
                            <w:rFonts w:ascii="宋体" w:hAnsi="宋体" w:cs="宋体" w:eastAsia="宋体" w:hint="default"/>
                            <w:w w:val="100"/>
                            <w:sz w:val="12"/>
                            <w:szCs w:val="12"/>
                          </w:rPr>
                          <w:t> </w:t>
                        </w:r>
                        <w:r>
                          <w:rPr>
                            <w:rFonts w:ascii="宋体" w:hAnsi="宋体" w:cs="宋体" w:eastAsia="宋体" w:hint="default"/>
                            <w:sz w:val="12"/>
                            <w:szCs w:val="12"/>
                          </w:rPr>
                          <w:t>络</w:t>
                        </w:r>
                        <w:r>
                          <w:rPr>
                            <w:rFonts w:ascii="宋体" w:hAnsi="宋体" w:cs="宋体" w:eastAsia="宋体" w:hint="default"/>
                            <w:w w:val="100"/>
                            <w:sz w:val="12"/>
                            <w:szCs w:val="12"/>
                          </w:rPr>
                          <w:t> </w:t>
                        </w:r>
                        <w:r>
                          <w:rPr>
                            <w:rFonts w:ascii="宋体" w:hAnsi="宋体" w:cs="宋体" w:eastAsia="宋体" w:hint="default"/>
                            <w:sz w:val="12"/>
                            <w:szCs w:val="12"/>
                          </w:rPr>
                          <w:t>会</w:t>
                        </w:r>
                        <w:r>
                          <w:rPr>
                            <w:rFonts w:ascii="宋体" w:hAnsi="宋体" w:cs="宋体" w:eastAsia="宋体" w:hint="default"/>
                            <w:w w:val="100"/>
                            <w:sz w:val="12"/>
                            <w:szCs w:val="12"/>
                          </w:rPr>
                          <w:t> </w:t>
                        </w:r>
                        <w:r>
                          <w:rPr>
                            <w:rFonts w:ascii="宋体" w:hAnsi="宋体" w:cs="宋体" w:eastAsia="宋体" w:hint="default"/>
                            <w:sz w:val="12"/>
                            <w:szCs w:val="12"/>
                          </w:rPr>
                          <w:t>议</w:t>
                        </w:r>
                      </w:p>
                    </w:tc>
                    <w:tc>
                      <w:tcPr>
                        <w:tcW w:w="355" w:type="dxa"/>
                        <w:tcBorders>
                          <w:top w:val="single" w:sz="8" w:space="0" w:color="385D89"/>
                          <w:left w:val="single" w:sz="35" w:space="0" w:color="385D89"/>
                          <w:bottom w:val="single" w:sz="8" w:space="0" w:color="385D89"/>
                          <w:right w:val="single" w:sz="38" w:space="0" w:color="385D89"/>
                        </w:tcBorders>
                      </w:tcPr>
                      <w:p>
                        <w:pPr>
                          <w:pStyle w:val="TableParagraph"/>
                          <w:spacing w:line="142" w:lineRule="exact" w:before="57"/>
                          <w:ind w:left="73" w:right="69"/>
                          <w:jc w:val="both"/>
                          <w:rPr>
                            <w:rFonts w:ascii="宋体" w:hAnsi="宋体" w:cs="宋体" w:eastAsia="宋体" w:hint="default"/>
                            <w:sz w:val="12"/>
                            <w:szCs w:val="12"/>
                          </w:rPr>
                        </w:pPr>
                        <w:r>
                          <w:rPr>
                            <w:rFonts w:ascii="宋体" w:hAnsi="宋体" w:cs="宋体" w:eastAsia="宋体" w:hint="default"/>
                            <w:sz w:val="12"/>
                            <w:szCs w:val="12"/>
                          </w:rPr>
                          <w:t>视</w:t>
                        </w:r>
                        <w:r>
                          <w:rPr>
                            <w:rFonts w:ascii="宋体" w:hAnsi="宋体" w:cs="宋体" w:eastAsia="宋体" w:hint="default"/>
                            <w:w w:val="100"/>
                            <w:sz w:val="12"/>
                            <w:szCs w:val="12"/>
                          </w:rPr>
                          <w:t> </w:t>
                        </w:r>
                        <w:r>
                          <w:rPr>
                            <w:rFonts w:ascii="宋体" w:hAnsi="宋体" w:cs="宋体" w:eastAsia="宋体" w:hint="default"/>
                            <w:sz w:val="12"/>
                            <w:szCs w:val="12"/>
                          </w:rPr>
                          <w:t>频</w:t>
                        </w:r>
                        <w:r>
                          <w:rPr>
                            <w:rFonts w:ascii="宋体" w:hAnsi="宋体" w:cs="宋体" w:eastAsia="宋体" w:hint="default"/>
                            <w:w w:val="100"/>
                            <w:sz w:val="12"/>
                            <w:szCs w:val="12"/>
                          </w:rPr>
                          <w:t> </w:t>
                        </w:r>
                        <w:r>
                          <w:rPr>
                            <w:rFonts w:ascii="宋体" w:hAnsi="宋体" w:cs="宋体" w:eastAsia="宋体" w:hint="default"/>
                            <w:sz w:val="12"/>
                            <w:szCs w:val="12"/>
                          </w:rPr>
                          <w:t>应</w:t>
                        </w:r>
                        <w:r>
                          <w:rPr>
                            <w:rFonts w:ascii="宋体" w:hAnsi="宋体" w:cs="宋体" w:eastAsia="宋体" w:hint="default"/>
                            <w:w w:val="100"/>
                            <w:sz w:val="12"/>
                            <w:szCs w:val="12"/>
                          </w:rPr>
                          <w:t> </w:t>
                        </w:r>
                        <w:r>
                          <w:rPr>
                            <w:rFonts w:ascii="宋体" w:hAnsi="宋体" w:cs="宋体" w:eastAsia="宋体" w:hint="default"/>
                            <w:sz w:val="12"/>
                            <w:szCs w:val="12"/>
                          </w:rPr>
                          <w:t>用</w:t>
                        </w:r>
                      </w:p>
                    </w:tc>
                    <w:tc>
                      <w:tcPr>
                        <w:tcW w:w="321" w:type="dxa"/>
                        <w:tcBorders>
                          <w:top w:val="single" w:sz="8" w:space="0" w:color="385D89"/>
                          <w:left w:val="single" w:sz="38" w:space="0" w:color="385D89"/>
                          <w:bottom w:val="single" w:sz="8" w:space="0" w:color="385D89"/>
                          <w:right w:val="single" w:sz="8" w:space="0" w:color="385D89"/>
                        </w:tcBorders>
                      </w:tcPr>
                      <w:p>
                        <w:pPr>
                          <w:pStyle w:val="TableParagraph"/>
                          <w:spacing w:line="142" w:lineRule="exact" w:before="57"/>
                          <w:ind w:left="74" w:right="68"/>
                          <w:jc w:val="both"/>
                          <w:rPr>
                            <w:rFonts w:ascii="宋体" w:hAnsi="宋体" w:cs="宋体" w:eastAsia="宋体" w:hint="default"/>
                            <w:sz w:val="12"/>
                            <w:szCs w:val="12"/>
                          </w:rPr>
                        </w:pPr>
                        <w:r>
                          <w:rPr>
                            <w:rFonts w:ascii="宋体" w:hAnsi="宋体" w:cs="宋体" w:eastAsia="宋体" w:hint="default"/>
                            <w:sz w:val="12"/>
                            <w:szCs w:val="12"/>
                          </w:rPr>
                          <w:t>企</w:t>
                        </w:r>
                        <w:r>
                          <w:rPr>
                            <w:rFonts w:ascii="宋体" w:hAnsi="宋体" w:cs="宋体" w:eastAsia="宋体" w:hint="default"/>
                            <w:w w:val="100"/>
                            <w:sz w:val="12"/>
                            <w:szCs w:val="12"/>
                          </w:rPr>
                          <w:t> </w:t>
                        </w:r>
                        <w:r>
                          <w:rPr>
                            <w:rFonts w:ascii="宋体" w:hAnsi="宋体" w:cs="宋体" w:eastAsia="宋体" w:hint="default"/>
                            <w:sz w:val="12"/>
                            <w:szCs w:val="12"/>
                          </w:rPr>
                          <w:t>业</w:t>
                        </w:r>
                        <w:r>
                          <w:rPr>
                            <w:rFonts w:ascii="宋体" w:hAnsi="宋体" w:cs="宋体" w:eastAsia="宋体" w:hint="default"/>
                            <w:w w:val="100"/>
                            <w:sz w:val="12"/>
                            <w:szCs w:val="12"/>
                          </w:rPr>
                          <w:t> </w:t>
                        </w:r>
                        <w:r>
                          <w:rPr>
                            <w:rFonts w:ascii="宋体" w:hAnsi="宋体" w:cs="宋体" w:eastAsia="宋体" w:hint="default"/>
                            <w:sz w:val="12"/>
                            <w:szCs w:val="12"/>
                          </w:rPr>
                          <w:t>邮</w:t>
                        </w:r>
                        <w:r>
                          <w:rPr>
                            <w:rFonts w:ascii="宋体" w:hAnsi="宋体" w:cs="宋体" w:eastAsia="宋体" w:hint="default"/>
                            <w:w w:val="100"/>
                            <w:sz w:val="12"/>
                            <w:szCs w:val="12"/>
                          </w:rPr>
                          <w:t> </w:t>
                        </w:r>
                        <w:r>
                          <w:rPr>
                            <w:rFonts w:ascii="宋体" w:hAnsi="宋体" w:cs="宋体" w:eastAsia="宋体" w:hint="default"/>
                            <w:sz w:val="12"/>
                            <w:szCs w:val="12"/>
                          </w:rPr>
                          <w:t>箱</w:t>
                        </w:r>
                      </w:p>
                    </w:tc>
                  </w:tr>
                </w:tbl>
                <w:p>
                  <w:pPr/>
                </w:p>
              </w:txbxContent>
            </v:textbox>
          </v:shape>
        </w:pict>
      </w:r>
      <w:r>
        <w:rPr>
          <w:rFonts w:ascii="Microsoft JhengHei"/>
          <w:position w:val="-11"/>
        </w:rPr>
      </w:r>
      <w:r>
        <w:rPr>
          <w:rFonts w:ascii="Microsoft JhengHei"/>
          <w:position w:val="-11"/>
        </w:rPr>
        <w:tab/>
      </w:r>
      <w:r>
        <w:rPr>
          <w:rFonts w:ascii="Microsoft JhengHei"/>
          <w:position w:val="-13"/>
        </w:rPr>
        <w:pict>
          <v:shape style="width:51.95pt;height:34.6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22"/>
                    <w:gridCol w:w="363"/>
                    <w:gridCol w:w="325"/>
                  </w:tblGrid>
                  <w:tr>
                    <w:trPr>
                      <w:trHeight w:val="669" w:hRule="exact"/>
                    </w:trPr>
                    <w:tc>
                      <w:tcPr>
                        <w:tcW w:w="322" w:type="dxa"/>
                        <w:tcBorders>
                          <w:top w:val="single" w:sz="8" w:space="0" w:color="385D89"/>
                          <w:left w:val="single" w:sz="8" w:space="0" w:color="385D89"/>
                          <w:bottom w:val="single" w:sz="8" w:space="0" w:color="385D89"/>
                          <w:right w:val="single" w:sz="38" w:space="0" w:color="385D89"/>
                        </w:tcBorders>
                      </w:tcPr>
                      <w:p>
                        <w:pPr>
                          <w:pStyle w:val="TableParagraph"/>
                          <w:spacing w:line="142" w:lineRule="exact" w:before="53"/>
                          <w:ind w:left="72" w:right="69"/>
                          <w:jc w:val="both"/>
                          <w:rPr>
                            <w:rFonts w:ascii="宋体" w:hAnsi="宋体" w:cs="宋体" w:eastAsia="宋体" w:hint="default"/>
                            <w:sz w:val="12"/>
                            <w:szCs w:val="12"/>
                          </w:rPr>
                        </w:pPr>
                        <w:r>
                          <w:rPr>
                            <w:rFonts w:ascii="宋体" w:hAnsi="宋体" w:cs="宋体" w:eastAsia="宋体" w:hint="default"/>
                            <w:sz w:val="12"/>
                            <w:szCs w:val="12"/>
                          </w:rPr>
                          <w:t>呼</w:t>
                        </w:r>
                        <w:r>
                          <w:rPr>
                            <w:rFonts w:ascii="宋体" w:hAnsi="宋体" w:cs="宋体" w:eastAsia="宋体" w:hint="default"/>
                            <w:w w:val="100"/>
                            <w:sz w:val="12"/>
                            <w:szCs w:val="12"/>
                          </w:rPr>
                          <w:t> </w:t>
                        </w:r>
                        <w:r>
                          <w:rPr>
                            <w:rFonts w:ascii="宋体" w:hAnsi="宋体" w:cs="宋体" w:eastAsia="宋体" w:hint="default"/>
                            <w:sz w:val="12"/>
                            <w:szCs w:val="12"/>
                          </w:rPr>
                          <w:t>叫</w:t>
                        </w:r>
                        <w:r>
                          <w:rPr>
                            <w:rFonts w:ascii="宋体" w:hAnsi="宋体" w:cs="宋体" w:eastAsia="宋体" w:hint="default"/>
                            <w:w w:val="100"/>
                            <w:sz w:val="12"/>
                            <w:szCs w:val="12"/>
                          </w:rPr>
                          <w:t> </w:t>
                        </w:r>
                        <w:r>
                          <w:rPr>
                            <w:rFonts w:ascii="宋体" w:hAnsi="宋体" w:cs="宋体" w:eastAsia="宋体" w:hint="default"/>
                            <w:sz w:val="12"/>
                            <w:szCs w:val="12"/>
                          </w:rPr>
                          <w:t>中</w:t>
                        </w:r>
                        <w:r>
                          <w:rPr>
                            <w:rFonts w:ascii="宋体" w:hAnsi="宋体" w:cs="宋体" w:eastAsia="宋体" w:hint="default"/>
                            <w:w w:val="100"/>
                            <w:sz w:val="12"/>
                            <w:szCs w:val="12"/>
                          </w:rPr>
                          <w:t> </w:t>
                        </w:r>
                        <w:r>
                          <w:rPr>
                            <w:rFonts w:ascii="宋体" w:hAnsi="宋体" w:cs="宋体" w:eastAsia="宋体" w:hint="default"/>
                            <w:sz w:val="12"/>
                            <w:szCs w:val="12"/>
                          </w:rPr>
                          <w:t>心</w:t>
                        </w:r>
                      </w:p>
                    </w:tc>
                    <w:tc>
                      <w:tcPr>
                        <w:tcW w:w="363" w:type="dxa"/>
                        <w:tcBorders>
                          <w:top w:val="single" w:sz="8" w:space="0" w:color="385D89"/>
                          <w:left w:val="single" w:sz="38" w:space="0" w:color="385D89"/>
                          <w:bottom w:val="single" w:sz="8" w:space="0" w:color="385D89"/>
                          <w:right w:val="single" w:sz="8" w:space="0" w:color="385D89"/>
                        </w:tcBorders>
                      </w:tcPr>
                      <w:p>
                        <w:pPr>
                          <w:pStyle w:val="TableParagraph"/>
                          <w:spacing w:line="218" w:lineRule="auto" w:before="38"/>
                          <w:ind w:left="74" w:right="108"/>
                          <w:jc w:val="both"/>
                          <w:rPr>
                            <w:rFonts w:ascii="宋体" w:hAnsi="宋体" w:cs="宋体" w:eastAsia="宋体" w:hint="default"/>
                            <w:sz w:val="12"/>
                            <w:szCs w:val="12"/>
                          </w:rPr>
                        </w:pPr>
                        <w:r>
                          <w:rPr>
                            <w:rFonts w:ascii="宋体" w:hAnsi="宋体" w:cs="宋体" w:eastAsia="宋体" w:hint="default"/>
                            <w:sz w:val="12"/>
                            <w:szCs w:val="12"/>
                          </w:rPr>
                          <w:t>网</w:t>
                        </w:r>
                        <w:r>
                          <w:rPr>
                            <w:rFonts w:ascii="宋体" w:hAnsi="宋体" w:cs="宋体" w:eastAsia="宋体" w:hint="default"/>
                            <w:w w:val="100"/>
                            <w:sz w:val="12"/>
                            <w:szCs w:val="12"/>
                          </w:rPr>
                          <w:t> </w:t>
                        </w:r>
                        <w:r>
                          <w:rPr>
                            <w:rFonts w:ascii="宋体" w:hAnsi="宋体" w:cs="宋体" w:eastAsia="宋体" w:hint="default"/>
                            <w:sz w:val="12"/>
                            <w:szCs w:val="12"/>
                          </w:rPr>
                          <w:t>络</w:t>
                        </w:r>
                        <w:r>
                          <w:rPr>
                            <w:rFonts w:ascii="宋体" w:hAnsi="宋体" w:cs="宋体" w:eastAsia="宋体" w:hint="default"/>
                            <w:w w:val="100"/>
                            <w:sz w:val="12"/>
                            <w:szCs w:val="12"/>
                          </w:rPr>
                          <w:t> </w:t>
                        </w:r>
                        <w:r>
                          <w:rPr>
                            <w:rFonts w:ascii="宋体" w:hAnsi="宋体" w:cs="宋体" w:eastAsia="宋体" w:hint="default"/>
                            <w:sz w:val="12"/>
                            <w:szCs w:val="12"/>
                          </w:rPr>
                          <w:t>传</w:t>
                        </w:r>
                        <w:r>
                          <w:rPr>
                            <w:rFonts w:ascii="宋体" w:hAnsi="宋体" w:cs="宋体" w:eastAsia="宋体" w:hint="default"/>
                            <w:w w:val="100"/>
                            <w:sz w:val="12"/>
                            <w:szCs w:val="12"/>
                          </w:rPr>
                          <w:t> </w:t>
                        </w:r>
                        <w:r>
                          <w:rPr>
                            <w:rFonts w:ascii="宋体" w:hAnsi="宋体" w:cs="宋体" w:eastAsia="宋体" w:hint="default"/>
                            <w:sz w:val="12"/>
                            <w:szCs w:val="12"/>
                          </w:rPr>
                          <w:t>真</w:t>
                        </w:r>
                      </w:p>
                    </w:tc>
                    <w:tc>
                      <w:tcPr>
                        <w:tcW w:w="325" w:type="dxa"/>
                        <w:tcBorders>
                          <w:top w:val="single" w:sz="8" w:space="0" w:color="385D89"/>
                          <w:left w:val="single" w:sz="8" w:space="0" w:color="385D89"/>
                          <w:bottom w:val="single" w:sz="8" w:space="0" w:color="385D89"/>
                          <w:right w:val="single" w:sz="8" w:space="0" w:color="385D89"/>
                        </w:tcBorders>
                      </w:tcPr>
                      <w:p>
                        <w:pPr>
                          <w:pStyle w:val="TableParagraph"/>
                          <w:spacing w:line="218" w:lineRule="auto" w:before="31"/>
                          <w:ind w:left="115" w:right="67"/>
                          <w:jc w:val="both"/>
                          <w:rPr>
                            <w:rFonts w:ascii="宋体" w:hAnsi="宋体" w:cs="宋体" w:eastAsia="宋体" w:hint="default"/>
                            <w:sz w:val="12"/>
                            <w:szCs w:val="12"/>
                          </w:rPr>
                        </w:pPr>
                        <w:r>
                          <w:rPr>
                            <w:rFonts w:ascii="宋体" w:hAnsi="宋体" w:cs="宋体" w:eastAsia="宋体" w:hint="default"/>
                            <w:sz w:val="12"/>
                            <w:szCs w:val="12"/>
                          </w:rPr>
                          <w:t>企</w:t>
                        </w:r>
                        <w:r>
                          <w:rPr>
                            <w:rFonts w:ascii="宋体" w:hAnsi="宋体" w:cs="宋体" w:eastAsia="宋体" w:hint="default"/>
                            <w:w w:val="100"/>
                            <w:sz w:val="12"/>
                            <w:szCs w:val="12"/>
                          </w:rPr>
                          <w:t> </w:t>
                        </w:r>
                        <w:r>
                          <w:rPr>
                            <w:rFonts w:ascii="宋体" w:hAnsi="宋体" w:cs="宋体" w:eastAsia="宋体" w:hint="default"/>
                            <w:sz w:val="12"/>
                            <w:szCs w:val="12"/>
                          </w:rPr>
                          <w:t>业</w:t>
                        </w:r>
                        <w:r>
                          <w:rPr>
                            <w:rFonts w:ascii="宋体" w:hAnsi="宋体" w:cs="宋体" w:eastAsia="宋体" w:hint="default"/>
                            <w:w w:val="100"/>
                            <w:sz w:val="12"/>
                            <w:szCs w:val="12"/>
                          </w:rPr>
                          <w:t> </w:t>
                        </w:r>
                        <w:r>
                          <w:rPr>
                            <w:rFonts w:ascii="宋体" w:hAnsi="宋体" w:cs="宋体" w:eastAsia="宋体" w:hint="default"/>
                            <w:sz w:val="12"/>
                            <w:szCs w:val="12"/>
                          </w:rPr>
                          <w:t>短</w:t>
                        </w:r>
                        <w:r>
                          <w:rPr>
                            <w:rFonts w:ascii="宋体" w:hAnsi="宋体" w:cs="宋体" w:eastAsia="宋体" w:hint="default"/>
                            <w:w w:val="100"/>
                            <w:sz w:val="12"/>
                            <w:szCs w:val="12"/>
                          </w:rPr>
                          <w:t> </w:t>
                        </w:r>
                        <w:r>
                          <w:rPr>
                            <w:rFonts w:ascii="宋体" w:hAnsi="宋体" w:cs="宋体" w:eastAsia="宋体" w:hint="default"/>
                            <w:sz w:val="12"/>
                            <w:szCs w:val="12"/>
                          </w:rPr>
                          <w:t>信</w:t>
                        </w:r>
                      </w:p>
                    </w:tc>
                  </w:tr>
                </w:tbl>
                <w:p>
                  <w:pPr/>
                </w:p>
              </w:txbxContent>
            </v:textbox>
          </v:shape>
        </w:pict>
      </w:r>
      <w:r>
        <w:rPr>
          <w:rFonts w:ascii="Microsoft JhengHei"/>
          <w:position w:val="-13"/>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6"/>
          <w:szCs w:val="26"/>
        </w:rPr>
      </w:pPr>
    </w:p>
    <w:p>
      <w:pPr>
        <w:spacing w:before="74"/>
        <w:ind w:left="1019" w:right="0" w:firstLine="0"/>
        <w:jc w:val="left"/>
        <w:rPr>
          <w:rFonts w:ascii="Calibri" w:hAnsi="Calibri" w:cs="Calibri" w:eastAsia="Calibri" w:hint="default"/>
          <w:sz w:val="12"/>
          <w:szCs w:val="12"/>
        </w:rPr>
      </w:pPr>
      <w:r>
        <w:rPr/>
        <w:pict>
          <v:group style="position:absolute;margin-left:84.551262pt;margin-top:-109.162262pt;width:345.5pt;height:108.9pt;mso-position-horizontal-relative:page;mso-position-vertical-relative:paragraph;z-index:-862840" coordorigin="1691,-2183" coordsize="6910,2178">
            <v:group style="position:absolute;left:1702;top:-1025;width:6889;height:6" coordorigin="1702,-1025" coordsize="6889,6">
              <v:shape style="position:absolute;left:1702;top:-1025;width:6889;height:6" coordorigin="1702,-1025" coordsize="6889,6" path="m1702,-1019l8590,-1025e" filled="false" stroked="true" strokeweight="1.067185pt" strokecolor="#ff0000">
                <v:path arrowok="t"/>
                <v:stroke dashstyle="dash"/>
              </v:shape>
            </v:group>
            <v:group style="position:absolute;left:1828;top:-2145;width:1136;height:2130" coordorigin="1828,-2145" coordsize="1136,2130">
              <v:shape style="position:absolute;left:1828;top:-2145;width:1136;height:2130" coordorigin="1828,-2145" coordsize="1136,2130" path="m1828,-1081l1830,-1177,1837,-1272,1848,-1364,1863,-1452,1883,-1537,1905,-1618,1932,-1695,1961,-1767,1994,-1833,2030,-1895,2068,-1951,2109,-2000,2152,-2043,2245,-2107,2344,-2141,2396,-2145,2447,-2141,2546,-2107,2639,-2043,2682,-2000,2723,-1951,2761,-1895,2797,-1833,2830,-1767,2859,-1695,2886,-1618,2908,-1537,2928,-1452,2943,-1364,2954,-1272,2961,-1177,2963,-1081,2961,-984,2954,-889,2943,-797,2928,-709,2908,-624,2886,-543,2859,-466,2830,-394,2797,-328,2761,-266,2723,-210,2682,-161,2639,-118,2546,-54,2447,-20,2396,-16,2344,-20,2245,-54,2152,-118,2109,-161,2068,-210,2030,-266,1994,-328,1961,-394,1932,-466,1905,-543,1883,-624,1863,-709,1848,-797,1837,-889,1830,-984,1828,-1081xe" filled="false" stroked="true" strokeweight=".959036pt" strokecolor="#ffff00">
                <v:path arrowok="t"/>
                <v:stroke dashstyle="dash"/>
              </v:shape>
              <v:shape style="position:absolute;left:8174;top:-1947;width:251;height:178" type="#_x0000_t202" filled="false" stroked="false">
                <v:textbox inset="0,0,0,0">
                  <w:txbxContent>
                    <w:p>
                      <w:pPr>
                        <w:spacing w:line="178" w:lineRule="exact" w:before="0"/>
                        <w:ind w:left="0" w:right="0" w:firstLine="0"/>
                        <w:jc w:val="left"/>
                        <w:rPr>
                          <w:rFonts w:ascii="Calibri" w:hAnsi="Calibri" w:cs="Calibri" w:eastAsia="Calibri" w:hint="default"/>
                          <w:sz w:val="17"/>
                          <w:szCs w:val="17"/>
                        </w:rPr>
                      </w:pPr>
                      <w:r>
                        <w:rPr>
                          <w:rFonts w:ascii="Calibri" w:hAnsi="Calibri" w:cs="Calibri" w:eastAsia="Calibri" w:hint="default"/>
                          <w:w w:val="105"/>
                          <w:sz w:val="17"/>
                          <w:szCs w:val="17"/>
                        </w:rPr>
                        <w:t>……</w:t>
                      </w:r>
                      <w:r>
                        <w:rPr>
                          <w:rFonts w:ascii="Calibri" w:hAnsi="Calibri" w:cs="Calibri" w:eastAsia="Calibri" w:hint="default"/>
                          <w:sz w:val="17"/>
                          <w:szCs w:val="17"/>
                        </w:rPr>
                      </w:r>
                    </w:p>
                  </w:txbxContent>
                </v:textbox>
                <w10:wrap type="none"/>
              </v:shape>
              <v:shape style="position:absolute;left:2037;top:-1691;width:602;height:261" type="#_x0000_t202" filled="false" stroked="false">
                <v:textbox inset="0,0,0,0">
                  <w:txbxContent>
                    <w:p>
                      <w:pPr>
                        <w:spacing w:line="95" w:lineRule="exact" w:before="0"/>
                        <w:ind w:left="60" w:right="0" w:hanging="61"/>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云统一通信</w:t>
                      </w:r>
                      <w:r>
                        <w:rPr>
                          <w:rFonts w:ascii="Microsoft JhengHei" w:hAnsi="Microsoft JhengHei" w:cs="Microsoft JhengHei" w:eastAsia="Microsoft JhengHei" w:hint="default"/>
                          <w:sz w:val="12"/>
                          <w:szCs w:val="12"/>
                        </w:rPr>
                      </w:r>
                    </w:p>
                    <w:p>
                      <w:pPr>
                        <w:spacing w:line="166" w:lineRule="exact" w:before="0"/>
                        <w:ind w:left="60" w:right="0" w:firstLine="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服务平台</w:t>
                      </w:r>
                      <w:r>
                        <w:rPr>
                          <w:rFonts w:ascii="Microsoft JhengHei" w:hAnsi="Microsoft JhengHei" w:cs="Microsoft JhengHei" w:eastAsia="Microsoft JhengHei" w:hint="default"/>
                          <w:sz w:val="12"/>
                          <w:szCs w:val="12"/>
                        </w:rPr>
                      </w:r>
                    </w:p>
                  </w:txbxContent>
                </v:textbox>
                <w10:wrap type="none"/>
              </v:shape>
              <v:shape style="position:absolute;left:2066;top:-626;width:602;height:261" type="#_x0000_t202" filled="false" stroked="false">
                <v:textbox inset="0,0,0,0">
                  <w:txbxContent>
                    <w:p>
                      <w:pPr>
                        <w:spacing w:line="95" w:lineRule="exact" w:before="0"/>
                        <w:ind w:left="60" w:right="0" w:hanging="61"/>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云统一通信</w:t>
                      </w:r>
                      <w:r>
                        <w:rPr>
                          <w:rFonts w:ascii="Microsoft JhengHei" w:hAnsi="Microsoft JhengHei" w:cs="Microsoft JhengHei" w:eastAsia="Microsoft JhengHei" w:hint="default"/>
                          <w:sz w:val="12"/>
                          <w:szCs w:val="12"/>
                        </w:rPr>
                      </w:r>
                    </w:p>
                    <w:p>
                      <w:pPr>
                        <w:spacing w:line="166" w:lineRule="exact" w:before="0"/>
                        <w:ind w:left="60" w:right="0" w:firstLine="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基础资源</w:t>
                      </w:r>
                      <w:r>
                        <w:rPr>
                          <w:rFonts w:ascii="Microsoft JhengHei" w:hAnsi="Microsoft JhengHei" w:cs="Microsoft JhengHei" w:eastAsia="Microsoft JhengHei" w:hint="default"/>
                          <w:sz w:val="12"/>
                          <w:szCs w:val="12"/>
                        </w:rPr>
                      </w:r>
                    </w:p>
                  </w:txbxContent>
                </v:textbox>
                <w10:wrap type="none"/>
              </v:shape>
              <v:shape style="position:absolute;left:5173;top:-2183;width:284;height:674" type="#_x0000_t202" filled="false" stroked="true" strokeweight=".960027pt" strokecolor="#385d89">
                <v:textbox inset="0,0,0,0">
                  <w:txbxContent>
                    <w:p>
                      <w:pPr>
                        <w:spacing w:line="218" w:lineRule="auto" w:before="39"/>
                        <w:ind w:left="74" w:right="67" w:firstLine="0"/>
                        <w:jc w:val="both"/>
                        <w:rPr>
                          <w:rFonts w:ascii="宋体" w:hAnsi="宋体" w:cs="宋体" w:eastAsia="宋体" w:hint="default"/>
                          <w:sz w:val="12"/>
                          <w:szCs w:val="12"/>
                        </w:rPr>
                      </w:pPr>
                      <w:r>
                        <w:rPr>
                          <w:rFonts w:ascii="宋体" w:hAnsi="宋体" w:cs="宋体" w:eastAsia="宋体" w:hint="default"/>
                          <w:sz w:val="12"/>
                          <w:szCs w:val="12"/>
                        </w:rPr>
                        <w:t>即</w:t>
                      </w:r>
                      <w:r>
                        <w:rPr>
                          <w:rFonts w:ascii="宋体" w:hAnsi="宋体" w:cs="宋体" w:eastAsia="宋体" w:hint="default"/>
                          <w:w w:val="100"/>
                          <w:sz w:val="12"/>
                          <w:szCs w:val="12"/>
                        </w:rPr>
                        <w:t> </w:t>
                      </w:r>
                      <w:r>
                        <w:rPr>
                          <w:rFonts w:ascii="宋体" w:hAnsi="宋体" w:cs="宋体" w:eastAsia="宋体" w:hint="default"/>
                          <w:sz w:val="12"/>
                          <w:szCs w:val="12"/>
                        </w:rPr>
                        <w:t>时</w:t>
                      </w:r>
                      <w:r>
                        <w:rPr>
                          <w:rFonts w:ascii="宋体" w:hAnsi="宋体" w:cs="宋体" w:eastAsia="宋体" w:hint="default"/>
                          <w:w w:val="100"/>
                          <w:sz w:val="12"/>
                          <w:szCs w:val="12"/>
                        </w:rPr>
                        <w:t> </w:t>
                      </w:r>
                      <w:r>
                        <w:rPr>
                          <w:rFonts w:ascii="宋体" w:hAnsi="宋体" w:cs="宋体" w:eastAsia="宋体" w:hint="default"/>
                          <w:sz w:val="12"/>
                          <w:szCs w:val="12"/>
                        </w:rPr>
                        <w:t>通</w:t>
                      </w:r>
                      <w:r>
                        <w:rPr>
                          <w:rFonts w:ascii="宋体" w:hAnsi="宋体" w:cs="宋体" w:eastAsia="宋体" w:hint="default"/>
                          <w:w w:val="100"/>
                          <w:sz w:val="12"/>
                          <w:szCs w:val="12"/>
                        </w:rPr>
                        <w:t> </w:t>
                      </w:r>
                      <w:r>
                        <w:rPr>
                          <w:rFonts w:ascii="宋体" w:hAnsi="宋体" w:cs="宋体" w:eastAsia="宋体" w:hint="default"/>
                          <w:sz w:val="12"/>
                          <w:szCs w:val="12"/>
                        </w:rPr>
                        <w:t>信</w:t>
                      </w:r>
                    </w:p>
                  </w:txbxContent>
                </v:textbox>
                <w10:wrap type="none"/>
              </v:shape>
              <v:shape style="position:absolute;left:6652;top:-2176;width:284;height:672" type="#_x0000_t202" filled="false" stroked="true" strokeweight=".960015pt" strokecolor="#385d89">
                <v:textbox inset="0,0,0,0">
                  <w:txbxContent>
                    <w:p>
                      <w:pPr>
                        <w:spacing w:line="142" w:lineRule="exact" w:before="52"/>
                        <w:ind w:left="73" w:right="69" w:firstLine="0"/>
                        <w:jc w:val="both"/>
                        <w:rPr>
                          <w:rFonts w:ascii="宋体" w:hAnsi="宋体" w:cs="宋体" w:eastAsia="宋体" w:hint="default"/>
                          <w:sz w:val="12"/>
                          <w:szCs w:val="12"/>
                        </w:rPr>
                      </w:pPr>
                      <w:r>
                        <w:rPr>
                          <w:rFonts w:ascii="宋体" w:hAnsi="宋体" w:cs="宋体" w:eastAsia="宋体" w:hint="default"/>
                          <w:sz w:val="12"/>
                          <w:szCs w:val="12"/>
                        </w:rPr>
                        <w:t>数</w:t>
                      </w:r>
                      <w:r>
                        <w:rPr>
                          <w:rFonts w:ascii="宋体" w:hAnsi="宋体" w:cs="宋体" w:eastAsia="宋体" w:hint="default"/>
                          <w:w w:val="100"/>
                          <w:sz w:val="12"/>
                          <w:szCs w:val="12"/>
                        </w:rPr>
                        <w:t> </w:t>
                      </w:r>
                      <w:r>
                        <w:rPr>
                          <w:rFonts w:ascii="宋体" w:hAnsi="宋体" w:cs="宋体" w:eastAsia="宋体" w:hint="default"/>
                          <w:sz w:val="12"/>
                          <w:szCs w:val="12"/>
                        </w:rPr>
                        <w:t>据</w:t>
                      </w:r>
                      <w:r>
                        <w:rPr>
                          <w:rFonts w:ascii="宋体" w:hAnsi="宋体" w:cs="宋体" w:eastAsia="宋体" w:hint="default"/>
                          <w:w w:val="100"/>
                          <w:sz w:val="12"/>
                          <w:szCs w:val="12"/>
                        </w:rPr>
                        <w:t> </w:t>
                      </w:r>
                      <w:r>
                        <w:rPr>
                          <w:rFonts w:ascii="宋体" w:hAnsi="宋体" w:cs="宋体" w:eastAsia="宋体" w:hint="default"/>
                          <w:sz w:val="12"/>
                          <w:szCs w:val="12"/>
                        </w:rPr>
                        <w:t>共</w:t>
                      </w:r>
                      <w:r>
                        <w:rPr>
                          <w:rFonts w:ascii="宋体" w:hAnsi="宋体" w:cs="宋体" w:eastAsia="宋体" w:hint="default"/>
                          <w:w w:val="100"/>
                          <w:sz w:val="12"/>
                          <w:szCs w:val="12"/>
                        </w:rPr>
                        <w:t> </w:t>
                      </w:r>
                      <w:r>
                        <w:rPr>
                          <w:rFonts w:ascii="宋体" w:hAnsi="宋体" w:cs="宋体" w:eastAsia="宋体" w:hint="default"/>
                          <w:sz w:val="12"/>
                          <w:szCs w:val="12"/>
                        </w:rPr>
                        <w:t>享</w:t>
                      </w:r>
                    </w:p>
                  </w:txbxContent>
                </v:textbox>
                <w10:wrap type="none"/>
              </v:shape>
              <v:shape style="position:absolute;left:7037;top:-2176;width:284;height:672" type="#_x0000_t202" filled="false" stroked="true" strokeweight=".960015pt" strokecolor="#385d89">
                <v:textbox inset="0,0,0,0">
                  <w:txbxContent>
                    <w:p>
                      <w:pPr>
                        <w:spacing w:line="142" w:lineRule="exact" w:before="52"/>
                        <w:ind w:left="74" w:right="68" w:firstLine="0"/>
                        <w:jc w:val="both"/>
                        <w:rPr>
                          <w:rFonts w:ascii="宋体" w:hAnsi="宋体" w:cs="宋体" w:eastAsia="宋体" w:hint="default"/>
                          <w:sz w:val="12"/>
                          <w:szCs w:val="12"/>
                        </w:rPr>
                      </w:pPr>
                      <w:r>
                        <w:rPr>
                          <w:rFonts w:ascii="宋体" w:hAnsi="宋体" w:cs="宋体" w:eastAsia="宋体" w:hint="default"/>
                          <w:sz w:val="12"/>
                          <w:szCs w:val="12"/>
                        </w:rPr>
                        <w:t>文</w:t>
                      </w:r>
                      <w:r>
                        <w:rPr>
                          <w:rFonts w:ascii="宋体" w:hAnsi="宋体" w:cs="宋体" w:eastAsia="宋体" w:hint="default"/>
                          <w:w w:val="100"/>
                          <w:sz w:val="12"/>
                          <w:szCs w:val="12"/>
                        </w:rPr>
                        <w:t> </w:t>
                      </w:r>
                      <w:r>
                        <w:rPr>
                          <w:rFonts w:ascii="宋体" w:hAnsi="宋体" w:cs="宋体" w:eastAsia="宋体" w:hint="default"/>
                          <w:sz w:val="12"/>
                          <w:szCs w:val="12"/>
                        </w:rPr>
                        <w:t>档</w:t>
                      </w:r>
                      <w:r>
                        <w:rPr>
                          <w:rFonts w:ascii="宋体" w:hAnsi="宋体" w:cs="宋体" w:eastAsia="宋体" w:hint="default"/>
                          <w:w w:val="100"/>
                          <w:sz w:val="12"/>
                          <w:szCs w:val="12"/>
                        </w:rPr>
                        <w:t> </w:t>
                      </w:r>
                      <w:r>
                        <w:rPr>
                          <w:rFonts w:ascii="宋体" w:hAnsi="宋体" w:cs="宋体" w:eastAsia="宋体" w:hint="default"/>
                          <w:sz w:val="12"/>
                          <w:szCs w:val="12"/>
                        </w:rPr>
                        <w:t>存</w:t>
                      </w:r>
                      <w:r>
                        <w:rPr>
                          <w:rFonts w:ascii="宋体" w:hAnsi="宋体" w:cs="宋体" w:eastAsia="宋体" w:hint="default"/>
                          <w:w w:val="100"/>
                          <w:sz w:val="12"/>
                          <w:szCs w:val="12"/>
                        </w:rPr>
                        <w:t> </w:t>
                      </w:r>
                      <w:r>
                        <w:rPr>
                          <w:rFonts w:ascii="宋体" w:hAnsi="宋体" w:cs="宋体" w:eastAsia="宋体" w:hint="default"/>
                          <w:sz w:val="12"/>
                          <w:szCs w:val="12"/>
                        </w:rPr>
                        <w:t>储</w:t>
                      </w:r>
                    </w:p>
                  </w:txbxContent>
                </v:textbox>
                <w10:wrap type="none"/>
              </v:shape>
              <v:shape style="position:absolute;left:7446;top:-2176;width:284;height:672" type="#_x0000_t202" filled="false" stroked="true" strokeweight=".960015pt" strokecolor="#385d89">
                <v:textbox inset="0,0,0,0">
                  <w:txbxContent>
                    <w:p>
                      <w:pPr>
                        <w:spacing w:line="142" w:lineRule="exact" w:before="52"/>
                        <w:ind w:left="75" w:right="66" w:firstLine="0"/>
                        <w:jc w:val="both"/>
                        <w:rPr>
                          <w:rFonts w:ascii="宋体" w:hAnsi="宋体" w:cs="宋体" w:eastAsia="宋体" w:hint="default"/>
                          <w:sz w:val="12"/>
                          <w:szCs w:val="12"/>
                        </w:rPr>
                      </w:pPr>
                      <w:r>
                        <w:rPr>
                          <w:rFonts w:ascii="宋体" w:hAnsi="宋体" w:cs="宋体" w:eastAsia="宋体" w:hint="default"/>
                          <w:sz w:val="12"/>
                          <w:szCs w:val="12"/>
                        </w:rPr>
                        <w:t>远</w:t>
                      </w:r>
                      <w:r>
                        <w:rPr>
                          <w:rFonts w:ascii="宋体" w:hAnsi="宋体" w:cs="宋体" w:eastAsia="宋体" w:hint="default"/>
                          <w:w w:val="100"/>
                          <w:sz w:val="12"/>
                          <w:szCs w:val="12"/>
                        </w:rPr>
                        <w:t> </w:t>
                      </w:r>
                      <w:r>
                        <w:rPr>
                          <w:rFonts w:ascii="宋体" w:hAnsi="宋体" w:cs="宋体" w:eastAsia="宋体" w:hint="default"/>
                          <w:sz w:val="12"/>
                          <w:szCs w:val="12"/>
                        </w:rPr>
                        <w:t>程</w:t>
                      </w:r>
                      <w:r>
                        <w:rPr>
                          <w:rFonts w:ascii="宋体" w:hAnsi="宋体" w:cs="宋体" w:eastAsia="宋体" w:hint="default"/>
                          <w:w w:val="100"/>
                          <w:sz w:val="12"/>
                          <w:szCs w:val="12"/>
                        </w:rPr>
                        <w:t> </w:t>
                      </w:r>
                      <w:r>
                        <w:rPr>
                          <w:rFonts w:ascii="宋体" w:hAnsi="宋体" w:cs="宋体" w:eastAsia="宋体" w:hint="default"/>
                          <w:sz w:val="12"/>
                          <w:szCs w:val="12"/>
                        </w:rPr>
                        <w:t>协</w:t>
                      </w:r>
                      <w:r>
                        <w:rPr>
                          <w:rFonts w:ascii="宋体" w:hAnsi="宋体" w:cs="宋体" w:eastAsia="宋体" w:hint="default"/>
                          <w:w w:val="100"/>
                          <w:sz w:val="12"/>
                          <w:szCs w:val="12"/>
                        </w:rPr>
                        <w:t> </w:t>
                      </w:r>
                      <w:r>
                        <w:rPr>
                          <w:rFonts w:ascii="宋体" w:hAnsi="宋体" w:cs="宋体" w:eastAsia="宋体" w:hint="default"/>
                          <w:sz w:val="12"/>
                          <w:szCs w:val="12"/>
                        </w:rPr>
                        <w:t>助</w:t>
                      </w:r>
                    </w:p>
                  </w:txbxContent>
                </v:textbox>
                <w10:wrap type="none"/>
              </v:shape>
              <v:shape style="position:absolute;left:7816;top:-2176;width:284;height:672" type="#_x0000_t202" filled="false" stroked="true" strokeweight=".960015pt" strokecolor="#385d89">
                <v:textbox inset="0,0,0,0">
                  <w:txbxContent>
                    <w:p>
                      <w:pPr>
                        <w:spacing w:line="142" w:lineRule="exact" w:before="52"/>
                        <w:ind w:left="73" w:right="68" w:firstLine="0"/>
                        <w:jc w:val="both"/>
                        <w:rPr>
                          <w:rFonts w:ascii="宋体" w:hAnsi="宋体" w:cs="宋体" w:eastAsia="宋体" w:hint="default"/>
                          <w:sz w:val="12"/>
                          <w:szCs w:val="12"/>
                        </w:rPr>
                      </w:pPr>
                      <w:r>
                        <w:rPr>
                          <w:rFonts w:ascii="宋体" w:hAnsi="宋体" w:cs="宋体" w:eastAsia="宋体" w:hint="default"/>
                          <w:sz w:val="12"/>
                          <w:szCs w:val="12"/>
                        </w:rPr>
                        <w:t>日</w:t>
                      </w:r>
                      <w:r>
                        <w:rPr>
                          <w:rFonts w:ascii="宋体" w:hAnsi="宋体" w:cs="宋体" w:eastAsia="宋体" w:hint="default"/>
                          <w:w w:val="100"/>
                          <w:sz w:val="12"/>
                          <w:szCs w:val="12"/>
                        </w:rPr>
                        <w:t> </w:t>
                      </w:r>
                      <w:r>
                        <w:rPr>
                          <w:rFonts w:ascii="宋体" w:hAnsi="宋体" w:cs="宋体" w:eastAsia="宋体" w:hint="default"/>
                          <w:sz w:val="12"/>
                          <w:szCs w:val="12"/>
                        </w:rPr>
                        <w:t>程</w:t>
                      </w:r>
                      <w:r>
                        <w:rPr>
                          <w:rFonts w:ascii="宋体" w:hAnsi="宋体" w:cs="宋体" w:eastAsia="宋体" w:hint="default"/>
                          <w:w w:val="100"/>
                          <w:sz w:val="12"/>
                          <w:szCs w:val="12"/>
                        </w:rPr>
                        <w:t> </w:t>
                      </w:r>
                      <w:r>
                        <w:rPr>
                          <w:rFonts w:ascii="宋体" w:hAnsi="宋体" w:cs="宋体" w:eastAsia="宋体" w:hint="default"/>
                          <w:sz w:val="12"/>
                          <w:szCs w:val="12"/>
                        </w:rPr>
                        <w:t>管</w:t>
                      </w:r>
                      <w:r>
                        <w:rPr>
                          <w:rFonts w:ascii="宋体" w:hAnsi="宋体" w:cs="宋体" w:eastAsia="宋体" w:hint="default"/>
                          <w:w w:val="100"/>
                          <w:sz w:val="12"/>
                          <w:szCs w:val="12"/>
                        </w:rPr>
                        <w:t> </w:t>
                      </w:r>
                      <w:r>
                        <w:rPr>
                          <w:rFonts w:ascii="宋体" w:hAnsi="宋体" w:cs="宋体" w:eastAsia="宋体" w:hint="default"/>
                          <w:sz w:val="12"/>
                          <w:szCs w:val="12"/>
                        </w:rPr>
                        <w:t>理</w:t>
                      </w:r>
                    </w:p>
                  </w:txbxContent>
                </v:textbox>
                <w10:wrap type="none"/>
              </v:shape>
              <v:shape style="position:absolute;left:3079;top:-1417;width:5113;height:280" type="#_x0000_t202" filled="false" stroked="true" strokeweight=".94865pt" strokecolor="#385d89">
                <v:textbox inset="0,0,0,0">
                  <w:txbxContent>
                    <w:p>
                      <w:pPr>
                        <w:spacing w:before="44"/>
                        <w:ind w:left="1524" w:right="0" w:firstLine="0"/>
                        <w:jc w:val="left"/>
                        <w:rPr>
                          <w:rFonts w:ascii="宋体" w:hAnsi="宋体" w:cs="宋体" w:eastAsia="宋体" w:hint="default"/>
                          <w:sz w:val="12"/>
                          <w:szCs w:val="12"/>
                        </w:rPr>
                      </w:pPr>
                      <w:r>
                        <w:rPr>
                          <w:rFonts w:ascii="宋体" w:hAnsi="宋体" w:cs="宋体" w:eastAsia="宋体" w:hint="default"/>
                          <w:sz w:val="12"/>
                          <w:szCs w:val="12"/>
                        </w:rPr>
                        <w:t>基于企业通讯录的云统一通信服务平台</w:t>
                      </w:r>
                    </w:p>
                  </w:txbxContent>
                </v:textbox>
                <w10:wrap type="none"/>
              </v:shape>
              <v:shape style="position:absolute;left:3079;top:-891;width:5113;height:280" type="#_x0000_t202" filled="false" stroked="true" strokeweight=".94865pt" strokecolor="#385d89">
                <v:textbox inset="0,0,0,0">
                  <w:txbxContent>
                    <w:p>
                      <w:pPr>
                        <w:spacing w:before="43"/>
                        <w:ind w:left="622" w:right="0" w:firstLine="0"/>
                        <w:jc w:val="left"/>
                        <w:rPr>
                          <w:rFonts w:ascii="宋体" w:hAnsi="宋体" w:cs="宋体" w:eastAsia="宋体" w:hint="default"/>
                          <w:sz w:val="12"/>
                          <w:szCs w:val="12"/>
                        </w:rPr>
                      </w:pPr>
                      <w:r>
                        <w:rPr>
                          <w:rFonts w:ascii="宋体" w:hAnsi="宋体" w:cs="宋体" w:eastAsia="宋体" w:hint="default"/>
                          <w:sz w:val="12"/>
                          <w:szCs w:val="12"/>
                        </w:rPr>
                        <w:t>统一接入资源管理</w:t>
                      </w:r>
                      <w:r>
                        <w:rPr>
                          <w:rFonts w:ascii="宋体" w:hAnsi="宋体" w:cs="宋体" w:eastAsia="宋体" w:hint="default"/>
                          <w:sz w:val="12"/>
                          <w:szCs w:val="12"/>
                        </w:rPr>
                        <w:t>/</w:t>
                      </w:r>
                      <w:r>
                        <w:rPr>
                          <w:rFonts w:ascii="宋体" w:hAnsi="宋体" w:cs="宋体" w:eastAsia="宋体" w:hint="default"/>
                          <w:sz w:val="12"/>
                          <w:szCs w:val="12"/>
                        </w:rPr>
                        <w:t>统一账务结算</w:t>
                      </w:r>
                      <w:r>
                        <w:rPr>
                          <w:rFonts w:ascii="宋体" w:hAnsi="宋体" w:cs="宋体" w:eastAsia="宋体" w:hint="default"/>
                          <w:sz w:val="12"/>
                          <w:szCs w:val="12"/>
                        </w:rPr>
                        <w:t>/</w:t>
                      </w:r>
                      <w:r>
                        <w:rPr>
                          <w:rFonts w:ascii="宋体" w:hAnsi="宋体" w:cs="宋体" w:eastAsia="宋体" w:hint="default"/>
                          <w:sz w:val="12"/>
                          <w:szCs w:val="12"/>
                        </w:rPr>
                        <w:t>统一支持服务</w:t>
                      </w:r>
                      <w:r>
                        <w:rPr>
                          <w:rFonts w:ascii="宋体" w:hAnsi="宋体" w:cs="宋体" w:eastAsia="宋体" w:hint="default"/>
                          <w:sz w:val="12"/>
                          <w:szCs w:val="12"/>
                        </w:rPr>
                        <w:t>/</w:t>
                      </w:r>
                      <w:r>
                        <w:rPr>
                          <w:rFonts w:ascii="宋体" w:hAnsi="宋体" w:cs="宋体" w:eastAsia="宋体" w:hint="default"/>
                          <w:sz w:val="12"/>
                          <w:szCs w:val="12"/>
                        </w:rPr>
                        <w:t>统一安全管理</w:t>
                      </w:r>
                      <w:r>
                        <w:rPr>
                          <w:rFonts w:ascii="宋体" w:hAnsi="宋体" w:cs="宋体" w:eastAsia="宋体" w:hint="default"/>
                          <w:sz w:val="12"/>
                          <w:szCs w:val="12"/>
                        </w:rPr>
                        <w:t>/</w:t>
                      </w:r>
                      <w:r>
                        <w:rPr>
                          <w:rFonts w:ascii="宋体" w:hAnsi="宋体" w:cs="宋体" w:eastAsia="宋体" w:hint="default"/>
                          <w:sz w:val="12"/>
                          <w:szCs w:val="12"/>
                        </w:rPr>
                        <w:t>分析管控</w:t>
                      </w:r>
                    </w:p>
                  </w:txbxContent>
                </v:textbox>
                <w10:wrap type="none"/>
              </v:shape>
              <v:shape style="position:absolute;left:3064;top:-459;width:5116;height:280" type="#_x0000_t202" filled="false" stroked="true" strokeweight=".94865pt" strokecolor="#385d89">
                <v:textbox inset="0,0,0,0">
                  <w:txbxContent>
                    <w:p>
                      <w:pPr>
                        <w:spacing w:before="44"/>
                        <w:ind w:left="0" w:right="0" w:firstLine="0"/>
                        <w:jc w:val="center"/>
                        <w:rPr>
                          <w:rFonts w:ascii="宋体" w:hAnsi="宋体" w:cs="宋体" w:eastAsia="宋体" w:hint="default"/>
                          <w:sz w:val="12"/>
                          <w:szCs w:val="12"/>
                        </w:rPr>
                      </w:pPr>
                      <w:r>
                        <w:rPr>
                          <w:rFonts w:ascii="宋体" w:hAnsi="宋体" w:cs="宋体" w:eastAsia="宋体" w:hint="default"/>
                          <w:sz w:val="12"/>
                          <w:szCs w:val="12"/>
                        </w:rPr>
                        <w:t>基础通信资源平台</w:t>
                      </w:r>
                    </w:p>
                  </w:txbxContent>
                </v:textbox>
                <w10:wrap type="none"/>
              </v:shape>
            </v:group>
            <w10:wrap type="none"/>
          </v:group>
        </w:pict>
      </w:r>
      <w:r>
        <w:rPr>
          <w:rFonts w:ascii="Calibri"/>
          <w:color w:val="006FC0"/>
          <w:sz w:val="12"/>
        </w:rPr>
        <w:t>CaaS</w:t>
      </w:r>
      <w:r>
        <w:rPr>
          <w:rFonts w:ascii="Calibri"/>
          <w:color w:val="006FC0"/>
          <w:spacing w:val="13"/>
          <w:sz w:val="12"/>
        </w:rPr>
        <w:t> </w:t>
      </w:r>
      <w:r>
        <w:rPr>
          <w:rFonts w:ascii="Calibri"/>
          <w:color w:val="006FC0"/>
          <w:spacing w:val="-1"/>
          <w:sz w:val="12"/>
        </w:rPr>
        <w:t>(Communications-as-a-Service)</w:t>
      </w:r>
      <w:r>
        <w:rPr>
          <w:rFonts w:ascii="Calibri"/>
          <w:spacing w:val="-1"/>
          <w:sz w:val="12"/>
        </w:rPr>
      </w:r>
    </w:p>
    <w:p>
      <w:pPr>
        <w:spacing w:after="0"/>
        <w:jc w:val="left"/>
        <w:rPr>
          <w:rFonts w:ascii="Calibri" w:hAnsi="Calibri" w:cs="Calibri" w:eastAsia="Calibri" w:hint="default"/>
          <w:sz w:val="12"/>
          <w:szCs w:val="12"/>
        </w:rPr>
        <w:sectPr>
          <w:pgSz w:w="11910" w:h="16840"/>
          <w:pgMar w:header="747" w:footer="979" w:top="1060" w:bottom="1160" w:left="980" w:right="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9"/>
        <w:rPr>
          <w:rFonts w:ascii="Calibri" w:hAnsi="Calibri" w:cs="Calibri" w:eastAsia="Calibri" w:hint="default"/>
          <w:sz w:val="19"/>
          <w:szCs w:val="19"/>
        </w:rPr>
      </w:pPr>
    </w:p>
    <w:p>
      <w:pPr>
        <w:pStyle w:val="BodyText"/>
        <w:spacing w:line="460" w:lineRule="auto" w:before="44"/>
        <w:ind w:right="1032" w:firstLine="423"/>
        <w:jc w:val="left"/>
      </w:pPr>
      <w:r>
        <w:rPr/>
        <w:t>图中自下而上，公司企业云统一通信服务整合基础运营商的固网话音、移动话音、宽带互联网、移动互联网等基础通 </w:t>
      </w:r>
      <w:r>
        <w:rPr>
          <w:spacing w:val="-3"/>
        </w:rPr>
        <w:t>信资源，构建企业云通信基础架构服务（</w:t>
      </w:r>
      <w:r>
        <w:rPr>
          <w:rFonts w:ascii="Times New Roman" w:hAnsi="Times New Roman" w:cs="Times New Roman" w:eastAsia="Times New Roman" w:hint="default"/>
          <w:spacing w:val="-3"/>
        </w:rPr>
        <w:t>IaaS</w:t>
      </w:r>
      <w:r>
        <w:rPr>
          <w:spacing w:val="-3"/>
        </w:rPr>
        <w:t>）；根据企业自身需要提供统一通信资源管理、统一支持服务、统一帐务结算、</w:t>
      </w:r>
      <w:r>
        <w:rPr>
          <w:spacing w:val="-54"/>
        </w:rPr>
        <w:t> </w:t>
      </w:r>
      <w:r>
        <w:rPr>
          <w:spacing w:val="-54"/>
        </w:rPr>
      </w:r>
      <w:r>
        <w:rPr/>
        <w:t>通信安全管理、通信行为分析管控等增值服务；构建企业云统一通信平台服务（</w:t>
      </w:r>
      <w:r>
        <w:rPr>
          <w:rFonts w:ascii="Times New Roman" w:hAnsi="Times New Roman" w:cs="Times New Roman" w:eastAsia="Times New Roman" w:hint="default"/>
        </w:rPr>
        <w:t>PaaS</w:t>
      </w:r>
      <w:r>
        <w:rPr/>
        <w:t>），为企业提供丰富的企业通信功能， </w:t>
      </w:r>
      <w:r>
        <w:rPr>
          <w:spacing w:val="-2"/>
        </w:rPr>
        <w:t>涵盖基础话音、数据、视频、会议、协同、存储、共享等企业通信的各种应用场景；今后，基于大数据、云计算、物联网等</w:t>
      </w:r>
      <w:r>
        <w:rPr>
          <w:spacing w:val="-71"/>
        </w:rPr>
        <w:t> </w:t>
      </w:r>
      <w:r>
        <w:rPr>
          <w:spacing w:val="-71"/>
        </w:rPr>
      </w:r>
      <w:r>
        <w:rPr>
          <w:spacing w:val="-1"/>
        </w:rPr>
        <w:t>技术、整合第三方资源满足企业的深层次云应用（</w:t>
      </w:r>
      <w:r>
        <w:rPr>
          <w:rFonts w:ascii="Times New Roman" w:hAnsi="Times New Roman" w:cs="Times New Roman" w:eastAsia="Times New Roman" w:hint="default"/>
          <w:spacing w:val="-1"/>
        </w:rPr>
        <w:t>SaaS</w:t>
      </w:r>
      <w:r>
        <w:rPr>
          <w:spacing w:val="-1"/>
        </w:rPr>
        <w:t>）需求，如：数据挖掘、企业社交、互联网金融、与</w:t>
      </w:r>
      <w:r>
        <w:rPr>
          <w:rFonts w:ascii="Times New Roman" w:hAnsi="Times New Roman" w:cs="Times New Roman" w:eastAsia="Times New Roman" w:hint="default"/>
          <w:spacing w:val="-1"/>
        </w:rPr>
        <w:t>CRM/ERP</w:t>
      </w:r>
      <w:r>
        <w:rPr>
          <w:spacing w:val="-1"/>
        </w:rPr>
        <w:t>整合、</w:t>
      </w:r>
      <w:r>
        <w:rPr>
          <w:spacing w:val="-86"/>
        </w:rPr>
        <w:t> </w:t>
      </w:r>
      <w:r>
        <w:rPr>
          <w:spacing w:val="-86"/>
        </w:rPr>
      </w:r>
      <w:r>
        <w:rPr>
          <w:spacing w:val="-1"/>
        </w:rPr>
        <w:t>通信驱动业务流程</w:t>
      </w:r>
      <w:r>
        <w:rPr>
          <w:rFonts w:ascii="Times New Roman" w:hAnsi="Times New Roman" w:cs="Times New Roman" w:eastAsia="Times New Roman" w:hint="default"/>
          <w:spacing w:val="-1"/>
        </w:rPr>
        <w:t>CEBP</w:t>
      </w:r>
      <w:r>
        <w:rPr>
          <w:spacing w:val="-1"/>
        </w:rPr>
        <w:t>等。</w:t>
      </w:r>
      <w:r>
        <w:rPr>
          <w:spacing w:val="-77"/>
        </w:rPr>
        <w:t> </w:t>
      </w:r>
      <w:r>
        <w:rPr>
          <w:position w:val="-3"/>
        </w:rPr>
        <w:drawing>
          <wp:inline distT="0" distB="0" distL="0" distR="0">
            <wp:extent cx="228600" cy="12649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228600" cy="126492"/>
                    </a:xfrm>
                    <a:prstGeom prst="rect">
                      <a:avLst/>
                    </a:prstGeom>
                  </pic:spPr>
                </pic:pic>
              </a:graphicData>
            </a:graphic>
          </wp:inline>
        </w:drawing>
      </w:r>
      <w:r>
        <w:rPr>
          <w:position w:val="-3"/>
        </w:rPr>
      </w:r>
      <w:r>
        <w:rPr/>
      </w:r>
    </w:p>
    <w:p>
      <w:pPr>
        <w:pStyle w:val="BodyText"/>
        <w:spacing w:line="465" w:lineRule="auto" w:before="35"/>
        <w:ind w:right="1043" w:firstLine="420"/>
        <w:jc w:val="left"/>
      </w:pPr>
      <w:r>
        <w:rPr/>
        <w:t>对于典型大企业（业务覆盖全国各地、分支机构</w:t>
      </w:r>
      <w:r>
        <w:rPr>
          <w:rFonts w:ascii="Times New Roman" w:hAnsi="Times New Roman" w:cs="Times New Roman" w:eastAsia="Times New Roman" w:hint="default"/>
        </w:rPr>
        <w:t>/</w:t>
      </w:r>
      <w:r>
        <w:rPr/>
        <w:t>门店众多、员工人数众多、业务流程与通信紧密联系、整体通信费用 </w:t>
      </w:r>
      <w:r>
        <w:rPr>
          <w:spacing w:val="-4"/>
        </w:rPr>
        <w:t>高企、通信管控困难），公司会从解决企业对通信基础资源的基本需求入手，以云统一通信服务作为附加价值增加客户粘性，</w:t>
      </w:r>
      <w:r>
        <w:rPr>
          <w:spacing w:val="-46"/>
        </w:rPr>
        <w:t> </w:t>
      </w:r>
      <w:r>
        <w:rPr>
          <w:spacing w:val="-46"/>
        </w:rPr>
      </w:r>
      <w:r>
        <w:rPr/>
        <w:t>提供完整的企业云通信服务（</w:t>
      </w:r>
      <w:r>
        <w:rPr>
          <w:rFonts w:ascii="Times New Roman" w:hAnsi="Times New Roman" w:cs="Times New Roman" w:eastAsia="Times New Roman" w:hint="default"/>
        </w:rPr>
        <w:t>CaaS</w:t>
      </w:r>
      <w:r>
        <w:rPr/>
        <w:t>，</w:t>
      </w:r>
      <w:r>
        <w:rPr>
          <w:rFonts w:ascii="Times New Roman" w:hAnsi="Times New Roman" w:cs="Times New Roman" w:eastAsia="Times New Roman" w:hint="default"/>
        </w:rPr>
        <w:t>Communications-as-a-Service</w:t>
      </w:r>
      <w:r>
        <w:rPr/>
        <w:t>），并寻求未来向企业应用方向拓展的机会；对于大多数</w:t>
      </w:r>
      <w:r>
        <w:rPr>
          <w:spacing w:val="-49"/>
        </w:rPr>
        <w:t> </w:t>
      </w:r>
      <w:r>
        <w:rPr>
          <w:spacing w:val="-49"/>
        </w:rPr>
      </w:r>
      <w:r>
        <w:rPr>
          <w:spacing w:val="-2"/>
        </w:rPr>
        <w:t>企业，公司以一项或多项云统一通信服务功能来满足企业的通信需求，目标是积累企业客户，从中发掘未来可以向基础通信</w:t>
      </w:r>
      <w:r>
        <w:rPr>
          <w:spacing w:val="-66"/>
        </w:rPr>
        <w:t> </w:t>
      </w:r>
      <w:r>
        <w:rPr>
          <w:spacing w:val="-66"/>
        </w:rPr>
      </w:r>
      <w:r>
        <w:rPr>
          <w:spacing w:val="-2"/>
        </w:rPr>
        <w:t>资源和企业应用两个业务方向拓展的企业；此外，公司还将开放部分统一通信功能供企业免费注册使用，以进一步扩大用户</w:t>
      </w:r>
      <w:r>
        <w:rPr>
          <w:spacing w:val="-67"/>
        </w:rPr>
        <w:t> </w:t>
      </w:r>
      <w:r>
        <w:rPr>
          <w:spacing w:val="-67"/>
        </w:rPr>
      </w:r>
      <w:r>
        <w:rPr/>
        <w:t>规模。</w:t>
      </w:r>
    </w:p>
    <w:p>
      <w:pPr>
        <w:pStyle w:val="BodyText"/>
        <w:spacing w:line="477" w:lineRule="auto" w:before="63"/>
        <w:ind w:left="577" w:right="0"/>
        <w:jc w:val="left"/>
      </w:pPr>
      <w:r>
        <w:rPr/>
        <w:t>（四）公司个人通信业务战略。 华人是全球最大的族裔群体，在世界各地分布着数千万的海外华人，且近年来中国人移民、留学以及出境旅游经商均</w:t>
      </w:r>
    </w:p>
    <w:p>
      <w:pPr>
        <w:pStyle w:val="BodyText"/>
        <w:spacing w:line="470" w:lineRule="auto" w:before="54"/>
        <w:ind w:right="1039"/>
        <w:jc w:val="left"/>
      </w:pPr>
      <w:r>
        <w:rPr>
          <w:spacing w:val="-4"/>
        </w:rPr>
        <w:t>呈现快速增长的趋势。而针对海外华人和出境商旅人群的全球化移动通信服务却存在着巨大的市场空缺，市场缺少高性价比、</w:t>
      </w:r>
      <w:r>
        <w:rPr>
          <w:spacing w:val="-44"/>
        </w:rPr>
        <w:t> </w:t>
      </w:r>
      <w:r>
        <w:rPr>
          <w:spacing w:val="-44"/>
        </w:rPr>
      </w:r>
      <w:r>
        <w:rPr/>
        <w:t>安全可靠的服务产品；就全球海外族裔通信市场而言，有</w:t>
      </w:r>
      <w:r>
        <w:rPr>
          <w:rFonts w:ascii="Times New Roman" w:hAnsi="Times New Roman" w:cs="Times New Roman" w:eastAsia="Times New Roman" w:hint="default"/>
        </w:rPr>
        <w:t>Tracfone</w:t>
      </w:r>
      <w:r>
        <w:rPr/>
        <w:t>（目标市场定位于美国的拉美移民）、</w:t>
      </w:r>
      <w:r>
        <w:rPr>
          <w:rFonts w:ascii="Times New Roman" w:hAnsi="Times New Roman" w:cs="Times New Roman" w:eastAsia="Times New Roman" w:hint="default"/>
        </w:rPr>
        <w:t>Lyca</w:t>
      </w:r>
      <w:r>
        <w:rPr>
          <w:rFonts w:ascii="Times New Roman" w:hAnsi="Times New Roman" w:cs="Times New Roman" w:eastAsia="Times New Roman" w:hint="default"/>
          <w:spacing w:val="-18"/>
        </w:rPr>
        <w:t> </w:t>
      </w:r>
      <w:r>
        <w:rPr>
          <w:rFonts w:ascii="Times New Roman" w:hAnsi="Times New Roman" w:cs="Times New Roman" w:eastAsia="Times New Roman" w:hint="default"/>
        </w:rPr>
        <w:t>Mobile</w:t>
      </w:r>
      <w:r>
        <w:rPr/>
        <w:t>（目标 </w:t>
      </w:r>
      <w:r>
        <w:rPr>
          <w:spacing w:val="-2"/>
        </w:rPr>
        <w:t>市场定位于印度、巴基斯坦、斯里兰卡移民）这样成功的先例，而相对于全球分布最广、人数最多的华人族裔群体，却还没</w:t>
      </w:r>
      <w:r>
        <w:rPr>
          <w:spacing w:val="-68"/>
        </w:rPr>
        <w:t> </w:t>
      </w:r>
      <w:r>
        <w:rPr>
          <w:spacing w:val="-68"/>
        </w:rPr>
      </w:r>
      <w:r>
        <w:rPr>
          <w:spacing w:val="-2"/>
        </w:rPr>
        <w:t>有类似的全球虚拟通信服务商存在，华人族裔群体的专属通信服务市场成熟度低、特色需求没有被充分满足，存在着明显的</w:t>
      </w:r>
      <w:r>
        <w:rPr>
          <w:spacing w:val="-66"/>
        </w:rPr>
        <w:t> </w:t>
      </w:r>
      <w:r>
        <w:rPr>
          <w:spacing w:val="-66"/>
        </w:rPr>
      </w:r>
      <w:r>
        <w:rPr/>
        <w:t>市场空缺。</w:t>
      </w:r>
    </w:p>
    <w:p>
      <w:pPr>
        <w:pStyle w:val="BodyText"/>
        <w:spacing w:line="451" w:lineRule="auto" w:before="59"/>
        <w:ind w:right="0" w:firstLine="423"/>
        <w:jc w:val="left"/>
      </w:pPr>
      <w:r>
        <w:rPr>
          <w:spacing w:val="-1"/>
        </w:rPr>
        <w:t>截止到</w:t>
      </w:r>
      <w:r>
        <w:rPr>
          <w:rFonts w:ascii="Times New Roman" w:hAnsi="Times New Roman" w:cs="Times New Roman" w:eastAsia="Times New Roman" w:hint="default"/>
          <w:spacing w:val="-1"/>
        </w:rPr>
        <w:t>2013</w:t>
      </w:r>
      <w:r>
        <w:rPr>
          <w:spacing w:val="-1"/>
        </w:rPr>
        <w:t>年，中国海外移民存量已达到</w:t>
      </w:r>
      <w:r>
        <w:rPr>
          <w:rFonts w:ascii="Times New Roman" w:hAnsi="Times New Roman" w:cs="Times New Roman" w:eastAsia="Times New Roman" w:hint="default"/>
          <w:spacing w:val="-1"/>
        </w:rPr>
        <w:t>934.3</w:t>
      </w:r>
      <w:r>
        <w:rPr>
          <w:spacing w:val="-1"/>
        </w:rPr>
        <w:t>万人，自</w:t>
      </w:r>
      <w:r>
        <w:rPr>
          <w:rFonts w:ascii="Times New Roman" w:hAnsi="Times New Roman" w:cs="Times New Roman" w:eastAsia="Times New Roman" w:hint="default"/>
          <w:spacing w:val="-1"/>
        </w:rPr>
        <w:t>1990</w:t>
      </w:r>
      <w:r>
        <w:rPr>
          <w:spacing w:val="-1"/>
        </w:rPr>
        <w:t>年以来</w:t>
      </w:r>
      <w:r>
        <w:rPr>
          <w:rFonts w:ascii="Times New Roman" w:hAnsi="Times New Roman" w:cs="Times New Roman" w:eastAsia="Times New Roman" w:hint="default"/>
          <w:spacing w:val="-1"/>
        </w:rPr>
        <w:t>23</w:t>
      </w:r>
      <w:r>
        <w:rPr>
          <w:spacing w:val="-1"/>
        </w:rPr>
        <w:t>年就增长了</w:t>
      </w:r>
      <w:r>
        <w:rPr>
          <w:rFonts w:ascii="Times New Roman" w:hAnsi="Times New Roman" w:cs="Times New Roman" w:eastAsia="Times New Roman" w:hint="default"/>
          <w:spacing w:val="-1"/>
        </w:rPr>
        <w:t>128.6%</w:t>
      </w:r>
      <w:r>
        <w:rPr>
          <w:spacing w:val="-1"/>
        </w:rPr>
        <w:t>；中国也从</w:t>
      </w:r>
      <w:r>
        <w:rPr>
          <w:rFonts w:ascii="Times New Roman" w:hAnsi="Times New Roman" w:cs="Times New Roman" w:eastAsia="Times New Roman" w:hint="default"/>
          <w:spacing w:val="-1"/>
        </w:rPr>
        <w:t>1990</w:t>
      </w:r>
      <w:r>
        <w:rPr>
          <w:spacing w:val="-1"/>
        </w:rPr>
        <w:t>年的全球第七</w:t>
      </w:r>
      <w:r>
        <w:rPr/>
        <w:t> 大移民输出国，上升为全球第四大移民输出国。</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3763" w:lineRule="exact"/>
        <w:ind w:left="720"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5276865" cy="238963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276865" cy="2389631"/>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sz w:val="14"/>
          <w:szCs w:val="14"/>
        </w:rPr>
      </w:pPr>
    </w:p>
    <w:p>
      <w:pPr>
        <w:pStyle w:val="BodyText"/>
        <w:spacing w:line="240" w:lineRule="auto" w:before="44"/>
        <w:ind w:left="578" w:right="0"/>
        <w:jc w:val="left"/>
      </w:pPr>
      <w:r>
        <w:rPr>
          <w:rFonts w:ascii="Times New Roman" w:hAnsi="Times New Roman" w:cs="Times New Roman" w:eastAsia="Times New Roman" w:hint="default"/>
        </w:rPr>
        <w:t>*</w:t>
      </w:r>
      <w:r>
        <w:rPr/>
        <w:t>数据来源：美国皮尤研究中心</w:t>
      </w:r>
    </w:p>
    <w:p>
      <w:pPr>
        <w:spacing w:line="240" w:lineRule="auto" w:before="9"/>
        <w:rPr>
          <w:rFonts w:ascii="宋体" w:hAnsi="宋体" w:cs="宋体" w:eastAsia="宋体" w:hint="default"/>
          <w:sz w:val="16"/>
          <w:szCs w:val="16"/>
        </w:rPr>
      </w:pPr>
    </w:p>
    <w:p>
      <w:pPr>
        <w:pStyle w:val="BodyText"/>
        <w:spacing w:line="451" w:lineRule="auto"/>
        <w:ind w:right="0" w:firstLine="424"/>
        <w:jc w:val="left"/>
      </w:pPr>
      <w:r>
        <w:rPr>
          <w:spacing w:val="-2"/>
        </w:rPr>
        <w:t>从</w:t>
      </w:r>
      <w:r>
        <w:rPr>
          <w:rFonts w:ascii="Times New Roman" w:hAnsi="Times New Roman" w:cs="Times New Roman" w:eastAsia="Times New Roman" w:hint="default"/>
          <w:spacing w:val="-2"/>
        </w:rPr>
        <w:t>2007</w:t>
      </w:r>
      <w:r>
        <w:rPr>
          <w:spacing w:val="-2"/>
        </w:rPr>
        <w:t>年起，出国留学人数出现井喷式增长，</w:t>
      </w:r>
      <w:r>
        <w:rPr>
          <w:rFonts w:ascii="Times New Roman" w:hAnsi="Times New Roman" w:cs="Times New Roman" w:eastAsia="Times New Roman" w:hint="default"/>
          <w:spacing w:val="-2"/>
        </w:rPr>
        <w:t>2007-2011</w:t>
      </w:r>
      <w:r>
        <w:rPr>
          <w:spacing w:val="-2"/>
        </w:rPr>
        <w:t>年，出国留学人数连续</w:t>
      </w:r>
      <w:r>
        <w:rPr>
          <w:rFonts w:ascii="Times New Roman" w:hAnsi="Times New Roman" w:cs="Times New Roman" w:eastAsia="Times New Roman" w:hint="default"/>
          <w:spacing w:val="-2"/>
        </w:rPr>
        <w:t>4</w:t>
      </w:r>
      <w:r>
        <w:rPr>
          <w:spacing w:val="-2"/>
        </w:rPr>
        <w:t>年增长比例均超过</w:t>
      </w:r>
      <w:r>
        <w:rPr>
          <w:rFonts w:ascii="Times New Roman" w:hAnsi="Times New Roman" w:cs="Times New Roman" w:eastAsia="Times New Roman" w:hint="default"/>
          <w:spacing w:val="-2"/>
        </w:rPr>
        <w:t>20%</w:t>
      </w:r>
      <w:r>
        <w:rPr>
          <w:spacing w:val="-2"/>
        </w:rPr>
        <w:t>。据教育部最近</w:t>
      </w:r>
      <w:r>
        <w:rPr/>
        <w:t> </w:t>
      </w:r>
      <w:r>
        <w:rPr>
          <w:spacing w:val="-3"/>
        </w:rPr>
        <w:t>的统计数据显示，</w:t>
      </w:r>
      <w:r>
        <w:rPr>
          <w:rFonts w:ascii="Times New Roman" w:hAnsi="Times New Roman" w:cs="Times New Roman" w:eastAsia="Times New Roman" w:hint="default"/>
          <w:spacing w:val="-3"/>
        </w:rPr>
        <w:t>2013</w:t>
      </w:r>
      <w:r>
        <w:rPr>
          <w:spacing w:val="-3"/>
        </w:rPr>
        <w:t>年中国出国留学总人数为</w:t>
      </w:r>
      <w:r>
        <w:rPr>
          <w:rFonts w:ascii="Times New Roman" w:hAnsi="Times New Roman" w:cs="Times New Roman" w:eastAsia="Times New Roman" w:hint="default"/>
          <w:spacing w:val="-3"/>
        </w:rPr>
        <w:t>41.39</w:t>
      </w:r>
      <w:r>
        <w:rPr>
          <w:spacing w:val="-3"/>
        </w:rPr>
        <w:t>万人，其中国家公派</w:t>
      </w:r>
      <w:r>
        <w:rPr>
          <w:rFonts w:ascii="Times New Roman" w:hAnsi="Times New Roman" w:cs="Times New Roman" w:eastAsia="Times New Roman" w:hint="default"/>
          <w:spacing w:val="-3"/>
        </w:rPr>
        <w:t>1.63</w:t>
      </w:r>
      <w:r>
        <w:rPr>
          <w:spacing w:val="-3"/>
        </w:rPr>
        <w:t>万人，单位公派</w:t>
      </w:r>
      <w:r>
        <w:rPr>
          <w:rFonts w:ascii="Times New Roman" w:hAnsi="Times New Roman" w:cs="Times New Roman" w:eastAsia="Times New Roman" w:hint="default"/>
          <w:spacing w:val="-3"/>
        </w:rPr>
        <w:t>1.33</w:t>
      </w:r>
      <w:r>
        <w:rPr>
          <w:spacing w:val="-3"/>
        </w:rPr>
        <w:t>万人，自费留学</w:t>
      </w:r>
      <w:r>
        <w:rPr>
          <w:rFonts w:ascii="Times New Roman" w:hAnsi="Times New Roman" w:cs="Times New Roman" w:eastAsia="Times New Roman" w:hint="default"/>
          <w:spacing w:val="-3"/>
        </w:rPr>
        <w:t>38.43</w:t>
      </w:r>
      <w:r>
        <w:rPr>
          <w:spacing w:val="-3"/>
        </w:rPr>
        <w:t>万人。</w:t>
      </w:r>
      <w:r>
        <w:rPr>
          <w:spacing w:val="-67"/>
        </w:rPr>
        <w:t> </w:t>
      </w:r>
      <w:r>
        <w:rPr/>
        <w:t>截止</w:t>
      </w:r>
      <w:r>
        <w:rPr>
          <w:rFonts w:ascii="Times New Roman" w:hAnsi="Times New Roman" w:cs="Times New Roman" w:eastAsia="Times New Roman" w:hint="default"/>
        </w:rPr>
        <w:t>2013</w:t>
      </w:r>
      <w:r>
        <w:rPr/>
        <w:t>年，中国出国留学总人数达到了</w:t>
      </w:r>
      <w:r>
        <w:rPr>
          <w:rFonts w:ascii="Times New Roman" w:hAnsi="Times New Roman" w:cs="Times New Roman" w:eastAsia="Times New Roman" w:hint="default"/>
        </w:rPr>
        <w:t>305.86</w:t>
      </w:r>
      <w:r>
        <w:rPr/>
        <w:t>万人，中国已经成为了世界第一大留学生输出国。</w:t>
      </w:r>
    </w:p>
    <w:p>
      <w:pPr>
        <w:spacing w:line="240" w:lineRule="auto" w:before="0"/>
        <w:rPr>
          <w:rFonts w:ascii="宋体" w:hAnsi="宋体" w:cs="宋体" w:eastAsia="宋体" w:hint="default"/>
          <w:sz w:val="2"/>
          <w:szCs w:val="2"/>
        </w:rPr>
      </w:pPr>
    </w:p>
    <w:p>
      <w:pPr>
        <w:spacing w:line="4224" w:lineRule="exact"/>
        <w:ind w:left="662"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5278755" cy="268224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5278755" cy="2682240"/>
                    </a:xfrm>
                    <a:prstGeom prst="rect">
                      <a:avLst/>
                    </a:prstGeom>
                  </pic:spPr>
                </pic:pic>
              </a:graphicData>
            </a:graphic>
          </wp:inline>
        </w:drawing>
      </w:r>
      <w:r>
        <w:rPr>
          <w:rFonts w:ascii="宋体" w:hAnsi="宋体" w:cs="宋体" w:eastAsia="宋体" w:hint="default"/>
          <w:position w:val="-83"/>
          <w:sz w:val="20"/>
          <w:szCs w:val="20"/>
        </w:rPr>
      </w:r>
    </w:p>
    <w:p>
      <w:pPr>
        <w:pStyle w:val="BodyText"/>
        <w:spacing w:line="451" w:lineRule="auto" w:before="161"/>
        <w:ind w:left="578" w:right="1178"/>
        <w:jc w:val="left"/>
      </w:pPr>
      <w:r>
        <w:rPr>
          <w:rFonts w:ascii="Times New Roman" w:hAnsi="Times New Roman" w:cs="Times New Roman" w:eastAsia="Times New Roman" w:hint="default"/>
        </w:rPr>
        <w:t>*</w:t>
      </w:r>
      <w:r>
        <w:rPr/>
        <w:t>数据来源：中国教育在线 其中，赴美留学生数量持续高增长，预计赴美留学生总数将从</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24</w:t>
      </w:r>
      <w:r>
        <w:rPr/>
        <w:t>万增长到</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47</w:t>
      </w:r>
      <w:r>
        <w:rPr/>
        <w:t>万，年复合增速</w:t>
      </w:r>
      <w:r>
        <w:rPr>
          <w:rFonts w:ascii="Times New Roman" w:hAnsi="Times New Roman" w:cs="Times New Roman" w:eastAsia="Times New Roman" w:hint="default"/>
        </w:rPr>
        <w:t>24%</w:t>
      </w:r>
      <w:r>
        <w:rPr/>
        <w:t>。</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4864" w:lineRule="exact"/>
        <w:ind w:left="662"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047590" cy="3088767"/>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5047590" cy="3088767"/>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4"/>
        <w:rPr>
          <w:rFonts w:ascii="宋体" w:hAnsi="宋体" w:cs="宋体" w:eastAsia="宋体" w:hint="default"/>
          <w:sz w:val="8"/>
          <w:szCs w:val="8"/>
        </w:rPr>
      </w:pPr>
    </w:p>
    <w:p>
      <w:pPr>
        <w:pStyle w:val="BodyText"/>
        <w:spacing w:line="451" w:lineRule="auto" w:before="44"/>
        <w:ind w:left="578" w:right="0"/>
        <w:jc w:val="left"/>
      </w:pPr>
      <w:r>
        <w:rPr>
          <w:rFonts w:ascii="Times New Roman" w:hAnsi="Times New Roman" w:cs="Times New Roman" w:eastAsia="Times New Roman" w:hint="default"/>
        </w:rPr>
        <w:t>*</w:t>
      </w:r>
      <w:r>
        <w:rPr/>
        <w:t>数据来源：中国教育在线 </w:t>
      </w:r>
      <w:r>
        <w:rPr>
          <w:spacing w:val="-1"/>
        </w:rPr>
        <w:t>根据世界旅游组织预测，到</w:t>
      </w:r>
      <w:r>
        <w:rPr>
          <w:rFonts w:ascii="Times New Roman" w:hAnsi="Times New Roman" w:cs="Times New Roman" w:eastAsia="Times New Roman" w:hint="default"/>
          <w:spacing w:val="-1"/>
        </w:rPr>
        <w:t>2020</w:t>
      </w:r>
      <w:r>
        <w:rPr>
          <w:spacing w:val="-1"/>
        </w:rPr>
        <w:t>年，中国将成为世界上第四大旅游客源国，出境旅游人次将达到</w:t>
      </w:r>
      <w:r>
        <w:rPr>
          <w:rFonts w:ascii="Times New Roman" w:hAnsi="Times New Roman" w:cs="Times New Roman" w:eastAsia="Times New Roman" w:hint="default"/>
          <w:spacing w:val="-1"/>
        </w:rPr>
        <w:t>2.5</w:t>
      </w:r>
      <w:r>
        <w:rPr>
          <w:spacing w:val="-1"/>
        </w:rPr>
        <w:t>亿人次，即中国出</w:t>
      </w:r>
    </w:p>
    <w:p>
      <w:pPr>
        <w:pStyle w:val="BodyText"/>
        <w:spacing w:line="240" w:lineRule="auto" w:before="43"/>
        <w:ind w:left="154" w:right="0"/>
        <w:jc w:val="left"/>
      </w:pPr>
      <w:r>
        <w:rPr/>
        <w:t>境游人数</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CAGR</w:t>
      </w:r>
      <w:r>
        <w:rPr/>
        <w:t>将高达约</w:t>
      </w:r>
      <w:r>
        <w:rPr>
          <w:rFonts w:ascii="Times New Roman" w:hAnsi="Times New Roman" w:cs="Times New Roman" w:eastAsia="Times New Roman" w:hint="default"/>
        </w:rPr>
        <w:t>15%</w:t>
      </w:r>
      <w:r>
        <w:rPr/>
        <w:t>。</w:t>
      </w:r>
    </w:p>
    <w:p>
      <w:pPr>
        <w:spacing w:line="240" w:lineRule="auto" w:before="12"/>
        <w:rPr>
          <w:rFonts w:ascii="宋体" w:hAnsi="宋体" w:cs="宋体" w:eastAsia="宋体" w:hint="default"/>
          <w:sz w:val="13"/>
          <w:szCs w:val="13"/>
        </w:rPr>
      </w:pPr>
    </w:p>
    <w:p>
      <w:pPr>
        <w:spacing w:line="4262" w:lineRule="exact"/>
        <w:ind w:left="662"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5278012" cy="2706624"/>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6" cstate="print"/>
                    <a:stretch>
                      <a:fillRect/>
                    </a:stretch>
                  </pic:blipFill>
                  <pic:spPr>
                    <a:xfrm>
                      <a:off x="0" y="0"/>
                      <a:ext cx="5278012" cy="2706624"/>
                    </a:xfrm>
                    <a:prstGeom prst="rect">
                      <a:avLst/>
                    </a:prstGeom>
                  </pic:spPr>
                </pic:pic>
              </a:graphicData>
            </a:graphic>
          </wp:inline>
        </w:drawing>
      </w:r>
      <w:r>
        <w:rPr>
          <w:rFonts w:ascii="宋体" w:hAnsi="宋体" w:cs="宋体" w:eastAsia="宋体" w:hint="default"/>
          <w:position w:val="-84"/>
          <w:sz w:val="20"/>
          <w:szCs w:val="20"/>
        </w:rPr>
      </w:r>
    </w:p>
    <w:p>
      <w:pPr>
        <w:pStyle w:val="BodyText"/>
        <w:spacing w:line="477" w:lineRule="auto" w:before="143"/>
        <w:ind w:left="577" w:right="0"/>
        <w:jc w:val="left"/>
      </w:pPr>
      <w:r>
        <w:rPr/>
        <w:t>数据来源：网络搜索 国内公民出境后需与国内亲友保持畅通联系，但因运营商网络存在跨境的区隔，导致国际漫游太过昂贵，而境外运营</w:t>
      </w:r>
    </w:p>
    <w:p>
      <w:pPr>
        <w:pStyle w:val="BodyText"/>
        <w:spacing w:line="463" w:lineRule="auto" w:before="54"/>
        <w:ind w:right="0"/>
        <w:jc w:val="left"/>
      </w:pPr>
      <w:r>
        <w:rPr/>
        <w:t>商又缺乏合适的本地长短期语音计划和流量包，导致国内公民出境后只好去咖啡馆、快餐店、酒店大堂蹭免费</w:t>
      </w:r>
      <w:r>
        <w:rPr>
          <w:rFonts w:ascii="Times New Roman" w:hAnsi="Times New Roman" w:cs="Times New Roman" w:eastAsia="Times New Roman" w:hint="default"/>
        </w:rPr>
        <w:t>wifi</w:t>
      </w:r>
      <w:r>
        <w:rPr/>
        <w:t>，沟通十 </w:t>
      </w:r>
      <w:r>
        <w:rPr>
          <w:spacing w:val="-4"/>
        </w:rPr>
        <w:t>分不便利。同样，当海外华人归国旅行时，与国外联系的通信需求仍将保持，但国际漫游太贵，而国内临时号码联络又不便，</w:t>
      </w:r>
      <w:r>
        <w:rPr>
          <w:spacing w:val="-44"/>
        </w:rPr>
        <w:t> </w:t>
      </w:r>
      <w:r>
        <w:rPr>
          <w:spacing w:val="-44"/>
        </w:rPr>
      </w:r>
      <w:r>
        <w:rPr>
          <w:spacing w:val="-2"/>
        </w:rPr>
        <w:t>导致与国外联系存在障碍。虽然基础运营商在</w:t>
      </w:r>
      <w:r>
        <w:rPr>
          <w:rFonts w:ascii="Times New Roman" w:hAnsi="Times New Roman" w:cs="Times New Roman" w:eastAsia="Times New Roman" w:hint="default"/>
          <w:spacing w:val="-2"/>
        </w:rPr>
        <w:t>2014</w:t>
      </w:r>
      <w:r>
        <w:rPr>
          <w:spacing w:val="-2"/>
        </w:rPr>
        <w:t>年已经普遍大幅度降低国际漫游资费，但是由于运营商之间的漫游结算导</w:t>
      </w:r>
      <w:r>
        <w:rPr>
          <w:spacing w:val="-60"/>
        </w:rPr>
        <w:t> </w:t>
      </w:r>
      <w:r>
        <w:rPr>
          <w:spacing w:val="-60"/>
        </w:rPr>
      </w:r>
      <w:r>
        <w:rPr>
          <w:spacing w:val="-2"/>
        </w:rPr>
        <w:t>致国际漫游费用依然维持在较高水平。其直接后果就是出国留学、出差和旅游人群在国外不敢使用国际漫游通话和上网，通</w:t>
      </w:r>
      <w:r>
        <w:rPr>
          <w:spacing w:val="-66"/>
        </w:rPr>
        <w:t> </w:t>
      </w:r>
      <w:r>
        <w:rPr>
          <w:spacing w:val="-66"/>
        </w:rPr>
      </w:r>
      <w:r>
        <w:rPr>
          <w:spacing w:val="-2"/>
        </w:rPr>
        <w:t>信需求被压抑。同时，由于国际漫游的高资费标准，节约国际漫游通信费用成为用户的核心关注点，用户渴望获得符合自己</w:t>
      </w:r>
    </w:p>
    <w:p>
      <w:pPr>
        <w:spacing w:after="0" w:line="46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77" w:right="0" w:hanging="424"/>
        <w:jc w:val="left"/>
      </w:pPr>
      <w:r>
        <w:rPr/>
        <w:t>需求特点的、廉价的海外本地通信服务。 公司是一家运用互联网技术和转售方式为企业和个人提供虚拟运营通信服务的新型通信服务商。在个人通信市场，目</w:t>
      </w:r>
    </w:p>
    <w:p>
      <w:pPr>
        <w:pStyle w:val="BodyText"/>
        <w:spacing w:line="458" w:lineRule="auto" w:before="54"/>
        <w:ind w:right="0"/>
        <w:jc w:val="left"/>
      </w:pPr>
      <w:r>
        <w:rPr/>
        <w:t>前公司已经是北美中文电信服务的市场绝对领导者，在海外华人家庭互联网综合通信服务（家庭电话</w:t>
      </w:r>
      <w:r>
        <w:rPr>
          <w:rFonts w:ascii="Times New Roman" w:hAnsi="Times New Roman" w:cs="Times New Roman" w:eastAsia="Times New Roman" w:hint="default"/>
        </w:rPr>
        <w:t>VOIP</w:t>
      </w:r>
      <w:r>
        <w:rPr/>
        <w:t>、</w:t>
      </w:r>
      <w:r>
        <w:rPr>
          <w:rFonts w:ascii="Times New Roman" w:hAnsi="Times New Roman" w:cs="Times New Roman" w:eastAsia="Times New Roman" w:hint="default"/>
        </w:rPr>
        <w:t>IPTV</w:t>
      </w:r>
      <w:r>
        <w:rPr/>
        <w:t>）市场占 </w:t>
      </w:r>
      <w:r>
        <w:rPr>
          <w:spacing w:val="-2"/>
        </w:rPr>
        <w:t>据领先地位。为了更广泛地向全球华人提供更完善的通信服务，满足海外华人和全球商旅华人的移动通信需求，实现成为全</w:t>
      </w:r>
      <w:r>
        <w:rPr>
          <w:spacing w:val="-66"/>
        </w:rPr>
        <w:t> </w:t>
      </w:r>
      <w:r>
        <w:rPr>
          <w:spacing w:val="-66"/>
        </w:rPr>
      </w:r>
      <w:r>
        <w:rPr>
          <w:spacing w:val="-4"/>
        </w:rPr>
        <w:t>球华人通信服务商的战略目标，结合公司获得移动通信转售业务试点资质，公司拟通过搭建全球化的虚拟移动通信服务体系，</w:t>
      </w:r>
      <w:r>
        <w:rPr>
          <w:spacing w:val="-44"/>
        </w:rPr>
        <w:t> </w:t>
      </w:r>
      <w:r>
        <w:rPr>
          <w:spacing w:val="-44"/>
        </w:rPr>
      </w:r>
      <w:r>
        <w:rPr/>
        <w:t>成为面向全球华人族裔的虚拟移动通信服务商（</w:t>
      </w:r>
      <w:r>
        <w:rPr>
          <w:rFonts w:ascii="Times New Roman" w:hAnsi="Times New Roman" w:cs="Times New Roman" w:eastAsia="Times New Roman" w:hint="default"/>
        </w:rPr>
        <w:t>MVNO</w:t>
      </w:r>
      <w:r>
        <w:rPr/>
        <w:t>），主要服务于两类客户：海外常住华人群体（移民、留学生），</w:t>
      </w:r>
      <w:r>
        <w:rPr>
          <w:spacing w:val="-14"/>
        </w:rPr>
        <w:t> </w:t>
      </w:r>
      <w:r>
        <w:rPr>
          <w:spacing w:val="-14"/>
        </w:rPr>
      </w:r>
      <w:r>
        <w:rPr/>
        <w:t>通过虚拟运营方式同时满足其在居住地的本地移动通信需求（海外</w:t>
      </w:r>
      <w:r>
        <w:rPr>
          <w:rFonts w:ascii="Times New Roman" w:hAnsi="Times New Roman" w:cs="Times New Roman" w:eastAsia="Times New Roman" w:hint="default"/>
        </w:rPr>
        <w:t>MVNO</w:t>
      </w:r>
      <w:r>
        <w:rPr/>
        <w:t>方式），及回国旅行期间的移动通信需求（国内</w:t>
      </w:r>
      <w:r>
        <w:rPr>
          <w:spacing w:val="-12"/>
        </w:rPr>
        <w:t> </w:t>
      </w:r>
      <w:r>
        <w:rPr>
          <w:spacing w:val="-12"/>
        </w:rPr>
      </w:r>
      <w:r>
        <w:rPr/>
        <w:t>移动转售方式）；全球商旅华人群体（国内出境旅游居民、海外商旅人士），通过不同的产品（海外</w:t>
      </w:r>
      <w:r>
        <w:rPr>
          <w:rFonts w:ascii="Times New Roman" w:hAnsi="Times New Roman" w:cs="Times New Roman" w:eastAsia="Times New Roman" w:hint="default"/>
        </w:rPr>
        <w:t>MVNO</w:t>
      </w:r>
      <w:r>
        <w:rPr/>
        <w:t>方式），满足</w:t>
      </w:r>
      <w:r>
        <w:rPr>
          <w:spacing w:val="-10"/>
        </w:rPr>
        <w:t> </w:t>
      </w:r>
      <w:r>
        <w:rPr>
          <w:spacing w:val="-10"/>
        </w:rPr>
      </w:r>
      <w:r>
        <w:rPr/>
        <w:t>其在境外出游、商旅期间的本地移动通信需求。</w:t>
      </w:r>
    </w:p>
    <w:p>
      <w:pPr>
        <w:pStyle w:val="BodyText"/>
        <w:spacing w:line="451" w:lineRule="auto" w:before="68"/>
        <w:ind w:left="577" w:right="0"/>
        <w:jc w:val="left"/>
      </w:pPr>
      <w:r>
        <w:rPr/>
        <w:t>（五）</w:t>
      </w:r>
      <w:r>
        <w:rPr>
          <w:rFonts w:ascii="Times New Roman" w:hAnsi="Times New Roman" w:cs="Times New Roman" w:eastAsia="Times New Roman" w:hint="default"/>
        </w:rPr>
        <w:t>2015</w:t>
      </w:r>
      <w:r>
        <w:rPr/>
        <w:t>年具体工作计划 企业通信业务。公司</w:t>
      </w:r>
      <w:r>
        <w:rPr>
          <w:rFonts w:ascii="Times New Roman" w:hAnsi="Times New Roman" w:cs="Times New Roman" w:eastAsia="Times New Roman" w:hint="default"/>
        </w:rPr>
        <w:t>2015</w:t>
      </w:r>
      <w:r>
        <w:rPr/>
        <w:t>年将继续专注于国内企业通信市场，积极推进企业云统一通信服务。公司在已取得样本大客</w:t>
      </w:r>
    </w:p>
    <w:p>
      <w:pPr>
        <w:pStyle w:val="BodyText"/>
        <w:spacing w:line="468" w:lineRule="auto" w:before="43"/>
        <w:ind w:right="1033"/>
        <w:jc w:val="left"/>
      </w:pPr>
      <w:r>
        <w:rPr>
          <w:spacing w:val="-2"/>
        </w:rPr>
        <w:t>户的模式验证基础之上，将以物流行业为重点，以门店基础语音（除固话语音外，还将充分发挥资质、资源、能力优势积极</w:t>
      </w:r>
      <w:r>
        <w:rPr>
          <w:spacing w:val="-67"/>
        </w:rPr>
        <w:t> </w:t>
      </w:r>
      <w:r>
        <w:rPr>
          <w:spacing w:val="-67"/>
        </w:rPr>
      </w:r>
      <w:r>
        <w:rPr>
          <w:spacing w:val="-2"/>
        </w:rPr>
        <w:t>拓展移动语音通信）和宽带作为切入点，向典型大企业客户提供全国一站式服务满足其降低成本和统一维护的需求，在此基</w:t>
      </w:r>
      <w:r>
        <w:rPr>
          <w:spacing w:val="-66"/>
        </w:rPr>
        <w:t> </w:t>
      </w:r>
      <w:r>
        <w:rPr>
          <w:spacing w:val="-66"/>
        </w:rPr>
      </w:r>
      <w:r>
        <w:rPr>
          <w:spacing w:val="-2"/>
        </w:rPr>
        <w:t>础上进一步提供语音增值服务满足其客户市场推广和增加商机的需求，同时，进一步提升资源获取能力、业务支撑能力、本</w:t>
      </w:r>
      <w:r>
        <w:rPr>
          <w:spacing w:val="-65"/>
        </w:rPr>
        <w:t> </w:t>
      </w:r>
      <w:r>
        <w:rPr>
          <w:spacing w:val="-65"/>
        </w:rPr>
      </w:r>
      <w:r>
        <w:rPr/>
        <w:t>地化服务能力；公司将以</w:t>
      </w:r>
      <w:r>
        <w:rPr>
          <w:rFonts w:ascii="Times New Roman" w:hAnsi="Times New Roman" w:cs="Times New Roman" w:eastAsia="Times New Roman" w:hint="default"/>
        </w:rPr>
        <w:t>3GVPN</w:t>
      </w:r>
      <w:r>
        <w:rPr/>
        <w:t>业务积极开拓物联网市场，重点以</w:t>
      </w:r>
      <w:r>
        <w:rPr>
          <w:rFonts w:ascii="Times New Roman" w:hAnsi="Times New Roman" w:cs="Times New Roman" w:eastAsia="Times New Roman" w:hint="default"/>
        </w:rPr>
        <w:t>M2M</w:t>
      </w:r>
      <w:r>
        <w:rPr/>
        <w:t>（机器对机器通信）卡拓展新兴行业多、增长速度</w:t>
      </w:r>
      <w:r>
        <w:rPr>
          <w:spacing w:val="-87"/>
        </w:rPr>
        <w:t> </w:t>
      </w:r>
      <w:r>
        <w:rPr>
          <w:spacing w:val="-87"/>
        </w:rPr>
      </w:r>
      <w:r>
        <w:rPr>
          <w:spacing w:val="-2"/>
        </w:rPr>
        <w:t>快、规模体量大的自助设备业态，包括：自动售货机、自助快递柜、彩票机、自助取票机、广告机、自助榨汁机、自助照相</w:t>
      </w:r>
      <w:r>
        <w:rPr>
          <w:spacing w:val="-69"/>
        </w:rPr>
        <w:t> </w:t>
      </w:r>
      <w:r>
        <w:rPr>
          <w:spacing w:val="-69"/>
        </w:rPr>
      </w:r>
      <w:r>
        <w:rPr/>
        <w:t>机等，并进一步优化和改善资源，持续提升运营能力；公司将加大企业云统一通信业务的硬件投入、技术研发投入，同时， 继续加强品牌、营销和销售工作，打造</w:t>
      </w:r>
      <w:r>
        <w:rPr>
          <w:rFonts w:ascii="Times New Roman" w:hAnsi="Times New Roman" w:cs="Times New Roman" w:eastAsia="Times New Roman" w:hint="default"/>
        </w:rPr>
        <w:t>“263</w:t>
      </w:r>
      <w:r>
        <w:rPr/>
        <w:t>企业邮箱</w:t>
      </w:r>
      <w:r>
        <w:rPr>
          <w:rFonts w:ascii="Times New Roman" w:hAnsi="Times New Roman" w:cs="Times New Roman" w:eastAsia="Times New Roman" w:hint="default"/>
        </w:rPr>
        <w:t>”</w:t>
      </w:r>
      <w:r>
        <w:rPr/>
        <w:t>行业第一的品牌形象，通过网站、线下活动方式向广大中小企业邮箱</w:t>
      </w:r>
      <w:r>
        <w:rPr>
          <w:spacing w:val="-68"/>
        </w:rPr>
        <w:t> </w:t>
      </w:r>
      <w:r>
        <w:rPr>
          <w:spacing w:val="-68"/>
        </w:rPr>
      </w:r>
      <w:r>
        <w:rPr>
          <w:spacing w:val="-2"/>
        </w:rPr>
        <w:t>需求用户宣传邮件业务市场占有份额、行业经验、技术水平、客户服务、数据保密等诸多方面第一的形象，打造</w:t>
      </w:r>
      <w:r>
        <w:rPr>
          <w:rFonts w:ascii="Times New Roman" w:hAnsi="Times New Roman" w:cs="Times New Roman" w:eastAsia="Times New Roman" w:hint="default"/>
          <w:spacing w:val="-2"/>
        </w:rPr>
        <w:t>“263</w:t>
      </w:r>
      <w:r>
        <w:rPr>
          <w:spacing w:val="-2"/>
        </w:rPr>
        <w:t>企业会</w:t>
      </w:r>
      <w:r>
        <w:rPr>
          <w:spacing w:val="-54"/>
        </w:rPr>
        <w:t> </w:t>
      </w:r>
      <w:r>
        <w:rPr/>
        <w:t>议</w:t>
      </w:r>
      <w:r>
        <w:rPr>
          <w:rFonts w:ascii="Times New Roman" w:hAnsi="Times New Roman" w:cs="Times New Roman" w:eastAsia="Times New Roman" w:hint="default"/>
        </w:rPr>
        <w:t>”</w:t>
      </w:r>
      <w:r>
        <w:rPr/>
        <w:t>国内成长最快、最高性价比的服务提供商形象，宣传功能强大、性能稳定、易用高效的会议产品特性，打造</w:t>
      </w:r>
      <w:r>
        <w:rPr>
          <w:rFonts w:ascii="Times New Roman" w:hAnsi="Times New Roman" w:cs="Times New Roman" w:eastAsia="Times New Roman" w:hint="default"/>
        </w:rPr>
        <w:t>“263</w:t>
      </w:r>
      <w:r>
        <w:rPr/>
        <w:t>云通信</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国内唯一企业统一通信解决方案服务商形象，宣传满足即时通信产品满足不同企业全方位办公通信需求，量身打造最合身的</w:t>
      </w:r>
      <w:r>
        <w:rPr>
          <w:spacing w:val="-64"/>
        </w:rPr>
        <w:t> </w:t>
      </w:r>
      <w:r>
        <w:rPr>
          <w:spacing w:val="-64"/>
        </w:rPr>
      </w:r>
      <w:r>
        <w:rPr>
          <w:spacing w:val="-2"/>
        </w:rPr>
        <w:t>企业专属统一通信解决方案；新成立的移动通信子公司亦将在获取和组织移动通信资源、搭建相关能力等方面开展工作，以</w:t>
      </w:r>
      <w:r>
        <w:rPr>
          <w:spacing w:val="-66"/>
        </w:rPr>
        <w:t> </w:t>
      </w:r>
      <w:r>
        <w:rPr>
          <w:spacing w:val="-66"/>
        </w:rPr>
      </w:r>
      <w:r>
        <w:rPr/>
        <w:t>支持国内企业客户的移动通信服务。</w:t>
      </w:r>
    </w:p>
    <w:p>
      <w:pPr>
        <w:pStyle w:val="BodyText"/>
        <w:spacing w:line="463" w:lineRule="auto" w:before="61"/>
        <w:ind w:right="0" w:firstLine="420"/>
        <w:jc w:val="left"/>
      </w:pPr>
      <w:r>
        <w:rPr/>
        <w:t>个人通信业务。在致力于成为全球华人通信服务商的战略定位下，公司在继续拓展既有的海外华人家庭互联网综合通 信服务的基础上，将全力推进全球华人移动通信服务。海外华人家庭通信服务通过</w:t>
      </w:r>
      <w:r>
        <w:rPr>
          <w:rFonts w:ascii="Times New Roman" w:hAnsi="Times New Roman" w:cs="Times New Roman" w:eastAsia="Times New Roman" w:hint="default"/>
        </w:rPr>
        <w:t>VOIP</w:t>
      </w:r>
      <w:r>
        <w:rPr/>
        <w:t>、</w:t>
      </w:r>
      <w:r>
        <w:rPr>
          <w:rFonts w:ascii="Times New Roman" w:hAnsi="Times New Roman" w:cs="Times New Roman" w:eastAsia="Times New Roman" w:hint="default"/>
        </w:rPr>
        <w:t>IPTV</w:t>
      </w:r>
      <w:r>
        <w:rPr/>
        <w:t>及宽带接入产品的捆绑，实 现对用户的一站式服务，增加更多产品功能，提升用户体验，以增加用户粘性；</w:t>
      </w:r>
      <w:r>
        <w:rPr>
          <w:rFonts w:ascii="Times New Roman" w:hAnsi="Times New Roman" w:cs="Times New Roman" w:eastAsia="Times New Roman" w:hint="default"/>
        </w:rPr>
        <w:t>IPTV</w:t>
      </w:r>
      <w:r>
        <w:rPr/>
        <w:t>业务将从提升硬件、增加应用程序、</w:t>
      </w:r>
      <w:r>
        <w:rPr>
          <w:spacing w:val="-42"/>
        </w:rPr>
        <w:t> </w:t>
      </w:r>
      <w:r>
        <w:rPr>
          <w:spacing w:val="-42"/>
        </w:rPr>
      </w:r>
      <w:r>
        <w:rPr>
          <w:spacing w:val="-2"/>
        </w:rPr>
        <w:t>增加频道内容等方面着手，以更高的性价比和更好的体验吸引用户；品牌建设方面，海外业务在产品和价格两大诉求触动用</w:t>
      </w:r>
      <w:r>
        <w:rPr>
          <w:spacing w:val="-66"/>
        </w:rPr>
        <w:t> </w:t>
      </w:r>
      <w:r>
        <w:rPr>
          <w:spacing w:val="-66"/>
        </w:rPr>
      </w:r>
      <w:r>
        <w:rPr>
          <w:spacing w:val="-2"/>
        </w:rPr>
        <w:t>户的基础上加入情感诉求，配合价格和产品的优化，创造全方位差异化的竞争，继续提升公司海外业务</w:t>
      </w:r>
      <w:r>
        <w:rPr>
          <w:rFonts w:ascii="Times New Roman" w:hAnsi="Times New Roman" w:cs="Times New Roman" w:eastAsia="Times New Roman" w:hint="default"/>
          <w:spacing w:val="-2"/>
        </w:rPr>
        <w:t>iTalkBB</w:t>
      </w:r>
      <w:r>
        <w:rPr>
          <w:spacing w:val="-2"/>
        </w:rPr>
        <w:t>品牌的价值。</w:t>
      </w:r>
      <w:r>
        <w:rPr>
          <w:spacing w:val="-46"/>
        </w:rPr>
        <w:t> </w:t>
      </w:r>
      <w:r>
        <w:rPr>
          <w:spacing w:val="-2"/>
        </w:rPr>
        <w:t>新设立的移动通信子公司，将全面推进产品设计、资源获取、平台建设、能力构建、团队充实等工作，与公司既有的海外业</w:t>
      </w:r>
      <w:r>
        <w:rPr>
          <w:spacing w:val="-67"/>
        </w:rPr>
        <w:t> </w:t>
      </w:r>
      <w:r>
        <w:rPr>
          <w:spacing w:val="-67"/>
        </w:rPr>
      </w:r>
      <w:r>
        <w:rPr/>
        <w:t>务团队通力合作，并与各相关厂商积极开展合作，全力推进全球华人移动通信服务项目。</w:t>
      </w:r>
    </w:p>
    <w:p>
      <w:pPr>
        <w:spacing w:after="0" w:line="46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51" w:lineRule="auto" w:before="0"/>
        <w:ind w:left="153" w:right="1129" w:firstLine="420"/>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年度经营目标：营业收入</w:t>
      </w:r>
      <w:r>
        <w:rPr>
          <w:rFonts w:ascii="Times New Roman" w:hAnsi="Times New Roman" w:cs="Times New Roman" w:eastAsia="Times New Roman" w:hint="default"/>
          <w:sz w:val="18"/>
          <w:szCs w:val="18"/>
        </w:rPr>
        <w:t>75,338.75</w:t>
      </w:r>
      <w:r>
        <w:rPr>
          <w:rFonts w:ascii="宋体" w:hAnsi="宋体" w:cs="宋体" w:eastAsia="宋体" w:hint="default"/>
          <w:sz w:val="18"/>
          <w:szCs w:val="18"/>
        </w:rPr>
        <w:t>万元。</w:t>
      </w:r>
      <w:r>
        <w:rPr>
          <w:rFonts w:ascii="宋体" w:hAnsi="宋体" w:cs="宋体" w:eastAsia="宋体" w:hint="default"/>
          <w:b/>
          <w:bCs/>
          <w:sz w:val="18"/>
          <w:szCs w:val="18"/>
        </w:rPr>
        <w:t>（特别提示：上述预算数据为公司</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年度内部管理控制指标，并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不代表公司对</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年度的盈利预测，</w:t>
      </w:r>
      <w:r>
        <w:rPr>
          <w:rFonts w:ascii="宋体" w:hAnsi="宋体" w:cs="宋体" w:eastAsia="宋体" w:hint="default"/>
          <w:b/>
          <w:bCs/>
          <w:spacing w:val="-34"/>
          <w:sz w:val="18"/>
          <w:szCs w:val="18"/>
        </w:rPr>
        <w:t> </w:t>
      </w:r>
      <w:r>
        <w:rPr>
          <w:rFonts w:ascii="宋体" w:hAnsi="宋体" w:cs="宋体" w:eastAsia="宋体" w:hint="default"/>
          <w:b/>
          <w:bCs/>
          <w:sz w:val="18"/>
          <w:szCs w:val="18"/>
        </w:rPr>
        <w:t>能否实现取决于市场状况变化、经营团队的努力程度等多种因素，存在很大的不确定</w:t>
      </w:r>
      <w:r>
        <w:rPr>
          <w:rFonts w:ascii="宋体" w:hAnsi="宋体" w:cs="宋体" w:eastAsia="宋体" w:hint="default"/>
          <w:b/>
          <w:bCs/>
          <w:w w:val="99"/>
          <w:sz w:val="18"/>
          <w:szCs w:val="18"/>
        </w:rPr>
        <w:t> </w:t>
      </w:r>
      <w:r>
        <w:rPr>
          <w:rFonts w:ascii="宋体" w:hAnsi="宋体" w:cs="宋体" w:eastAsia="宋体" w:hint="default"/>
          <w:b/>
          <w:bCs/>
          <w:sz w:val="18"/>
          <w:szCs w:val="18"/>
        </w:rPr>
        <w:t>性，请投资者特别注意）</w:t>
      </w:r>
      <w:r>
        <w:rPr>
          <w:rFonts w:ascii="宋体" w:hAnsi="宋体" w:cs="宋体" w:eastAsia="宋体" w:hint="default"/>
          <w:sz w:val="18"/>
          <w:szCs w:val="18"/>
        </w:rPr>
      </w:r>
    </w:p>
    <w:p>
      <w:pPr>
        <w:spacing w:line="240" w:lineRule="auto" w:before="1"/>
        <w:rPr>
          <w:rFonts w:ascii="宋体" w:hAnsi="宋体" w:cs="宋体" w:eastAsia="宋体" w:hint="default"/>
          <w:b/>
          <w:bCs/>
          <w:sz w:val="19"/>
          <w:szCs w:val="19"/>
        </w:rPr>
      </w:pPr>
    </w:p>
    <w:p>
      <w:pPr>
        <w:pStyle w:val="Heading2"/>
        <w:spacing w:line="240" w:lineRule="auto"/>
        <w:ind w:right="0"/>
        <w:jc w:val="left"/>
        <w:rPr>
          <w:b w:val="0"/>
          <w:bCs w:val="0"/>
        </w:rPr>
      </w:pPr>
      <w:bookmarkStart w:name="七、与上年度财务报告相比，会计政策、会计估计和核算方法发生变化的情况说明" w:id="38"/>
      <w:bookmarkEnd w:id="38"/>
      <w:r>
        <w:rPr>
          <w:b w:val="0"/>
          <w:bCs w:val="0"/>
        </w:rPr>
      </w:r>
      <w:r>
        <w:rPr/>
        <w:t>七、与上年度财务报告相比，会计政策、会计估计和核算方法发生变化的情况说明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会计政策变更" w:id="39"/>
      <w:bookmarkEnd w:id="39"/>
      <w:r>
        <w:rPr>
          <w:b w:val="0"/>
          <w:bCs w:val="0"/>
        </w:rPr>
      </w:r>
      <w:r>
        <w:rPr>
          <w:rFonts w:ascii="Times New Roman" w:hAnsi="Times New Roman" w:cs="Times New Roman" w:eastAsia="Times New Roman" w:hint="default"/>
        </w:rPr>
        <w:t>1</w:t>
      </w:r>
      <w:r>
        <w:rPr/>
        <w:t>、会计政策变更</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6522"/>
        <w:gridCol w:w="1559"/>
        <w:gridCol w:w="1568"/>
      </w:tblGrid>
      <w:tr>
        <w:trPr>
          <w:trHeight w:val="347" w:hRule="exact"/>
        </w:trPr>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4"/>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659" w:hRule="exact"/>
        </w:trPr>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3"/>
              <w:jc w:val="left"/>
              <w:rPr>
                <w:rFonts w:ascii="宋体" w:hAnsi="宋体" w:cs="宋体" w:eastAsia="宋体" w:hint="default"/>
                <w:sz w:val="18"/>
                <w:szCs w:val="18"/>
              </w:rPr>
            </w:pPr>
            <w:r>
              <w:rPr>
                <w:rFonts w:ascii="宋体" w:hAnsi="宋体" w:cs="宋体" w:eastAsia="宋体" w:hint="default"/>
                <w:sz w:val="18"/>
                <w:szCs w:val="18"/>
              </w:rPr>
              <w:t>长期股权投资原成本法核算的对被投资单位不具有控制、共同控制或重大影响的权 益性投资重分类至可供出售金融资产科目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董事会批决</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8"/>
              <w:jc w:val="right"/>
              <w:rPr>
                <w:rFonts w:ascii="宋体" w:hAnsi="宋体" w:cs="宋体" w:eastAsia="宋体" w:hint="default"/>
                <w:sz w:val="18"/>
                <w:szCs w:val="18"/>
              </w:rPr>
            </w:pPr>
            <w:r>
              <w:rPr>
                <w:rFonts w:ascii="宋体" w:hAnsi="宋体" w:cs="宋体" w:eastAsia="宋体" w:hint="default"/>
                <w:sz w:val="18"/>
                <w:szCs w:val="18"/>
              </w:rPr>
              <w:t>如下述（</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660" w:hRule="exact"/>
        </w:trPr>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2"/>
              <w:jc w:val="left"/>
              <w:rPr>
                <w:rFonts w:ascii="宋体" w:hAnsi="宋体" w:cs="宋体" w:eastAsia="宋体" w:hint="default"/>
                <w:sz w:val="18"/>
                <w:szCs w:val="18"/>
              </w:rPr>
            </w:pPr>
            <w:r>
              <w:rPr>
                <w:rFonts w:ascii="宋体" w:hAnsi="宋体" w:cs="宋体" w:eastAsia="宋体" w:hint="default"/>
                <w:sz w:val="18"/>
                <w:szCs w:val="18"/>
              </w:rPr>
              <w:t>对原外币报表折算差额予以调整，根据列报要求作为其他综合收益项目列报，并对 年初数采用追溯调整法进行调整列报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董事会批决</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8"/>
              <w:jc w:val="right"/>
              <w:rPr>
                <w:rFonts w:ascii="宋体" w:hAnsi="宋体" w:cs="宋体" w:eastAsia="宋体" w:hint="default"/>
                <w:sz w:val="18"/>
                <w:szCs w:val="18"/>
              </w:rPr>
            </w:pPr>
            <w:r>
              <w:rPr>
                <w:rFonts w:ascii="宋体" w:hAnsi="宋体" w:cs="宋体" w:eastAsia="宋体" w:hint="default"/>
                <w:sz w:val="18"/>
                <w:szCs w:val="18"/>
              </w:rPr>
              <w:t>如下述（</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47" w:hRule="exact"/>
        </w:trPr>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根据列报要求将递延收益单独列报，并对年初数采用追溯调整法进行调整列报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董事会批决</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8"/>
              <w:jc w:val="right"/>
              <w:rPr>
                <w:rFonts w:ascii="宋体" w:hAnsi="宋体" w:cs="宋体" w:eastAsia="宋体" w:hint="default"/>
                <w:sz w:val="18"/>
                <w:szCs w:val="18"/>
              </w:rPr>
            </w:pPr>
            <w:r>
              <w:rPr>
                <w:rFonts w:ascii="宋体" w:hAnsi="宋体" w:cs="宋体" w:eastAsia="宋体" w:hint="default"/>
                <w:sz w:val="18"/>
                <w:szCs w:val="18"/>
              </w:rPr>
              <w:t>如下述（</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spacing w:line="240" w:lineRule="auto" w:before="10"/>
        <w:rPr>
          <w:rFonts w:ascii="宋体" w:hAnsi="宋体" w:cs="宋体" w:eastAsia="宋体" w:hint="default"/>
          <w:b/>
          <w:bCs/>
          <w:sz w:val="5"/>
          <w:szCs w:val="5"/>
        </w:rPr>
      </w:pPr>
    </w:p>
    <w:p>
      <w:pPr>
        <w:pStyle w:val="Heading5"/>
        <w:spacing w:line="285" w:lineRule="auto" w:before="38"/>
        <w:ind w:left="574" w:right="0"/>
        <w:jc w:val="left"/>
      </w:pPr>
      <w:r>
        <w:rPr/>
        <w:t>会计政策变更说明：</w:t>
      </w:r>
      <w:r>
        <w:rPr>
          <w:w w:val="100"/>
        </w:rPr>
        <w:t> </w:t>
      </w: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日召开第四届董事会第二十六次会议审议通过《关于会计政策变更的议案》，鉴于</w:t>
      </w:r>
    </w:p>
    <w:p>
      <w:pPr>
        <w:pStyle w:val="Heading5"/>
        <w:spacing w:line="271" w:lineRule="auto" w:before="0"/>
        <w:ind w:right="0"/>
        <w:jc w:val="left"/>
      </w:pPr>
      <w:r>
        <w:rPr>
          <w:spacing w:val="-1"/>
        </w:rPr>
        <w:t>财政部于</w:t>
      </w:r>
      <w:r>
        <w:rPr>
          <w:rFonts w:ascii="Times New Roman" w:hAnsi="Times New Roman" w:cs="Times New Roman" w:eastAsia="Times New Roman" w:hint="default"/>
          <w:spacing w:val="-1"/>
        </w:rPr>
        <w:t>2014</w:t>
      </w:r>
      <w:r>
        <w:rPr>
          <w:spacing w:val="-1"/>
        </w:rPr>
        <w:t>年陆续颁布或修订了一系列企业会计准则，本公司已按要求于</w:t>
      </w:r>
      <w:r>
        <w:rPr>
          <w:rFonts w:ascii="Times New Roman" w:hAnsi="Times New Roman" w:cs="Times New Roman" w:eastAsia="Times New Roman" w:hint="default"/>
          <w:spacing w:val="-1"/>
        </w:rPr>
        <w:t>2014</w:t>
      </w:r>
      <w:r>
        <w:rPr>
          <w:spacing w:val="-1"/>
        </w:rPr>
        <w:t>年度执行新的该等企业会计准</w:t>
      </w:r>
      <w:r>
        <w:rPr>
          <w:spacing w:val="-57"/>
        </w:rPr>
        <w:t> </w:t>
      </w:r>
      <w:r>
        <w:rPr>
          <w:spacing w:val="-57"/>
        </w:rPr>
      </w:r>
      <w:r>
        <w:rPr/>
        <w:t>则，并按照新准则的衔接规定对比较财务报表进行调整。执行新准则对比较财务报表影响说明如下：</w:t>
      </w:r>
    </w:p>
    <w:p>
      <w:pPr>
        <w:spacing w:line="240" w:lineRule="auto" w:before="3"/>
        <w:rPr>
          <w:rFonts w:ascii="宋体" w:hAnsi="宋体" w:cs="宋体" w:eastAsia="宋体" w:hint="default"/>
          <w:sz w:val="24"/>
          <w:szCs w:val="24"/>
        </w:rPr>
      </w:pPr>
    </w:p>
    <w:p>
      <w:pPr>
        <w:pStyle w:val="Heading3"/>
        <w:spacing w:line="240" w:lineRule="auto"/>
        <w:ind w:left="576" w:right="0"/>
        <w:jc w:val="left"/>
        <w:rPr>
          <w:b w:val="0"/>
          <w:bCs w:val="0"/>
        </w:rPr>
      </w:pPr>
      <w:bookmarkStart w:name="(1)长期股权投资" w:id="40"/>
      <w:bookmarkEnd w:id="40"/>
      <w:r>
        <w:rPr>
          <w:b w:val="0"/>
          <w:bCs w:val="0"/>
        </w:rPr>
      </w:r>
      <w:r>
        <w:rPr>
          <w:rFonts w:ascii="Times New Roman" w:hAnsi="Times New Roman" w:cs="Times New Roman" w:eastAsia="Times New Roman" w:hint="default"/>
        </w:rPr>
        <w:t>(1)</w:t>
      </w:r>
      <w:r>
        <w:rPr/>
        <w:t>长期股权投资</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right="1131" w:firstLine="420"/>
        <w:jc w:val="both"/>
      </w:pPr>
      <w:r>
        <w:rPr>
          <w:spacing w:val="-3"/>
        </w:rPr>
        <w:t>本公司根据新修订的《企业会计准则第</w:t>
      </w:r>
      <w:r>
        <w:rPr>
          <w:rFonts w:ascii="宋体" w:hAnsi="宋体" w:cs="宋体" w:eastAsia="宋体" w:hint="default"/>
          <w:spacing w:val="-3"/>
        </w:rPr>
        <w:t>2</w:t>
      </w:r>
      <w:r>
        <w:rPr>
          <w:spacing w:val="-3"/>
        </w:rPr>
        <w:t>号—长期股权投资准则》，将原成本法核算的对被投资单位不具有</w:t>
      </w:r>
      <w:r>
        <w:rPr>
          <w:w w:val="100"/>
        </w:rPr>
        <w:t> </w:t>
      </w:r>
      <w:r>
        <w:rPr/>
        <w:t>控制、共同控制或重大影响的权益性投资纳入可供出售金融资产核算，其中：在活跃市场中没有报价、公允价</w:t>
      </w:r>
      <w:r>
        <w:rPr>
          <w:w w:val="100"/>
        </w:rPr>
        <w:t> </w:t>
      </w:r>
      <w:r>
        <w:rPr/>
        <w:t>值不能可靠计量的权益工具按照成本进行后续计量，其他权益工具按公允价值进行后续计量。上述会计政策变</w:t>
      </w:r>
      <w:r>
        <w:rPr>
          <w:w w:val="100"/>
        </w:rPr>
        <w:t> </w:t>
      </w:r>
      <w:r>
        <w:rPr>
          <w:spacing w:val="-4"/>
        </w:rPr>
        <w:t>更采用追溯调整法，</w:t>
      </w:r>
      <w:r>
        <w:rPr>
          <w:rFonts w:ascii="宋体" w:hAnsi="宋体" w:cs="宋体" w:eastAsia="宋体" w:hint="default"/>
          <w:spacing w:val="-4"/>
        </w:rPr>
        <w:t>2014</w:t>
      </w:r>
      <w:r>
        <w:rPr>
          <w:spacing w:val="-4"/>
        </w:rPr>
        <w:t>年比较财务报表已重新表述：</w:t>
      </w:r>
      <w:r>
        <w:rPr>
          <w:spacing w:val="-76"/>
        </w:rPr>
        <w:t> </w:t>
      </w:r>
      <w:r>
        <w:rPr>
          <w:rFonts w:ascii="宋体" w:hAnsi="宋体" w:cs="宋体" w:eastAsia="宋体" w:hint="default"/>
        </w:rPr>
        <w:t>2013</w:t>
      </w:r>
      <w:r>
        <w:rPr/>
        <w:t>年资产负债表调减长期股权投资金额</w:t>
      </w:r>
      <w:r>
        <w:rPr>
          <w:rFonts w:ascii="宋体" w:hAnsi="宋体" w:cs="宋体" w:eastAsia="宋体" w:hint="default"/>
        </w:rPr>
        <w:t>16,310,800.00</w:t>
      </w:r>
      <w:r>
        <w:rPr>
          <w:rFonts w:ascii="宋体" w:hAnsi="宋体" w:cs="宋体" w:eastAsia="宋体" w:hint="default"/>
          <w:spacing w:val="-95"/>
        </w:rPr>
        <w:t> </w:t>
      </w:r>
      <w:r>
        <w:rPr>
          <w:rFonts w:ascii="宋体" w:hAnsi="宋体" w:cs="宋体" w:eastAsia="宋体" w:hint="default"/>
          <w:spacing w:val="-95"/>
        </w:rPr>
      </w:r>
      <w:r>
        <w:rPr/>
        <w:t>元，调增可供出售金融资产</w:t>
      </w:r>
      <w:r>
        <w:rPr>
          <w:rFonts w:ascii="宋体" w:hAnsi="宋体" w:cs="宋体" w:eastAsia="宋体" w:hint="default"/>
        </w:rPr>
        <w:t>16,310,800.00</w:t>
      </w:r>
      <w:r>
        <w:rPr/>
        <w:t>元，资产总额无影响。</w:t>
      </w:r>
    </w:p>
    <w:p>
      <w:pPr>
        <w:spacing w:line="240" w:lineRule="auto" w:before="3"/>
        <w:rPr>
          <w:rFonts w:ascii="宋体" w:hAnsi="宋体" w:cs="宋体" w:eastAsia="宋体" w:hint="default"/>
          <w:sz w:val="23"/>
          <w:szCs w:val="23"/>
        </w:rPr>
      </w:pPr>
    </w:p>
    <w:p>
      <w:pPr>
        <w:pStyle w:val="Heading3"/>
        <w:spacing w:line="240" w:lineRule="auto"/>
        <w:ind w:left="555" w:right="0"/>
        <w:jc w:val="left"/>
        <w:rPr>
          <w:b w:val="0"/>
          <w:bCs w:val="0"/>
        </w:rPr>
      </w:pPr>
      <w:bookmarkStart w:name="(2)财务报表列报准则变动对于合并财务报表的影响" w:id="41"/>
      <w:bookmarkEnd w:id="41"/>
      <w:r>
        <w:rPr>
          <w:b w:val="0"/>
          <w:bCs w:val="0"/>
        </w:rPr>
      </w:r>
      <w:r>
        <w:rPr>
          <w:rFonts w:ascii="Times New Roman" w:hAnsi="Times New Roman" w:cs="Times New Roman" w:eastAsia="Times New Roman" w:hint="default"/>
        </w:rPr>
        <w:t>(2)</w:t>
      </w:r>
      <w:r>
        <w:rPr/>
        <w:t>财务报表列报准则变动对于合并财务报表的影响</w:t>
      </w:r>
      <w:r>
        <w:rPr>
          <w:b w:val="0"/>
          <w:bCs w:val="0"/>
        </w:rPr>
      </w:r>
    </w:p>
    <w:p>
      <w:pPr>
        <w:spacing w:line="240" w:lineRule="auto" w:before="3"/>
        <w:rPr>
          <w:rFonts w:ascii="宋体" w:hAnsi="宋体" w:cs="宋体" w:eastAsia="宋体" w:hint="default"/>
          <w:b/>
          <w:bCs/>
          <w:sz w:val="25"/>
          <w:szCs w:val="25"/>
        </w:rPr>
      </w:pPr>
    </w:p>
    <w:p>
      <w:pPr>
        <w:pStyle w:val="Heading5"/>
        <w:spacing w:line="278" w:lineRule="auto" w:before="0"/>
        <w:ind w:right="1130" w:firstLine="420"/>
        <w:jc w:val="both"/>
      </w:pPr>
      <w:r>
        <w:rPr>
          <w:rFonts w:ascii="Times New Roman" w:hAnsi="Times New Roman" w:cs="Times New Roman" w:eastAsia="Times New Roman" w:hint="default"/>
          <w:spacing w:val="-3"/>
        </w:rPr>
        <w:t>1</w:t>
      </w:r>
      <w:r>
        <w:rPr>
          <w:spacing w:val="-3"/>
        </w:rPr>
        <w:t>）本公司根据修订后的《企业会计准则第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财务报表列报》，对原资本公积中归属于其他综合收益的</w:t>
      </w:r>
      <w:r>
        <w:rPr>
          <w:w w:val="100"/>
        </w:rPr>
        <w:t> </w:t>
      </w:r>
      <w:r>
        <w:rPr/>
        <w:t>部分及外币报表折算差额予以调整，根据列报要求作为其他综合收益项目列报，并对年初数采用追溯调整法进</w:t>
      </w:r>
      <w:r>
        <w:rPr>
          <w:w w:val="100"/>
        </w:rPr>
        <w:t> </w:t>
      </w:r>
      <w:r>
        <w:rPr/>
        <w:t>行调整列报，追溯调整影响如下：</w:t>
      </w:r>
    </w:p>
    <w:tbl>
      <w:tblPr>
        <w:tblW w:w="0" w:type="auto"/>
        <w:jc w:val="left"/>
        <w:tblInd w:w="146" w:type="dxa"/>
        <w:tblLayout w:type="fixed"/>
        <w:tblCellMar>
          <w:top w:w="0" w:type="dxa"/>
          <w:left w:w="0" w:type="dxa"/>
          <w:bottom w:w="0" w:type="dxa"/>
          <w:right w:w="0" w:type="dxa"/>
        </w:tblCellMar>
        <w:tblLook w:val="01E0"/>
      </w:tblPr>
      <w:tblGrid>
        <w:gridCol w:w="2386"/>
        <w:gridCol w:w="1536"/>
        <w:gridCol w:w="1536"/>
        <w:gridCol w:w="1536"/>
        <w:gridCol w:w="1535"/>
      </w:tblGrid>
      <w:tr>
        <w:trPr>
          <w:trHeight w:val="348"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30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2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r>
      <w:tr>
        <w:trPr>
          <w:trHeight w:val="347" w:hRule="exact"/>
        </w:trPr>
        <w:tc>
          <w:tcPr>
            <w:tcW w:w="2386" w:type="dxa"/>
            <w:vMerge/>
            <w:tcBorders>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60"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60"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60"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59" w:right="0"/>
              <w:jc w:val="left"/>
              <w:rPr>
                <w:rFonts w:ascii="宋体" w:hAnsi="宋体" w:cs="宋体" w:eastAsia="宋体" w:hint="default"/>
                <w:sz w:val="20"/>
                <w:szCs w:val="20"/>
              </w:rPr>
            </w:pPr>
            <w:r>
              <w:rPr>
                <w:rFonts w:ascii="宋体" w:hAnsi="宋体" w:cs="宋体" w:eastAsia="宋体" w:hint="default"/>
                <w:sz w:val="20"/>
                <w:szCs w:val="20"/>
              </w:rPr>
              <w:t>调整后</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-12,390.47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-4,117,000.80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-12,390.47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-4,117,000.80</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-12,390.47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-12,390.47</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-4,117,000.80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-4,117,000.80</w:t>
            </w:r>
          </w:p>
        </w:tc>
      </w:tr>
    </w:tbl>
    <w:p>
      <w:pPr>
        <w:spacing w:line="240" w:lineRule="auto" w:before="8"/>
        <w:rPr>
          <w:rFonts w:ascii="宋体" w:hAnsi="宋体" w:cs="宋体" w:eastAsia="宋体" w:hint="default"/>
          <w:sz w:val="7"/>
          <w:szCs w:val="7"/>
        </w:rPr>
      </w:pPr>
    </w:p>
    <w:p>
      <w:pPr>
        <w:pStyle w:val="Heading5"/>
        <w:spacing w:line="271" w:lineRule="auto" w:before="38"/>
        <w:ind w:right="0" w:firstLine="420"/>
        <w:jc w:val="left"/>
      </w:pPr>
      <w:r>
        <w:rPr>
          <w:rFonts w:ascii="Times New Roman" w:hAnsi="Times New Roman" w:cs="Times New Roman" w:eastAsia="Times New Roman" w:hint="default"/>
          <w:spacing w:val="-3"/>
        </w:rPr>
        <w:t>2</w:t>
      </w:r>
      <w:r>
        <w:rPr>
          <w:spacing w:val="-3"/>
        </w:rPr>
        <w:t>）本公司根据修订后的《企业会计准则第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财务报表列报》，根据列报要求将递延收益单独列报，该</w:t>
      </w:r>
      <w:r>
        <w:rPr>
          <w:w w:val="100"/>
        </w:rPr>
        <w:t> </w:t>
      </w:r>
      <w:r>
        <w:rPr/>
        <w:t>变更对本公司</w:t>
      </w:r>
      <w:r>
        <w:rPr>
          <w:rFonts w:ascii="宋体" w:hAnsi="宋体" w:cs="宋体" w:eastAsia="宋体" w:hint="default"/>
        </w:rPr>
        <w:t>2013</w:t>
      </w:r>
      <w:r>
        <w:rPr/>
        <w:t>年度财务报表没有影响，不需进行追溯调整。</w:t>
      </w:r>
    </w:p>
    <w:p>
      <w:pPr>
        <w:spacing w:after="0" w:line="271"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会计估计变更" w:id="42"/>
      <w:bookmarkEnd w:id="42"/>
      <w:r>
        <w:rPr>
          <w:b w:val="0"/>
          <w:bCs w:val="0"/>
        </w:rPr>
      </w:r>
      <w:r>
        <w:rPr>
          <w:rFonts w:ascii="Times New Roman" w:hAnsi="Times New Roman" w:cs="Times New Roman" w:eastAsia="Times New Roman" w:hint="default"/>
        </w:rPr>
        <w:t>2</w:t>
      </w:r>
      <w:r>
        <w:rPr/>
        <w:t>、会计估计变更</w:t>
      </w:r>
      <w:r>
        <w:rPr>
          <w:b w:val="0"/>
          <w:bCs w:val="0"/>
        </w:rPr>
      </w:r>
    </w:p>
    <w:p>
      <w:pPr>
        <w:spacing w:line="240" w:lineRule="auto" w:before="3"/>
        <w:rPr>
          <w:rFonts w:ascii="宋体" w:hAnsi="宋体" w:cs="宋体" w:eastAsia="宋体" w:hint="default"/>
          <w:b/>
          <w:bCs/>
          <w:sz w:val="25"/>
          <w:szCs w:val="25"/>
        </w:rPr>
      </w:pPr>
    </w:p>
    <w:p>
      <w:pPr>
        <w:pStyle w:val="Heading5"/>
        <w:spacing w:line="240" w:lineRule="auto" w:before="0"/>
        <w:ind w:right="0"/>
        <w:jc w:val="left"/>
      </w:pPr>
      <w:r>
        <w:rPr/>
        <w:t>本报告期主要会计估计未发生变更。</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八、与上年度财务报告相比，合并报表范围发生变化的情况说明" w:id="43"/>
      <w:bookmarkEnd w:id="4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本期新设立子（孙）公司" w:id="44"/>
      <w:bookmarkEnd w:id="44"/>
      <w:r>
        <w:rPr>
          <w:b w:val="0"/>
          <w:bCs w:val="0"/>
        </w:rPr>
      </w:r>
      <w:r>
        <w:rPr>
          <w:rFonts w:ascii="Times New Roman" w:hAnsi="Times New Roman" w:cs="Times New Roman" w:eastAsia="Times New Roman" w:hint="default"/>
        </w:rPr>
        <w:t>1</w:t>
      </w:r>
      <w:r>
        <w:rPr/>
        <w:t>、本期新设立子（孙）公司</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新设二六三香港控股公司" w:id="45"/>
      <w:bookmarkEnd w:id="45"/>
      <w:r>
        <w:rPr>
          <w:b w:val="0"/>
          <w:bCs w:val="0"/>
        </w:rPr>
      </w:r>
      <w:r>
        <w:rPr/>
        <w:t>（</w:t>
      </w:r>
      <w:r>
        <w:rPr>
          <w:rFonts w:ascii="Times New Roman" w:hAnsi="Times New Roman" w:cs="Times New Roman" w:eastAsia="Times New Roman" w:hint="default"/>
        </w:rPr>
        <w:t>1</w:t>
      </w:r>
      <w:r>
        <w:rPr/>
        <w:t>）新设二六三香港控股公司</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7"/>
        <w:ind w:left="573" w:right="0"/>
        <w:jc w:val="left"/>
      </w:pPr>
      <w:r>
        <w:rPr>
          <w:color w:val="0D0D0D"/>
        </w:rPr>
        <w:t>二六三香港控股公司</w:t>
      </w:r>
      <w:r>
        <w:rPr/>
        <w:t>系由本公司出资</w:t>
      </w:r>
      <w:r>
        <w:rPr>
          <w:rFonts w:ascii="Times New Roman" w:hAnsi="Times New Roman" w:cs="Times New Roman" w:eastAsia="Times New Roman" w:hint="default"/>
        </w:rPr>
        <w:t>70</w:t>
      </w:r>
      <w:r>
        <w:rPr/>
        <w:t>万美元在香港设立的公司，并于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日取得公司注册证明书，</w:t>
      </w:r>
      <w:r>
        <w:rPr>
          <w:color w:val="0D0D0D"/>
        </w:rPr>
        <w:t>注册号：</w:t>
      </w:r>
      <w:r>
        <w:rPr/>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color w:val="0D0D0D"/>
        </w:rPr>
        <w:t>2118891</w:t>
      </w:r>
      <w:r>
        <w:rPr>
          <w:color w:val="0D0D0D"/>
        </w:rPr>
        <w:t>，注册资本</w:t>
      </w:r>
      <w:r>
        <w:rPr>
          <w:rFonts w:ascii="Times New Roman" w:hAnsi="Times New Roman" w:cs="Times New Roman" w:eastAsia="Times New Roman" w:hint="default"/>
          <w:color w:val="0D0D0D"/>
        </w:rPr>
        <w:t>10</w:t>
      </w:r>
      <w:r>
        <w:rPr>
          <w:color w:val="0D0D0D"/>
        </w:rPr>
        <w:t>万美元，法定代表人：杨平勇。</w:t>
      </w:r>
      <w:r>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ind w:left="154" w:right="0"/>
        <w:jc w:val="left"/>
        <w:rPr>
          <w:b w:val="0"/>
          <w:bCs w:val="0"/>
        </w:rPr>
      </w:pPr>
      <w:bookmarkStart w:name="（2）新设United Wise公司" w:id="46"/>
      <w:bookmarkEnd w:id="46"/>
      <w:r>
        <w:rPr>
          <w:b w:val="0"/>
          <w:bCs w:val="0"/>
        </w:rPr>
      </w:r>
      <w:r>
        <w:rPr/>
        <w:t>（</w:t>
      </w:r>
      <w:r>
        <w:rPr>
          <w:rFonts w:ascii="Times New Roman" w:hAnsi="Times New Roman" w:cs="Times New Roman" w:eastAsia="Times New Roman" w:hint="default"/>
        </w:rPr>
        <w:t>2</w:t>
      </w:r>
      <w:r>
        <w:rPr/>
        <w:t>）新设</w:t>
      </w:r>
      <w:r>
        <w:rPr>
          <w:spacing w:val="-50"/>
        </w:rPr>
        <w:t> </w:t>
      </w:r>
      <w:r>
        <w:rPr>
          <w:rFonts w:ascii="Times New Roman" w:hAnsi="Times New Roman" w:cs="Times New Roman" w:eastAsia="Times New Roman" w:hint="default"/>
        </w:rPr>
        <w:t>United</w:t>
      </w:r>
      <w:r>
        <w:rPr>
          <w:rFonts w:ascii="Times New Roman" w:hAnsi="Times New Roman" w:cs="Times New Roman" w:eastAsia="Times New Roman" w:hint="default"/>
          <w:spacing w:val="-1"/>
        </w:rPr>
        <w:t> </w:t>
      </w:r>
      <w:r>
        <w:rPr>
          <w:rFonts w:ascii="Times New Roman" w:hAnsi="Times New Roman" w:cs="Times New Roman" w:eastAsia="Times New Roman" w:hint="default"/>
        </w:rPr>
        <w:t>Wise</w:t>
      </w:r>
      <w:r>
        <w:rPr>
          <w:rFonts w:ascii="Times New Roman" w:hAnsi="Times New Roman" w:cs="Times New Roman" w:eastAsia="Times New Roman" w:hint="default"/>
          <w:spacing w:val="-3"/>
        </w:rPr>
        <w:t> </w:t>
      </w:r>
      <w:r>
        <w:rPr/>
        <w:t>公司</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67"/>
        <w:ind w:right="1122" w:firstLine="420"/>
        <w:jc w:val="left"/>
      </w:pP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11</w:t>
      </w:r>
      <w:r>
        <w:rPr>
          <w:color w:val="0D0D0D"/>
        </w:rPr>
        <w:t>月</w:t>
      </w:r>
      <w:r>
        <w:rPr>
          <w:rFonts w:ascii="Times New Roman" w:hAnsi="Times New Roman" w:cs="Times New Roman" w:eastAsia="Times New Roman" w:hint="default"/>
          <w:color w:val="0D0D0D"/>
        </w:rPr>
        <w:t>18</w:t>
      </w:r>
      <w:r>
        <w:rPr>
          <w:color w:val="0D0D0D"/>
        </w:rPr>
        <w:t>日，二六三香港控股公司董事决定，出资</w:t>
      </w:r>
      <w:r>
        <w:rPr>
          <w:rFonts w:ascii="Times New Roman" w:hAnsi="Times New Roman" w:cs="Times New Roman" w:eastAsia="Times New Roman" w:hint="default"/>
          <w:color w:val="0D0D0D"/>
        </w:rPr>
        <w:t>65.10</w:t>
      </w:r>
      <w:r>
        <w:rPr>
          <w:color w:val="0D0D0D"/>
        </w:rPr>
        <w:t>万美元在在英属维尔京群岛设立</w:t>
      </w:r>
      <w:r>
        <w:rPr>
          <w:rFonts w:ascii="Times New Roman" w:hAnsi="Times New Roman" w:cs="Times New Roman" w:eastAsia="Times New Roman" w:hint="default"/>
          <w:color w:val="0D0D0D"/>
        </w:rPr>
        <w:t>United</w:t>
      </w:r>
      <w:r>
        <w:rPr>
          <w:rFonts w:ascii="Times New Roman" w:hAnsi="Times New Roman" w:cs="Times New Roman" w:eastAsia="Times New Roman" w:hint="default"/>
          <w:color w:val="0D0D0D"/>
          <w:spacing w:val="31"/>
        </w:rPr>
        <w:t> </w:t>
      </w:r>
      <w:r>
        <w:rPr>
          <w:rFonts w:ascii="Times New Roman" w:hAnsi="Times New Roman" w:cs="Times New Roman" w:eastAsia="Times New Roman" w:hint="default"/>
          <w:color w:val="0D0D0D"/>
        </w:rPr>
        <w:t>Wise</w:t>
      </w:r>
      <w:r>
        <w:rPr>
          <w:color w:val="0D0D0D"/>
        </w:rPr>
        <w:t>公司。</w:t>
      </w:r>
      <w:r>
        <w:rPr>
          <w:rFonts w:ascii="Times New Roman" w:hAnsi="Times New Roman" w:cs="Times New Roman" w:eastAsia="Times New Roman" w:hint="default"/>
          <w:color w:val="0D0D0D"/>
        </w:rPr>
        <w:t>United Wise</w:t>
      </w:r>
      <w:r>
        <w:rPr>
          <w:color w:val="0D0D0D"/>
        </w:rPr>
        <w:t>公司于</w:t>
      </w:r>
      <w:r>
        <w:rPr>
          <w:rFonts w:ascii="Times New Roman" w:hAnsi="Times New Roman" w:cs="Times New Roman" w:eastAsia="Times New Roman" w:hint="default"/>
          <w:color w:val="0D0D0D"/>
        </w:rPr>
        <w:t>2014</w:t>
      </w:r>
      <w:r>
        <w:rPr>
          <w:color w:val="0D0D0D"/>
        </w:rPr>
        <w:t>年</w:t>
      </w:r>
      <w:r>
        <w:rPr>
          <w:rFonts w:ascii="Times New Roman" w:hAnsi="Times New Roman" w:cs="Times New Roman" w:eastAsia="Times New Roman" w:hint="default"/>
          <w:color w:val="0D0D0D"/>
        </w:rPr>
        <w:t>8</w:t>
      </w:r>
      <w:r>
        <w:rPr>
          <w:color w:val="0D0D0D"/>
        </w:rPr>
        <w:t>月</w:t>
      </w:r>
      <w:r>
        <w:rPr>
          <w:rFonts w:ascii="Times New Roman" w:hAnsi="Times New Roman" w:cs="Times New Roman" w:eastAsia="Times New Roman" w:hint="default"/>
          <w:color w:val="0D0D0D"/>
        </w:rPr>
        <w:t>28</w:t>
      </w:r>
      <w:r>
        <w:rPr>
          <w:color w:val="0D0D0D"/>
        </w:rPr>
        <w:t>日取得商业登记证，注册号：</w:t>
      </w:r>
      <w:r>
        <w:rPr>
          <w:rFonts w:ascii="Times New Roman" w:hAnsi="Times New Roman" w:cs="Times New Roman" w:eastAsia="Times New Roman" w:hint="default"/>
          <w:color w:val="0D0D0D"/>
        </w:rPr>
        <w:t>1831700</w:t>
      </w:r>
      <w:r>
        <w:rPr>
          <w:color w:val="0D0D0D"/>
        </w:rPr>
        <w:t>，注册资本</w:t>
      </w:r>
      <w:r>
        <w:rPr>
          <w:rFonts w:ascii="Times New Roman" w:hAnsi="Times New Roman" w:cs="Times New Roman" w:eastAsia="Times New Roman" w:hint="default"/>
          <w:color w:val="0D0D0D"/>
        </w:rPr>
        <w:t>5</w:t>
      </w:r>
      <w:r>
        <w:rPr>
          <w:color w:val="0D0D0D"/>
        </w:rPr>
        <w:t>万美元，法定代表人：杨平勇。</w:t>
      </w:r>
      <w:r>
        <w:rPr/>
      </w:r>
    </w:p>
    <w:p>
      <w:pPr>
        <w:spacing w:line="240" w:lineRule="auto" w:before="2"/>
        <w:rPr>
          <w:rFonts w:ascii="宋体" w:hAnsi="宋体" w:cs="宋体" w:eastAsia="宋体" w:hint="default"/>
          <w:sz w:val="19"/>
          <w:szCs w:val="19"/>
        </w:rPr>
      </w:pPr>
    </w:p>
    <w:p>
      <w:pPr>
        <w:pStyle w:val="Heading4"/>
        <w:spacing w:line="240" w:lineRule="auto"/>
        <w:ind w:right="0"/>
        <w:jc w:val="left"/>
        <w:rPr>
          <w:rFonts w:ascii="Times New Roman" w:hAnsi="Times New Roman" w:cs="Times New Roman" w:eastAsia="Times New Roman" w:hint="default"/>
          <w:b w:val="0"/>
          <w:bCs w:val="0"/>
        </w:rPr>
      </w:pPr>
      <w:bookmarkStart w:name="（3）新设iTalk Mobile Corporation" w:id="47"/>
      <w:bookmarkEnd w:id="47"/>
      <w:r>
        <w:rPr>
          <w:b w:val="0"/>
          <w:bCs w:val="0"/>
        </w:rPr>
      </w:r>
      <w:r>
        <w:rPr/>
        <w:t>（</w:t>
      </w:r>
      <w:r>
        <w:rPr>
          <w:rFonts w:ascii="Times New Roman" w:hAnsi="Times New Roman" w:cs="Times New Roman" w:eastAsia="Times New Roman" w:hint="default"/>
        </w:rPr>
        <w:t>3</w:t>
      </w:r>
      <w:r>
        <w:rPr/>
        <w:t>）新设</w:t>
      </w:r>
      <w:r>
        <w:rPr>
          <w:spacing w:val="-51"/>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2"/>
        </w:rPr>
        <w:t> </w:t>
      </w:r>
      <w:r>
        <w:rPr>
          <w:rFonts w:ascii="Times New Roman" w:hAnsi="Times New Roman" w:cs="Times New Roman" w:eastAsia="Times New Roman" w:hint="default"/>
        </w:rPr>
        <w:t>Corporation</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4"/>
        <w:rPr>
          <w:rFonts w:ascii="Times New Roman" w:hAnsi="Times New Roman" w:cs="Times New Roman" w:eastAsia="Times New Roman" w:hint="default"/>
          <w:b/>
          <w:bCs/>
          <w:sz w:val="17"/>
          <w:szCs w:val="17"/>
        </w:rPr>
      </w:pPr>
    </w:p>
    <w:p>
      <w:pPr>
        <w:pStyle w:val="BodyText"/>
        <w:spacing w:line="451" w:lineRule="auto"/>
        <w:ind w:right="1128" w:firstLine="290"/>
        <w:jc w:val="both"/>
      </w:pP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16</w:t>
      </w:r>
      <w:r>
        <w:rPr>
          <w:spacing w:val="6"/>
        </w:rPr>
        <w:t>日，本公司第四届董事会第二十三次会议决议，拟由网络科技公司在美国设立全资子公司</w:t>
      </w:r>
      <w:r>
        <w:rPr>
          <w:rFonts w:ascii="Times New Roman" w:hAnsi="Times New Roman" w:cs="Times New Roman" w:eastAsia="Times New Roman" w:hint="default"/>
          <w:spacing w:val="6"/>
        </w:rPr>
        <w:t>iTalk</w:t>
      </w:r>
      <w:r>
        <w:rPr>
          <w:rFonts w:ascii="Times New Roman" w:hAnsi="Times New Roman" w:cs="Times New Roman" w:eastAsia="Times New Roman" w:hint="default"/>
          <w:spacing w:val="56"/>
        </w:rPr>
        <w:t> </w:t>
      </w:r>
      <w:r>
        <w:rPr>
          <w:rFonts w:ascii="Times New Roman" w:hAnsi="Times New Roman" w:cs="Times New Roman" w:eastAsia="Times New Roman" w:hint="default"/>
        </w:rPr>
        <w:t>Mobile</w:t>
      </w:r>
      <w:r>
        <w:rPr>
          <w:rFonts w:ascii="Times New Roman" w:hAnsi="Times New Roman" w:cs="Times New Roman" w:eastAsia="Times New Roman" w:hint="default"/>
        </w:rPr>
        <w:t> Corporation</w:t>
      </w:r>
      <w:r>
        <w:rPr/>
        <w:t>，该公司主要从事海外移动虚拟网络运营业务，总投资额</w:t>
      </w:r>
      <w:r>
        <w:rPr>
          <w:rFonts w:ascii="Times New Roman" w:hAnsi="Times New Roman" w:cs="Times New Roman" w:eastAsia="Times New Roman" w:hint="default"/>
        </w:rPr>
        <w:t>5</w:t>
      </w:r>
      <w:r>
        <w:rPr/>
        <w:t>万美元；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iTalk Mobile</w:t>
      </w:r>
      <w:r>
        <w:rPr>
          <w:rFonts w:ascii="Times New Roman" w:hAnsi="Times New Roman" w:cs="Times New Roman" w:eastAsia="Times New Roman" w:hint="default"/>
          <w:spacing w:val="12"/>
        </w:rPr>
        <w:t> </w:t>
      </w:r>
      <w:r>
        <w:rPr>
          <w:rFonts w:ascii="Times New Roman" w:hAnsi="Times New Roman" w:cs="Times New Roman" w:eastAsia="Times New Roman" w:hint="default"/>
        </w:rPr>
        <w:t>Corporation</w:t>
      </w:r>
      <w:r>
        <w:rPr>
          <w:rFonts w:ascii="Times New Roman" w:hAnsi="Times New Roman" w:cs="Times New Roman" w:eastAsia="Times New Roman" w:hint="default"/>
        </w:rPr>
        <w:t> </w:t>
      </w:r>
      <w:r>
        <w:rPr/>
        <w:t>取得公司登记证，注册资本</w:t>
      </w:r>
      <w:r>
        <w:rPr>
          <w:rFonts w:ascii="Times New Roman" w:hAnsi="Times New Roman" w:cs="Times New Roman" w:eastAsia="Times New Roman" w:hint="default"/>
        </w:rPr>
        <w:t>1,000.00</w:t>
      </w:r>
      <w:r>
        <w:rPr/>
        <w:t>美元，截至财务报告日止，投资款尚未支付。网络科技公司于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日取得境外</w:t>
      </w:r>
      <w:r>
        <w:rPr>
          <w:spacing w:val="-85"/>
        </w:rPr>
        <w:t> </w:t>
      </w:r>
      <w:r>
        <w:rPr>
          <w:spacing w:val="-85"/>
        </w:rPr>
      </w:r>
      <w:r>
        <w:rPr/>
        <w:t>投资证第</w:t>
      </w:r>
      <w:r>
        <w:rPr>
          <w:rFonts w:ascii="Times New Roman" w:hAnsi="Times New Roman" w:cs="Times New Roman" w:eastAsia="Times New Roman" w:hint="default"/>
        </w:rPr>
        <w:t>N1100201400146</w:t>
      </w:r>
      <w:r>
        <w:rPr/>
        <w:t>号《企业境外投资证书》，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日北京市发展和改革委员会以京发改</w:t>
      </w:r>
      <w:r>
        <w:rPr>
          <w:rFonts w:ascii="Times New Roman" w:hAnsi="Times New Roman" w:cs="Times New Roman" w:eastAsia="Times New Roman" w:hint="default"/>
        </w:rPr>
        <w:t>[2014]2746</w:t>
      </w:r>
      <w:r>
        <w:rPr/>
        <w:t>号</w:t>
      </w:r>
      <w:r>
        <w:rPr>
          <w:rFonts w:ascii="Times New Roman" w:hAnsi="Times New Roman" w:cs="Times New Roman" w:eastAsia="Times New Roman" w:hint="default"/>
        </w:rPr>
        <w:t>“</w:t>
      </w:r>
      <w:r>
        <w:rPr/>
        <w:t>关于</w:t>
      </w:r>
      <w:r>
        <w:rPr>
          <w:spacing w:val="-56"/>
        </w:rPr>
        <w:t> </w:t>
      </w:r>
      <w:r>
        <w:rPr/>
        <w:t>北京二六三网络科技有限公司在美国投资设立全资子公司项目备案的通知</w:t>
      </w:r>
      <w:r>
        <w:rPr>
          <w:rFonts w:ascii="Times New Roman" w:hAnsi="Times New Roman" w:cs="Times New Roman" w:eastAsia="Times New Roman" w:hint="default"/>
        </w:rPr>
        <w:t>”</w:t>
      </w:r>
      <w:r>
        <w:rPr/>
        <w:t>予以批准。</w:t>
      </w:r>
    </w:p>
    <w:p>
      <w:pPr>
        <w:spacing w:line="240" w:lineRule="auto" w:before="6"/>
        <w:rPr>
          <w:rFonts w:ascii="宋体" w:hAnsi="宋体" w:cs="宋体" w:eastAsia="宋体" w:hint="default"/>
          <w:sz w:val="18"/>
          <w:szCs w:val="18"/>
        </w:rPr>
      </w:pPr>
    </w:p>
    <w:p>
      <w:pPr>
        <w:pStyle w:val="Heading3"/>
        <w:spacing w:line="240" w:lineRule="auto"/>
        <w:ind w:left="153" w:right="0"/>
        <w:jc w:val="left"/>
        <w:rPr>
          <w:b w:val="0"/>
          <w:bCs w:val="0"/>
        </w:rPr>
      </w:pPr>
      <w:bookmarkStart w:name="2、清算子（孙）公司" w:id="48"/>
      <w:bookmarkEnd w:id="48"/>
      <w:r>
        <w:rPr>
          <w:b w:val="0"/>
          <w:bCs w:val="0"/>
        </w:rPr>
      </w:r>
      <w:r>
        <w:rPr>
          <w:rFonts w:ascii="Times New Roman" w:hAnsi="Times New Roman" w:cs="Times New Roman" w:eastAsia="Times New Roman" w:hint="default"/>
        </w:rPr>
        <w:t>2</w:t>
      </w:r>
      <w:r>
        <w:rPr/>
        <w:t>、清算子（孙）公司</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清算上海翰平公司" w:id="49"/>
      <w:bookmarkEnd w:id="49"/>
      <w:r>
        <w:rPr>
          <w:b w:val="0"/>
          <w:bCs w:val="0"/>
        </w:rPr>
      </w:r>
      <w:r>
        <w:rPr/>
        <w:t>（</w:t>
      </w:r>
      <w:r>
        <w:rPr>
          <w:rFonts w:ascii="Times New Roman" w:hAnsi="Times New Roman" w:cs="Times New Roman" w:eastAsia="Times New Roman" w:hint="default"/>
        </w:rPr>
        <w:t>1</w:t>
      </w:r>
      <w:r>
        <w:rPr/>
        <w:t>）清算上海翰平公司</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67"/>
        <w:ind w:right="1118"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日，上海二六三通信有限公司股东会决议注销上海翰平公司，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日上海翰平公司注销的各项手 续均已完成。</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清算江苏爱拓公司" w:id="50"/>
      <w:bookmarkEnd w:id="50"/>
      <w:r>
        <w:rPr>
          <w:b w:val="0"/>
          <w:bCs w:val="0"/>
        </w:rPr>
      </w:r>
      <w:r>
        <w:rPr/>
        <w:t>（</w:t>
      </w:r>
      <w:r>
        <w:rPr>
          <w:rFonts w:ascii="Times New Roman" w:hAnsi="Times New Roman" w:cs="Times New Roman" w:eastAsia="Times New Roman" w:hint="default"/>
        </w:rPr>
        <w:t>2</w:t>
      </w:r>
      <w:r>
        <w:rPr/>
        <w:t>）清算江苏爱拓公司</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67"/>
        <w:ind w:right="0"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ITALK</w:t>
      </w:r>
      <w:r>
        <w:rPr>
          <w:rFonts w:ascii="Times New Roman" w:hAnsi="Times New Roman" w:cs="Times New Roman" w:eastAsia="Times New Roman" w:hint="default"/>
          <w:spacing w:val="13"/>
        </w:rPr>
        <w:t> </w:t>
      </w:r>
      <w:r>
        <w:rPr>
          <w:rFonts w:ascii="Times New Roman" w:hAnsi="Times New Roman" w:cs="Times New Roman" w:eastAsia="Times New Roman" w:hint="default"/>
        </w:rPr>
        <w:t>GLOBAL</w:t>
      </w:r>
      <w:r>
        <w:rPr/>
        <w:t>公司股东会决定注销江苏爱拓公司及其江苏爱拓网络科技有限公司大连分公司、江 苏爱拓网络科技有限公司珠海分公司两个分公司，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日，江苏爱拓完成各项注销手续。</w:t>
      </w:r>
    </w:p>
    <w:p>
      <w:pPr>
        <w:spacing w:after="0" w:line="451"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4"/>
        <w:spacing w:line="240" w:lineRule="auto" w:before="38"/>
        <w:ind w:right="0"/>
        <w:jc w:val="left"/>
        <w:rPr>
          <w:b w:val="0"/>
          <w:bCs w:val="0"/>
        </w:rPr>
      </w:pPr>
      <w:bookmarkStart w:name="（3）清算北京爱涛公司" w:id="51"/>
      <w:bookmarkEnd w:id="51"/>
      <w:r>
        <w:rPr>
          <w:b w:val="0"/>
          <w:bCs w:val="0"/>
        </w:rPr>
      </w:r>
      <w:r>
        <w:rPr/>
        <w:t>（</w:t>
      </w:r>
      <w:r>
        <w:rPr>
          <w:rFonts w:ascii="Times New Roman" w:hAnsi="Times New Roman" w:cs="Times New Roman" w:eastAsia="Times New Roman" w:hint="default"/>
        </w:rPr>
        <w:t>3</w:t>
      </w:r>
      <w:r>
        <w:rPr/>
        <w:t>）清算北京爱涛公司</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67"/>
        <w:ind w:right="1126"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ITALK</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
        </w:rPr>
        <w:t>GLOBAL</w:t>
      </w:r>
      <w:r>
        <w:rPr>
          <w:spacing w:val="-1"/>
        </w:rPr>
        <w:t>公司股东会决定注销爱涛信科国际通信技术</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有限公司，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日，北京</w:t>
      </w:r>
      <w:r>
        <w:rPr/>
        <w:t> 爱涛完成各项注销手续。</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bookmarkStart w:name="九、公司利润分配及分红派息情况" w:id="52"/>
      <w:bookmarkEnd w:id="52"/>
      <w:r>
        <w:rPr>
          <w:b w:val="0"/>
          <w:bCs w:val="0"/>
        </w:rPr>
      </w:r>
      <w:r>
        <w:rPr/>
        <w:t>九、公司利润分配及分红派息情况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报告期内利润分配政策的制定、执行或调整情况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bookmarkStart w:name="1、2012年度利润分配方案：" w:id="53"/>
      <w:bookmarkEnd w:id="53"/>
      <w:r>
        <w:rPr>
          <w:b w:val="0"/>
          <w:bCs w:val="0"/>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年度利润分配方案：</w:t>
      </w:r>
      <w:r>
        <w:rPr>
          <w:b w:val="0"/>
          <w:bCs w:val="0"/>
        </w:rPr>
      </w:r>
    </w:p>
    <w:p>
      <w:pPr>
        <w:spacing w:line="240" w:lineRule="auto" w:before="12"/>
        <w:rPr>
          <w:rFonts w:ascii="宋体" w:hAnsi="宋体" w:cs="宋体" w:eastAsia="宋体" w:hint="default"/>
          <w:b/>
          <w:bCs/>
          <w:sz w:val="26"/>
          <w:szCs w:val="26"/>
        </w:rPr>
      </w:pPr>
    </w:p>
    <w:p>
      <w:pPr>
        <w:pStyle w:val="BodyText"/>
        <w:spacing w:line="316" w:lineRule="auto"/>
        <w:ind w:right="0"/>
        <w:jc w:val="left"/>
      </w:pPr>
      <w:r>
        <w:rPr>
          <w:spacing w:val="-2"/>
        </w:rPr>
        <w:t>以公司截至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240,000,000</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3</w:t>
      </w:r>
      <w:r>
        <w:rPr>
          <w:spacing w:val="-2"/>
        </w:rPr>
        <w:t>元人民币（含税），共支付红利</w:t>
      </w:r>
      <w:r>
        <w:rPr>
          <w:spacing w:val="-44"/>
        </w:rPr>
        <w:t> </w:t>
      </w:r>
      <w:r>
        <w:rPr>
          <w:spacing w:val="-44"/>
        </w:rPr>
      </w:r>
      <w:r>
        <w:rPr>
          <w:rFonts w:ascii="宋体" w:hAnsi="宋体" w:cs="宋体" w:eastAsia="宋体" w:hint="default"/>
        </w:rPr>
        <w:t>72,000,000</w:t>
      </w:r>
      <w:r>
        <w:rPr/>
        <w:t>元人民币。</w:t>
      </w:r>
    </w:p>
    <w:p>
      <w:pPr>
        <w:spacing w:line="240" w:lineRule="auto" w:before="3"/>
        <w:rPr>
          <w:rFonts w:ascii="宋体" w:hAnsi="宋体" w:cs="宋体" w:eastAsia="宋体" w:hint="default"/>
          <w:sz w:val="23"/>
          <w:szCs w:val="23"/>
        </w:rPr>
      </w:pPr>
    </w:p>
    <w:p>
      <w:pPr>
        <w:pStyle w:val="Heading4"/>
        <w:spacing w:line="240" w:lineRule="auto"/>
        <w:ind w:left="154" w:right="0"/>
        <w:jc w:val="left"/>
        <w:rPr>
          <w:b w:val="0"/>
          <w:bCs w:val="0"/>
        </w:rPr>
      </w:pPr>
      <w:bookmarkStart w:name="2、2013年度利润分配及资本公积金转增股本方案：" w:id="54"/>
      <w:bookmarkEnd w:id="54"/>
      <w:r>
        <w:rPr>
          <w:b w:val="0"/>
          <w:bCs w:val="0"/>
        </w:rPr>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年度利润分配及资本公积金转增股本方案：</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18"/>
        <w:jc w:val="left"/>
      </w:pPr>
      <w:r>
        <w:rPr/>
        <w:t>以公司总股本 </w:t>
      </w:r>
      <w:r>
        <w:rPr>
          <w:rFonts w:ascii="宋体" w:hAnsi="宋体" w:cs="宋体" w:eastAsia="宋体" w:hint="default"/>
        </w:rPr>
        <w:t>241,227,000 </w:t>
      </w:r>
      <w:r>
        <w:rPr/>
        <w:t>股为基数，向全体股东每 </w:t>
      </w:r>
      <w:r>
        <w:rPr>
          <w:rFonts w:ascii="宋体" w:hAnsi="宋体" w:cs="宋体" w:eastAsia="宋体" w:hint="default"/>
        </w:rPr>
        <w:t>10 </w:t>
      </w:r>
      <w:r>
        <w:rPr/>
        <w:t>股派</w:t>
      </w:r>
      <w:r>
        <w:rPr>
          <w:spacing w:val="5"/>
        </w:rPr>
        <w:t> </w:t>
      </w:r>
      <w:r>
        <w:rPr>
          <w:rFonts w:ascii="宋体" w:hAnsi="宋体" w:cs="宋体" w:eastAsia="宋体" w:hint="default"/>
          <w:spacing w:val="-3"/>
        </w:rPr>
        <w:t>4.000663</w:t>
      </w:r>
      <w:r>
        <w:rPr>
          <w:spacing w:val="-3"/>
        </w:rPr>
        <w:t>元人民币现金（含税）；同时，以资本公积金向全</w:t>
      </w:r>
      <w:r>
        <w:rPr/>
        <w:t> 体股东每 </w:t>
      </w:r>
      <w:r>
        <w:rPr>
          <w:rFonts w:ascii="宋体" w:hAnsi="宋体" w:cs="宋体" w:eastAsia="宋体" w:hint="default"/>
        </w:rPr>
        <w:t>10 </w:t>
      </w:r>
      <w:r>
        <w:rPr/>
        <w:t>股转增</w:t>
      </w:r>
      <w:r>
        <w:rPr>
          <w:rFonts w:ascii="宋体" w:hAnsi="宋体" w:cs="宋体" w:eastAsia="宋体" w:hint="default"/>
        </w:rPr>
        <w:t>10.001650 </w:t>
      </w:r>
      <w:r>
        <w:rPr/>
        <w:t>股。</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3、2014年度利润分配及资本公积转增股本方案：" w:id="55"/>
      <w:bookmarkEnd w:id="55"/>
      <w:r>
        <w:rPr>
          <w:b w:val="0"/>
          <w:bCs w:val="0"/>
        </w:rPr>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年度利润分配及资本公积转增股本方案：</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033" w:firstLine="360"/>
        <w:jc w:val="left"/>
      </w:pPr>
      <w:r>
        <w:rPr/>
        <w:t>以公司截止到</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12</w:t>
      </w:r>
      <w:r>
        <w:rPr/>
        <w:t>日的总股本</w:t>
      </w:r>
      <w:r>
        <w:rPr>
          <w:rFonts w:ascii="宋体" w:hAnsi="宋体" w:cs="宋体" w:eastAsia="宋体" w:hint="default"/>
        </w:rPr>
        <w:t>482,238,782</w:t>
      </w:r>
      <w:r>
        <w:rPr/>
        <w:t>股为基数，向全体股东每</w:t>
      </w:r>
      <w:r>
        <w:rPr>
          <w:rFonts w:ascii="宋体" w:hAnsi="宋体" w:cs="宋体" w:eastAsia="宋体" w:hint="default"/>
        </w:rPr>
        <w:t>10</w:t>
      </w:r>
      <w:r>
        <w:rPr/>
        <w:t>股派发现金红利</w:t>
      </w:r>
      <w:r>
        <w:rPr>
          <w:rFonts w:ascii="宋体" w:hAnsi="宋体" w:cs="宋体" w:eastAsia="宋体" w:hint="default"/>
        </w:rPr>
        <w:t>1.80</w:t>
      </w:r>
      <w:r>
        <w:rPr/>
        <w:t>元人民币（含税）； 同时，以资本公积金向全体股东每</w:t>
      </w:r>
      <w:r>
        <w:rPr>
          <w:rFonts w:ascii="宋体" w:hAnsi="宋体" w:cs="宋体" w:eastAsia="宋体" w:hint="default"/>
        </w:rPr>
        <w:t>10</w:t>
      </w:r>
      <w:r>
        <w:rPr/>
        <w:t>股转增</w:t>
      </w:r>
      <w:r>
        <w:rPr>
          <w:rFonts w:ascii="宋体" w:hAnsi="宋体" w:cs="宋体" w:eastAsia="宋体" w:hint="default"/>
        </w:rPr>
        <w:t>5</w:t>
      </w:r>
      <w:r>
        <w:rPr/>
        <w:t>股。</w:t>
      </w:r>
    </w:p>
    <w:p>
      <w:pPr>
        <w:pStyle w:val="BodyText"/>
        <w:spacing w:line="240" w:lineRule="auto" w:before="59"/>
        <w:ind w:left="154" w:right="0"/>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86,802,980.76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147,862,351.01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137,791,122.41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265,579,660.83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本报告期利润分配及资本公积金转增股本预案" w:id="56"/>
      <w:bookmarkEnd w:id="56"/>
      <w:r>
        <w:rPr>
          <w:b w:val="0"/>
          <w:bCs w:val="0"/>
        </w:rPr>
      </w:r>
      <w:r>
        <w:rPr/>
        <w:t>十、本报告期利润分配及资本公积金转增股本预案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1140"/>
        <w:jc w:val="right"/>
      </w:pPr>
      <w:r>
        <w:rPr/>
        <w:pict>
          <v:shape style="position:absolute;margin-left:56.459999pt;margin-top:-152.668304pt;width:479.2pt;height:219.2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5"/>
                    <w:gridCol w:w="5864"/>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482,238,782</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86,802,980.76</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经大华会计师事务所（特殊普通合伙）审计，公司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147,862,351.01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元，母公司净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71,104,628.09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元。按《公司章程》规定，以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年度实现的母公司净利润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71,104,628.09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元为基数，提取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10,462.81 </w:t>
                        </w:r>
                        <w:r>
                          <w:rPr>
                            <w:rFonts w:ascii="宋体" w:hAnsi="宋体" w:cs="宋体" w:eastAsia="宋体" w:hint="default"/>
                            <w:sz w:val="18"/>
                            <w:szCs w:val="18"/>
                          </w:rPr>
                          <w:t>元</w:t>
                        </w:r>
                        <w:r>
                          <w:rPr>
                            <w:rFonts w:ascii="宋体" w:hAnsi="宋体" w:cs="宋体" w:eastAsia="宋体" w:hint="default"/>
                            <w:spacing w:val="-2"/>
                            <w:sz w:val="18"/>
                            <w:szCs w:val="18"/>
                          </w:rPr>
                          <w:t>后</w:t>
                        </w:r>
                        <w:r>
                          <w:rPr>
                            <w:rFonts w:ascii="宋体" w:hAnsi="宋体" w:cs="宋体" w:eastAsia="宋体" w:hint="default"/>
                            <w:spacing w:val="-8"/>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w:t>
                        </w:r>
                        <w:r>
                          <w:rPr>
                            <w:rFonts w:ascii="宋体" w:hAnsi="宋体" w:cs="宋体" w:eastAsia="宋体" w:hint="default"/>
                            <w:spacing w:val="1"/>
                            <w:sz w:val="18"/>
                            <w:szCs w:val="18"/>
                          </w:rPr>
                          <w:t>公</w:t>
                        </w:r>
                        <w:r>
                          <w:rPr>
                            <w:rFonts w:ascii="宋体" w:hAnsi="宋体" w:cs="宋体" w:eastAsia="宋体" w:hint="default"/>
                            <w:sz w:val="18"/>
                            <w:szCs w:val="18"/>
                          </w:rPr>
                          <w:t>司未分配利润为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89,330,149.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本次利</w:t>
                        </w:r>
                        <w:r>
                          <w:rPr>
                            <w:rFonts w:ascii="宋体" w:hAnsi="宋体" w:cs="宋体" w:eastAsia="宋体" w:hint="default"/>
                            <w:spacing w:val="1"/>
                            <w:sz w:val="18"/>
                            <w:szCs w:val="18"/>
                          </w:rPr>
                          <w:t>润</w:t>
                        </w:r>
                        <w:r>
                          <w:rPr>
                            <w:rFonts w:ascii="宋体" w:hAnsi="宋体" w:cs="宋体" w:eastAsia="宋体" w:hint="default"/>
                            <w:sz w:val="18"/>
                            <w:szCs w:val="18"/>
                          </w:rPr>
                          <w:t>分配方案为</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以公司截止到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482,238,782 </w:t>
                        </w:r>
                        <w:r>
                          <w:rPr>
                            <w:rFonts w:ascii="宋体" w:hAnsi="宋体" w:cs="宋体" w:eastAsia="宋体" w:hint="default"/>
                            <w:sz w:val="18"/>
                            <w:szCs w:val="18"/>
                          </w:rPr>
                          <w:t>股为</w:t>
                        </w:r>
                        <w:r>
                          <w:rPr>
                            <w:rFonts w:ascii="宋体" w:hAnsi="宋体" w:cs="宋体" w:eastAsia="宋体" w:hint="default"/>
                            <w:spacing w:val="-2"/>
                            <w:sz w:val="18"/>
                            <w:szCs w:val="18"/>
                          </w:rPr>
                          <w:t>基</w:t>
                        </w:r>
                        <w:r>
                          <w:rPr>
                            <w:rFonts w:ascii="宋体" w:hAnsi="宋体" w:cs="宋体" w:eastAsia="宋体" w:hint="default"/>
                            <w:sz w:val="18"/>
                            <w:szCs w:val="18"/>
                          </w:rPr>
                          <w:t>数</w:t>
                        </w:r>
                        <w:r>
                          <w:rPr>
                            <w:rFonts w:ascii="宋体" w:hAnsi="宋体" w:cs="宋体" w:eastAsia="宋体" w:hint="default"/>
                            <w:spacing w:val="-36"/>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36"/>
                            <w:sz w:val="18"/>
                            <w:szCs w:val="18"/>
                          </w:rPr>
                          <w:t>币</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预计共支付红利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86,802,980.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 </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月底前</w:t>
                        </w:r>
                        <w:r>
                          <w:rPr>
                            <w:rFonts w:ascii="宋体" w:hAnsi="宋体" w:cs="宋体" w:eastAsia="宋体" w:hint="default"/>
                            <w:spacing w:val="1"/>
                            <w:sz w:val="18"/>
                            <w:szCs w:val="18"/>
                          </w:rPr>
                          <w:t>以</w:t>
                        </w:r>
                        <w:r>
                          <w:rPr>
                            <w:rFonts w:ascii="宋体" w:hAnsi="宋体" w:cs="宋体" w:eastAsia="宋体" w:hint="default"/>
                            <w:sz w:val="18"/>
                            <w:szCs w:val="18"/>
                          </w:rPr>
                          <w:t>现金方式派发完毕</w:t>
                        </w:r>
                        <w:r>
                          <w:rPr>
                            <w:rFonts w:ascii="宋体" w:hAnsi="宋体" w:cs="宋体" w:eastAsia="宋体" w:hint="default"/>
                            <w:spacing w:val="-11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4"/>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资</w:t>
                        </w:r>
                        <w:r>
                          <w:rPr>
                            <w:rFonts w:ascii="宋体" w:hAnsi="宋体" w:cs="宋体" w:eastAsia="宋体" w:hint="default"/>
                            <w:sz w:val="18"/>
                            <w:szCs w:val="18"/>
                          </w:rPr>
                          <w:t>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股，转增后，公司资本公积金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372,957,780.34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元减少到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131,838,389.34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pStyle w:val="BodyText"/>
        <w:spacing w:line="240" w:lineRule="auto" w:before="76"/>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26"/>
        <w:ind w:left="154" w:right="0"/>
        <w:jc w:val="left"/>
        <w:rPr>
          <w:b w:val="0"/>
          <w:bCs w:val="0"/>
        </w:rPr>
      </w:pPr>
      <w:bookmarkStart w:name="十一、社会责任情况" w:id="57"/>
      <w:bookmarkEnd w:id="57"/>
      <w:r>
        <w:rPr>
          <w:b w:val="0"/>
          <w:bCs w:val="0"/>
        </w:rPr>
      </w:r>
      <w:r>
        <w:rPr/>
        <w:t>十一、社会责任情况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报告期内接待调研、沟通、采访等活动登记表" w:id="58"/>
      <w:bookmarkEnd w:id="58"/>
      <w:r>
        <w:rPr>
          <w:b w:val="0"/>
          <w:bCs w:val="0"/>
        </w:rPr>
      </w:r>
      <w:r>
        <w:rPr/>
        <w:t>十二、报告期内接待调研、沟通、采访等活动登记表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62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2" w:lineRule="auto"/>
              <w:ind w:left="22" w:right="24"/>
              <w:jc w:val="left"/>
              <w:rPr>
                <w:rFonts w:ascii="宋体" w:hAnsi="宋体" w:cs="宋体" w:eastAsia="宋体" w:hint="default"/>
                <w:sz w:val="18"/>
                <w:szCs w:val="18"/>
              </w:rPr>
            </w:pPr>
            <w:r>
              <w:rPr>
                <w:rFonts w:ascii="宋体" w:hAnsi="宋体" w:cs="宋体" w:eastAsia="宋体" w:hint="default"/>
                <w:sz w:val="18"/>
                <w:szCs w:val="18"/>
              </w:rPr>
              <w:t>建达大厦公司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中国中投证券有限 责任公司、深圳遵 道投资有限公司、 深圳融杰资产管理 有限公司、广东西 域投资管理有限公 司、拾贝投资者管 理（北京）有限公 司、国金证券股份 有限公司、太平洋 证券股份有限公 司、天弘基金管理 有限公司、宏源证 券股份有限公司、 国泰君安证券、中 再资产管理股份有 限公司 </w:t>
            </w:r>
            <w:r>
              <w:rPr>
                <w:rFonts w:ascii="宋体" w:hAnsi="宋体" w:cs="宋体" w:eastAsia="宋体" w:hint="default"/>
                <w:spacing w:val="-18"/>
                <w:sz w:val="18"/>
                <w:szCs w:val="18"/>
              </w:rPr>
              <w:t>、华宝兴业</w:t>
            </w:r>
            <w:r>
              <w:rPr>
                <w:rFonts w:ascii="宋体" w:hAnsi="宋体" w:cs="宋体" w:eastAsia="宋体" w:hint="default"/>
                <w:sz w:val="18"/>
                <w:szCs w:val="18"/>
              </w:rPr>
              <w:t> 基金管理有限公 司、山西证券股份 有限公司、长盛基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5355"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金、招商证券、时 间投资、</w:t>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资本 投资顾问（北京） 有限公司、渤海证 券股份有限公司、 天安财产保险股份 有限公司、中信证 券股份有限公司、 华夏财富、华夏基 金管理有限公司、 中国银河证券股份 有限公司、中国人 寿资产管理有限公 </w:t>
            </w:r>
            <w:r>
              <w:rPr>
                <w:rFonts w:ascii="宋体" w:hAnsi="宋体" w:cs="宋体" w:eastAsia="宋体" w:hint="default"/>
                <w:spacing w:val="-8"/>
                <w:sz w:val="18"/>
                <w:szCs w:val="18"/>
              </w:rPr>
              <w:t>司、尚雅投资</w:t>
            </w:r>
            <w:r>
              <w:rPr>
                <w:rFonts w:ascii="宋体" w:hAnsi="宋体" w:cs="宋体" w:eastAsia="宋体" w:hint="default"/>
                <w:spacing w:val="1"/>
                <w:sz w:val="18"/>
                <w:szCs w:val="18"/>
              </w:rPr>
              <w:t> </w:t>
            </w:r>
            <w:r>
              <w:rPr>
                <w:rFonts w:ascii="宋体" w:hAnsi="宋体" w:cs="宋体" w:eastAsia="宋体" w:hint="default"/>
                <w:spacing w:val="-45"/>
                <w:sz w:val="18"/>
                <w:szCs w:val="18"/>
              </w:rPr>
              <w:t>、盛</w:t>
            </w:r>
            <w:r>
              <w:rPr>
                <w:rFonts w:ascii="宋体" w:hAnsi="宋体" w:cs="宋体" w:eastAsia="宋体" w:hint="default"/>
                <w:spacing w:val="-45"/>
                <w:sz w:val="18"/>
                <w:szCs w:val="18"/>
              </w:rPr>
              <w:t> </w:t>
            </w:r>
            <w:r>
              <w:rPr>
                <w:rFonts w:ascii="宋体" w:hAnsi="宋体" w:cs="宋体" w:eastAsia="宋体" w:hint="default"/>
                <w:sz w:val="18"/>
                <w:szCs w:val="18"/>
              </w:rPr>
              <w:t>德资本有限公司、</w:t>
            </w:r>
            <w:r>
              <w:rPr>
                <w:rFonts w:ascii="宋体" w:hAnsi="宋体" w:cs="宋体" w:eastAsia="宋体" w:hint="default"/>
                <w:sz w:val="18"/>
                <w:szCs w:val="18"/>
              </w:rPr>
              <w:t> 天安保险、华创证 券有限责任公司</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中信证券、兴业证 券、中国银河投资 管理有限公司、易 方达基金管理有限 公司、新华基金管 理有限公司、圆信 永丰基金管理有限 公司、华融证券、 国海证券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长盛基金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上海泽熙投资管理 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西域投资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建达大厦</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上投摩根基金管理 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信达证券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国元证券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建达大厦公司</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太平洋证券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473"/>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媒体质疑情况" w:id="61"/>
      <w:bookmarkEnd w:id="61"/>
      <w:r>
        <w:rPr>
          <w:b w:val="0"/>
          <w:bCs w:val="0"/>
        </w:rPr>
      </w:r>
      <w:r>
        <w:rPr/>
        <w:t>一、媒体质疑情况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股权激励的实施情况及其影响" w:id="62"/>
      <w:bookmarkEnd w:id="62"/>
      <w:r>
        <w:rPr>
          <w:b w:val="0"/>
          <w:bCs w:val="0"/>
        </w:rPr>
      </w:r>
      <w:r>
        <w:rPr/>
        <w:t>二、公司股权激励的实施情况及其影响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报告期内，公司限制性股票激励计划的实施情况如下：</w:t>
      </w:r>
    </w:p>
    <w:p>
      <w:pPr>
        <w:pStyle w:val="BodyText"/>
        <w:spacing w:line="304" w:lineRule="auto" w:before="2"/>
        <w:ind w:right="1123"/>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日，公司召开了第四届董事会第十六次会议和第四届监事会第十次会议审议通过了《关于向激励对象授予限</w:t>
      </w:r>
      <w:r>
        <w:rPr>
          <w:spacing w:val="-58"/>
        </w:rPr>
        <w:t> </w:t>
      </w:r>
      <w:r>
        <w:rPr>
          <w:spacing w:val="-58"/>
        </w:rPr>
      </w:r>
      <w:r>
        <w:rPr/>
        <w:t>制性股票的议案》，确定以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日作为公司限制性股票激励计划的授予日，向</w:t>
      </w:r>
      <w:r>
        <w:rPr>
          <w:rFonts w:ascii="Times New Roman" w:hAnsi="Times New Roman" w:cs="Times New Roman" w:eastAsia="Times New Roman" w:hint="default"/>
        </w:rPr>
        <w:t>91</w:t>
      </w:r>
      <w:r>
        <w:rPr/>
        <w:t>名激励对象授予</w:t>
      </w:r>
      <w:r>
        <w:rPr>
          <w:rFonts w:ascii="Times New Roman" w:hAnsi="Times New Roman" w:cs="Times New Roman" w:eastAsia="Times New Roman" w:hint="default"/>
        </w:rPr>
        <w:t>127</w:t>
      </w:r>
      <w:r>
        <w:rPr/>
        <w:t>万股股票。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日，公司披露了《关于限制性股票授予完成的公告》，公司董事会在授予限制性股票的过程中，余瑞源</w:t>
      </w:r>
      <w:r>
        <w:rPr>
          <w:rFonts w:ascii="Times New Roman" w:hAnsi="Times New Roman" w:cs="Times New Roman" w:eastAsia="Times New Roman" w:hint="default"/>
        </w:rPr>
        <w:t>1</w:t>
      </w:r>
      <w:r>
        <w:rPr/>
        <w:t>人 </w:t>
      </w:r>
      <w:r>
        <w:rPr>
          <w:spacing w:val="-2"/>
        </w:rPr>
        <w:t>因个人原因放弃本次限制性股票激励计划授予限制性股票的权力，因此，公司本次限制性股票激励计划实际授予的限制性股</w:t>
      </w:r>
      <w:r>
        <w:rPr>
          <w:spacing w:val="-64"/>
        </w:rPr>
        <w:t> </w:t>
      </w:r>
      <w:r>
        <w:rPr>
          <w:spacing w:val="-64"/>
        </w:rPr>
      </w:r>
      <w:r>
        <w:rPr/>
        <w:t>票数量由</w:t>
      </w:r>
      <w:r>
        <w:rPr>
          <w:rFonts w:ascii="Times New Roman" w:hAnsi="Times New Roman" w:cs="Times New Roman" w:eastAsia="Times New Roman" w:hint="default"/>
        </w:rPr>
        <w:t>127</w:t>
      </w:r>
      <w:r>
        <w:rPr/>
        <w:t>万股减少到</w:t>
      </w:r>
      <w:r>
        <w:rPr>
          <w:rFonts w:ascii="Times New Roman" w:hAnsi="Times New Roman" w:cs="Times New Roman" w:eastAsia="Times New Roman" w:hint="default"/>
        </w:rPr>
        <w:t>126.7</w:t>
      </w:r>
      <w:r>
        <w:rPr/>
        <w:t>万股，授予对象由</w:t>
      </w:r>
      <w:r>
        <w:rPr>
          <w:rFonts w:ascii="Times New Roman" w:hAnsi="Times New Roman" w:cs="Times New Roman" w:eastAsia="Times New Roman" w:hint="default"/>
        </w:rPr>
        <w:t>91</w:t>
      </w:r>
      <w:r>
        <w:rPr/>
        <w:t>人减少到</w:t>
      </w:r>
      <w:r>
        <w:rPr>
          <w:rFonts w:ascii="Times New Roman" w:hAnsi="Times New Roman" w:cs="Times New Roman" w:eastAsia="Times New Roman" w:hint="default"/>
        </w:rPr>
        <w:t>90</w:t>
      </w:r>
      <w:r>
        <w:rPr/>
        <w:t>人。授予价格</w:t>
      </w:r>
      <w:r>
        <w:rPr>
          <w:rFonts w:ascii="Times New Roman" w:hAnsi="Times New Roman" w:cs="Times New Roman" w:eastAsia="Times New Roman" w:hint="default"/>
        </w:rPr>
        <w:t>10.89</w:t>
      </w:r>
      <w:r>
        <w:rPr/>
        <w:t>元</w:t>
      </w:r>
      <w:r>
        <w:rPr>
          <w:rFonts w:ascii="Times New Roman" w:hAnsi="Times New Roman" w:cs="Times New Roman" w:eastAsia="Times New Roman" w:hint="default"/>
        </w:rPr>
        <w:t>/</w:t>
      </w:r>
      <w:r>
        <w:rPr/>
        <w:t>股。</w:t>
      </w:r>
      <w:r>
        <w:rPr>
          <w:spacing w:val="-2"/>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日，公司召开了第四届董事会第十七次会议和第四届监事会第十一次会议审议通过了《关于回购注销已离职</w:t>
      </w:r>
      <w:r>
        <w:rPr>
          <w:spacing w:val="-58"/>
        </w:rPr>
        <w:t> </w:t>
      </w:r>
      <w:r>
        <w:rPr>
          <w:spacing w:val="-58"/>
        </w:rPr>
      </w:r>
      <w:r>
        <w:rPr>
          <w:spacing w:val="-2"/>
        </w:rPr>
        <w:t>股权激励对象所持已获授但尚未解锁的限制性股票的议案》，决定回购注销已离职股权激励对象闫斌、殷宇安、李春琦所持</w:t>
      </w:r>
      <w:r>
        <w:rPr>
          <w:spacing w:val="-66"/>
        </w:rPr>
        <w:t> </w:t>
      </w:r>
      <w:r>
        <w:rPr>
          <w:spacing w:val="-66"/>
        </w:rPr>
      </w:r>
      <w:r>
        <w:rPr>
          <w:rFonts w:ascii="Times New Roman" w:hAnsi="Times New Roman" w:cs="Times New Roman" w:eastAsia="Times New Roman" w:hint="default"/>
        </w:rPr>
        <w:t>40,000</w:t>
      </w:r>
      <w:r>
        <w:rPr/>
        <w:t>股已获授但尚未解锁的限制性股票。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日，公司完成了对上述股份的回购注销。 相关股权激励事项已在临时报告中予以披露，详情请参看巨潮资讯网（</w:t>
      </w:r>
      <w:hyperlink r:id="rId11">
        <w:r>
          <w:rPr>
            <w:rFonts w:ascii="Times New Roman" w:hAnsi="Times New Roman" w:cs="Times New Roman" w:eastAsia="Times New Roman" w:hint="default"/>
          </w:rPr>
          <w:t>www.cninfo.com.cn</w:t>
        </w:r>
      </w:hyperlink>
      <w:r>
        <w:rPr/>
        <w:t>）</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三、重大关联交易" w:id="63"/>
      <w:bookmarkEnd w:id="63"/>
      <w:r>
        <w:rPr>
          <w:b w:val="0"/>
          <w:bCs w:val="0"/>
        </w:rPr>
      </w:r>
      <w:r>
        <w:rPr/>
        <w:t>三、重大关联交易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64"/>
      <w:bookmarkEnd w:id="6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关联债权债务往来" w:id="65"/>
      <w:bookmarkEnd w:id="65"/>
      <w:r>
        <w:rPr>
          <w:b w:val="0"/>
          <w:bCs w:val="0"/>
        </w:rPr>
      </w:r>
      <w:r>
        <w:rPr>
          <w:rFonts w:ascii="Times New Roman" w:hAnsi="Times New Roman" w:cs="Times New Roman" w:eastAsia="Times New Roman" w:hint="default"/>
        </w:rPr>
        <w:t>2</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9"/>
        <w:gridCol w:w="947"/>
        <w:gridCol w:w="947"/>
        <w:gridCol w:w="829"/>
        <w:gridCol w:w="1540"/>
        <w:gridCol w:w="1127"/>
        <w:gridCol w:w="1261"/>
        <w:gridCol w:w="1127"/>
      </w:tblGrid>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7" w:hanging="180"/>
              <w:jc w:val="left"/>
              <w:rPr>
                <w:rFonts w:ascii="宋体" w:hAnsi="宋体" w:cs="宋体" w:eastAsia="宋体" w:hint="default"/>
                <w:sz w:val="18"/>
                <w:szCs w:val="18"/>
              </w:rPr>
            </w:pPr>
            <w:r>
              <w:rPr>
                <w:rFonts w:ascii="宋体" w:hAnsi="宋体" w:cs="宋体" w:eastAsia="宋体" w:hint="default"/>
                <w:sz w:val="18"/>
                <w:szCs w:val="18"/>
              </w:rPr>
              <w:t>债权债务 类型</w:t>
            </w:r>
          </w:p>
        </w:tc>
        <w:tc>
          <w:tcPr>
            <w:tcW w:w="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4" w:right="43" w:hanging="360"/>
              <w:jc w:val="left"/>
              <w:rPr>
                <w:rFonts w:ascii="宋体" w:hAnsi="宋体" w:cs="宋体" w:eastAsia="宋体" w:hint="default"/>
                <w:sz w:val="18"/>
                <w:szCs w:val="18"/>
              </w:rPr>
            </w:pPr>
            <w:r>
              <w:rPr>
                <w:rFonts w:ascii="宋体" w:hAnsi="宋体" w:cs="宋体" w:eastAsia="宋体" w:hint="default"/>
                <w:sz w:val="18"/>
                <w:szCs w:val="18"/>
              </w:rPr>
              <w:t>是否存在非经营性 资金占用</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7" w:right="21" w:hanging="356"/>
              <w:jc w:val="left"/>
              <w:rPr>
                <w:rFonts w:ascii="宋体" w:hAnsi="宋体" w:cs="宋体" w:eastAsia="宋体" w:hint="default"/>
                <w:sz w:val="18"/>
                <w:szCs w:val="18"/>
              </w:rPr>
            </w:pPr>
            <w:r>
              <w:rPr>
                <w:rFonts w:ascii="宋体" w:hAnsi="宋体" w:cs="宋体" w:eastAsia="宋体" w:hint="default"/>
                <w:sz w:val="18"/>
                <w:szCs w:val="18"/>
              </w:rPr>
              <w:t>期初余额（万 元）</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5" w:right="22" w:hanging="423"/>
              <w:jc w:val="left"/>
              <w:rPr>
                <w:rFonts w:ascii="宋体" w:hAnsi="宋体" w:cs="宋体" w:eastAsia="宋体" w:hint="default"/>
                <w:sz w:val="18"/>
                <w:szCs w:val="18"/>
              </w:rPr>
            </w:pPr>
            <w:r>
              <w:rPr>
                <w:rFonts w:ascii="宋体" w:hAnsi="宋体" w:cs="宋体" w:eastAsia="宋体" w:hint="default"/>
                <w:spacing w:val="-8"/>
                <w:sz w:val="18"/>
                <w:szCs w:val="18"/>
              </w:rPr>
              <w:t>本期发生额（万</w:t>
            </w:r>
            <w:r>
              <w:rPr>
                <w:rFonts w:ascii="宋体" w:hAnsi="宋体" w:cs="宋体" w:eastAsia="宋体" w:hint="default"/>
                <w:sz w:val="18"/>
                <w:szCs w:val="18"/>
              </w:rPr>
              <w:t> 元）</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7" w:right="20" w:hanging="356"/>
              <w:jc w:val="left"/>
              <w:rPr>
                <w:rFonts w:ascii="宋体" w:hAnsi="宋体" w:cs="宋体" w:eastAsia="宋体" w:hint="default"/>
                <w:sz w:val="18"/>
                <w:szCs w:val="18"/>
              </w:rPr>
            </w:pPr>
            <w:r>
              <w:rPr>
                <w:rFonts w:ascii="宋体" w:hAnsi="宋体" w:cs="宋体" w:eastAsia="宋体" w:hint="default"/>
                <w:sz w:val="18"/>
                <w:szCs w:val="18"/>
              </w:rPr>
              <w:t>期末余额（万 元）</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应收关联 方债权</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代垫日常 费用</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3" w:right="0"/>
              <w:jc w:val="left"/>
              <w:rPr>
                <w:rFonts w:ascii="Times New Roman" w:hAnsi="Times New Roman" w:cs="Times New Roman" w:eastAsia="Times New Roman" w:hint="default"/>
                <w:sz w:val="18"/>
                <w:szCs w:val="18"/>
              </w:rPr>
            </w:pPr>
            <w:r>
              <w:rPr>
                <w:rFonts w:ascii="Times New Roman"/>
                <w:sz w:val="18"/>
              </w:rPr>
              <w:t>30.71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重大合同及其履行情况" w:id="66"/>
      <w:bookmarkEnd w:id="66"/>
      <w:r>
        <w:rPr>
          <w:b w:val="0"/>
          <w:bCs w:val="0"/>
        </w:rPr>
      </w:r>
      <w:r>
        <w:rPr/>
        <w:t>四、重大合同及其履行情况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67"/>
      <w:bookmarkEnd w:id="6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68"/>
      <w:bookmarkEnd w:id="6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承包情况" w:id="69"/>
      <w:bookmarkEnd w:id="6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70"/>
      <w:bookmarkEnd w:id="7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担保情况" w:id="71"/>
      <w:bookmarkEnd w:id="7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其他重大合同" w:id="72"/>
      <w:bookmarkEnd w:id="72"/>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1649"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321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二六三网 络通信股 份有限公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中国联合 网络通信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319" w:lineRule="auto" w:before="63"/>
              <w:ind w:left="22" w:right="42"/>
              <w:jc w:val="both"/>
              <w:rPr>
                <w:rFonts w:ascii="宋体" w:hAnsi="宋体" w:cs="宋体" w:eastAsia="宋体" w:hint="default"/>
                <w:sz w:val="18"/>
                <w:szCs w:val="18"/>
              </w:rPr>
            </w:pPr>
            <w:r>
              <w:rPr>
                <w:rFonts w:ascii="宋体" w:hAnsi="宋体" w:cs="宋体" w:eastAsia="宋体" w:hint="default"/>
                <w:sz w:val="18"/>
                <w:szCs w:val="18"/>
              </w:rPr>
              <w:t>日公司获 得工业和 信息化部 发放的第 四批移动 通信转售 业务试点 批文</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重大交易" w:id="73"/>
      <w:bookmarkEnd w:id="73"/>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承诺事项履行情况" w:id="74"/>
      <w:bookmarkEnd w:id="74"/>
      <w:r>
        <w:rPr>
          <w:b w:val="0"/>
          <w:bCs w:val="0"/>
        </w:rPr>
      </w:r>
      <w:r>
        <w:rPr/>
        <w:t>五、承诺事项履行情况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75"/>
      <w:bookmarkEnd w:id="7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354"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6"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276"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为保证公司重 大资产购买的 </w:t>
            </w:r>
            <w:r>
              <w:rPr>
                <w:rFonts w:ascii="宋体" w:hAnsi="宋体" w:cs="宋体" w:eastAsia="宋体" w:hint="default"/>
                <w:spacing w:val="-6"/>
                <w:sz w:val="18"/>
                <w:szCs w:val="18"/>
              </w:rPr>
              <w:t>顺利进行，降低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公司重大资产 </w:t>
            </w:r>
            <w:r>
              <w:rPr>
                <w:rFonts w:ascii="宋体" w:hAnsi="宋体" w:cs="宋体" w:eastAsia="宋体" w:hint="default"/>
                <w:spacing w:val="-6"/>
                <w:sz w:val="18"/>
                <w:szCs w:val="18"/>
              </w:rPr>
              <w:t>收购的风险，基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于对</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Global</w:t>
            </w:r>
          </w:p>
          <w:p>
            <w:pPr>
              <w:pStyle w:val="TableParagraph"/>
              <w:spacing w:line="314" w:lineRule="auto" w:before="39"/>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Communication s,Inc.</w:t>
            </w:r>
            <w:r>
              <w:rPr>
                <w:rFonts w:ascii="宋体" w:hAnsi="宋体" w:cs="宋体" w:eastAsia="宋体" w:hint="default"/>
                <w:sz w:val="18"/>
                <w:szCs w:val="18"/>
              </w:rPr>
              <w:t>未来发展 </w:t>
            </w:r>
            <w:r>
              <w:rPr>
                <w:rFonts w:ascii="宋体" w:hAnsi="宋体" w:cs="宋体" w:eastAsia="宋体" w:hint="default"/>
                <w:spacing w:val="-6"/>
                <w:sz w:val="18"/>
                <w:szCs w:val="18"/>
              </w:rPr>
              <w:t>的信心，公司控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股股东、实际控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制人李小龙先 生与本公司签 署《关于</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iTalk</w:t>
            </w:r>
          </w:p>
          <w:p>
            <w:pPr>
              <w:pStyle w:val="TableParagraph"/>
              <w:spacing w:line="338" w:lineRule="auto" w:before="4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Communication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s,Inc.</w:t>
            </w:r>
            <w:r>
              <w:rPr>
                <w:rFonts w:ascii="宋体" w:hAnsi="宋体" w:cs="宋体" w:eastAsia="宋体" w:hint="default"/>
                <w:sz w:val="18"/>
                <w:szCs w:val="18"/>
              </w:rPr>
              <w:t>资产</w:t>
            </w:r>
          </w:p>
          <w:p>
            <w:pPr>
              <w:pStyle w:val="TableParagraph"/>
              <w:spacing w:line="23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3"/>
              <w:ind w:left="22"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利润预测补偿 </w:t>
            </w:r>
            <w:r>
              <w:rPr>
                <w:rFonts w:ascii="宋体" w:hAnsi="宋体" w:cs="宋体" w:eastAsia="宋体" w:hint="default"/>
                <w:spacing w:val="-13"/>
                <w:sz w:val="18"/>
                <w:szCs w:val="18"/>
              </w:rPr>
              <w:t>协议》。李小龙</w:t>
            </w:r>
            <w:r>
              <w:rPr>
                <w:rFonts w:ascii="宋体" w:hAnsi="宋体" w:cs="宋体" w:eastAsia="宋体" w:hint="default"/>
                <w:sz w:val="18"/>
                <w:szCs w:val="18"/>
              </w:rPr>
              <w:t> 先生向本公司 承诺并保证北 京二六三网络 科技有限公司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年每年实际净 利润不低于如 下净利润目标：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4354"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22"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86"/>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86"/>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元。若北京二六</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三网络科技有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限公司未达到</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以上净利润目</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标，则李小龙先</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生应向本公司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6"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进行赔偿。由于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6"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pacing w:val="-3"/>
                <w:sz w:val="18"/>
              </w:rPr>
              <w:t>iTalk</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8"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Holdings,LLC.</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8"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在股权购买协</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议中已同意并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承诺对北京二</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六三网络科技</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年的净利润未</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达盈利目标部</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分进行赔偿，李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小龙先生仅对</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的净利润目标</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承担赔偿责任。</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21"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为保证《</w:t>
            </w:r>
            <w:r>
              <w:rPr>
                <w:rFonts w:ascii="Times New Roman" w:hAnsi="Times New Roman" w:cs="Times New Roman" w:eastAsia="Times New Roman" w:hint="default"/>
                <w:sz w:val="18"/>
                <w:szCs w:val="18"/>
              </w:rPr>
              <w:t>iTalk</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1"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Global</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8"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Communication</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3"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s,Inc.</w:t>
            </w:r>
            <w:r>
              <w:rPr>
                <w:rFonts w:ascii="宋体" w:hAnsi="宋体" w:cs="宋体" w:eastAsia="宋体" w:hint="default"/>
                <w:sz w:val="18"/>
                <w:szCs w:val="18"/>
              </w:rPr>
              <w:t>资产</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利润预测补偿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协议》中李小龙</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先生所承担的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赔偿责任的履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行，李小龙先生</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承诺自愿延长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万股股票</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的锁定期至</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日，若公司发生</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送股、转增股本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等行为，上述</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13156"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万股股票 数量相应调整。 </w:t>
            </w:r>
            <w:r>
              <w:rPr>
                <w:rFonts w:ascii="Times New Roman" w:hAnsi="Times New Roman" w:cs="Times New Roman" w:eastAsia="Times New Roman" w:hint="default"/>
                <w:sz w:val="18"/>
                <w:szCs w:val="18"/>
              </w:rPr>
              <w:t>3.  </w:t>
            </w:r>
            <w:r>
              <w:rPr>
                <w:rFonts w:ascii="宋体" w:hAnsi="宋体" w:cs="宋体" w:eastAsia="宋体" w:hint="default"/>
                <w:sz w:val="18"/>
                <w:szCs w:val="18"/>
              </w:rPr>
              <w:t>为进一步明</w:t>
            </w:r>
          </w:p>
          <w:p>
            <w:pPr>
              <w:pStyle w:val="TableParagraph"/>
              <w:spacing w:line="326" w:lineRule="auto" w:before="5"/>
              <w:ind w:left="22" w:right="20"/>
              <w:jc w:val="left"/>
              <w:rPr>
                <w:rFonts w:ascii="宋体" w:hAnsi="宋体" w:cs="宋体" w:eastAsia="宋体" w:hint="default"/>
                <w:sz w:val="18"/>
                <w:szCs w:val="18"/>
              </w:rPr>
            </w:pPr>
            <w:r>
              <w:rPr>
                <w:rFonts w:ascii="宋体" w:hAnsi="宋体" w:cs="宋体" w:eastAsia="宋体" w:hint="default"/>
                <w:spacing w:val="-8"/>
                <w:sz w:val="18"/>
                <w:szCs w:val="18"/>
              </w:rPr>
              <w:t>确《</w:t>
            </w:r>
            <w:r>
              <w:rPr>
                <w:rFonts w:ascii="Times New Roman" w:hAnsi="Times New Roman" w:cs="Times New Roman" w:eastAsia="Times New Roman" w:hint="default"/>
                <w:spacing w:val="-8"/>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z w:val="18"/>
                <w:szCs w:val="18"/>
              </w:rPr>
              <w:t> Communication s,Inc.</w:t>
            </w:r>
            <w:r>
              <w:rPr>
                <w:rFonts w:ascii="宋体" w:hAnsi="宋体" w:cs="宋体" w:eastAsia="宋体" w:hint="default"/>
                <w:sz w:val="18"/>
                <w:szCs w:val="18"/>
              </w:rPr>
              <w:t>资产</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3"/>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利润预测补偿 </w:t>
            </w:r>
            <w:r>
              <w:rPr>
                <w:rFonts w:ascii="宋体" w:hAnsi="宋体" w:cs="宋体" w:eastAsia="宋体" w:hint="default"/>
                <w:spacing w:val="-6"/>
                <w:sz w:val="18"/>
                <w:szCs w:val="18"/>
              </w:rPr>
              <w:t>协议》中利润预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测补偿承诺涉 及的利润范围，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日公司与李小 龙先生签订了</w:t>
            </w:r>
          </w:p>
          <w:p>
            <w:pPr>
              <w:pStyle w:val="TableParagraph"/>
              <w:spacing w:line="338" w:lineRule="auto" w:before="19"/>
              <w:ind w:left="22" w:right="81"/>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Global Communication</w:t>
            </w:r>
            <w:r>
              <w:rPr>
                <w:rFonts w:ascii="Times New Roman" w:hAnsi="Times New Roman" w:cs="Times New Roman" w:eastAsia="Times New Roman" w:hint="default"/>
                <w:sz w:val="18"/>
                <w:szCs w:val="18"/>
              </w:rPr>
              <w:t> s,Inc </w:t>
            </w:r>
            <w:r>
              <w:rPr>
                <w:rFonts w:ascii="宋体" w:hAnsi="宋体" w:cs="宋体" w:eastAsia="宋体" w:hint="default"/>
                <w:sz w:val="18"/>
                <w:szCs w:val="18"/>
              </w:rPr>
              <w:t>资产</w:t>
            </w:r>
          </w:p>
          <w:p>
            <w:pPr>
              <w:pStyle w:val="TableParagraph"/>
              <w:spacing w:line="23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3"/>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利润预测补偿 协议的补充协 </w:t>
            </w:r>
            <w:r>
              <w:rPr>
                <w:rFonts w:ascii="宋体" w:hAnsi="宋体" w:cs="宋体" w:eastAsia="宋体" w:hint="default"/>
                <w:spacing w:val="-6"/>
                <w:sz w:val="18"/>
                <w:szCs w:val="18"/>
              </w:rPr>
              <w:t>议》即双方在协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议中约定的</w:t>
            </w:r>
            <w:r>
              <w:rPr>
                <w:rFonts w:ascii="Times New Roman" w:hAnsi="Times New Roman" w:cs="Times New Roman" w:eastAsia="Times New Roman" w:hint="default"/>
                <w:sz w:val="18"/>
                <w:szCs w:val="18"/>
              </w:rPr>
              <w:t>“</w:t>
            </w:r>
            <w:r>
              <w:rPr>
                <w:rFonts w:ascii="宋体" w:hAnsi="宋体" w:cs="宋体" w:eastAsia="宋体" w:hint="default"/>
                <w:sz w:val="18"/>
                <w:szCs w:val="18"/>
              </w:rPr>
              <w:t>净 利润目标</w:t>
            </w:r>
            <w:r>
              <w:rPr>
                <w:rFonts w:ascii="Times New Roman" w:hAnsi="Times New Roman" w:cs="Times New Roman" w:eastAsia="Times New Roman" w:hint="default"/>
                <w:sz w:val="18"/>
                <w:szCs w:val="18"/>
              </w:rPr>
              <w:t>”</w:t>
            </w:r>
            <w:r>
              <w:rPr>
                <w:rFonts w:ascii="宋体" w:hAnsi="宋体" w:cs="宋体" w:eastAsia="宋体" w:hint="default"/>
                <w:sz w:val="18"/>
                <w:szCs w:val="18"/>
              </w:rPr>
              <w:t>不包 括北京二六三 网络科技有限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收购 北京首都在线 网络技术有限 公司和北京二 六三网络科技 有限公司利用 其海外全资子 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Global</w:t>
            </w:r>
          </w:p>
          <w:p>
            <w:pPr>
              <w:pStyle w:val="TableParagraph"/>
              <w:spacing w:line="319" w:lineRule="auto" w:before="41"/>
              <w:ind w:left="22" w:right="8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Communication 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对外投资 参股</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Media</w:t>
            </w:r>
          </w:p>
          <w:p>
            <w:pPr>
              <w:pStyle w:val="TableParagraph"/>
              <w:spacing w:line="309" w:lineRule="auto"/>
              <w:ind w:left="22" w:right="145"/>
              <w:jc w:val="both"/>
              <w:rPr>
                <w:rFonts w:ascii="宋体" w:hAnsi="宋体" w:cs="宋体" w:eastAsia="宋体" w:hint="default"/>
                <w:sz w:val="18"/>
                <w:szCs w:val="18"/>
              </w:rPr>
            </w:pPr>
            <w:r>
              <w:rPr>
                <w:rFonts w:ascii="Times New Roman" w:hAnsi="Times New Roman" w:cs="Times New Roman" w:eastAsia="Times New Roman" w:hint="default"/>
                <w:sz w:val="18"/>
                <w:szCs w:val="18"/>
              </w:rPr>
              <w:t>Corporation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而</w:t>
            </w:r>
            <w:r>
              <w:rPr>
                <w:rFonts w:ascii="宋体" w:hAnsi="宋体" w:cs="宋体" w:eastAsia="宋体" w:hint="default"/>
                <w:w w:val="99"/>
                <w:sz w:val="18"/>
                <w:szCs w:val="18"/>
              </w:rPr>
              <w:t> </w:t>
            </w:r>
            <w:r>
              <w:rPr>
                <w:rFonts w:ascii="宋体" w:hAnsi="宋体" w:cs="宋体" w:eastAsia="宋体" w:hint="default"/>
                <w:sz w:val="18"/>
                <w:szCs w:val="18"/>
              </w:rPr>
              <w:t>产生的投资收</w:t>
            </w:r>
            <w:r>
              <w:rPr>
                <w:rFonts w:ascii="宋体" w:hAnsi="宋体" w:cs="宋体" w:eastAsia="宋体" w:hint="default"/>
                <w:w w:val="99"/>
                <w:sz w:val="18"/>
                <w:szCs w:val="18"/>
              </w:rPr>
              <w:t> </w:t>
            </w:r>
            <w:r>
              <w:rPr>
                <w:rFonts w:ascii="宋体" w:hAnsi="宋体" w:cs="宋体" w:eastAsia="宋体" w:hint="default"/>
                <w:sz w:val="18"/>
                <w:szCs w:val="18"/>
              </w:rPr>
              <w:t>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李小龙；</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公 司首次公开发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 市之日起三十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三十六个月；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87"/>
        <w:gridCol w:w="1264"/>
        <w:gridCol w:w="1276"/>
        <w:gridCol w:w="1277"/>
        <w:gridCol w:w="1260"/>
      </w:tblGrid>
      <w:tr>
        <w:trPr>
          <w:trHeight w:val="1128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行时担任公司 </w:t>
            </w:r>
            <w:r>
              <w:rPr>
                <w:rFonts w:ascii="宋体" w:hAnsi="宋体" w:cs="宋体" w:eastAsia="宋体" w:hint="default"/>
                <w:spacing w:val="-6"/>
                <w:sz w:val="18"/>
                <w:szCs w:val="18"/>
              </w:rPr>
              <w:t>董事、监事、高</w:t>
            </w:r>
            <w:r>
              <w:rPr>
                <w:rFonts w:ascii="宋体" w:hAnsi="宋体" w:cs="宋体" w:eastAsia="宋体" w:hint="default"/>
                <w:sz w:val="18"/>
                <w:szCs w:val="18"/>
              </w:rPr>
              <w:t> 级管理人员的 </w:t>
            </w:r>
            <w:r>
              <w:rPr>
                <w:rFonts w:ascii="宋体" w:hAnsi="宋体" w:cs="宋体" w:eastAsia="宋体" w:hint="default"/>
                <w:spacing w:val="-6"/>
                <w:sz w:val="18"/>
                <w:szCs w:val="18"/>
              </w:rPr>
              <w:t>股东黄明生、张</w:t>
            </w:r>
            <w:r>
              <w:rPr>
                <w:rFonts w:ascii="宋体" w:hAnsi="宋体" w:cs="宋体" w:eastAsia="宋体" w:hint="default"/>
                <w:sz w:val="18"/>
                <w:szCs w:val="18"/>
              </w:rPr>
              <w:t> 大庆、孙文超、 芦兵、张靖海、 肖瑗、刘江涛</w:t>
            </w:r>
          </w:p>
        </w:tc>
        <w:tc>
          <w:tcPr>
            <w:tcW w:w="1264"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10"/>
              <w:ind w:left="4" w:right="-17"/>
              <w:jc w:val="left"/>
              <w:rPr>
                <w:rFonts w:ascii="宋体" w:hAnsi="宋体" w:cs="宋体" w:eastAsia="宋体" w:hint="default"/>
                <w:sz w:val="18"/>
                <w:szCs w:val="18"/>
              </w:rPr>
            </w:pPr>
            <w:r>
              <w:rPr>
                <w:rFonts w:ascii="宋体" w:hAnsi="宋体" w:cs="宋体" w:eastAsia="宋体" w:hint="default"/>
                <w:spacing w:val="-6"/>
                <w:sz w:val="18"/>
                <w:szCs w:val="18"/>
              </w:rPr>
              <w:t>六个月内，不转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让或者委托他 人管理其已直 接和间接持有 的发行人股份， 也不由发行人 回购其持有的 </w:t>
            </w:r>
            <w:r>
              <w:rPr>
                <w:rFonts w:ascii="宋体" w:hAnsi="宋体" w:cs="宋体" w:eastAsia="宋体" w:hint="default"/>
                <w:spacing w:val="-6"/>
                <w:sz w:val="18"/>
                <w:szCs w:val="18"/>
              </w:rPr>
              <w:t>股份。承诺期限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届满后在其任 职期间每年转 让的股份不超 过其所持有发 行人股份总数</w:t>
            </w:r>
          </w:p>
          <w:p>
            <w:pPr>
              <w:pStyle w:val="TableParagraph"/>
              <w:spacing w:line="316" w:lineRule="auto" w:before="19"/>
              <w:ind w:left="4"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w:t>
            </w:r>
            <w:r>
              <w:rPr>
                <w:rFonts w:ascii="宋体" w:hAnsi="宋体" w:cs="宋体" w:eastAsia="宋体" w:hint="default"/>
                <w:sz w:val="18"/>
                <w:szCs w:val="18"/>
              </w:rPr>
              <w:t> </w:t>
            </w:r>
            <w:r>
              <w:rPr>
                <w:rFonts w:ascii="宋体" w:hAnsi="宋体" w:cs="宋体" w:eastAsia="宋体" w:hint="default"/>
                <w:spacing w:val="-6"/>
                <w:sz w:val="18"/>
                <w:szCs w:val="18"/>
              </w:rPr>
              <w:t>半年内，不转让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其所持有的发 行人股份。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 公司股票上市 之日起十二个 </w:t>
            </w:r>
            <w:r>
              <w:rPr>
                <w:rFonts w:ascii="宋体" w:hAnsi="宋体" w:cs="宋体" w:eastAsia="宋体" w:hint="default"/>
                <w:spacing w:val="-6"/>
                <w:sz w:val="18"/>
                <w:szCs w:val="18"/>
              </w:rPr>
              <w:t>月内，不转让或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者委托他人管 理其已直接和 间接持有的发 </w:t>
            </w:r>
            <w:r>
              <w:rPr>
                <w:rFonts w:ascii="宋体" w:hAnsi="宋体" w:cs="宋体" w:eastAsia="宋体" w:hint="default"/>
                <w:spacing w:val="-6"/>
                <w:sz w:val="18"/>
                <w:szCs w:val="18"/>
              </w:rPr>
              <w:t>行人股份，也不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由发行人回购 其持有的股份， 在上述禁售承 </w:t>
            </w:r>
            <w:r>
              <w:rPr>
                <w:rFonts w:ascii="宋体" w:hAnsi="宋体" w:cs="宋体" w:eastAsia="宋体" w:hint="default"/>
                <w:spacing w:val="-6"/>
                <w:sz w:val="18"/>
                <w:szCs w:val="18"/>
              </w:rPr>
              <w:t>诺期过后，在其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任职期间每年 转让的股份不 超过其所持有 发行人股份总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后半年内，不转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让其所持有的 发行人股份。</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 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控制的其他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企业（以 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附属企 </w:t>
            </w:r>
            <w:r>
              <w:rPr>
                <w:rFonts w:ascii="宋体" w:hAnsi="宋体" w:cs="宋体" w:eastAsia="宋体" w:hint="default"/>
                <w:spacing w:val="-16"/>
                <w:w w:val="100"/>
                <w:sz w:val="18"/>
                <w:szCs w:val="18"/>
              </w:rPr>
              <w:t>业</w:t>
            </w:r>
            <w:r>
              <w:rPr>
                <w:rFonts w:ascii="Times New Roman" w:hAnsi="Times New Roman" w:cs="Times New Roman" w:eastAsia="Times New Roman" w:hint="default"/>
                <w:spacing w:val="-16"/>
                <w:w w:val="100"/>
                <w:sz w:val="18"/>
                <w:szCs w:val="18"/>
              </w:rPr>
              <w:t>”</w:t>
            </w:r>
            <w:r>
              <w:rPr>
                <w:rFonts w:ascii="宋体" w:hAnsi="宋体" w:cs="宋体" w:eastAsia="宋体" w:hint="default"/>
                <w:spacing w:val="-16"/>
                <w:w w:val="100"/>
                <w:sz w:val="18"/>
                <w:szCs w:val="18"/>
              </w:rPr>
              <w:t>），目前并没</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有直接或间接 地从事任何与 股份公司目前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9411"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正在经营的或 今后准备从事 的增值电信业 务存在竞争的 任何业务活动。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本人及附属企 业在今后的任 何时间不会直 接或间接地以 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 但不限于自营、 合资或联营</w:t>
            </w:r>
            <w:r>
              <w:rPr>
                <w:rFonts w:ascii="Times New Roman" w:hAnsi="Times New Roman" w:cs="Times New Roman" w:eastAsia="Times New Roman" w:hint="default"/>
                <w:sz w:val="18"/>
                <w:szCs w:val="18"/>
              </w:rPr>
              <w:t>)</w:t>
            </w:r>
            <w:r>
              <w:rPr>
                <w:rFonts w:ascii="宋体" w:hAnsi="宋体" w:cs="宋体" w:eastAsia="宋体" w:hint="default"/>
                <w:sz w:val="18"/>
                <w:szCs w:val="18"/>
              </w:rPr>
              <w:t>参 与或进行与股 份公司目前正 在经营的或今 后准备从事的 增值电信业务 存在直接或间 接竞争的任何 </w:t>
            </w:r>
            <w:r>
              <w:rPr>
                <w:rFonts w:ascii="宋体" w:hAnsi="宋体" w:cs="宋体" w:eastAsia="宋体" w:hint="default"/>
                <w:spacing w:val="-6"/>
                <w:sz w:val="18"/>
                <w:szCs w:val="18"/>
              </w:rPr>
              <w:t>业务活动。凡本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人及附属企业 有任何商业机 </w:t>
            </w:r>
            <w:r>
              <w:rPr>
                <w:rFonts w:ascii="宋体" w:hAnsi="宋体" w:cs="宋体" w:eastAsia="宋体" w:hint="default"/>
                <w:spacing w:val="-6"/>
                <w:sz w:val="18"/>
                <w:szCs w:val="18"/>
              </w:rPr>
              <w:t>会可从事、参与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或入股任何可 能会与股份公 司生产经营构 成竞争的业务， 本人会安排将 上述商业机会 让予股份公司。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六、聘任、解聘会计师事务所情况" w:id="76"/>
      <w:bookmarkEnd w:id="76"/>
      <w:r>
        <w:rPr>
          <w:b w:val="0"/>
          <w:bCs w:val="0"/>
        </w:rPr>
      </w:r>
      <w:r>
        <w:rPr/>
        <w:t>六、聘任、解聘会计师事务所情况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马旭、刘涛</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监事会、独立董事（如适用）对会计师事务所本报告期“非标准审计报告”的说明" w:id="77"/>
      <w:bookmarkEnd w:id="77"/>
      <w:r>
        <w:rPr>
          <w:b w:val="0"/>
          <w:bCs w:val="0"/>
        </w:rPr>
      </w:r>
      <w:r>
        <w:rPr/>
        <w:t>七、监事会、独立董事（如适用）对会计师事务所本报告期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处罚及整改情况" w:id="78"/>
      <w:bookmarkEnd w:id="78"/>
      <w:r>
        <w:rPr>
          <w:b w:val="0"/>
          <w:bCs w:val="0"/>
        </w:rPr>
      </w:r>
      <w:r>
        <w:rPr/>
        <w:t>八、处罚及整改情况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年度报告披露后面临暂停上市和终止上市情况" w:id="79"/>
      <w:bookmarkEnd w:id="79"/>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其他重大事项的说明" w:id="80"/>
      <w:bookmarkEnd w:id="80"/>
      <w:r>
        <w:rPr>
          <w:b w:val="0"/>
          <w:bCs w:val="0"/>
        </w:rPr>
      </w:r>
      <w:r>
        <w:rPr/>
        <w:t>十、其他重大事项的说明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公司子公司重要事项" w:id="81"/>
      <w:bookmarkEnd w:id="81"/>
      <w:r>
        <w:rPr>
          <w:b w:val="0"/>
          <w:bCs w:val="0"/>
        </w:rPr>
      </w:r>
      <w:r>
        <w:rPr/>
        <w:t>十一、公司子公司重要事项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公司发行公司债券的情况" w:id="82"/>
      <w:bookmarkEnd w:id="82"/>
      <w:r>
        <w:rPr>
          <w:b w:val="0"/>
          <w:bCs w:val="0"/>
        </w:rPr>
      </w:r>
      <w:r>
        <w:rPr/>
        <w:t>十二、公司发行公司债券的情况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83"/>
      <w:bookmarkEnd w:id="83"/>
      <w:r>
        <w:rPr>
          <w:b w:val="0"/>
          <w:bCs w:val="0"/>
        </w:rPr>
      </w:r>
      <w:bookmarkStart w:name="_bookmark5" w:id="84"/>
      <w:bookmarkEnd w:id="8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85"/>
      <w:bookmarkEnd w:id="85"/>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50,024,24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20.84%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47,088,37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-9,729,411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37,358,95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18.11%</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50,024,24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20.84%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47,088,37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-9,729,411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37,358,95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18.11%</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50,024,24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20.84%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47,088,37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-9,729,411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37,358,95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18.11%</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189,975,7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79.16%</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10,956,41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205,134,8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81.89%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189,975,7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79.16%</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10,956,41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205,134,8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81.89%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241,266,8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1,227,000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242,493,8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482,493,8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19"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日分别召开第四届董事会第十六次会议和第四届监事会第十次会议，审议通过了《关于向激励对象</w:t>
      </w:r>
      <w:r>
        <w:rPr>
          <w:spacing w:val="-73"/>
        </w:rPr>
        <w:t> </w:t>
      </w:r>
      <w:r>
        <w:rPr>
          <w:spacing w:val="-73"/>
        </w:rPr>
      </w:r>
      <w:r>
        <w:rPr/>
        <w:t>授予限制性股票的议案》，确定以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日作为公司限制性股票激励计划的授予日，向激励对象授予限制性股票。公</w:t>
      </w:r>
    </w:p>
    <w:p>
      <w:pPr>
        <w:pStyle w:val="BodyText"/>
        <w:spacing w:line="246" w:lineRule="exact"/>
        <w:ind w:left="154" w:right="0"/>
        <w:jc w:val="left"/>
      </w:pPr>
      <w:r>
        <w:rPr>
          <w:spacing w:val="-2"/>
        </w:rPr>
        <w:t>司本次实际授予对象为</w:t>
      </w:r>
      <w:r>
        <w:rPr>
          <w:rFonts w:ascii="Times New Roman" w:hAnsi="Times New Roman" w:cs="Times New Roman" w:eastAsia="Times New Roman" w:hint="default"/>
          <w:spacing w:val="-2"/>
        </w:rPr>
        <w:t>90</w:t>
      </w:r>
      <w:r>
        <w:rPr>
          <w:spacing w:val="-2"/>
        </w:rPr>
        <w:t>名，实际授予数量为</w:t>
      </w:r>
      <w:r>
        <w:rPr>
          <w:rFonts w:ascii="Times New Roman" w:hAnsi="Times New Roman" w:cs="Times New Roman" w:eastAsia="Times New Roman" w:hint="default"/>
          <w:spacing w:val="-2"/>
        </w:rPr>
        <w:t>126.7</w:t>
      </w:r>
      <w:r>
        <w:rPr>
          <w:spacing w:val="-2"/>
        </w:rPr>
        <w:t>万股，授予价格：</w:t>
      </w:r>
      <w:r>
        <w:rPr>
          <w:rFonts w:ascii="Times New Roman" w:hAnsi="Times New Roman" w:cs="Times New Roman" w:eastAsia="Times New Roman" w:hint="default"/>
          <w:spacing w:val="-2"/>
        </w:rPr>
        <w:t>10.89</w:t>
      </w:r>
      <w:r>
        <w:rPr>
          <w:spacing w:val="-2"/>
        </w:rPr>
        <w:t>元</w:t>
      </w:r>
      <w:r>
        <w:rPr>
          <w:rFonts w:ascii="Times New Roman" w:hAnsi="Times New Roman" w:cs="Times New Roman" w:eastAsia="Times New Roman" w:hint="default"/>
          <w:spacing w:val="-2"/>
        </w:rPr>
        <w:t>/</w:t>
      </w:r>
      <w:r>
        <w:rPr>
          <w:spacing w:val="-2"/>
        </w:rPr>
        <w:t>股。授予完成后公司总股本增至</w:t>
      </w:r>
      <w:r>
        <w:rPr>
          <w:rFonts w:ascii="Times New Roman" w:hAnsi="Times New Roman" w:cs="Times New Roman" w:eastAsia="Times New Roman" w:hint="default"/>
          <w:spacing w:val="-2"/>
        </w:rPr>
        <w:t>241,267,000</w:t>
      </w:r>
      <w:r>
        <w:rPr>
          <w:spacing w:val="-2"/>
        </w:rPr>
        <w:t>股。</w:t>
      </w:r>
    </w:p>
    <w:p>
      <w:pPr>
        <w:pStyle w:val="BodyText"/>
        <w:spacing w:line="309" w:lineRule="auto" w:before="63"/>
        <w:ind w:left="154" w:right="1131" w:firstLine="29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24</w:t>
      </w:r>
      <w:r>
        <w:rPr>
          <w:spacing w:val="-1"/>
        </w:rPr>
        <w:t>日，公司第四届董事会第十七次会议和第四届监事会第十一次会议审议通过了《关于回购注销已离职股</w:t>
      </w:r>
      <w:r>
        <w:rPr/>
        <w:t> </w:t>
      </w:r>
      <w:r>
        <w:rPr>
          <w:spacing w:val="-2"/>
        </w:rPr>
        <w:t>权激励对象所持已获授但尚未解锁的限制性股票的议案》，公司对已离职的股权激励对象闫斌、殷宇安、李春琦所持已获授</w:t>
      </w:r>
      <w:r>
        <w:rPr>
          <w:spacing w:val="-66"/>
        </w:rPr>
        <w:t> </w:t>
      </w:r>
      <w:r>
        <w:rPr>
          <w:spacing w:val="-66"/>
        </w:rPr>
      </w:r>
      <w:r>
        <w:rPr/>
        <w:t>但尚未解锁的限制性股票共计</w:t>
      </w:r>
      <w:r>
        <w:rPr>
          <w:rFonts w:ascii="Times New Roman" w:hAnsi="Times New Roman" w:cs="Times New Roman" w:eastAsia="Times New Roman" w:hint="default"/>
        </w:rPr>
        <w:t>40,000</w:t>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日完成了回购注销。至此，公司总股本减少至</w:t>
      </w:r>
      <w:r>
        <w:rPr>
          <w:rFonts w:ascii="Times New Roman" w:hAnsi="Times New Roman" w:cs="Times New Roman" w:eastAsia="Times New Roman" w:hint="default"/>
        </w:rPr>
        <w:t>241,227,000</w:t>
      </w:r>
      <w:r>
        <w:rPr/>
        <w:t>股。</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firstLine="29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日召开的</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年度利润分配方案为：以公司截止到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日的总 股本</w:t>
      </w:r>
      <w:r>
        <w:rPr>
          <w:rFonts w:ascii="Times New Roman" w:hAnsi="Times New Roman" w:cs="Times New Roman" w:eastAsia="Times New Roman" w:hint="default"/>
        </w:rPr>
        <w:t>241,267,000</w:t>
      </w:r>
      <w:r>
        <w:rPr/>
        <w:t>股为基数，（</w:t>
      </w:r>
      <w:r>
        <w:rPr>
          <w:rFonts w:ascii="Times New Roman" w:hAnsi="Times New Roman" w:cs="Times New Roman" w:eastAsia="Times New Roman" w:hint="default"/>
        </w:rPr>
        <w:t>1</w:t>
      </w:r>
      <w:r>
        <w:rPr/>
        <w:t>）向全体股东每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4</w:t>
      </w:r>
      <w:r>
        <w:rPr/>
        <w:t>元人民币（含税），预计共支付红利</w:t>
      </w:r>
      <w:r>
        <w:rPr>
          <w:rFonts w:ascii="Times New Roman" w:hAnsi="Times New Roman" w:cs="Times New Roman" w:eastAsia="Times New Roman" w:hint="default"/>
        </w:rPr>
        <w:t>96,506,800</w:t>
      </w:r>
      <w:r>
        <w:rPr/>
        <w:t>元。（</w:t>
      </w:r>
      <w:r>
        <w:rPr>
          <w:rFonts w:ascii="Times New Roman" w:hAnsi="Times New Roman" w:cs="Times New Roman" w:eastAsia="Times New Roman" w:hint="default"/>
        </w:rPr>
        <w:t>2</w:t>
      </w:r>
      <w:r>
        <w:rPr/>
        <w:t>） 以资本公积金向全体股东每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w:t>
      </w:r>
    </w:p>
    <w:p>
      <w:pPr>
        <w:pStyle w:val="BodyText"/>
        <w:spacing w:line="300" w:lineRule="auto" w:before="13"/>
        <w:ind w:right="1130" w:firstLine="290"/>
        <w:jc w:val="both"/>
      </w:pPr>
      <w:r>
        <w:rPr/>
        <w:t>根据公司</w:t>
      </w:r>
      <w:r>
        <w:rPr>
          <w:rFonts w:ascii="Times New Roman" w:hAnsi="Times New Roman" w:cs="Times New Roman" w:eastAsia="Times New Roman" w:hint="default"/>
        </w:rPr>
        <w:t>2013</w:t>
      </w:r>
      <w:r>
        <w:rPr/>
        <w:t>年度利润分配方案和股权激励过程中股本变化的实际情况，遵循</w:t>
      </w:r>
      <w:r>
        <w:rPr>
          <w:rFonts w:ascii="Times New Roman" w:hAnsi="Times New Roman" w:cs="Times New Roman" w:eastAsia="Times New Roman" w:hint="default"/>
        </w:rPr>
        <w:t>“</w:t>
      </w:r>
      <w:r>
        <w:rPr/>
        <w:t>现金分红、送红股金额、转增股本金额 固定不变</w:t>
      </w:r>
      <w:r>
        <w:rPr>
          <w:rFonts w:ascii="Times New Roman" w:hAnsi="Times New Roman" w:cs="Times New Roman" w:eastAsia="Times New Roman" w:hint="default"/>
        </w:rPr>
        <w:t>”</w:t>
      </w:r>
      <w:r>
        <w:rPr/>
        <w:t>的原则，公司</w:t>
      </w:r>
      <w:r>
        <w:rPr>
          <w:rFonts w:ascii="Times New Roman" w:hAnsi="Times New Roman" w:cs="Times New Roman" w:eastAsia="Times New Roman" w:hint="default"/>
        </w:rPr>
        <w:t>2013</w:t>
      </w:r>
      <w:r>
        <w:rPr/>
        <w:t>年度利润分配方案为：以公司现有总股本</w:t>
      </w:r>
      <w:r>
        <w:rPr>
          <w:rFonts w:ascii="Times New Roman" w:hAnsi="Times New Roman" w:cs="Times New Roman" w:eastAsia="Times New Roman" w:hint="default"/>
        </w:rPr>
        <w:t>241,227,000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4.000663</w:t>
      </w:r>
      <w:r>
        <w:rPr>
          <w:rFonts w:ascii="Times New Roman" w:hAnsi="Times New Roman" w:cs="Times New Roman" w:eastAsia="Times New Roman" w:hint="default"/>
          <w:spacing w:val="7"/>
        </w:rPr>
        <w:t> </w:t>
      </w:r>
      <w:r>
        <w:rPr>
          <w:spacing w:val="-1"/>
        </w:rPr>
        <w:t>元人民币现金（含税）；同时，以资本公积金向全体股东每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10.001650</w:t>
      </w:r>
      <w:r>
        <w:rPr>
          <w:spacing w:val="-1"/>
        </w:rPr>
        <w:t>股。本次权益分派股权登记日为：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spacing w:val="-66"/>
        </w:rPr>
        <w:t> </w:t>
      </w:r>
      <w:r>
        <w:rPr>
          <w:rFonts w:ascii="Times New Roman" w:hAnsi="Times New Roman" w:cs="Times New Roman" w:eastAsia="Times New Roman" w:hint="default"/>
        </w:rPr>
        <w:t>29</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日。本次利润分配方案实施后，公司总股本增至</w:t>
      </w:r>
      <w:r>
        <w:rPr>
          <w:rFonts w:ascii="Times New Roman" w:hAnsi="Times New Roman" w:cs="Times New Roman" w:eastAsia="Times New Roman" w:hint="default"/>
        </w:rPr>
        <w:t>482,493,802</w:t>
      </w:r>
      <w:r>
        <w:rPr/>
        <w:t>股。</w:t>
      </w:r>
    </w:p>
    <w:p>
      <w:pPr>
        <w:pStyle w:val="BodyText"/>
        <w:spacing w:line="240" w:lineRule="auto" w:before="53"/>
        <w:ind w:right="0"/>
        <w:jc w:val="left"/>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86"/>
      <w:bookmarkEnd w:id="8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87"/>
      <w:bookmarkEnd w:id="87"/>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88"/>
      <w:bookmarkEnd w:id="8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89"/>
      <w:bookmarkEnd w:id="8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90"/>
      <w:bookmarkEnd w:id="9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91"/>
      <w:bookmarkEnd w:id="9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1"/>
        <w:gridCol w:w="233"/>
        <w:gridCol w:w="1134"/>
        <w:gridCol w:w="473"/>
        <w:gridCol w:w="390"/>
        <w:gridCol w:w="797"/>
        <w:gridCol w:w="383"/>
        <w:gridCol w:w="413"/>
        <w:gridCol w:w="797"/>
        <w:gridCol w:w="407"/>
        <w:gridCol w:w="433"/>
        <w:gridCol w:w="1139"/>
        <w:gridCol w:w="241"/>
        <w:gridCol w:w="1367"/>
      </w:tblGrid>
      <w:tr>
        <w:trPr>
          <w:trHeight w:val="162" w:hRule="exact"/>
        </w:trPr>
        <w:tc>
          <w:tcPr>
            <w:tcW w:w="1584"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36,982</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37,190</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84"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3" w:hRule="exact"/>
        </w:trPr>
        <w:tc>
          <w:tcPr>
            <w:tcW w:w="158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84"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7" w:hRule="exact"/>
        </w:trPr>
        <w:tc>
          <w:tcPr>
            <w:tcW w:w="1584"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5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51"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4" w:right="32"/>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4" w:right="3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0" w:right="4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4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4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51"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747" w:type="dxa"/>
            <w:gridSpan w:val="3"/>
            <w:vMerge/>
            <w:tcBorders>
              <w:left w:val="single" w:sz="4" w:space="0" w:color="000000"/>
              <w:right w:val="single" w:sz="4" w:space="0" w:color="000000"/>
            </w:tcBorders>
            <w:shd w:val="clear" w:color="auto" w:fill="D2D2D2"/>
          </w:tcPr>
          <w:p>
            <w:pPr/>
          </w:p>
        </w:tc>
      </w:tr>
      <w:tr>
        <w:trPr>
          <w:trHeight w:val="140" w:hRule="exact"/>
        </w:trPr>
        <w:tc>
          <w:tcPr>
            <w:tcW w:w="13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74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51"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51"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80"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2" w:hRule="exact"/>
        </w:trPr>
        <w:tc>
          <w:tcPr>
            <w:tcW w:w="1351"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80"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91,874,28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45,940,93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68,905,71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22,968,57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28,158,40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12,957,32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28,158,40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24,126,35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8,383,350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24,126,35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胡维新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17,976,50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8,469,037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17,976,50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14,411,39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7,206,293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10,808,54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3,602,849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13,030,14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6,523,441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13,030,14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北京利平科技开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8,636,281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3,501,141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8,636,281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7,650,000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6,000,495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3,000,495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6,000,495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名股东中的张彤和张大庆是胞兄弟关系，除上述情况外，本公司未知其他前 </w:t>
            </w:r>
            <w:r>
              <w:rPr>
                <w:rFonts w:ascii="Times New Roman" w:hAnsi="Times New Roman" w:cs="Times New Roman" w:eastAsia="Times New Roman" w:hint="default"/>
                <w:sz w:val="18"/>
                <w:szCs w:val="18"/>
              </w:rPr>
              <w:t>10</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名股东中是否存在关联关系。</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28,158,400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28,158,400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24,126,350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24,126,350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22,968,573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22,968,573</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胡维新</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17,976,505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17,976,505</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13,030,142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13,030,142</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北京利平科技开发有限公司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8,636,281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8,636,281</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6,000,495</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3,602,849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3,602,849</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1338"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名无限售流通股股东中的张彤和张大庆是胞兄弟关系，除上述情况外，本公司未</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知其他无限售条件前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名股东中是否存在关联关系。</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92"/>
      <w:bookmarkEnd w:id="9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日起至今担任二六三网络通信股份有限公司任董事长</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月，受聘成为工业和信息化部电信经济专家委员会第四届委员。</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公司实际控制人情况" w:id="93"/>
      <w:bookmarkEnd w:id="9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日起至今担任二六三网络通信股份有限公司任董事长，</w:t>
            </w:r>
            <w:r>
              <w:rPr>
                <w:rFonts w:ascii="Times New Roman" w:hAnsi="Times New Roman" w:cs="Times New Roman" w:eastAsia="Times New Roman" w:hint="default"/>
                <w:sz w:val="18"/>
                <w:szCs w:val="18"/>
              </w:rPr>
              <w:t>2013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月，受聘成为工业和信息化部电信经济专家委员会第四届委员。</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20"/>
          <w:szCs w:val="20"/>
        </w:rPr>
      </w:pPr>
    </w:p>
    <w:p>
      <w:pPr>
        <w:spacing w:line="2310" w:lineRule="exact"/>
        <w:ind w:left="1356"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4591602" cy="146685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7" cstate="print"/>
                    <a:stretch>
                      <a:fillRect/>
                    </a:stretch>
                  </pic:blipFill>
                  <pic:spPr>
                    <a:xfrm>
                      <a:off x="0" y="0"/>
                      <a:ext cx="4591602" cy="1466850"/>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5"/>
        <w:rPr>
          <w:rFonts w:ascii="宋体" w:hAnsi="宋体" w:cs="宋体" w:eastAsia="宋体" w:hint="default"/>
          <w:sz w:val="23"/>
          <w:szCs w:val="23"/>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持股在10%以上的法人股东" w:id="94"/>
      <w:bookmarkEnd w:id="9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公司股东及其一致行动人在报告期提出或实施股份增持计划的情况" w:id="95"/>
      <w:bookmarkEnd w:id="95"/>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96"/>
      <w:bookmarkEnd w:id="96"/>
      <w:r>
        <w:rPr>
          <w:b w:val="0"/>
          <w:bCs w:val="0"/>
        </w:rPr>
      </w:r>
      <w:bookmarkStart w:name="_bookmark6" w:id="97"/>
      <w:bookmarkEnd w:id="9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98"/>
      <w:bookmarkEnd w:id="98"/>
      <w:r>
        <w:rPr>
          <w:b w:val="0"/>
          <w:bCs w:val="0"/>
        </w:rPr>
      </w:r>
      <w:bookmarkStart w:name="_bookmark7" w:id="99"/>
      <w:bookmarkEnd w:id="9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0"/>
      <w:bookmarkEnd w:id="10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45,933,354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45,940,933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91,874,287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7,205,104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7,206,293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14,411,397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1,126,028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1,419,439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368,869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2,176,598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王连凤</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杨泽民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650,107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1,300,107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Paul</w:t>
            </w:r>
            <w:r>
              <w:rPr>
                <w:rFonts w:ascii="Times New Roman"/>
                <w:spacing w:val="-1"/>
                <w:sz w:val="18"/>
              </w:rPr>
              <w:t> </w:t>
            </w:r>
            <w:r>
              <w:rPr>
                <w:rFonts w:ascii="Times New Roman"/>
                <w:sz w:val="18"/>
              </w:rPr>
              <w:t>Zhu</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董尚雯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120,010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郭月霞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143.660004pt;margin-top:108.179985pt;width:43.05pt;height:43.65pt;mso-position-horizontal-relative:page;mso-position-vertical-relative:page;z-index:-862552" coordorigin="2873,2164" coordsize="861,873">
            <v:group style="position:absolute;left:2873;top:2164;width:861;height:468" coordorigin="2873,2164" coordsize="861,468">
              <v:shape style="position:absolute;left:2873;top:2164;width:861;height:468" coordorigin="2873,2164" coordsize="861,468" path="m2873,2632l3734,2632,3734,2164,2873,2164,2873,2632xe" filled="true" fillcolor="#ffffff" stroked="false">
                <v:path arrowok="t"/>
                <v:fill type="solid"/>
              </v:shape>
            </v:group>
            <v:group style="position:absolute;left:2885;top:2632;width:2;height:393" coordorigin="2885,2632" coordsize="2,393">
              <v:shape style="position:absolute;left:2885;top:2632;width:2;height:393" coordorigin="2885,2632" coordsize="0,393" path="m2885,2632l2885,3024e" filled="false" stroked="true" strokeweight="1.140pt" strokecolor="#ffffff">
                <v:path arrowok="t"/>
              </v:shape>
            </v:group>
            <v:group style="position:absolute;left:2896;top:2632;width:815;height:393" coordorigin="2896,2632" coordsize="815,393">
              <v:shape style="position:absolute;left:2896;top:2632;width:815;height:393" coordorigin="2896,2632" coordsize="815,393" path="m2896,3024l3711,3024,3711,2632,2896,2632,2896,302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200,216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200,216</w:t>
            </w: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 财务负责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450,770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550,853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801,636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225,034</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张靖海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427,964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191,366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574,098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56,062,756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56,875,875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940,237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112,223,42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01"/>
      <w:bookmarkEnd w:id="101"/>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2"/>
        <w:ind w:left="154" w:right="0"/>
        <w:jc w:val="left"/>
      </w:pPr>
      <w:r>
        <w:rPr/>
        <w:t>（一）董事</w:t>
      </w:r>
    </w:p>
    <w:p>
      <w:pPr>
        <w:pStyle w:val="BodyText"/>
        <w:spacing w:line="240" w:lineRule="auto" w:before="76"/>
        <w:ind w:left="154" w:right="0"/>
        <w:jc w:val="left"/>
      </w:pPr>
      <w:r>
        <w:rPr>
          <w:rFonts w:ascii="Times New Roman" w:hAnsi="Times New Roman" w:cs="Times New Roman" w:eastAsia="Times New Roman" w:hint="default"/>
        </w:rPr>
        <w:t>1.</w:t>
      </w:r>
      <w:r>
        <w:rPr/>
        <w:t>李小龙先生，</w:t>
      </w:r>
      <w:r>
        <w:rPr>
          <w:rFonts w:ascii="Times New Roman" w:hAnsi="Times New Roman" w:cs="Times New Roman" w:eastAsia="Times New Roman" w:hint="default"/>
        </w:rPr>
        <w:t>1965</w:t>
      </w:r>
      <w:r>
        <w:rPr/>
        <w:t>年出生，中国国籍，大学本科学历。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日起至今担任二六三网络通信股份有限公司董事长。</w:t>
      </w:r>
    </w:p>
    <w:p>
      <w:pPr>
        <w:pStyle w:val="BodyText"/>
        <w:spacing w:line="240" w:lineRule="auto" w:before="63"/>
        <w:ind w:left="154" w:right="0"/>
        <w:jc w:val="left"/>
      </w:pPr>
      <w:r>
        <w:rPr>
          <w:rFonts w:ascii="Times New Roman" w:hAnsi="Times New Roman" w:cs="Times New Roman" w:eastAsia="Times New Roman" w:hint="default"/>
        </w:rPr>
        <w:t>2.</w:t>
      </w:r>
      <w:r>
        <w:rPr/>
        <w:t>黄明生先生，</w:t>
      </w:r>
      <w:r>
        <w:rPr>
          <w:rFonts w:ascii="Times New Roman" w:hAnsi="Times New Roman" w:cs="Times New Roman" w:eastAsia="Times New Roman" w:hint="default"/>
        </w:rPr>
        <w:t>1963</w:t>
      </w:r>
      <w:r>
        <w:rPr/>
        <w:t>年出生，中国国籍，大学本科学历，高级工程师，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月起任二六三网络通信股份有限公司董事。</w:t>
      </w:r>
    </w:p>
    <w:p>
      <w:pPr>
        <w:pStyle w:val="BodyText"/>
        <w:spacing w:line="300" w:lineRule="auto" w:before="63"/>
        <w:ind w:left="154" w:right="0"/>
        <w:jc w:val="left"/>
      </w:pPr>
      <w:r>
        <w:rPr>
          <w:rFonts w:ascii="Times New Roman" w:hAnsi="Times New Roman" w:cs="Times New Roman" w:eastAsia="Times New Roman" w:hint="default"/>
        </w:rPr>
        <w:t>3.</w:t>
      </w:r>
      <w:r>
        <w:rPr/>
        <w:t>芦兵先生，</w:t>
      </w:r>
      <w:r>
        <w:rPr>
          <w:rFonts w:ascii="Times New Roman" w:hAnsi="Times New Roman" w:cs="Times New Roman" w:eastAsia="Times New Roman" w:hint="default"/>
        </w:rPr>
        <w:t>1965</w:t>
      </w:r>
      <w:r>
        <w:rPr/>
        <w:t>年出生，中国国籍，理学硕士。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月加入二六三网络通信股份有限公司，历任广州分公司总经理、</w:t>
      </w:r>
      <w:r>
        <w:rPr>
          <w:spacing w:val="-48"/>
        </w:rPr>
        <w:t> </w:t>
      </w:r>
      <w:r>
        <w:rPr>
          <w:spacing w:val="-48"/>
        </w:rPr>
      </w:r>
      <w:r>
        <w:rPr/>
        <w:t>公司副总经理职务，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月起担任公司董事，现任公司总裁兼任北京二六三企业通信有限公司总经理。</w:t>
      </w:r>
    </w:p>
    <w:p>
      <w:pPr>
        <w:pStyle w:val="BodyText"/>
        <w:spacing w:line="300" w:lineRule="auto" w:before="13"/>
        <w:ind w:right="0"/>
        <w:jc w:val="left"/>
      </w:pPr>
      <w:r>
        <w:rPr>
          <w:rFonts w:ascii="Times New Roman" w:hAnsi="Times New Roman" w:cs="Times New Roman" w:eastAsia="Times New Roman" w:hint="default"/>
        </w:rPr>
        <w:t>4.Jie</w:t>
      </w:r>
      <w:r>
        <w:rPr>
          <w:rFonts w:ascii="Times New Roman" w:hAnsi="Times New Roman" w:cs="Times New Roman" w:eastAsia="Times New Roman" w:hint="default"/>
          <w:spacing w:val="5"/>
        </w:rPr>
        <w:t> </w:t>
      </w:r>
      <w:r>
        <w:rPr>
          <w:rFonts w:ascii="Times New Roman" w:hAnsi="Times New Roman" w:cs="Times New Roman" w:eastAsia="Times New Roman" w:hint="default"/>
        </w:rPr>
        <w:t>Zhao</w:t>
      </w:r>
      <w:r>
        <w:rPr>
          <w:rFonts w:ascii="Times New Roman" w:hAnsi="Times New Roman" w:cs="Times New Roman" w:eastAsia="Times New Roman" w:hint="default"/>
          <w:spacing w:val="-21"/>
        </w:rPr>
        <w:t> </w:t>
      </w:r>
      <w:r>
        <w:rPr>
          <w:spacing w:val="14"/>
        </w:rPr>
        <w:t>先生，</w:t>
      </w:r>
      <w:r>
        <w:rPr>
          <w:spacing w:val="-68"/>
        </w:rPr>
        <w:t> </w:t>
      </w:r>
      <w:r>
        <w:rPr>
          <w:rFonts w:ascii="Times New Roman" w:hAnsi="Times New Roman" w:cs="Times New Roman" w:eastAsia="Times New Roman" w:hint="default"/>
        </w:rPr>
        <w:t>1959</w:t>
      </w:r>
      <w:r>
        <w:rPr>
          <w:rFonts w:ascii="Times New Roman" w:hAnsi="Times New Roman" w:cs="Times New Roman" w:eastAsia="Times New Roman" w:hint="default"/>
          <w:spacing w:val="-23"/>
        </w:rPr>
        <w:t> </w:t>
      </w:r>
      <w:r>
        <w:rPr/>
        <w:t>年</w:t>
      </w:r>
      <w:r>
        <w:rPr>
          <w:spacing w:val="-68"/>
        </w:rPr>
        <w:t> </w:t>
      </w:r>
      <w:r>
        <w:rPr/>
        <w:t>出</w:t>
      </w:r>
      <w:r>
        <w:rPr>
          <w:spacing w:val="-68"/>
        </w:rPr>
        <w:t> </w:t>
      </w:r>
      <w:r>
        <w:rPr>
          <w:spacing w:val="10"/>
        </w:rPr>
        <w:t>生，</w:t>
      </w:r>
      <w:r>
        <w:rPr>
          <w:spacing w:val="-68"/>
        </w:rPr>
        <w:t> </w:t>
      </w:r>
      <w:r>
        <w:rPr/>
        <w:t>美</w:t>
      </w:r>
      <w:r>
        <w:rPr>
          <w:spacing w:val="-68"/>
        </w:rPr>
        <w:t> </w:t>
      </w:r>
      <w:r>
        <w:rPr/>
        <w:t>国</w:t>
      </w:r>
      <w:r>
        <w:rPr>
          <w:spacing w:val="-68"/>
        </w:rPr>
        <w:t> </w:t>
      </w:r>
      <w:r>
        <w:rPr/>
        <w:t>国</w:t>
      </w:r>
      <w:r>
        <w:rPr>
          <w:spacing w:val="-68"/>
        </w:rPr>
        <w:t> </w:t>
      </w:r>
      <w:r>
        <w:rPr>
          <w:spacing w:val="10"/>
        </w:rPr>
        <w:t>籍，</w:t>
      </w:r>
      <w:r>
        <w:rPr>
          <w:spacing w:val="-69"/>
        </w:rPr>
        <w:t> </w:t>
      </w:r>
      <w:r>
        <w:rPr/>
        <w:t>美</w:t>
      </w:r>
      <w:r>
        <w:rPr>
          <w:spacing w:val="-68"/>
        </w:rPr>
        <w:t> </w:t>
      </w:r>
      <w:r>
        <w:rPr/>
        <w:t>国</w:t>
      </w:r>
      <w:r>
        <w:rPr>
          <w:spacing w:val="-68"/>
        </w:rPr>
        <w:t> </w:t>
      </w:r>
      <w:r>
        <w:rPr/>
        <w:t>辛</w:t>
      </w:r>
      <w:r>
        <w:rPr>
          <w:spacing w:val="-68"/>
        </w:rPr>
        <w:t> </w:t>
      </w:r>
      <w:r>
        <w:rPr/>
        <w:t>辛</w:t>
      </w:r>
      <w:r>
        <w:rPr>
          <w:spacing w:val="-68"/>
        </w:rPr>
        <w:t> </w:t>
      </w:r>
      <w:r>
        <w:rPr>
          <w:spacing w:val="14"/>
        </w:rPr>
        <w:t>那提大</w:t>
      </w:r>
      <w:r>
        <w:rPr>
          <w:spacing w:val="-68"/>
        </w:rPr>
        <w:t> </w:t>
      </w:r>
      <w:r>
        <w:rPr/>
        <w:t>学</w:t>
      </w:r>
      <w:r>
        <w:rPr>
          <w:spacing w:val="-68"/>
        </w:rPr>
        <w:t> </w:t>
      </w:r>
      <w:r>
        <w:rPr/>
        <w:t>计</w:t>
      </w:r>
      <w:r>
        <w:rPr>
          <w:spacing w:val="-68"/>
        </w:rPr>
        <w:t> </w:t>
      </w:r>
      <w:r>
        <w:rPr/>
        <w:t>算</w:t>
      </w:r>
      <w:r>
        <w:rPr>
          <w:spacing w:val="-68"/>
        </w:rPr>
        <w:t> </w:t>
      </w:r>
      <w:r>
        <w:rPr>
          <w:spacing w:val="14"/>
        </w:rPr>
        <w:t>机科学</w:t>
      </w:r>
      <w:r>
        <w:rPr>
          <w:spacing w:val="-68"/>
        </w:rPr>
        <w:t> </w:t>
      </w:r>
      <w:r>
        <w:rPr/>
        <w:t>应</w:t>
      </w:r>
      <w:r>
        <w:rPr>
          <w:spacing w:val="-68"/>
        </w:rPr>
        <w:t> </w:t>
      </w:r>
      <w:r>
        <w:rPr/>
        <w:t>用</w:t>
      </w:r>
      <w:r>
        <w:rPr>
          <w:spacing w:val="-68"/>
        </w:rPr>
        <w:t> </w:t>
      </w:r>
      <w:r>
        <w:rPr/>
        <w:t>硕</w:t>
      </w:r>
      <w:r>
        <w:rPr>
          <w:spacing w:val="-68"/>
        </w:rPr>
        <w:t> </w:t>
      </w:r>
      <w:r>
        <w:rPr>
          <w:spacing w:val="10"/>
        </w:rPr>
        <w:t>士。</w:t>
      </w:r>
      <w:r>
        <w:rPr>
          <w:spacing w:val="-6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3"/>
        </w:rPr>
        <w:t> </w:t>
      </w:r>
      <w:r>
        <w:rPr/>
        <w:t>年</w:t>
      </w:r>
      <w:r>
        <w:rPr>
          <w:spacing w:val="-68"/>
        </w:rPr>
        <w:t> </w:t>
      </w:r>
      <w:r>
        <w:rPr/>
        <w:t>至</w:t>
      </w:r>
      <w:r>
        <w:rPr>
          <w:spacing w:val="-68"/>
        </w:rPr>
        <w:t> </w:t>
      </w:r>
      <w:r>
        <w:rPr/>
        <w:t>今</w:t>
      </w:r>
      <w:r>
        <w:rPr>
          <w:spacing w:val="-68"/>
        </w:rPr>
        <w:t> </w:t>
      </w:r>
      <w:r>
        <w:rPr>
          <w:spacing w:val="10"/>
        </w:rPr>
        <w:t>担任</w:t>
      </w:r>
      <w:r>
        <w:rPr>
          <w:spacing w:val="-67"/>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rFonts w:ascii="Times New Roman" w:hAnsi="Times New Roman" w:cs="Times New Roman" w:eastAsia="Times New Roman" w:hint="default"/>
        </w:rPr>
        <w:t> Communicationgs,Inc.CEO</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月起任公司董事，现兼任公司副总裁。 </w:t>
      </w:r>
      <w:r>
        <w:rPr>
          <w:rFonts w:ascii="Times New Roman" w:hAnsi="Times New Roman" w:cs="Times New Roman" w:eastAsia="Times New Roman" w:hint="default"/>
          <w:spacing w:val="-1"/>
        </w:rPr>
        <w:t>5.</w:t>
      </w:r>
      <w:r>
        <w:rPr>
          <w:spacing w:val="-1"/>
        </w:rPr>
        <w:t>应华江先生，</w:t>
      </w:r>
      <w:r>
        <w:rPr>
          <w:rFonts w:ascii="Times New Roman" w:hAnsi="Times New Roman" w:cs="Times New Roman" w:eastAsia="Times New Roman" w:hint="default"/>
          <w:spacing w:val="-1"/>
        </w:rPr>
        <w:t>1969</w:t>
      </w:r>
      <w:r>
        <w:rPr>
          <w:spacing w:val="-1"/>
        </w:rPr>
        <w:t>年出生，中国国籍，</w:t>
      </w:r>
      <w:r>
        <w:rPr>
          <w:rFonts w:ascii="Times New Roman" w:hAnsi="Times New Roman" w:cs="Times New Roman" w:eastAsia="Times New Roman" w:hint="default"/>
          <w:spacing w:val="-1"/>
        </w:rPr>
        <w:t>1990</w:t>
      </w:r>
      <w:r>
        <w:rPr>
          <w:spacing w:val="-1"/>
        </w:rPr>
        <w:t>年毕业于北京大学。</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月至今任北明软件有限公司董事、总裁。</w:t>
      </w:r>
      <w:r>
        <w:rPr>
          <w:rFonts w:ascii="Times New Roman" w:hAnsi="Times New Roman" w:cs="Times New Roman" w:eastAsia="Times New Roman" w:hint="default"/>
          <w:spacing w:val="-1"/>
        </w:rPr>
        <w:t>2011</w:t>
      </w:r>
      <w:r>
        <w:rPr>
          <w:spacing w:val="-1"/>
        </w:rPr>
        <w:t>年</w:t>
      </w:r>
    </w:p>
    <w:p>
      <w:pPr>
        <w:pStyle w:val="BodyText"/>
        <w:spacing w:line="240" w:lineRule="auto" w:before="13"/>
        <w:ind w:right="0"/>
        <w:jc w:val="left"/>
      </w:pPr>
      <w:r>
        <w:rPr>
          <w:rFonts w:ascii="Times New Roman" w:hAnsi="Times New Roman" w:cs="Times New Roman" w:eastAsia="Times New Roman" w:hint="default"/>
        </w:rPr>
        <w:t>2</w:t>
      </w:r>
      <w:r>
        <w:rPr/>
        <w:t>月起任本公司独立董事。</w:t>
      </w:r>
    </w:p>
    <w:p>
      <w:pPr>
        <w:pStyle w:val="Heading5"/>
        <w:spacing w:line="240" w:lineRule="auto" w:before="46"/>
        <w:ind w:left="154" w:right="0"/>
        <w:jc w:val="left"/>
      </w:pPr>
      <w:r>
        <w:rPr>
          <w:rFonts w:ascii="Times New Roman" w:hAnsi="Times New Roman" w:cs="Times New Roman" w:eastAsia="Times New Roman" w:hint="default"/>
          <w:spacing w:val="-3"/>
          <w:sz w:val="18"/>
          <w:szCs w:val="18"/>
        </w:rPr>
        <w:t>6.</w:t>
      </w:r>
      <w:r>
        <w:rPr>
          <w:spacing w:val="-3"/>
          <w:sz w:val="18"/>
          <w:szCs w:val="18"/>
        </w:rPr>
        <w:t>张克先生，</w:t>
      </w:r>
      <w:r>
        <w:rPr>
          <w:rFonts w:ascii="Times New Roman" w:hAnsi="Times New Roman" w:cs="Times New Roman" w:eastAsia="Times New Roman" w:hint="default"/>
          <w:spacing w:val="-3"/>
        </w:rPr>
        <w:t>1953</w:t>
      </w:r>
      <w:r>
        <w:rPr>
          <w:spacing w:val="-3"/>
        </w:rPr>
        <w:t>年出生，中国国籍，大学本科学历。中国注册会计师、高级会计师、澳洲会计师公会荣誉会员。</w:t>
      </w:r>
    </w:p>
    <w:p>
      <w:pPr>
        <w:pStyle w:val="Heading5"/>
        <w:spacing w:line="240" w:lineRule="auto" w:before="35"/>
        <w:ind w:left="154" w:right="0"/>
        <w:jc w:val="left"/>
      </w:pPr>
      <w:r>
        <w:rPr>
          <w:rFonts w:ascii="Times New Roman" w:hAnsi="Times New Roman" w:cs="Times New Roman" w:eastAsia="Times New Roman" w:hint="default"/>
        </w:rPr>
        <w:t>1999</w:t>
      </w:r>
      <w:r>
        <w:rPr/>
        <w:t>年至今任信永中和会计师事务所董事长职务、首席合伙人。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月起任公司独立董事。</w:t>
      </w:r>
    </w:p>
    <w:p>
      <w:pPr>
        <w:pStyle w:val="Heading5"/>
        <w:spacing w:line="240" w:lineRule="auto" w:before="35"/>
        <w:ind w:left="1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rPr>
        <w:t>7.</w:t>
      </w:r>
      <w:r>
        <w:rPr/>
        <w:t>金玉丹先生，</w:t>
      </w:r>
      <w:r>
        <w:rPr>
          <w:rFonts w:ascii="Times New Roman" w:hAnsi="Times New Roman" w:cs="Times New Roman" w:eastAsia="Times New Roman" w:hint="default"/>
        </w:rPr>
        <w:t>1957</w:t>
      </w:r>
      <w:r>
        <w:rPr/>
        <w:t>年出生，中国国籍，硕士。</w:t>
      </w:r>
      <w:r>
        <w:rPr>
          <w:rFonts w:ascii="Times New Roman" w:hAnsi="Times New Roman" w:cs="Times New Roman" w:eastAsia="Times New Roman" w:hint="default"/>
        </w:rPr>
        <w:t>2008</w:t>
      </w:r>
      <w:r>
        <w:rPr/>
        <w:t>年至今任北京软银赛富投资顾问有限公司合伙人。</w:t>
      </w:r>
      <w:r>
        <w:rPr>
          <w:rFonts w:ascii="Times New Roman" w:hAnsi="Times New Roman" w:cs="Times New Roman" w:eastAsia="Times New Roman" w:hint="default"/>
          <w:sz w:val="18"/>
          <w:szCs w:val="18"/>
        </w:rPr>
        <w:t>2014</w:t>
      </w:r>
      <w:r>
        <w:rPr>
          <w:sz w:val="18"/>
          <w:szCs w:val="18"/>
        </w:rPr>
        <w:t>年</w:t>
      </w:r>
      <w:r>
        <w:rPr>
          <w:rFonts w:ascii="Times New Roman" w:hAnsi="Times New Roman" w:cs="Times New Roman" w:eastAsia="Times New Roman" w:hint="default"/>
          <w:sz w:val="18"/>
          <w:szCs w:val="18"/>
        </w:rPr>
        <w:t>9</w:t>
      </w:r>
    </w:p>
    <w:p>
      <w:pPr>
        <w:pStyle w:val="BodyText"/>
        <w:spacing w:line="240" w:lineRule="auto" w:before="51"/>
        <w:ind w:right="0"/>
        <w:jc w:val="left"/>
      </w:pPr>
      <w:r>
        <w:rPr/>
        <w:t>月起任公司独立董事。</w:t>
      </w:r>
    </w:p>
    <w:p>
      <w:pPr>
        <w:pStyle w:val="BodyText"/>
        <w:spacing w:line="302" w:lineRule="auto" w:before="76"/>
        <w:ind w:right="1129"/>
        <w:jc w:val="left"/>
      </w:pPr>
      <w:r>
        <w:rPr/>
        <w:t>（二）监事 </w:t>
      </w:r>
      <w:r>
        <w:rPr>
          <w:rFonts w:ascii="Times New Roman" w:hAnsi="Times New Roman" w:cs="Times New Roman" w:eastAsia="Times New Roman" w:hint="default"/>
          <w:spacing w:val="-1"/>
        </w:rPr>
        <w:t>1.</w:t>
      </w:r>
      <w:r>
        <w:rPr>
          <w:spacing w:val="-1"/>
        </w:rPr>
        <w:t>汪学思先生，</w:t>
      </w:r>
      <w:r>
        <w:rPr>
          <w:rFonts w:ascii="Times New Roman" w:hAnsi="Times New Roman" w:cs="Times New Roman" w:eastAsia="Times New Roman" w:hint="default"/>
          <w:spacing w:val="-1"/>
        </w:rPr>
        <w:t>1964</w:t>
      </w:r>
      <w:r>
        <w:rPr>
          <w:spacing w:val="-1"/>
        </w:rPr>
        <w:t>年出生，中国国籍，大学本科学历。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9</w:t>
      </w:r>
      <w:r>
        <w:rPr>
          <w:spacing w:val="-1"/>
        </w:rPr>
        <w:t>月创立并任武汉星彦信息技术有限公司（后更名为</w:t>
      </w:r>
      <w:r>
        <w:rPr>
          <w:rFonts w:ascii="Times New Roman" w:hAnsi="Times New Roman" w:cs="Times New Roman" w:eastAsia="Times New Roman" w:hint="default"/>
          <w:spacing w:val="-1"/>
        </w:rPr>
        <w:t>“</w:t>
      </w:r>
      <w:r>
        <w:rPr>
          <w:spacing w:val="-1"/>
        </w:rPr>
        <w:t>乌鲁木</w:t>
      </w:r>
      <w:r>
        <w:rPr>
          <w:spacing w:val="-63"/>
        </w:rPr>
        <w:t> </w:t>
      </w:r>
      <w:r>
        <w:rPr>
          <w:spacing w:val="-63"/>
        </w:rPr>
      </w:r>
      <w:r>
        <w:rPr/>
        <w:t>齐星彦投资有限公司</w:t>
      </w:r>
      <w:r>
        <w:rPr>
          <w:rFonts w:ascii="Times New Roman" w:hAnsi="Times New Roman" w:cs="Times New Roman" w:eastAsia="Times New Roman" w:hint="default"/>
        </w:rPr>
        <w:t>”</w:t>
      </w:r>
      <w:r>
        <w:rPr/>
        <w:t>）董事长至今。现任公司第四届监事会监事会主席。 </w:t>
      </w:r>
      <w:r>
        <w:rPr>
          <w:rFonts w:ascii="Times New Roman" w:hAnsi="Times New Roman" w:cs="Times New Roman" w:eastAsia="Times New Roman" w:hint="default"/>
        </w:rPr>
        <w:t>2.</w:t>
      </w:r>
      <w:r>
        <w:rPr/>
        <w:t>董尚雯女士，</w:t>
      </w:r>
      <w:r>
        <w:rPr>
          <w:rFonts w:ascii="Times New Roman" w:hAnsi="Times New Roman" w:cs="Times New Roman" w:eastAsia="Times New Roman" w:hint="default"/>
        </w:rPr>
        <w:t>1974</w:t>
      </w:r>
      <w:r>
        <w:rPr/>
        <w:t>年出生，中国国籍，硕士研究生，</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年至今在中国人民大学劳动人事学院博士在读。在此期间兼职</w:t>
      </w:r>
      <w:r>
        <w:rPr>
          <w:spacing w:val="-78"/>
        </w:rPr>
        <w:t> </w:t>
      </w:r>
      <w:r>
        <w:rPr>
          <w:spacing w:val="-78"/>
        </w:rPr>
      </w:r>
      <w:r>
        <w:rPr/>
        <w:t>北京理工大学管理与经济学院客座讲师</w:t>
      </w:r>
      <w:r>
        <w:rPr>
          <w:rFonts w:ascii="Times New Roman" w:hAnsi="Times New Roman" w:cs="Times New Roman" w:eastAsia="Times New Roman" w:hint="default"/>
        </w:rPr>
        <w:t>-</w:t>
      </w:r>
      <w:r>
        <w:rPr/>
        <w:t>人力资源方向；中国人民大学领导力与政策研究中心副主任；天慕众和企业管理咨</w:t>
      </w:r>
      <w:r>
        <w:rPr>
          <w:spacing w:val="-56"/>
        </w:rPr>
        <w:t> </w:t>
      </w:r>
      <w:r>
        <w:rPr>
          <w:spacing w:val="-56"/>
        </w:rPr>
      </w:r>
      <w:r>
        <w:rPr/>
        <w:t>询（北京）有限公司资深咨询师；龙星化工股份有限公司独立董事；中国人力资源开发协会专家组成员职务。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月起</w:t>
      </w:r>
      <w:r>
        <w:rPr>
          <w:spacing w:val="-81"/>
        </w:rPr>
        <w:t> </w:t>
      </w:r>
      <w:r>
        <w:rPr/>
        <w:t>任公司监事。</w:t>
      </w:r>
    </w:p>
    <w:p>
      <w:pPr>
        <w:pStyle w:val="BodyText"/>
        <w:spacing w:line="240" w:lineRule="auto" w:before="30"/>
        <w:ind w:right="0"/>
        <w:jc w:val="left"/>
      </w:pPr>
      <w:r>
        <w:rPr>
          <w:rFonts w:ascii="Times New Roman" w:hAnsi="Times New Roman" w:cs="Times New Roman" w:eastAsia="Times New Roman" w:hint="default"/>
        </w:rPr>
        <w:t>3.Paul </w:t>
      </w:r>
      <w:r>
        <w:rPr>
          <w:rFonts w:ascii="Times New Roman" w:hAnsi="Times New Roman" w:cs="Times New Roman" w:eastAsia="Times New Roman" w:hint="default"/>
          <w:spacing w:val="-4"/>
        </w:rPr>
        <w:t>Zhu</w:t>
      </w:r>
      <w:r>
        <w:rPr>
          <w:spacing w:val="-4"/>
        </w:rPr>
        <w:t>先生，</w:t>
      </w:r>
      <w:r>
        <w:rPr>
          <w:rFonts w:ascii="Times New Roman" w:hAnsi="Times New Roman" w:cs="Times New Roman" w:eastAsia="Times New Roman" w:hint="default"/>
          <w:spacing w:val="-4"/>
        </w:rPr>
        <w:t>1961</w:t>
      </w:r>
      <w:r>
        <w:rPr>
          <w:spacing w:val="-4"/>
        </w:rPr>
        <w:t>年出生，美国国籍，硕士研究生。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 </w:t>
      </w:r>
      <w:r>
        <w:rPr/>
        <w:t>月至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 </w:t>
      </w:r>
      <w:r>
        <w:rPr/>
        <w:t>月任 </w:t>
      </w:r>
      <w:r>
        <w:rPr>
          <w:rFonts w:ascii="Times New Roman" w:hAnsi="Times New Roman" w:cs="Times New Roman" w:eastAsia="Times New Roman" w:hint="default"/>
        </w:rPr>
        <w:t>iTalk Global</w:t>
      </w:r>
      <w:r>
        <w:rPr>
          <w:rFonts w:ascii="Times New Roman" w:hAnsi="Times New Roman" w:cs="Times New Roman" w:eastAsia="Times New Roman" w:hint="default"/>
          <w:spacing w:val="-28"/>
        </w:rPr>
        <w:t> </w:t>
      </w:r>
      <w:r>
        <w:rPr>
          <w:rFonts w:ascii="Times New Roman" w:hAnsi="Times New Roman" w:cs="Times New Roman" w:eastAsia="Times New Roman" w:hint="default"/>
        </w:rPr>
        <w:t>Comm.Inc.</w:t>
      </w:r>
      <w:r>
        <w:rPr/>
        <w:t>执行副总裁；</w:t>
      </w:r>
    </w:p>
    <w:p>
      <w:pPr>
        <w:pStyle w:val="BodyText"/>
        <w:spacing w:line="240" w:lineRule="auto" w:before="63"/>
        <w:ind w:left="154" w:right="0"/>
        <w:jc w:val="left"/>
      </w:pPr>
      <w:r>
        <w:rPr>
          <w:rFonts w:ascii="Times New Roman" w:hAnsi="Times New Roman" w:cs="Times New Roman" w:eastAsia="Times New Roman" w:hint="default"/>
        </w:rPr>
        <w:t>2013  </w:t>
      </w:r>
      <w:r>
        <w:rPr/>
        <w:t>年</w:t>
      </w:r>
      <w:r>
        <w:rPr>
          <w:spacing w:val="-37"/>
        </w:rPr>
        <w:t> </w:t>
      </w:r>
      <w:r>
        <w:rPr/>
        <w:t>至</w:t>
      </w:r>
      <w:r>
        <w:rPr>
          <w:rFonts w:ascii="Times New Roman" w:hAnsi="Times New Roman" w:cs="Times New Roman" w:eastAsia="Times New Roman" w:hint="default"/>
        </w:rPr>
        <w:t>2014</w:t>
      </w:r>
      <w:r>
        <w:rPr/>
        <w:t>年在北京二六三网络科技有限公司任人事部总监。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月起任公司监事。</w:t>
      </w:r>
    </w:p>
    <w:p>
      <w:pPr>
        <w:pStyle w:val="BodyText"/>
        <w:spacing w:line="300" w:lineRule="auto" w:before="63"/>
        <w:ind w:right="1132"/>
        <w:jc w:val="both"/>
      </w:pPr>
      <w:r>
        <w:rPr>
          <w:rFonts w:ascii="Times New Roman" w:hAnsi="Times New Roman" w:cs="Times New Roman" w:eastAsia="Times New Roman" w:hint="default"/>
        </w:rPr>
        <w:t>4.</w:t>
      </w:r>
      <w:r>
        <w:rPr/>
        <w:t>何薇女士，</w:t>
      </w:r>
      <w:r>
        <w:rPr>
          <w:rFonts w:ascii="Times New Roman" w:hAnsi="Times New Roman" w:cs="Times New Roman" w:eastAsia="Times New Roman" w:hint="default"/>
        </w:rPr>
        <w:t>1978</w:t>
      </w:r>
      <w:r>
        <w:rPr/>
        <w:t>年出生，中国国籍，大学本科学历。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月加入公司，历任在线业务部个人邮件业务推广专员、董事</w:t>
      </w:r>
      <w:r>
        <w:rPr>
          <w:spacing w:val="-48"/>
        </w:rPr>
        <w:t> </w:t>
      </w:r>
      <w:r>
        <w:rPr>
          <w:spacing w:val="-48"/>
        </w:rPr>
      </w:r>
      <w:r>
        <w:rPr>
          <w:spacing w:val="-2"/>
        </w:rPr>
        <w:t>长秘书，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11</w:t>
      </w:r>
      <w:r>
        <w:rPr>
          <w:spacing w:val="-2"/>
        </w:rPr>
        <w:t>月任公司行政人事部行政经理，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月至今担任公司物业管理分公司负责人，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月起兼任</w:t>
      </w:r>
      <w:r>
        <w:rPr>
          <w:spacing w:val="-48"/>
        </w:rPr>
        <w:t> </w:t>
      </w:r>
      <w:r>
        <w:rPr/>
        <w:t>公司集团办公室主任，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月起任公司职工代表监事。</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spacing w:val="-1"/>
        </w:rPr>
        <w:t>5.</w:t>
      </w:r>
      <w:r>
        <w:rPr>
          <w:spacing w:val="-1"/>
        </w:rPr>
        <w:t>郭月霞女士，</w:t>
      </w:r>
      <w:r>
        <w:rPr>
          <w:rFonts w:ascii="Times New Roman" w:hAnsi="Times New Roman" w:cs="Times New Roman" w:eastAsia="Times New Roman" w:hint="default"/>
          <w:spacing w:val="-1"/>
        </w:rPr>
        <w:t>1981</w:t>
      </w:r>
      <w:r>
        <w:rPr>
          <w:spacing w:val="-1"/>
        </w:rPr>
        <w:t>年出生，中国国籍，大学本科学历。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月任信永中和会计师事务所（特殊普通合伙）</w:t>
      </w:r>
      <w:r>
        <w:rPr>
          <w:spacing w:val="-65"/>
        </w:rPr>
        <w:t> </w:t>
      </w:r>
      <w:r>
        <w:rPr>
          <w:spacing w:val="-65"/>
        </w:rPr>
      </w:r>
      <w:r>
        <w:rPr/>
        <w:t>审计部审计员、项目经理；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月加入二六三网络通信股份有限公司，现任集团内审部审计项目经理一职。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spacing w:val="-82"/>
        </w:rPr>
        <w:t> </w:t>
      </w:r>
      <w:r>
        <w:rPr/>
        <w:t>起任公司职工代表监事。</w:t>
      </w:r>
    </w:p>
    <w:p>
      <w:pPr>
        <w:pStyle w:val="BodyText"/>
        <w:spacing w:line="240" w:lineRule="auto" w:before="31"/>
        <w:ind w:right="0"/>
        <w:jc w:val="left"/>
      </w:pPr>
      <w:r>
        <w:rPr/>
        <w:t>（三）高级管理人员</w:t>
      </w:r>
    </w:p>
    <w:p>
      <w:pPr>
        <w:pStyle w:val="BodyText"/>
        <w:spacing w:line="240" w:lineRule="auto" w:before="77"/>
        <w:ind w:right="0"/>
        <w:jc w:val="left"/>
      </w:pPr>
      <w:r>
        <w:rPr>
          <w:rFonts w:ascii="Times New Roman" w:hAnsi="Times New Roman" w:cs="Times New Roman" w:eastAsia="Times New Roman" w:hint="default"/>
        </w:rPr>
        <w:t>1.</w:t>
      </w:r>
      <w:r>
        <w:rPr/>
        <w:t>芦兵先生，工作简历详见</w:t>
      </w:r>
      <w:r>
        <w:rPr>
          <w:rFonts w:ascii="Times New Roman" w:hAnsi="Times New Roman" w:cs="Times New Roman" w:eastAsia="Times New Roman" w:hint="default"/>
        </w:rPr>
        <w:t>“</w:t>
      </w:r>
      <w:r>
        <w:rPr/>
        <w:t>第八节 董事、监事、高级管理人员和员工情况，二、任职情况，（一）董事</w:t>
      </w:r>
      <w:r>
        <w:rPr>
          <w:spacing w:val="-37"/>
        </w:rPr>
        <w:t> </w:t>
      </w:r>
      <w:r>
        <w:rPr>
          <w:rFonts w:ascii="Times New Roman" w:hAnsi="Times New Roman" w:cs="Times New Roman" w:eastAsia="Times New Roman" w:hint="default"/>
        </w:rPr>
        <w:t>”</w:t>
      </w:r>
      <w:r>
        <w:rPr/>
        <w:t>。</w:t>
      </w:r>
    </w:p>
    <w:p>
      <w:pPr>
        <w:pStyle w:val="BodyText"/>
        <w:spacing w:line="240" w:lineRule="auto" w:before="63"/>
        <w:ind w:left="154" w:right="0"/>
        <w:jc w:val="left"/>
      </w:pPr>
      <w:r>
        <w:rPr>
          <w:rFonts w:ascii="Times New Roman" w:hAnsi="Times New Roman" w:cs="Times New Roman" w:eastAsia="Times New Roman" w:hint="default"/>
        </w:rPr>
        <w:t>2.</w:t>
      </w:r>
      <w:r>
        <w:rPr/>
        <w:t>肖瑗先生，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2006</w:t>
      </w:r>
      <w:r>
        <w:rPr/>
        <w:t>年加入公司，现任公司副总裁。</w:t>
      </w:r>
    </w:p>
    <w:p>
      <w:pPr>
        <w:pStyle w:val="BodyText"/>
        <w:spacing w:line="240" w:lineRule="auto" w:before="63"/>
        <w:ind w:right="0"/>
        <w:jc w:val="left"/>
      </w:pPr>
      <w:r>
        <w:rPr>
          <w:rFonts w:ascii="Times New Roman" w:hAnsi="Times New Roman" w:cs="Times New Roman" w:eastAsia="Times New Roman" w:hint="default"/>
        </w:rPr>
        <w:t>3.Jie Zhao</w:t>
      </w:r>
      <w:r>
        <w:rPr/>
        <w:t>先生，工作简历详见</w:t>
      </w:r>
      <w:r>
        <w:rPr>
          <w:rFonts w:ascii="Times New Roman" w:hAnsi="Times New Roman" w:cs="Times New Roman" w:eastAsia="Times New Roman" w:hint="default"/>
        </w:rPr>
        <w:t>“</w:t>
      </w:r>
      <w:r>
        <w:rPr/>
        <w:t>第七节 董事、监事、高级管理人员和员工情况，二任职情况，（一）董事</w:t>
      </w:r>
      <w:r>
        <w:rPr>
          <w:spacing w:val="-36"/>
        </w:rPr>
        <w:t> </w:t>
      </w:r>
      <w:r>
        <w:rPr>
          <w:rFonts w:ascii="Times New Roman" w:hAnsi="Times New Roman" w:cs="Times New Roman" w:eastAsia="Times New Roman" w:hint="default"/>
        </w:rPr>
        <w:t>”</w:t>
      </w:r>
      <w:r>
        <w:rPr/>
        <w:t>。</w:t>
      </w:r>
    </w:p>
    <w:p>
      <w:pPr>
        <w:pStyle w:val="BodyText"/>
        <w:spacing w:line="304" w:lineRule="auto" w:before="63"/>
        <w:ind w:right="1078"/>
        <w:jc w:val="left"/>
      </w:pPr>
      <w:r>
        <w:rPr>
          <w:rFonts w:ascii="Times New Roman" w:hAnsi="Times New Roman" w:cs="Times New Roman" w:eastAsia="Times New Roman" w:hint="default"/>
          <w:spacing w:val="-4"/>
        </w:rPr>
        <w:t>4.</w:t>
      </w:r>
      <w:r>
        <w:rPr>
          <w:spacing w:val="-4"/>
        </w:rPr>
        <w:t>忻卫敏先生，</w:t>
      </w:r>
      <w:r>
        <w:rPr>
          <w:rFonts w:ascii="Times New Roman" w:hAnsi="Times New Roman" w:cs="Times New Roman" w:eastAsia="Times New Roman" w:hint="default"/>
          <w:spacing w:val="-4"/>
        </w:rPr>
        <w:t>1974</w:t>
      </w:r>
      <w:r>
        <w:rPr>
          <w:spacing w:val="-4"/>
        </w:rPr>
        <w:t>年出生，中国国籍，大学本科学历，</w:t>
      </w:r>
      <w:r>
        <w:rPr>
          <w:rFonts w:ascii="Times New Roman" w:hAnsi="Times New Roman" w:cs="Times New Roman" w:eastAsia="Times New Roman" w:hint="default"/>
          <w:spacing w:val="-4"/>
        </w:rPr>
        <w:t>2008 </w:t>
      </w:r>
      <w:r>
        <w:rPr/>
        <w:t>年至 </w:t>
      </w:r>
      <w:r>
        <w:rPr>
          <w:rFonts w:ascii="Times New Roman" w:hAnsi="Times New Roman" w:cs="Times New Roman" w:eastAsia="Times New Roman" w:hint="default"/>
        </w:rPr>
        <w:t>2012 </w:t>
      </w:r>
      <w:r>
        <w:rPr/>
        <w:t>年担任上海翰平网络技术有限公司总经理；</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 至今任上海二六三通信有限公司总经理，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月起任公司副总裁。 </w:t>
      </w:r>
      <w:r>
        <w:rPr>
          <w:rFonts w:ascii="Times New Roman" w:hAnsi="Times New Roman" w:cs="Times New Roman" w:eastAsia="Times New Roman" w:hint="default"/>
        </w:rPr>
        <w:t>5.</w:t>
      </w:r>
      <w:r>
        <w:rPr/>
        <w:t>刘江涛先生，</w:t>
      </w:r>
      <w:r>
        <w:rPr>
          <w:rFonts w:ascii="Times New Roman" w:hAnsi="Times New Roman" w:cs="Times New Roman" w:eastAsia="Times New Roman" w:hint="default"/>
        </w:rPr>
        <w:t>1971</w:t>
      </w:r>
      <w:r>
        <w:rPr/>
        <w:t>年出生，中国国籍，管理学硕士，中国注册会计师。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月起历任公司财务部高级财务经理、财务</w:t>
      </w:r>
      <w:r>
        <w:rPr>
          <w:spacing w:val="-46"/>
        </w:rPr>
        <w:t> </w:t>
      </w:r>
      <w:r>
        <w:rPr>
          <w:spacing w:val="-46"/>
        </w:rPr>
      </w:r>
      <w:r>
        <w:rPr/>
        <w:t>部总监、董事会秘书等职，报告期内任公司副总裁、财务负责人、董事会秘书。 </w:t>
      </w:r>
      <w:r>
        <w:rPr>
          <w:rFonts w:ascii="Times New Roman" w:hAnsi="Times New Roman" w:cs="Times New Roman" w:eastAsia="Times New Roman" w:hint="default"/>
          <w:spacing w:val="-2"/>
        </w:rPr>
        <w:t>6.</w:t>
      </w:r>
      <w:r>
        <w:rPr>
          <w:spacing w:val="-2"/>
        </w:rPr>
        <w:t>李玉杰先生，</w:t>
      </w:r>
      <w:r>
        <w:rPr>
          <w:rFonts w:ascii="Times New Roman" w:hAnsi="Times New Roman" w:cs="Times New Roman" w:eastAsia="Times New Roman" w:hint="default"/>
          <w:spacing w:val="-2"/>
        </w:rPr>
        <w:t>1973</w:t>
      </w:r>
      <w:r>
        <w:rPr>
          <w:spacing w:val="-2"/>
        </w:rPr>
        <w:t>年出生，中国国籍，计算机本科，中国人民大学</w:t>
      </w:r>
      <w:r>
        <w:rPr>
          <w:rFonts w:ascii="Times New Roman" w:hAnsi="Times New Roman" w:cs="Times New Roman" w:eastAsia="Times New Roman" w:hint="default"/>
          <w:spacing w:val="-2"/>
        </w:rPr>
        <w:t>MBA</w:t>
      </w:r>
      <w:r>
        <w:rPr>
          <w:spacing w:val="-2"/>
        </w:rPr>
        <w:t>，</w:t>
      </w:r>
      <w:r>
        <w:rPr>
          <w:rFonts w:ascii="Times New Roman" w:hAnsi="Times New Roman" w:cs="Times New Roman" w:eastAsia="Times New Roman" w:hint="default"/>
          <w:spacing w:val="-2"/>
        </w:rPr>
        <w:t>PMI</w:t>
      </w:r>
      <w:r>
        <w:rPr>
          <w:spacing w:val="-2"/>
        </w:rPr>
        <w:t>项目管理专家、</w:t>
      </w:r>
      <w:r>
        <w:rPr>
          <w:rFonts w:ascii="Times New Roman" w:hAnsi="Times New Roman" w:cs="Times New Roman" w:eastAsia="Times New Roman" w:hint="default"/>
          <w:spacing w:val="-2"/>
        </w:rPr>
        <w:t>TOGAF</w:t>
      </w:r>
      <w:r>
        <w:rPr>
          <w:spacing w:val="-2"/>
        </w:rPr>
        <w:t>企业架构专家。</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年至</w:t>
      </w:r>
      <w:r>
        <w:rPr>
          <w:rFonts w:ascii="Times New Roman" w:hAnsi="Times New Roman" w:cs="Times New Roman" w:eastAsia="Times New Roman" w:hint="default"/>
        </w:rPr>
        <w:t>2010</w:t>
      </w:r>
      <w:r>
        <w:rPr/>
        <w:t>年担任埃森哲公司咨询经理；</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月担任二六三网络通信股份有限公司企业会议事业部总经理，现任</w:t>
      </w:r>
      <w:r>
        <w:rPr>
          <w:spacing w:val="-83"/>
        </w:rPr>
        <w:t> </w:t>
      </w:r>
      <w:r>
        <w:rPr>
          <w:spacing w:val="-83"/>
        </w:rPr>
      </w:r>
      <w:r>
        <w:rPr/>
        <w:t>公司副总裁。 </w:t>
      </w:r>
      <w:r>
        <w:rPr>
          <w:rFonts w:ascii="Times New Roman" w:hAnsi="Times New Roman" w:cs="Times New Roman" w:eastAsia="Times New Roman" w:hint="default"/>
        </w:rPr>
        <w:t>7.</w:t>
      </w:r>
      <w:r>
        <w:rPr/>
        <w:t>梁京先生，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月担任中国联通（香港）运营公司董事总经理一职；</w:t>
      </w:r>
    </w:p>
    <w:p>
      <w:pPr>
        <w:pStyle w:val="BodyText"/>
        <w:spacing w:line="240" w:lineRule="auto" w:before="9"/>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月任中国联通国际业务部副总经理。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月起任公司副总裁。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3"/>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28"/>
                <w:sz w:val="18"/>
              </w:rPr>
              <w:t> </w:t>
            </w:r>
            <w:r>
              <w:rPr>
                <w:rFonts w:ascii="Times New Roman"/>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69"/>
              <w:jc w:val="left"/>
              <w:rPr>
                <w:rFonts w:ascii="Times New Roman" w:hAnsi="Times New Roman" w:cs="Times New Roman" w:eastAsia="Times New Roman" w:hint="default"/>
                <w:sz w:val="18"/>
                <w:szCs w:val="18"/>
              </w:rPr>
            </w:pPr>
            <w:r>
              <w:rPr>
                <w:rFonts w:ascii="Times New Roman"/>
                <w:sz w:val="18"/>
              </w:rPr>
              <w:t>Digital Technology Marketing</w:t>
            </w:r>
            <w:r>
              <w:rPr>
                <w:rFonts w:ascii="Times New Roman"/>
                <w:spacing w:val="-22"/>
                <w:sz w:val="18"/>
              </w:rPr>
              <w:t> </w:t>
            </w:r>
            <w:r>
              <w:rPr>
                <w:rFonts w:ascii="Times New Roman"/>
                <w:sz w:val="18"/>
              </w:rPr>
              <w:t>and</w:t>
            </w:r>
            <w:r>
              <w:rPr>
                <w:rFonts w:ascii="Times New Roman"/>
                <w:w w:val="99"/>
                <w:sz w:val="18"/>
              </w:rPr>
              <w:t> </w:t>
            </w:r>
            <w:r>
              <w:rPr>
                <w:rFonts w:ascii="Times New Roman"/>
                <w:sz w:val="18"/>
              </w:rPr>
              <w:t>Information,</w:t>
            </w:r>
            <w:r>
              <w:rPr>
                <w:rFonts w:ascii="Times New Roman"/>
                <w:spacing w:val="-3"/>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E-Commerce China Dangdang</w:t>
            </w:r>
            <w:r>
              <w:rPr>
                <w:rFonts w:ascii="Times New Roman"/>
                <w:spacing w:val="-7"/>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KongZhong</w:t>
            </w:r>
            <w:r>
              <w:rPr>
                <w:rFonts w:ascii="Times New Roman"/>
                <w:spacing w:val="-3"/>
                <w:sz w:val="18"/>
              </w:rPr>
              <w:t> </w:t>
            </w:r>
            <w:r>
              <w:rPr>
                <w:rFonts w:ascii="Times New Roman"/>
                <w:sz w:val="18"/>
              </w:rPr>
              <w:t>Corporation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苏州龙跃投资中心（有限合伙）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咨询委员会 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南京龙柏投资中心（有限合伙）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投资审核委 员会委员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苏州龙瑞创业投资管理有限公司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南京龙骏投资管理有限公司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Holdings,</w:t>
            </w:r>
            <w:r>
              <w:rPr>
                <w:rFonts w:ascii="Times New Roman"/>
                <w:spacing w:val="2"/>
                <w:sz w:val="18"/>
              </w:rPr>
              <w:t> </w:t>
            </w:r>
            <w:r>
              <w:rPr>
                <w:rFonts w:ascii="Times New Roman"/>
                <w:sz w:val="18"/>
              </w:rPr>
              <w:t>LLC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3"/>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28"/>
                <w:sz w:val="18"/>
              </w:rPr>
              <w:t> </w:t>
            </w:r>
            <w:r>
              <w:rPr>
                <w:rFonts w:ascii="Times New Roman"/>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67"/>
              <w:jc w:val="left"/>
              <w:rPr>
                <w:rFonts w:ascii="Times New Roman" w:hAnsi="Times New Roman" w:cs="Times New Roman" w:eastAsia="Times New Roman" w:hint="default"/>
                <w:sz w:val="18"/>
                <w:szCs w:val="18"/>
              </w:rPr>
            </w:pPr>
            <w:r>
              <w:rPr>
                <w:rFonts w:ascii="Times New Roman"/>
                <w:sz w:val="18"/>
              </w:rPr>
              <w:t>Digital Technology Marketing</w:t>
            </w:r>
            <w:r>
              <w:rPr>
                <w:rFonts w:ascii="Times New Roman"/>
                <w:spacing w:val="-21"/>
                <w:sz w:val="18"/>
              </w:rPr>
              <w:t> </w:t>
            </w:r>
            <w:r>
              <w:rPr>
                <w:rFonts w:ascii="Times New Roman"/>
                <w:sz w:val="18"/>
              </w:rPr>
              <w:t>and</w:t>
            </w:r>
            <w:r>
              <w:rPr>
                <w:rFonts w:ascii="Times New Roman"/>
                <w:w w:val="99"/>
                <w:sz w:val="18"/>
              </w:rPr>
              <w:t> </w:t>
            </w:r>
            <w:r>
              <w:rPr>
                <w:rFonts w:ascii="Times New Roman"/>
                <w:sz w:val="18"/>
              </w:rPr>
              <w:t>Information,</w:t>
            </w:r>
            <w:r>
              <w:rPr>
                <w:rFonts w:ascii="Times New Roman"/>
                <w:spacing w:val="-3"/>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4"/>
                <w:sz w:val="18"/>
                <w:szCs w:val="18"/>
              </w:rPr>
              <w:t>、</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信永中和（北京）国际投资管理有限责 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北京信永方略管理咨询有限责任公司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贵阳朗玛信息技术股份有限公司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中国盐业总公司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财讯传媒集团有限公司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慧聪网国际有限公司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E-Commerce China Dangdang</w:t>
            </w:r>
            <w:r>
              <w:rPr>
                <w:rFonts w:ascii="Times New Roman"/>
                <w:spacing w:val="-7"/>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中国民生银行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北京软银赛富投资顾问有限公司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北京京能清洁能源电力股份有限公司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常州泛亚微透科技有限公司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湖南丰惠肥业有限公司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常州第六元素材料科技股份有限公司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董尚雯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龙星化工股份有限公司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二六三增值通信香港有限公司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102"/>
      <w:bookmarkEnd w:id="102"/>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6" w:lineRule="auto" w:before="116"/>
        <w:ind w:left="444" w:right="1118" w:hanging="291"/>
        <w:jc w:val="left"/>
      </w:pPr>
      <w:r>
        <w:rPr/>
        <w:t>（一）决策程序 </w:t>
      </w:r>
      <w:r>
        <w:rPr>
          <w:spacing w:val="-1"/>
        </w:rPr>
        <w:t>公司建立了完善的高级管理人员绩效考核和薪酬体系，高级管理人员的工作绩效与其报酬直接挂钩。董事会薪酬与考核</w:t>
      </w:r>
    </w:p>
    <w:p>
      <w:pPr>
        <w:pStyle w:val="BodyText"/>
        <w:spacing w:line="240" w:lineRule="auto" w:before="19"/>
        <w:ind w:left="154" w:right="0"/>
        <w:jc w:val="left"/>
      </w:pPr>
      <w:r>
        <w:rPr/>
        <w:t>委员会负责对高级管理人员的工作能力、履职情况、责任目标完成情况等进行年终考评，制定薪酬方案。</w:t>
      </w:r>
    </w:p>
    <w:p>
      <w:pPr>
        <w:pStyle w:val="BodyText"/>
        <w:spacing w:line="316" w:lineRule="auto" w:before="76"/>
        <w:ind w:left="444" w:right="3982" w:hanging="291"/>
        <w:jc w:val="left"/>
      </w:pPr>
      <w:r>
        <w:rPr/>
        <w:t>（二）确定依据 公司董事、监事和高级管理人员报酬依据公司的经营业绩和绩效考核指标来确定。</w:t>
      </w:r>
    </w:p>
    <w:p>
      <w:pPr>
        <w:pStyle w:val="BodyText"/>
        <w:spacing w:line="316" w:lineRule="auto" w:before="19"/>
        <w:ind w:left="444" w:right="4882" w:hanging="291"/>
        <w:jc w:val="left"/>
      </w:pPr>
      <w:r>
        <w:rPr/>
        <w:t>（三）支付情况 公司董事、监事和高级管理人员报酬依据绩效考核指标完成情况支付。</w:t>
      </w:r>
    </w:p>
    <w:p>
      <w:pPr>
        <w:spacing w:line="240" w:lineRule="auto" w:before="0"/>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3"/>
                <w:sz w:val="18"/>
              </w:rPr>
              <w:t> </w:t>
            </w:r>
            <w:r>
              <w:rPr>
                <w:rFonts w:ascii="Times New Roman"/>
                <w:sz w:val="18"/>
              </w:rPr>
              <w:t>Zhao</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王连凤</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杨泽民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Paul</w:t>
            </w:r>
            <w:r>
              <w:rPr>
                <w:rFonts w:ascii="Times New Roman"/>
                <w:spacing w:val="-1"/>
                <w:sz w:val="18"/>
              </w:rPr>
              <w:t> </w:t>
            </w:r>
            <w:r>
              <w:rPr>
                <w:rFonts w:ascii="Times New Roman"/>
                <w:sz w:val="18"/>
              </w:rPr>
              <w:t>Zhu</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董尚雯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郭月霞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副总裁、董事 会秘书、财务 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张靖海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988.31</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103"/>
      <w:bookmarkEnd w:id="103"/>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王连凤</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杨泽民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张靖海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公司业务需要和个人意愿</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04"/>
      <w:bookmarkEnd w:id="104"/>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105"/>
      <w:bookmarkEnd w:id="105"/>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截至报告期末，本公司共有员工</w:t>
      </w:r>
      <w:r>
        <w:rPr>
          <w:rFonts w:ascii="Times New Roman" w:hAnsi="Times New Roman" w:cs="Times New Roman" w:eastAsia="Times New Roman" w:hint="default"/>
        </w:rPr>
        <w:t>1019</w:t>
      </w:r>
      <w:r>
        <w:rPr/>
        <w:t>人，主要结构如下：</w:t>
      </w:r>
    </w:p>
    <w:p>
      <w:pPr>
        <w:pStyle w:val="BodyText"/>
        <w:spacing w:line="240" w:lineRule="auto" w:before="63"/>
        <w:ind w:left="495" w:right="9131"/>
        <w:jc w:val="center"/>
      </w:pPr>
      <w:r>
        <w:rPr/>
        <w:t>（一）职能结构</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61"/>
        <w:gridCol w:w="1699"/>
        <w:gridCol w:w="3060"/>
      </w:tblGrid>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员工类别</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员工人数（人）</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占员工总人数比例</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管理人员</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62</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6.08%</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平台职能人员</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125</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12.27%</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销售人员</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398</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39.06%</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技术人员</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434</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42.59%</w:t>
            </w:r>
          </w:p>
        </w:tc>
      </w:tr>
      <w:tr>
        <w:trPr>
          <w:trHeight w:val="348"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总计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1019</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center"/>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4320"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601210" cy="274320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8" cstate="print"/>
                    <a:stretch>
                      <a:fillRect/>
                    </a:stretch>
                  </pic:blipFill>
                  <pic:spPr>
                    <a:xfrm>
                      <a:off x="0" y="0"/>
                      <a:ext cx="4601210" cy="2743200"/>
                    </a:xfrm>
                    <a:prstGeom prst="rect">
                      <a:avLst/>
                    </a:prstGeom>
                  </pic:spPr>
                </pic:pic>
              </a:graphicData>
            </a:graphic>
          </wp:inline>
        </w:drawing>
      </w:r>
      <w:r>
        <w:rPr>
          <w:rFonts w:ascii="宋体" w:hAnsi="宋体" w:cs="宋体" w:eastAsia="宋体" w:hint="default"/>
          <w:position w:val="-85"/>
          <w:sz w:val="20"/>
          <w:szCs w:val="20"/>
        </w:rPr>
      </w:r>
    </w:p>
    <w:p>
      <w:pPr>
        <w:pStyle w:val="BodyText"/>
        <w:spacing w:line="240" w:lineRule="auto" w:before="35"/>
        <w:ind w:left="154" w:right="0"/>
        <w:jc w:val="left"/>
      </w:pPr>
      <w:r>
        <w:rPr/>
        <w:t>（二）学历结构</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138"/>
        <w:gridCol w:w="2127"/>
        <w:gridCol w:w="2256"/>
      </w:tblGrid>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受教育程度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员工人数（人）</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占员工总人数比例</w:t>
            </w:r>
          </w:p>
        </w:tc>
      </w:tr>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硕士研究生及以上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115</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11.29%</w:t>
            </w:r>
          </w:p>
        </w:tc>
      </w:tr>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大学本科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539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52.89%</w:t>
            </w:r>
          </w:p>
        </w:tc>
      </w:tr>
      <w:tr>
        <w:trPr>
          <w:trHeight w:val="348"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284</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27.87%</w:t>
            </w:r>
          </w:p>
        </w:tc>
      </w:tr>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大专以下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81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7.95%</w:t>
            </w:r>
          </w:p>
        </w:tc>
      </w:tr>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1019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r>
    </w:tbl>
    <w:p>
      <w:pPr>
        <w:spacing w:line="4321"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55197" cy="2744057"/>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9" cstate="print"/>
                    <a:stretch>
                      <a:fillRect/>
                    </a:stretch>
                  </pic:blipFill>
                  <pic:spPr>
                    <a:xfrm>
                      <a:off x="0" y="0"/>
                      <a:ext cx="4555197" cy="2744057"/>
                    </a:xfrm>
                    <a:prstGeom prst="rect">
                      <a:avLst/>
                    </a:prstGeom>
                  </pic:spPr>
                </pic:pic>
              </a:graphicData>
            </a:graphic>
          </wp:inline>
        </w:drawing>
      </w:r>
      <w:r>
        <w:rPr>
          <w:rFonts w:ascii="宋体" w:hAnsi="宋体" w:cs="宋体" w:eastAsia="宋体" w:hint="default"/>
          <w:position w:val="-85"/>
          <w:sz w:val="20"/>
          <w:szCs w:val="20"/>
        </w:rPr>
      </w:r>
    </w:p>
    <w:p>
      <w:pPr>
        <w:spacing w:after="0" w:line="43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73"/>
        <w:jc w:val="center"/>
        <w:rPr>
          <w:b w:val="0"/>
          <w:bCs w:val="0"/>
        </w:rPr>
      </w:pPr>
      <w:bookmarkStart w:name="第九节 公司治理" w:id="106"/>
      <w:bookmarkEnd w:id="106"/>
      <w:r>
        <w:rPr>
          <w:b w:val="0"/>
          <w:bCs w:val="0"/>
        </w:rPr>
      </w:r>
      <w:bookmarkStart w:name="_bookmark8" w:id="107"/>
      <w:bookmarkEnd w:id="10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08"/>
      <w:bookmarkEnd w:id="108"/>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57"/>
        <w:jc w:val="left"/>
      </w:pPr>
      <w:r>
        <w:rPr>
          <w:spacing w:val="-2"/>
        </w:rPr>
        <w:t>报告期内，公司严格按照《公司法》、《证券法》、《上市公司治理准则》、《深圳证券交易所股票上市规则》、《中</w:t>
      </w:r>
      <w:r>
        <w:rPr/>
        <w:t> 小企业板上市公司规范运作指引》及其他相关法律、法规的要求，不断完善公司治理结构，建立健全内部管理和控制制度， </w:t>
      </w:r>
      <w:r>
        <w:rPr>
          <w:spacing w:val="-2"/>
        </w:rPr>
        <w:t>不断加强信息披露工作，积极开展投资者关系管理工作，进一步规范公司运作，提高公司治理水平。截至报告期末，公司治</w:t>
      </w:r>
      <w:r>
        <w:rPr>
          <w:spacing w:val="-66"/>
        </w:rPr>
        <w:t> </w:t>
      </w:r>
      <w:r>
        <w:rPr>
          <w:spacing w:val="-66"/>
        </w:rPr>
      </w:r>
      <w:r>
        <w:rPr/>
        <w:t>理实际情况基本符合中国证监会、深圳证券交易所有关上市公司治理的规范性文件要求。</w:t>
      </w:r>
    </w:p>
    <w:p>
      <w:pPr>
        <w:pStyle w:val="BodyText"/>
        <w:spacing w:line="240" w:lineRule="auto" w:before="19"/>
        <w:ind w:left="511" w:right="0"/>
        <w:jc w:val="left"/>
      </w:pPr>
      <w:r>
        <w:rPr/>
        <w:t>截至报告期末，公司已建立的各项制度的名称和公开信息披露情况：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354"/>
        <w:gridCol w:w="2268"/>
        <w:gridCol w:w="2777"/>
      </w:tblGrid>
      <w:tr>
        <w:trPr>
          <w:trHeight w:val="329" w:hRule="exact"/>
        </w:trPr>
        <w:tc>
          <w:tcPr>
            <w:tcW w:w="53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公司已建立的制度</w:t>
            </w:r>
          </w:p>
        </w:tc>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2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841" w:right="0"/>
              <w:jc w:val="left"/>
              <w:rPr>
                <w:rFonts w:ascii="宋体" w:hAnsi="宋体" w:cs="宋体" w:eastAsia="宋体" w:hint="default"/>
                <w:sz w:val="18"/>
                <w:szCs w:val="18"/>
              </w:rPr>
            </w:pPr>
            <w:r>
              <w:rPr>
                <w:rFonts w:ascii="宋体" w:hAnsi="宋体" w:cs="宋体" w:eastAsia="宋体" w:hint="default"/>
                <w:sz w:val="18"/>
                <w:szCs w:val="18"/>
              </w:rPr>
              <w:t>信息披露媒体</w:t>
            </w:r>
          </w:p>
        </w:tc>
      </w:tr>
      <w:tr>
        <w:trPr>
          <w:trHeight w:val="365" w:hRule="exact"/>
        </w:trPr>
        <w:tc>
          <w:tcPr>
            <w:tcW w:w="535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7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内幕信息登记制度（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董事、监事和高级管理人员所持本公司股份及其变动管理制度（</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总裁工作细则（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与投资者关系管理制度（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信息披露事务管理制度（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对外担保管理细则（</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董事会审计委员会年报工作规程（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规范与关联方资金往来管理制度（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理财产品管理制度（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内部审计工作制度（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公司治理与《公司法》和中国证监会相关规定的要求是否存在差异</w:t>
      </w:r>
    </w:p>
    <w:p>
      <w:pPr>
        <w:pStyle w:val="BodyText"/>
        <w:spacing w:line="340" w:lineRule="auto" w:before="116"/>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0"/>
        <w:ind w:right="0"/>
        <w:jc w:val="both"/>
      </w:pPr>
      <w:r>
        <w:rPr/>
        <w:t>公司治理专项活动开展情况以及内幕信息知情人登记管理制度的制定、实施情况</w:t>
      </w:r>
    </w:p>
    <w:p>
      <w:pPr>
        <w:pStyle w:val="BodyText"/>
        <w:spacing w:line="300" w:lineRule="auto" w:before="115"/>
        <w:ind w:right="1170"/>
        <w:jc w:val="both"/>
      </w:pPr>
      <w:r>
        <w:rPr>
          <w:rFonts w:ascii="Times New Roman" w:hAnsi="Times New Roman" w:cs="Times New Roman" w:eastAsia="Times New Roman" w:hint="default"/>
        </w:rPr>
        <w:t>2010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25 </w:t>
      </w:r>
      <w:r>
        <w:rPr>
          <w:spacing w:val="-3"/>
        </w:rPr>
        <w:t>日公司召开第三届董事会第十次会议，审议通过了《内幕信息登记制度》，并于</w:t>
      </w:r>
      <w:r>
        <w:rPr>
          <w:spacing w:val="-44"/>
        </w:rPr>
        <w:t> </w:t>
      </w:r>
      <w:r>
        <w:rPr>
          <w:rFonts w:ascii="Times New Roman" w:hAnsi="Times New Roman" w:cs="Times New Roman" w:eastAsia="Times New Roman" w:hint="default"/>
        </w:rPr>
        <w:t>2010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 </w:t>
      </w:r>
      <w:r>
        <w:rPr/>
        <w:t>日刊登在 公司指定披露媒体</w:t>
      </w:r>
      <w:r>
        <w:rPr>
          <w:rFonts w:ascii="Times New Roman" w:hAnsi="Times New Roman" w:cs="Times New Roman" w:eastAsia="Times New Roman" w:hint="default"/>
        </w:rPr>
        <w:t>-</w:t>
      </w:r>
      <w:r>
        <w:rPr/>
        <w:t>巨潮资讯网。截至目前该制度执行情况良好。报告期内，公司未有被监管部门采取监管措施或行政处罚 的情况，未有内幕信息知情人买卖本公司股票及其衍生品种的情况，也未有董监高人员违规买卖公司股票的情况。</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二、报告期内召开的年度股东大会和临时股东大会的有关情况" w:id="109"/>
      <w:bookmarkEnd w:id="109"/>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pict>
          <v:group style="position:absolute;margin-left:296.200012pt;margin-top:51.983654pt;width:79.2pt;height:85.8pt;mso-position-horizontal-relative:page;mso-position-vertical-relative:paragraph;z-index:-862528" coordorigin="5924,1040" coordsize="1584,1716">
            <v:shape style="position:absolute;left:5924;top:1040;width:1584;height:1716" coordorigin="5924,1040" coordsize="1584,1716" path="m5924,2756l7508,2756,7508,1040,5924,1040,5924,2756xe" filled="true" fillcolor="#ffffff" stroked="false">
              <v:path arrowok="t"/>
              <v:fill type="solid"/>
            </v:shape>
            <w10:wrap type="none"/>
          </v:group>
        </w:pict>
      </w:r>
      <w:bookmarkStart w:name="1、本报告期年度股东大会情况" w:id="110"/>
      <w:bookmarkEnd w:id="110"/>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89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w:t>
            </w:r>
            <w:r>
              <w:rPr>
                <w:rFonts w:ascii="宋体" w:hAnsi="宋体" w:cs="宋体" w:eastAsia="宋体" w:hint="default"/>
                <w:spacing w:val="-10"/>
                <w:sz w:val="18"/>
                <w:szCs w:val="18"/>
              </w:rPr>
              <w:t>度报告及摘要》的议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年年度董事会报告 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w:t>
            </w:r>
          </w:p>
          <w:p>
            <w:pPr>
              <w:pStyle w:val="TableParagraph"/>
              <w:spacing w:line="309"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年年度监事 会工作报告》的议 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年年度财务决算报 告》的议案；</w:t>
            </w:r>
            <w:r>
              <w:rPr>
                <w:rFonts w:ascii="Times New Roman" w:hAnsi="Times New Roman" w:cs="Times New Roman" w:eastAsia="Times New Roman" w:hint="default"/>
                <w:sz w:val="18"/>
                <w:szCs w:val="18"/>
              </w:rPr>
              <w:t>5</w:t>
            </w:r>
            <w:r>
              <w:rPr>
                <w:rFonts w:ascii="宋体" w:hAnsi="宋体" w:cs="宋体" w:eastAsia="宋体" w:hint="default"/>
                <w:sz w:val="18"/>
                <w:szCs w:val="18"/>
              </w:rPr>
              <w:t>、关 于《</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分配及资本公积金 </w:t>
            </w:r>
            <w:r>
              <w:rPr>
                <w:rFonts w:ascii="宋体" w:hAnsi="宋体" w:cs="宋体" w:eastAsia="宋体" w:hint="default"/>
                <w:spacing w:val="-10"/>
                <w:sz w:val="18"/>
                <w:szCs w:val="18"/>
              </w:rPr>
              <w:t>转增股本方案》的议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年年度财务预算报 告》的议案；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 于《</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年年度募 集资金存放和使用 报告》的议案；</w:t>
            </w:r>
            <w:r>
              <w:rPr>
                <w:rFonts w:ascii="Times New Roman" w:hAnsi="Times New Roman" w:cs="Times New Roman" w:eastAsia="Times New Roman" w:hint="default"/>
                <w:sz w:val="18"/>
                <w:szCs w:val="18"/>
              </w:rPr>
              <w:t>8</w:t>
            </w:r>
            <w:r>
              <w:rPr>
                <w:rFonts w:ascii="宋体" w:hAnsi="宋体" w:cs="宋体" w:eastAsia="宋体" w:hint="default"/>
                <w:sz w:val="18"/>
                <w:szCs w:val="18"/>
              </w:rPr>
              <w:t>、 关于续聘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 度审计机构的议案 </w:t>
            </w:r>
            <w:r>
              <w:rPr>
                <w:rFonts w:ascii="Times New Roman" w:hAnsi="Times New Roman" w:cs="Times New Roman" w:eastAsia="Times New Roman" w:hint="default"/>
                <w:sz w:val="18"/>
                <w:szCs w:val="18"/>
              </w:rPr>
              <w:t>9</w:t>
            </w:r>
            <w:r>
              <w:rPr>
                <w:rFonts w:ascii="宋体" w:hAnsi="宋体" w:cs="宋体" w:eastAsia="宋体" w:hint="default"/>
                <w:sz w:val="18"/>
                <w:szCs w:val="18"/>
              </w:rPr>
              <w:t>、关于使用节余募 集资金及剩余超募 资金永久性补充流 动资金的议案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参加现场会议的股 东及股东代理人共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名，代表股份</w:t>
            </w:r>
          </w:p>
          <w:p>
            <w:pPr>
              <w:pStyle w:val="TableParagraph"/>
              <w:spacing w:line="24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65,057,081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股，占公</w:t>
            </w:r>
          </w:p>
          <w:p>
            <w:pPr>
              <w:pStyle w:val="TableParagraph"/>
              <w:spacing w:line="312" w:lineRule="auto" w:before="63"/>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司有表决权股份总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26.96%</w:t>
            </w:r>
            <w:r>
              <w:rPr>
                <w:rFonts w:ascii="宋体" w:hAnsi="宋体" w:cs="宋体" w:eastAsia="宋体" w:hint="default"/>
                <w:sz w:val="18"/>
                <w:szCs w:val="18"/>
              </w:rPr>
              <w:t>；通过 网络投票的股东及 股东代理人共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12" w:lineRule="auto" w:before="3"/>
              <w:ind w:left="22" w:right="20"/>
              <w:jc w:val="left"/>
              <w:rPr>
                <w:rFonts w:ascii="宋体" w:hAnsi="宋体" w:cs="宋体" w:eastAsia="宋体" w:hint="default"/>
                <w:sz w:val="18"/>
                <w:szCs w:val="18"/>
              </w:rPr>
            </w:pPr>
            <w:r>
              <w:rPr>
                <w:rFonts w:ascii="宋体" w:hAnsi="宋体" w:cs="宋体" w:eastAsia="宋体" w:hint="default"/>
                <w:spacing w:val="-14"/>
                <w:sz w:val="18"/>
                <w:szCs w:val="18"/>
              </w:rPr>
              <w:t>名，代表股份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96,300 </w:t>
            </w:r>
            <w:r>
              <w:rPr>
                <w:rFonts w:ascii="宋体" w:hAnsi="宋体" w:cs="宋体" w:eastAsia="宋体" w:hint="default"/>
                <w:spacing w:val="-10"/>
                <w:sz w:val="18"/>
                <w:szCs w:val="18"/>
              </w:rPr>
              <w:t>股，占公司有表决权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股份总数的 </w:t>
            </w:r>
            <w:r>
              <w:rPr>
                <w:rFonts w:ascii="Times New Roman" w:hAnsi="Times New Roman" w:cs="Times New Roman" w:eastAsia="Times New Roman" w:hint="default"/>
                <w:sz w:val="18"/>
                <w:szCs w:val="18"/>
              </w:rPr>
              <w:t>0.0399%</w:t>
            </w:r>
            <w:r>
              <w:rPr>
                <w:rFonts w:ascii="宋体" w:hAnsi="宋体" w:cs="宋体" w:eastAsia="宋体" w:hint="default"/>
                <w:sz w:val="18"/>
                <w:szCs w:val="18"/>
              </w:rPr>
              <w:t>。本次股东 大会没有出现议案 被否的情形。</w:t>
            </w: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2014-031  </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2013</w:t>
            </w:r>
          </w:p>
          <w:p>
            <w:pPr>
              <w:pStyle w:val="TableParagraph"/>
              <w:spacing w:line="319"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年年度股东大会决 </w:t>
            </w:r>
            <w:r>
              <w:rPr>
                <w:rFonts w:ascii="宋体" w:hAnsi="宋体" w:cs="宋体" w:eastAsia="宋体" w:hint="default"/>
                <w:spacing w:val="-10"/>
                <w:sz w:val="18"/>
                <w:szCs w:val="18"/>
              </w:rPr>
              <w:t>议的公告》巨潮资讯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r>
        <w:rPr/>
        <w:pict>
          <v:group style="position:absolute;margin-left:296.200012pt;margin-top:-98.926331pt;width:79.2pt;height:85.8pt;mso-position-horizontal-relative:page;mso-position-vertical-relative:paragraph;z-index:-862504" coordorigin="5924,-1979" coordsize="1584,1716">
            <v:shape style="position:absolute;left:5924;top:-1979;width:1584;height:1716" coordorigin="5924,-1979" coordsize="1584,1716" path="m5924,-263l7508,-263,7508,-1979,5924,-1979,5924,-263xe" filled="true" fillcolor="#ffffff" stroked="false">
              <v:path arrowok="t"/>
              <v:fill type="solid"/>
            </v:shape>
            <w10:wrap type="none"/>
          </v:group>
        </w:pict>
      </w:r>
      <w:bookmarkStart w:name="2、本报告期临时股东大会情况" w:id="111"/>
      <w:bookmarkEnd w:id="111"/>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、关于《二六三网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参加现场会议的股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5"/>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2014-001  </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2014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0.079987pt;margin-top:277.339996pt;width:85.35pt;height:468.05pt;mso-position-horizontal-relative:page;mso-position-vertical-relative:page;z-index:-862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46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络通信股份有限公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w:t>
            </w:r>
            <w:r>
              <w:rPr>
                <w:rFonts w:ascii="宋体" w:hAnsi="宋体" w:cs="宋体" w:eastAsia="宋体" w:hint="default"/>
                <w:spacing w:val="-10"/>
                <w:sz w:val="18"/>
                <w:szCs w:val="18"/>
              </w:rPr>
              <w:t>票激励计划（草案修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订稿）及其摘要》的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议案（各子议案逐项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8"/>
                <w:sz w:val="18"/>
                <w:szCs w:val="18"/>
              </w:rPr>
              <w:t>审议表决）（</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）激励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对象的确定依据和 </w:t>
            </w:r>
            <w:r>
              <w:rPr>
                <w:rFonts w:ascii="宋体" w:hAnsi="宋体" w:cs="宋体" w:eastAsia="宋体" w:hint="default"/>
                <w:spacing w:val="-18"/>
                <w:sz w:val="18"/>
                <w:szCs w:val="18"/>
              </w:rPr>
              <w:t>范围；（</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）限制性股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票的来源、种类和数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8"/>
                <w:sz w:val="18"/>
                <w:szCs w:val="18"/>
              </w:rPr>
              <w:t>量；（</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）激励对象获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授的限制性股票分 </w:t>
            </w:r>
            <w:r>
              <w:rPr>
                <w:rFonts w:ascii="宋体" w:hAnsi="宋体" w:cs="宋体" w:eastAsia="宋体" w:hint="default"/>
                <w:spacing w:val="-18"/>
                <w:sz w:val="18"/>
                <w:szCs w:val="18"/>
              </w:rPr>
              <w:t>配情况；（</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）股票激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励计划的有效期、授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予日、锁定期、解锁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2"/>
                <w:sz w:val="18"/>
                <w:szCs w:val="18"/>
              </w:rPr>
              <w:t>期和禁售期；（</w:t>
            </w:r>
            <w:r>
              <w:rPr>
                <w:rFonts w:ascii="Times New Roman" w:hAnsi="Times New Roman" w:cs="Times New Roman" w:eastAsia="Times New Roman" w:hint="default"/>
                <w:spacing w:val="-22"/>
                <w:sz w:val="18"/>
                <w:szCs w:val="18"/>
              </w:rPr>
              <w:t>5</w:t>
            </w:r>
            <w:r>
              <w:rPr>
                <w:rFonts w:ascii="宋体" w:hAnsi="宋体" w:cs="宋体" w:eastAsia="宋体" w:hint="default"/>
                <w:spacing w:val="-22"/>
                <w:sz w:val="18"/>
                <w:szCs w:val="18"/>
              </w:rPr>
              <w:t>）限</w:t>
            </w:r>
            <w:r>
              <w:rPr>
                <w:rFonts w:ascii="宋体" w:hAnsi="宋体" w:cs="宋体" w:eastAsia="宋体" w:hint="default"/>
                <w:spacing w:val="-83"/>
                <w:sz w:val="18"/>
                <w:szCs w:val="18"/>
              </w:rPr>
              <w:t> </w:t>
            </w:r>
            <w:r>
              <w:rPr>
                <w:rFonts w:ascii="宋体" w:hAnsi="宋体" w:cs="宋体" w:eastAsia="宋体" w:hint="default"/>
                <w:sz w:val="18"/>
                <w:szCs w:val="18"/>
              </w:rPr>
              <w:t>制性股票的授予价</w:t>
            </w:r>
            <w:r>
              <w:rPr>
                <w:rFonts w:ascii="宋体" w:hAnsi="宋体" w:cs="宋体" w:eastAsia="宋体" w:hint="default"/>
                <w:sz w:val="18"/>
                <w:szCs w:val="18"/>
              </w:rPr>
              <w:t> 格和授予价格的确 </w:t>
            </w:r>
            <w:r>
              <w:rPr>
                <w:rFonts w:ascii="宋体" w:hAnsi="宋体" w:cs="宋体" w:eastAsia="宋体" w:hint="default"/>
                <w:spacing w:val="-18"/>
                <w:sz w:val="18"/>
                <w:szCs w:val="18"/>
              </w:rPr>
              <w:t>定方法；（</w:t>
            </w: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）限制性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股票的授予条件和 </w:t>
            </w:r>
            <w:r>
              <w:rPr>
                <w:rFonts w:ascii="宋体" w:hAnsi="宋体" w:cs="宋体" w:eastAsia="宋体" w:hint="default"/>
                <w:spacing w:val="-22"/>
                <w:sz w:val="18"/>
                <w:szCs w:val="18"/>
              </w:rPr>
              <w:t>解锁的安排；（</w:t>
            </w:r>
            <w:r>
              <w:rPr>
                <w:rFonts w:ascii="Times New Roman" w:hAnsi="Times New Roman" w:cs="Times New Roman" w:eastAsia="Times New Roman" w:hint="default"/>
                <w:spacing w:val="-22"/>
                <w:sz w:val="18"/>
                <w:szCs w:val="18"/>
              </w:rPr>
              <w:t>7</w:t>
            </w:r>
            <w:r>
              <w:rPr>
                <w:rFonts w:ascii="宋体" w:hAnsi="宋体" w:cs="宋体" w:eastAsia="宋体" w:hint="default"/>
                <w:spacing w:val="-22"/>
                <w:sz w:val="18"/>
                <w:szCs w:val="18"/>
              </w:rPr>
              <w:t>）限</w:t>
            </w:r>
            <w:r>
              <w:rPr>
                <w:rFonts w:ascii="宋体" w:hAnsi="宋体" w:cs="宋体" w:eastAsia="宋体" w:hint="default"/>
                <w:spacing w:val="-83"/>
                <w:sz w:val="18"/>
                <w:szCs w:val="18"/>
              </w:rPr>
              <w:t> </w:t>
            </w:r>
            <w:r>
              <w:rPr>
                <w:rFonts w:ascii="宋体" w:hAnsi="宋体" w:cs="宋体" w:eastAsia="宋体" w:hint="default"/>
                <w:sz w:val="18"/>
                <w:szCs w:val="18"/>
              </w:rPr>
              <w:t>制性股票激励计划</w:t>
            </w:r>
            <w:r>
              <w:rPr>
                <w:rFonts w:ascii="宋体" w:hAnsi="宋体" w:cs="宋体" w:eastAsia="宋体" w:hint="default"/>
                <w:sz w:val="18"/>
                <w:szCs w:val="18"/>
              </w:rPr>
              <w:t> 的调整方法和程序</w:t>
            </w:r>
          </w:p>
          <w:p>
            <w:pPr>
              <w:pStyle w:val="TableParagraph"/>
              <w:spacing w:line="309" w:lineRule="auto" w:before="23"/>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）股权激励计划 的权益授予、过户 </w:t>
            </w:r>
            <w:r>
              <w:rPr>
                <w:rFonts w:ascii="宋体" w:hAnsi="宋体" w:cs="宋体" w:eastAsia="宋体" w:hint="default"/>
                <w:spacing w:val="-18"/>
                <w:sz w:val="18"/>
                <w:szCs w:val="18"/>
              </w:rPr>
              <w:t>解锁程序；（</w:t>
            </w:r>
            <w:r>
              <w:rPr>
                <w:rFonts w:ascii="Times New Roman" w:hAnsi="Times New Roman" w:cs="Times New Roman" w:eastAsia="Times New Roman" w:hint="default"/>
                <w:spacing w:val="-18"/>
                <w:sz w:val="18"/>
                <w:szCs w:val="18"/>
              </w:rPr>
              <w:t>9</w:t>
            </w:r>
            <w:r>
              <w:rPr>
                <w:rFonts w:ascii="宋体" w:hAnsi="宋体" w:cs="宋体" w:eastAsia="宋体" w:hint="default"/>
                <w:spacing w:val="-18"/>
                <w:sz w:val="18"/>
                <w:szCs w:val="18"/>
              </w:rPr>
              <w:t>）公司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与激励对象的权利 </w:t>
            </w:r>
            <w:r>
              <w:rPr>
                <w:rFonts w:ascii="宋体" w:hAnsi="宋体" w:cs="宋体" w:eastAsia="宋体" w:hint="default"/>
                <w:spacing w:val="-9"/>
                <w:sz w:val="18"/>
                <w:szCs w:val="18"/>
              </w:rPr>
              <w:t>和义务；（</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）股权</w:t>
            </w:r>
            <w:r>
              <w:rPr>
                <w:rFonts w:ascii="宋体" w:hAnsi="宋体" w:cs="宋体" w:eastAsia="宋体" w:hint="default"/>
                <w:sz w:val="18"/>
                <w:szCs w:val="18"/>
              </w:rPr>
              <w:t> 激励计划的变更与 </w:t>
            </w:r>
            <w:r>
              <w:rPr>
                <w:rFonts w:ascii="宋体" w:hAnsi="宋体" w:cs="宋体" w:eastAsia="宋体" w:hint="default"/>
                <w:spacing w:val="-10"/>
                <w:sz w:val="18"/>
                <w:szCs w:val="18"/>
              </w:rPr>
              <w:t>终止；（</w:t>
            </w:r>
            <w:r>
              <w:rPr>
                <w:rFonts w:ascii="Times New Roman" w:hAnsi="Times New Roman" w:cs="Times New Roman" w:eastAsia="Times New Roman" w:hint="default"/>
                <w:spacing w:val="-10"/>
                <w:sz w:val="18"/>
                <w:szCs w:val="18"/>
              </w:rPr>
              <w:t>11</w:t>
            </w:r>
            <w:r>
              <w:rPr>
                <w:rFonts w:ascii="宋体" w:hAnsi="宋体" w:cs="宋体" w:eastAsia="宋体" w:hint="default"/>
                <w:spacing w:val="-10"/>
                <w:sz w:val="18"/>
                <w:szCs w:val="18"/>
              </w:rPr>
              <w:t>）激励计</w:t>
            </w:r>
            <w:r>
              <w:rPr>
                <w:rFonts w:ascii="宋体" w:hAnsi="宋体" w:cs="宋体" w:eastAsia="宋体" w:hint="default"/>
                <w:spacing w:val="-88"/>
                <w:sz w:val="18"/>
                <w:szCs w:val="18"/>
              </w:rPr>
              <w:t> </w:t>
            </w:r>
            <w:r>
              <w:rPr>
                <w:rFonts w:ascii="宋体" w:hAnsi="宋体" w:cs="宋体" w:eastAsia="宋体" w:hint="default"/>
                <w:sz w:val="18"/>
                <w:szCs w:val="18"/>
              </w:rPr>
              <w:t>划的会计处理及对 公司经营业绩的影 </w:t>
            </w:r>
            <w:r>
              <w:rPr>
                <w:rFonts w:ascii="宋体" w:hAnsi="宋体" w:cs="宋体" w:eastAsia="宋体" w:hint="default"/>
                <w:spacing w:val="-9"/>
                <w:sz w:val="18"/>
                <w:szCs w:val="18"/>
              </w:rPr>
              <w:t>响；（</w:t>
            </w:r>
            <w:r>
              <w:rPr>
                <w:rFonts w:ascii="Times New Roman" w:hAnsi="Times New Roman" w:cs="Times New Roman" w:eastAsia="Times New Roman" w:hint="default"/>
                <w:spacing w:val="-9"/>
                <w:sz w:val="18"/>
                <w:szCs w:val="18"/>
              </w:rPr>
              <w:t>12</w:t>
            </w:r>
            <w:r>
              <w:rPr>
                <w:rFonts w:ascii="宋体" w:hAnsi="宋体" w:cs="宋体" w:eastAsia="宋体" w:hint="default"/>
                <w:spacing w:val="-9"/>
                <w:sz w:val="18"/>
                <w:szCs w:val="18"/>
              </w:rPr>
              <w:t>）限制性股</w:t>
            </w:r>
            <w:r>
              <w:rPr>
                <w:rFonts w:ascii="宋体" w:hAnsi="宋体" w:cs="宋体" w:eastAsia="宋体" w:hint="default"/>
                <w:sz w:val="18"/>
                <w:szCs w:val="18"/>
              </w:rPr>
              <w:t> </w:t>
            </w:r>
            <w:r>
              <w:rPr>
                <w:rFonts w:ascii="宋体" w:hAnsi="宋体" w:cs="宋体" w:eastAsia="宋体" w:hint="default"/>
                <w:spacing w:val="-18"/>
                <w:sz w:val="18"/>
                <w:szCs w:val="18"/>
              </w:rPr>
              <w:t>票的回购注销；（</w:t>
            </w:r>
            <w:r>
              <w:rPr>
                <w:rFonts w:ascii="Times New Roman" w:hAnsi="Times New Roman" w:cs="Times New Roman" w:eastAsia="Times New Roman" w:hint="default"/>
                <w:spacing w:val="-18"/>
                <w:sz w:val="18"/>
                <w:szCs w:val="18"/>
              </w:rPr>
              <w:t>13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其他事项；</w:t>
            </w: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p>
          <w:p>
            <w:pPr>
              <w:pStyle w:val="TableParagraph"/>
              <w:spacing w:line="314"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《二六三网络通信 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年限制性股票激励 计划实施考核办法 </w:t>
            </w:r>
            <w:r>
              <w:rPr>
                <w:rFonts w:ascii="Times New Roman" w:hAnsi="Times New Roman" w:cs="Times New Roman" w:eastAsia="Times New Roman" w:hint="default"/>
                <w:sz w:val="18"/>
                <w:szCs w:val="18"/>
              </w:rPr>
              <w:t>3</w:t>
            </w:r>
            <w:r>
              <w:rPr>
                <w:rFonts w:ascii="宋体" w:hAnsi="宋体" w:cs="宋体" w:eastAsia="宋体" w:hint="default"/>
                <w:sz w:val="18"/>
                <w:szCs w:val="18"/>
              </w:rPr>
              <w:t>、关于提请股东大 会授权董事会办理 公司限制性股票激 励计划相关事宜的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东及股东代理人共</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名，代表股份</w:t>
            </w:r>
          </w:p>
          <w:p>
            <w:pPr>
              <w:pStyle w:val="TableParagraph"/>
              <w:spacing w:line="309"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65240652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 司有表决权股份总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27.18%</w:t>
            </w:r>
            <w:r>
              <w:rPr>
                <w:rFonts w:ascii="宋体" w:hAnsi="宋体" w:cs="宋体" w:eastAsia="宋体" w:hint="default"/>
                <w:sz w:val="18"/>
                <w:szCs w:val="18"/>
              </w:rPr>
              <w:t>；通过 网络投票的股东及 股东代理人共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名，代表股份 </w:t>
            </w:r>
            <w:r>
              <w:rPr>
                <w:rFonts w:ascii="Times New Roman" w:hAnsi="Times New Roman" w:cs="Times New Roman" w:eastAsia="Times New Roman" w:hint="default"/>
                <w:sz w:val="18"/>
                <w:szCs w:val="18"/>
              </w:rPr>
              <w:t>499677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 有表决权股份总数 的</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0.21%</w:t>
            </w:r>
            <w:r>
              <w:rPr>
                <w:rFonts w:ascii="宋体" w:hAnsi="宋体" w:cs="宋体" w:eastAsia="宋体" w:hint="default"/>
                <w:spacing w:val="-6"/>
                <w:sz w:val="18"/>
                <w:szCs w:val="18"/>
              </w:rPr>
              <w:t>。本次股东</w:t>
            </w:r>
            <w:r>
              <w:rPr>
                <w:rFonts w:ascii="宋体" w:hAnsi="宋体" w:cs="宋体" w:eastAsia="宋体" w:hint="default"/>
                <w:sz w:val="18"/>
                <w:szCs w:val="18"/>
              </w:rPr>
              <w:t> 大会没有出现议案 被否的情形。</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9.2pt;height:468.05pt;mso-position-horizontal-relative:char;mso-position-vertical-relative:line" coordorigin="0,0" coordsize="1584,9361">
                  <v:group style="position:absolute;left:0;top:0;width:1584;height:9361" coordorigin="0,0" coordsize="1584,9361">
                    <v:shape style="position:absolute;left:0;top:0;width:1584;height:9361" coordorigin="0,0" coordsize="1584,9361" path="m0,9361l1584,9361,1584,0,0,0,0,9361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关于变更公司注册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出席本次会议的股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2014-020  </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2014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1.753998pt;margin-top:277.819977pt;width:103.35pt;height:109.2pt;mso-position-horizontal-relative:page;mso-position-vertical-relative:page;z-index:-862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股东，</w:t>
                  </w:r>
                </w:p>
              </w:txbxContent>
            </v:textbox>
            <w10:wrap type="none"/>
          </v:shape>
        </w:pict>
      </w:r>
      <w:r>
        <w:rPr/>
        <w:pict>
          <v:group style="position:absolute;margin-left:375.880005pt;margin-top:72.47998pt;width:79.25pt;height:314.55pt;mso-position-horizontal-relative:page;mso-position-vertical-relative:page;z-index:-862384" coordorigin="7518,1450" coordsize="1585,6291">
            <v:group style="position:absolute;left:7518;top:1450;width:1585;height:4098" coordorigin="7518,1450" coordsize="1585,4098">
              <v:shape style="position:absolute;left:7518;top:1450;width:1585;height:4098" coordorigin="7518,1450" coordsize="1585,4098" path="m7518,5547l9102,5547,9102,1450,7518,1450,7518,5547xe" filled="true" fillcolor="#ffffff" stroked="false">
                <v:path arrowok="t"/>
                <v:fill type="solid"/>
              </v:shape>
            </v:group>
            <v:group style="position:absolute;left:7518;top:5556;width:1585;height:2184" coordorigin="7518,5556" coordsize="1585,2184">
              <v:shape style="position:absolute;left:7518;top:5556;width:1585;height:2184" coordorigin="7518,5556" coordsize="1585,2184" path="m7518,7740l9102,7740,9102,5556,7518,5556,7518,774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10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10"/>
                <w:sz w:val="18"/>
                <w:szCs w:val="18"/>
              </w:rPr>
              <w:t>资本并修订《公司章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东及代理人共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代表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r>
              <w:rPr>
                <w:rFonts w:ascii="宋体" w:hAnsi="宋体" w:cs="宋体" w:eastAsia="宋体" w:hint="default"/>
                <w:spacing w:val="-81"/>
                <w:sz w:val="18"/>
                <w:szCs w:val="18"/>
              </w:rPr>
              <w:t>，</w:t>
            </w:r>
            <w:r>
              <w:rPr>
                <w:rFonts w:ascii="宋体" w:hAnsi="宋体" w:cs="宋体" w:eastAsia="宋体" w:hint="default"/>
                <w:sz w:val="18"/>
                <w:szCs w:val="18"/>
              </w:rPr>
              <w:t>均为</w:t>
            </w:r>
          </w:p>
          <w:p>
            <w:pPr>
              <w:pStyle w:val="TableParagraph"/>
              <w:spacing w:line="314" w:lineRule="auto" w:before="63"/>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日下 午交易结束后在中 登深圳分公司登记 在册的公司股东或 </w:t>
            </w:r>
            <w:r>
              <w:rPr>
                <w:rFonts w:ascii="宋体" w:hAnsi="宋体" w:cs="宋体" w:eastAsia="宋体" w:hint="default"/>
                <w:spacing w:val="-10"/>
                <w:sz w:val="18"/>
                <w:szCs w:val="18"/>
              </w:rPr>
              <w:t>其授权代表，所持股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份总数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49,799,452</w:t>
            </w:r>
          </w:p>
          <w:p>
            <w:pPr>
              <w:pStyle w:val="TableParagraph"/>
              <w:spacing w:line="316" w:lineRule="auto" w:before="1"/>
              <w:ind w:left="22"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股，占公司有表决权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总股份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241,267,000</w:t>
            </w:r>
          </w:p>
          <w:p>
            <w:pPr>
              <w:pStyle w:val="TableParagraph"/>
              <w:spacing w:line="309" w:lineRule="auto"/>
              <w:ind w:left="22" w:right="59"/>
              <w:jc w:val="left"/>
              <w:rPr>
                <w:rFonts w:ascii="宋体" w:hAnsi="宋体" w:cs="宋体" w:eastAsia="宋体" w:hint="default"/>
                <w:sz w:val="18"/>
                <w:szCs w:val="18"/>
              </w:rPr>
            </w:pPr>
            <w:r>
              <w:rPr>
                <w:rFonts w:ascii="宋体" w:hAnsi="宋体" w:cs="宋体" w:eastAsia="宋体" w:hint="default"/>
                <w:sz w:val="18"/>
                <w:szCs w:val="18"/>
              </w:rPr>
              <w:t>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20.64%</w:t>
            </w:r>
            <w:r>
              <w:rPr>
                <w:rFonts w:ascii="宋体" w:hAnsi="宋体" w:cs="宋体" w:eastAsia="宋体" w:hint="default"/>
                <w:sz w:val="18"/>
                <w:szCs w:val="18"/>
              </w:rPr>
              <w:t>。本次 股东大会没有出现 议案被否的情形。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年第二次临时股东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r>
        <w:trPr>
          <w:trHeight w:val="47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9" w:lineRule="auto"/>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、关于修订《公司 章程》的议案；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 关于选举张克先生 为公司第四届董事 会独立董事的议案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现场出席本次会议 的股东及代理人共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pacing w:val="-23"/>
                <w:sz w:val="18"/>
                <w:szCs w:val="18"/>
              </w:rPr>
              <w:t>名，代表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w:t>
            </w: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均为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日下午交易结束后 在中登深圳分公司 登记在册的公司股 </w:t>
            </w:r>
            <w:r>
              <w:rPr>
                <w:rFonts w:ascii="宋体" w:hAnsi="宋体" w:cs="宋体" w:eastAsia="宋体" w:hint="default"/>
                <w:spacing w:val="-10"/>
                <w:sz w:val="18"/>
                <w:szCs w:val="18"/>
              </w:rPr>
              <w:t>东或其授权代表，所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持股份总数 </w:t>
            </w:r>
            <w:r>
              <w:rPr>
                <w:rFonts w:ascii="Times New Roman" w:hAnsi="Times New Roman" w:cs="Times New Roman" w:eastAsia="Times New Roman" w:hint="default"/>
                <w:sz w:val="18"/>
                <w:szCs w:val="18"/>
              </w:rPr>
              <w:t>112,620,405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股，占</w:t>
            </w:r>
          </w:p>
          <w:p>
            <w:pPr>
              <w:pStyle w:val="TableParagraph"/>
              <w:spacing w:line="316" w:lineRule="auto" w:before="1"/>
              <w:ind w:left="22" w:right="29"/>
              <w:jc w:val="both"/>
              <w:rPr>
                <w:rFonts w:ascii="宋体" w:hAnsi="宋体" w:cs="宋体" w:eastAsia="宋体" w:hint="default"/>
                <w:sz w:val="18"/>
                <w:szCs w:val="18"/>
              </w:rPr>
            </w:pPr>
            <w:r>
              <w:rPr>
                <w:rFonts w:ascii="宋体" w:hAnsi="宋体" w:cs="宋体" w:eastAsia="宋体" w:hint="default"/>
                <w:sz w:val="18"/>
                <w:szCs w:val="18"/>
              </w:rPr>
              <w:t>公司有表决权总股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482,493,802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w:t>
            </w:r>
          </w:p>
          <w:p>
            <w:pPr>
              <w:pStyle w:val="TableParagraph"/>
              <w:spacing w:line="309" w:lineRule="auto"/>
              <w:ind w:left="22"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23.34%</w:t>
            </w:r>
            <w:r>
              <w:rPr>
                <w:rFonts w:ascii="宋体" w:hAnsi="宋体" w:cs="宋体" w:eastAsia="宋体" w:hint="default"/>
                <w:sz w:val="18"/>
                <w:szCs w:val="18"/>
              </w:rPr>
              <w:t>。本次股东 大会没有出现议案 被否的情形。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1163" w:val="left" w:leader="none"/>
              </w:tabs>
              <w:spacing w:line="240" w:lineRule="auto" w:before="1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2014-036</w:t>
              <w:tab/>
              <w:t>2014</w:t>
            </w:r>
          </w:p>
          <w:p>
            <w:pPr>
              <w:pStyle w:val="TableParagraph"/>
              <w:spacing w:line="319"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年第三次临时股东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r>
        <w:trPr>
          <w:trHeight w:val="504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关于选举金玉丹先 生为公司第四届董 事会独立董事的议 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参加现场会议的股 东及股东代理人共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名，代表股份</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99,018,362  </w:t>
            </w:r>
            <w:r>
              <w:rPr>
                <w:rFonts w:ascii="宋体" w:hAnsi="宋体" w:cs="宋体" w:eastAsia="宋体" w:hint="default"/>
                <w:sz w:val="18"/>
                <w:szCs w:val="18"/>
              </w:rPr>
              <w:t>股</w:t>
            </w:r>
            <w:r>
              <w:rPr>
                <w:rFonts w:ascii="宋体" w:hAnsi="宋体" w:cs="宋体" w:eastAsia="宋体" w:hint="default"/>
                <w:spacing w:val="-83"/>
                <w:sz w:val="18"/>
                <w:szCs w:val="18"/>
              </w:rPr>
              <w:t>，</w:t>
            </w:r>
            <w:r>
              <w:rPr>
                <w:rFonts w:ascii="宋体" w:hAnsi="宋体" w:cs="宋体" w:eastAsia="宋体" w:hint="default"/>
                <w:sz w:val="18"/>
                <w:szCs w:val="18"/>
              </w:rPr>
              <w:t>占公</w:t>
            </w:r>
          </w:p>
          <w:p>
            <w:pPr>
              <w:pStyle w:val="TableParagraph"/>
              <w:spacing w:line="312" w:lineRule="auto" w:before="63"/>
              <w:ind w:left="22" w:right="59"/>
              <w:jc w:val="left"/>
              <w:rPr>
                <w:rFonts w:ascii="宋体" w:hAnsi="宋体" w:cs="宋体" w:eastAsia="宋体" w:hint="default"/>
                <w:sz w:val="18"/>
                <w:szCs w:val="18"/>
              </w:rPr>
            </w:pPr>
            <w:r>
              <w:rPr>
                <w:rFonts w:ascii="宋体" w:hAnsi="宋体" w:cs="宋体" w:eastAsia="宋体" w:hint="default"/>
                <w:sz w:val="18"/>
                <w:szCs w:val="18"/>
              </w:rPr>
              <w:t>司有表决权股份总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20.52%</w:t>
            </w:r>
            <w:r>
              <w:rPr>
                <w:rFonts w:ascii="宋体" w:hAnsi="宋体" w:cs="宋体" w:eastAsia="宋体" w:hint="default"/>
                <w:sz w:val="18"/>
                <w:szCs w:val="18"/>
              </w:rPr>
              <w:t>；通过 网络投票的股东及 股东代理人共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p>
            <w:pPr>
              <w:pStyle w:val="TableParagraph"/>
              <w:spacing w:line="312" w:lineRule="auto" w:before="3"/>
              <w:ind w:left="22" w:right="-29"/>
              <w:jc w:val="left"/>
              <w:rPr>
                <w:rFonts w:ascii="宋体" w:hAnsi="宋体" w:cs="宋体" w:eastAsia="宋体" w:hint="default"/>
                <w:sz w:val="18"/>
                <w:szCs w:val="18"/>
              </w:rPr>
            </w:pPr>
            <w:r>
              <w:rPr>
                <w:rFonts w:ascii="宋体" w:hAnsi="宋体" w:cs="宋体" w:eastAsia="宋体" w:hint="default"/>
                <w:sz w:val="18"/>
                <w:szCs w:val="18"/>
              </w:rPr>
              <w:t>代表股份</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26,002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 占公司有表决权股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0.0054%</w:t>
            </w:r>
            <w:r>
              <w:rPr>
                <w:rFonts w:ascii="宋体" w:hAnsi="宋体" w:cs="宋体" w:eastAsia="宋体" w:hint="default"/>
                <w:sz w:val="18"/>
                <w:szCs w:val="18"/>
              </w:rPr>
              <w:t>； 通过现场和网络参 加本次会议的持股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以下（不含持股</w:t>
            </w:r>
          </w:p>
          <w:p>
            <w:pPr>
              <w:pStyle w:val="TableParagraph"/>
              <w:spacing w:line="300" w:lineRule="auto" w:before="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）的中小投资者</w:t>
            </w:r>
            <w:r>
              <w:rPr>
                <w:rFonts w:ascii="宋体" w:hAnsi="宋体" w:cs="宋体" w:eastAsia="宋体" w:hint="default"/>
                <w:w w:val="99"/>
                <w:sz w:val="18"/>
                <w:szCs w:val="18"/>
              </w:rPr>
              <w:t> 及代理人共</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5</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28"/>
                <w:w w:val="99"/>
                <w:sz w:val="18"/>
                <w:szCs w:val="18"/>
              </w:rPr>
              <w:t>名，代</w:t>
            </w:r>
            <w:r>
              <w:rPr>
                <w:rFonts w:ascii="宋体" w:hAnsi="宋体" w:cs="宋体" w:eastAsia="宋体" w:hint="default"/>
                <w:spacing w:val="-28"/>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186"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5032"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79.25pt;height:251.6pt;mso-position-horizontal-relative:char;mso-position-vertical-relative:line" coordorigin="0,0" coordsize="1585,5032">
                  <v:group style="position:absolute;left:0;top:0;width:1585;height:2320" coordorigin="0,0" coordsize="1585,2320">
                    <v:shape style="position:absolute;left:0;top:0;width:1585;height:2320" coordorigin="0,0" coordsize="1585,2320" path="m0,2320l1584,2320,1584,0,0,0,0,2320xe" filled="true" fillcolor="#ffffff" stroked="false">
                      <v:path arrowok="t"/>
                      <v:fill type="solid"/>
                    </v:shape>
                  </v:group>
                  <v:group style="position:absolute;left:11;top:2320;width:2;height:393" coordorigin="11,2320" coordsize="2,393">
                    <v:shape style="position:absolute;left:11;top:2320;width:2;height:393" coordorigin="11,2320" coordsize="0,393" path="m11,2320l11,2712e" filled="false" stroked="true" strokeweight="1.140pt" strokecolor="#ffffff">
                      <v:path arrowok="t"/>
                    </v:shape>
                  </v:group>
                  <v:group style="position:absolute;left:0;top:2712;width:1585;height:2320" coordorigin="0,2712" coordsize="1585,2320">
                    <v:shape style="position:absolute;left:0;top:2712;width:1585;height:2320" coordorigin="0,2712" coordsize="1585,2320" path="m0,5032l1584,5032,1584,2712,0,2712,0,5032xe" filled="true" fillcolor="#ffffff" stroked="false">
                      <v:path arrowok="t"/>
                      <v:fill type="solid"/>
                    </v:shape>
                  </v:group>
                  <v:group style="position:absolute;left:23;top:2320;width:1539;height:393" coordorigin="23,2320" coordsize="1539,393">
                    <v:shape style="position:absolute;left:23;top:2320;width:1539;height:393" coordorigin="23,2320" coordsize="1539,393" path="m23,2712l1562,2712,1562,2320,23,2320,23,2712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2014-045  </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2014</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年第四次临时股东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7,170,077</w:t>
            </w:r>
          </w:p>
          <w:p>
            <w:pPr>
              <w:pStyle w:val="TableParagraph"/>
              <w:spacing w:line="314" w:lineRule="auto" w:before="63"/>
              <w:ind w:left="22" w:right="-29"/>
              <w:jc w:val="left"/>
              <w:rPr>
                <w:rFonts w:ascii="宋体" w:hAnsi="宋体" w:cs="宋体" w:eastAsia="宋体" w:hint="default"/>
                <w:sz w:val="18"/>
                <w:szCs w:val="18"/>
              </w:rPr>
            </w:pPr>
            <w:r>
              <w:rPr>
                <w:rFonts w:ascii="宋体" w:hAnsi="宋体" w:cs="宋体" w:eastAsia="宋体" w:hint="default"/>
                <w:spacing w:val="-10"/>
                <w:sz w:val="18"/>
                <w:szCs w:val="18"/>
              </w:rPr>
              <w:t>股，占公司有表决权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w:t>
            </w:r>
            <w:r>
              <w:rPr>
                <w:rFonts w:ascii="宋体" w:hAnsi="宋体" w:cs="宋体" w:eastAsia="宋体" w:hint="default"/>
                <w:sz w:val="18"/>
                <w:szCs w:val="18"/>
              </w:rPr>
              <w:t>。 本次股东大会没有 出现议案被否的情 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79.25pt;height:95.7pt;mso-position-horizontal-relative:char;mso-position-vertical-relative:line" coordorigin="0,0" coordsize="1585,1914">
                  <v:group style="position:absolute;left:0;top:0;width:1585;height:1914" coordorigin="0,0" coordsize="1585,1914">
                    <v:shape style="position:absolute;left:0;top:0;width:1585;height:1914" coordorigin="0,0" coordsize="1585,1914" path="m0,1913l1584,1913,1584,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表决权恢夊的优先股股东请求召开临时股东大会" w:id="112"/>
      <w:bookmarkEnd w:id="112"/>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报告期内独立董事履行职责的情况" w:id="113"/>
      <w:bookmarkEnd w:id="113"/>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14"/>
      <w:bookmarkEnd w:id="11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杨泽民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王连凤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57" w:lineRule="auto" w:before="51"/>
        <w:ind w:left="154"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15"/>
      <w:bookmarkEnd w:id="11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116"/>
      <w:bookmarkEnd w:id="11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无</w:t>
      </w:r>
    </w:p>
    <w:p>
      <w:pPr>
        <w:spacing w:after="0" w:line="34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四、董事会下设专门委员会在报告期内履行职责情况" w:id="117"/>
      <w:bookmarkEnd w:id="117"/>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1" w:right="1118"/>
        <w:jc w:val="left"/>
      </w:pPr>
      <w:r>
        <w:rPr>
          <w:rFonts w:ascii="Times New Roman" w:hAnsi="Times New Roman" w:cs="Times New Roman" w:eastAsia="Times New Roman" w:hint="default"/>
        </w:rPr>
        <w:t>1.</w:t>
      </w:r>
      <w:r>
        <w:rPr/>
        <w:t>战略委员会 </w:t>
      </w:r>
      <w:r>
        <w:rPr>
          <w:spacing w:val="-2"/>
        </w:rPr>
        <w:t>董事会下设战略委员会，由</w:t>
      </w:r>
      <w:r>
        <w:rPr>
          <w:rFonts w:ascii="Times New Roman" w:hAnsi="Times New Roman" w:cs="Times New Roman" w:eastAsia="Times New Roman" w:hint="default"/>
          <w:spacing w:val="-2"/>
        </w:rPr>
        <w:t>3</w:t>
      </w:r>
      <w:r>
        <w:rPr>
          <w:spacing w:val="-2"/>
        </w:rPr>
        <w:t>名董事组成，其中包括</w:t>
      </w:r>
      <w:r>
        <w:rPr>
          <w:rFonts w:ascii="Times New Roman" w:hAnsi="Times New Roman" w:cs="Times New Roman" w:eastAsia="Times New Roman" w:hint="default"/>
          <w:spacing w:val="-2"/>
        </w:rPr>
        <w:t>1</w:t>
      </w:r>
      <w:r>
        <w:rPr>
          <w:spacing w:val="-2"/>
        </w:rPr>
        <w:t>名独立董事，公司董事长担任召集人。报告期内，战略委员会勤勉</w:t>
      </w:r>
    </w:p>
    <w:p>
      <w:pPr>
        <w:pStyle w:val="BodyText"/>
        <w:spacing w:line="240" w:lineRule="auto" w:before="43"/>
        <w:ind w:right="0"/>
        <w:jc w:val="both"/>
      </w:pPr>
      <w:r>
        <w:rPr/>
        <w:t>尽责，对公司战略规划等事项进行了研究，并提出合理建议。</w:t>
      </w:r>
    </w:p>
    <w:p>
      <w:pPr>
        <w:spacing w:line="240" w:lineRule="auto" w:before="10"/>
        <w:rPr>
          <w:rFonts w:ascii="宋体" w:hAnsi="宋体" w:cs="宋体" w:eastAsia="宋体" w:hint="default"/>
          <w:sz w:val="17"/>
          <w:szCs w:val="17"/>
        </w:rPr>
      </w:pPr>
    </w:p>
    <w:p>
      <w:pPr>
        <w:pStyle w:val="BodyText"/>
        <w:spacing w:line="451" w:lineRule="auto"/>
        <w:ind w:left="511" w:right="1118"/>
        <w:jc w:val="left"/>
      </w:pPr>
      <w:r>
        <w:rPr>
          <w:rFonts w:ascii="Times New Roman" w:hAnsi="Times New Roman" w:cs="Times New Roman" w:eastAsia="Times New Roman" w:hint="default"/>
        </w:rPr>
        <w:t>2.</w:t>
      </w:r>
      <w:r>
        <w:rPr/>
        <w:t>内审委员会 </w:t>
      </w:r>
      <w:r>
        <w:rPr>
          <w:spacing w:val="-2"/>
        </w:rPr>
        <w:t>公司董事会审计委员会由</w:t>
      </w:r>
      <w:r>
        <w:rPr>
          <w:rFonts w:ascii="Times New Roman" w:hAnsi="Times New Roman" w:cs="Times New Roman" w:eastAsia="Times New Roman" w:hint="default"/>
          <w:spacing w:val="-2"/>
        </w:rPr>
        <w:t>2</w:t>
      </w:r>
      <w:r>
        <w:rPr>
          <w:spacing w:val="-2"/>
        </w:rPr>
        <w:t>名独立董事及</w:t>
      </w:r>
      <w:r>
        <w:rPr>
          <w:rFonts w:ascii="Times New Roman" w:hAnsi="Times New Roman" w:cs="Times New Roman" w:eastAsia="Times New Roman" w:hint="default"/>
          <w:spacing w:val="-2"/>
        </w:rPr>
        <w:t>1</w:t>
      </w:r>
      <w:r>
        <w:rPr>
          <w:spacing w:val="-2"/>
        </w:rPr>
        <w:t>名董事组成，其中召集人由独立董事（专业会计人员）担任。报告期内，根据</w:t>
      </w:r>
    </w:p>
    <w:p>
      <w:pPr>
        <w:pStyle w:val="BodyText"/>
        <w:spacing w:line="477" w:lineRule="auto" w:before="43"/>
        <w:ind w:left="154" w:right="1133"/>
        <w:jc w:val="both"/>
      </w:pPr>
      <w:r>
        <w:rPr>
          <w:spacing w:val="-2"/>
        </w:rPr>
        <w:t>中国证监会、深圳证券交易所及公司《董事会审计委员会议事规则》的规定，公司董事会审计委员会勤勉尽责，认真履行职</w:t>
      </w:r>
      <w:r>
        <w:rPr>
          <w:spacing w:val="-66"/>
        </w:rPr>
        <w:t> </w:t>
      </w:r>
      <w:r>
        <w:rPr>
          <w:spacing w:val="-66"/>
        </w:rPr>
      </w:r>
      <w:r>
        <w:rPr/>
        <w:t>责，主要开展了如下工作：</w:t>
      </w:r>
    </w:p>
    <w:p>
      <w:pPr>
        <w:pStyle w:val="BodyText"/>
        <w:spacing w:line="240" w:lineRule="auto" w:before="54"/>
        <w:ind w:left="511" w:right="0"/>
        <w:jc w:val="left"/>
      </w:pPr>
      <w:r>
        <w:rPr/>
        <w:t>（</w:t>
      </w:r>
      <w:r>
        <w:rPr>
          <w:rFonts w:ascii="Times New Roman" w:hAnsi="Times New Roman" w:cs="Times New Roman" w:eastAsia="Times New Roman" w:hint="default"/>
        </w:rPr>
        <w:t>1</w:t>
      </w:r>
      <w:r>
        <w:rPr/>
        <w:t>）指导和监督内部审计制度的执行；</w:t>
      </w:r>
    </w:p>
    <w:p>
      <w:pPr>
        <w:spacing w:line="240" w:lineRule="auto" w:before="9"/>
        <w:rPr>
          <w:rFonts w:ascii="宋体" w:hAnsi="宋体" w:cs="宋体" w:eastAsia="宋体" w:hint="default"/>
          <w:sz w:val="16"/>
          <w:szCs w:val="16"/>
        </w:rPr>
      </w:pPr>
    </w:p>
    <w:p>
      <w:pPr>
        <w:pStyle w:val="BodyText"/>
        <w:spacing w:line="240" w:lineRule="auto"/>
        <w:ind w:left="511" w:right="0"/>
        <w:jc w:val="left"/>
      </w:pPr>
      <w:r>
        <w:rPr/>
        <w:t>（</w:t>
      </w:r>
      <w:r>
        <w:rPr>
          <w:rFonts w:ascii="Times New Roman" w:hAnsi="Times New Roman" w:cs="Times New Roman" w:eastAsia="Times New Roman" w:hint="default"/>
        </w:rPr>
        <w:t>2</w:t>
      </w:r>
      <w:r>
        <w:rPr/>
        <w:t>）审计委员会与年审会计师积极沟通，并对年审会计师的服务内容提出具体要求；</w:t>
      </w:r>
    </w:p>
    <w:p>
      <w:pPr>
        <w:spacing w:line="240" w:lineRule="auto" w:before="9"/>
        <w:rPr>
          <w:rFonts w:ascii="宋体" w:hAnsi="宋体" w:cs="宋体" w:eastAsia="宋体" w:hint="default"/>
          <w:sz w:val="16"/>
          <w:szCs w:val="16"/>
        </w:rPr>
      </w:pPr>
    </w:p>
    <w:p>
      <w:pPr>
        <w:pStyle w:val="BodyText"/>
        <w:spacing w:line="240" w:lineRule="auto"/>
        <w:ind w:left="511" w:right="0"/>
        <w:jc w:val="left"/>
      </w:pPr>
      <w:r>
        <w:rPr/>
        <w:t>（</w:t>
      </w:r>
      <w:r>
        <w:rPr>
          <w:rFonts w:ascii="Times New Roman" w:hAnsi="Times New Roman" w:cs="Times New Roman" w:eastAsia="Times New Roman" w:hint="default"/>
        </w:rPr>
        <w:t>3</w:t>
      </w:r>
      <w:r>
        <w:rPr/>
        <w:t>）对内审部的工作进行指导，并提出具体建议；</w:t>
      </w:r>
    </w:p>
    <w:p>
      <w:pPr>
        <w:spacing w:line="240" w:lineRule="auto" w:before="9"/>
        <w:rPr>
          <w:rFonts w:ascii="宋体" w:hAnsi="宋体" w:cs="宋体" w:eastAsia="宋体" w:hint="default"/>
          <w:sz w:val="16"/>
          <w:szCs w:val="16"/>
        </w:rPr>
      </w:pPr>
    </w:p>
    <w:p>
      <w:pPr>
        <w:pStyle w:val="BodyText"/>
        <w:spacing w:line="451" w:lineRule="auto"/>
        <w:ind w:right="1126" w:firstLine="357"/>
        <w:jc w:val="left"/>
      </w:pPr>
      <w:r>
        <w:rPr/>
        <w:t>（</w:t>
      </w:r>
      <w:r>
        <w:rPr>
          <w:rFonts w:ascii="Times New Roman" w:hAnsi="Times New Roman" w:cs="Times New Roman" w:eastAsia="Times New Roman" w:hint="default"/>
        </w:rPr>
        <w:t>4</w:t>
      </w:r>
      <w:r>
        <w:rPr/>
        <w:t>）内审部按季向审计委员会提交工作计划、工作总结和审计报告，审计委员会认真审核内审部的各项工作计划和审 计报告，及时提出反馈意见，并向董事会报告。</w:t>
      </w:r>
    </w:p>
    <w:p>
      <w:pPr>
        <w:pStyle w:val="BodyText"/>
        <w:spacing w:line="451" w:lineRule="auto" w:before="74"/>
        <w:ind w:left="511" w:right="0"/>
        <w:jc w:val="left"/>
      </w:pPr>
      <w:r>
        <w:rPr>
          <w:rFonts w:ascii="Times New Roman" w:hAnsi="Times New Roman" w:cs="Times New Roman" w:eastAsia="Times New Roman" w:hint="default"/>
        </w:rPr>
        <w:t>3.</w:t>
      </w:r>
      <w:r>
        <w:rPr/>
        <w:t>薪酬与考核委员会 </w:t>
      </w:r>
      <w:r>
        <w:rPr>
          <w:spacing w:val="-2"/>
        </w:rPr>
        <w:t>董事会下设薪酬与考核委员会，由</w:t>
      </w:r>
      <w:r>
        <w:rPr>
          <w:rFonts w:ascii="Times New Roman" w:hAnsi="Times New Roman" w:cs="Times New Roman" w:eastAsia="Times New Roman" w:hint="default"/>
          <w:spacing w:val="-2"/>
        </w:rPr>
        <w:t>3</w:t>
      </w:r>
      <w:r>
        <w:rPr>
          <w:spacing w:val="-2"/>
        </w:rPr>
        <w:t>名董事组成，其中独立董事</w:t>
      </w:r>
      <w:r>
        <w:rPr>
          <w:rFonts w:ascii="Times New Roman" w:hAnsi="Times New Roman" w:cs="Times New Roman" w:eastAsia="Times New Roman" w:hint="default"/>
          <w:spacing w:val="-2"/>
        </w:rPr>
        <w:t>2</w:t>
      </w:r>
      <w:r>
        <w:rPr>
          <w:spacing w:val="-2"/>
        </w:rPr>
        <w:t>名，并由</w:t>
      </w:r>
      <w:r>
        <w:rPr>
          <w:rFonts w:ascii="Times New Roman" w:hAnsi="Times New Roman" w:cs="Times New Roman" w:eastAsia="Times New Roman" w:hint="default"/>
          <w:spacing w:val="-2"/>
        </w:rPr>
        <w:t>1</w:t>
      </w:r>
      <w:r>
        <w:rPr>
          <w:spacing w:val="-2"/>
        </w:rPr>
        <w:t>名独立董事担任召集人。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日公司</w:t>
      </w:r>
    </w:p>
    <w:p>
      <w:pPr>
        <w:pStyle w:val="BodyText"/>
        <w:spacing w:line="463" w:lineRule="auto" w:before="43"/>
        <w:ind w:right="1131"/>
        <w:jc w:val="both"/>
      </w:pPr>
      <w:r>
        <w:rPr>
          <w:spacing w:val="-2"/>
        </w:rPr>
        <w:t>第四届董事会第二十七次会议和第四届监事会第十五次会议审议通过了《关于限制性股票激励计划第一个解锁期解锁条件成</w:t>
      </w:r>
      <w:r>
        <w:rPr>
          <w:spacing w:val="-64"/>
        </w:rPr>
        <w:t> </w:t>
      </w:r>
      <w:r>
        <w:rPr>
          <w:spacing w:val="-64"/>
        </w:rPr>
      </w:r>
      <w:r>
        <w:rPr/>
        <w:t>就的议案》，共</w:t>
      </w:r>
      <w:r>
        <w:rPr>
          <w:rFonts w:ascii="Times New Roman" w:hAnsi="Times New Roman" w:cs="Times New Roman" w:eastAsia="Times New Roman" w:hint="default"/>
        </w:rPr>
        <w:t>78</w:t>
      </w:r>
      <w:r>
        <w:rPr/>
        <w:t>名激励对象在第一个解锁期实际可解锁</w:t>
      </w:r>
      <w:r>
        <w:rPr>
          <w:rFonts w:ascii="Times New Roman" w:hAnsi="Times New Roman" w:cs="Times New Roman" w:eastAsia="Times New Roman" w:hint="default"/>
        </w:rPr>
        <w:t>666,011</w:t>
      </w:r>
      <w:r>
        <w:rPr/>
        <w:t>股限制性股票，公司董事会薪酬与考核委员会对该事项进</w:t>
      </w:r>
      <w:r>
        <w:rPr>
          <w:spacing w:val="-45"/>
        </w:rPr>
        <w:t> </w:t>
      </w:r>
      <w:r>
        <w:rPr>
          <w:spacing w:val="-45"/>
        </w:rPr>
      </w:r>
      <w:r>
        <w:rPr/>
        <w:t>行了核查并发表了专业意见。</w:t>
      </w:r>
    </w:p>
    <w:p>
      <w:pPr>
        <w:pStyle w:val="BodyText"/>
        <w:spacing w:line="451" w:lineRule="auto" w:before="65"/>
        <w:ind w:left="511" w:right="1125"/>
        <w:jc w:val="left"/>
      </w:pPr>
      <w:r>
        <w:rPr>
          <w:rFonts w:ascii="Times New Roman" w:hAnsi="Times New Roman" w:cs="Times New Roman" w:eastAsia="Times New Roman" w:hint="default"/>
        </w:rPr>
        <w:t>4.</w:t>
      </w:r>
      <w:r>
        <w:rPr/>
        <w:t>提名委员会 董事会下设提名委员会，由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2</w:t>
      </w:r>
      <w:r>
        <w:rPr/>
        <w:t>名，并由</w:t>
      </w:r>
      <w:r>
        <w:rPr>
          <w:rFonts w:ascii="Times New Roman" w:hAnsi="Times New Roman" w:cs="Times New Roman" w:eastAsia="Times New Roman" w:hint="default"/>
        </w:rPr>
        <w:t>1</w:t>
      </w:r>
      <w:r>
        <w:rPr/>
        <w:t>名独立董事担任召集人。报告期内，第四届董事会</w:t>
      </w:r>
    </w:p>
    <w:p>
      <w:pPr>
        <w:pStyle w:val="BodyText"/>
        <w:spacing w:line="477" w:lineRule="auto" w:before="43"/>
        <w:ind w:right="1132"/>
        <w:jc w:val="both"/>
      </w:pPr>
      <w:r>
        <w:rPr>
          <w:spacing w:val="-2"/>
        </w:rPr>
        <w:t>提名委员会向公司第四届董事会第二十次会议提出《关于提名张克先生为公司第四届董事会独立董事候选人的议案》，同时</w:t>
      </w:r>
      <w:r>
        <w:rPr>
          <w:spacing w:val="-66"/>
        </w:rPr>
        <w:t> </w:t>
      </w:r>
      <w:r>
        <w:rPr>
          <w:spacing w:val="-66"/>
        </w:rPr>
      </w:r>
      <w:r>
        <w:rPr>
          <w:spacing w:val="-2"/>
        </w:rPr>
        <w:t>对公司第四届董事会独立董事候选人张克先生的资格进行了核查和提名；向第四届董事会第二十二次会议提出《关于选举金</w:t>
      </w:r>
      <w:r>
        <w:rPr>
          <w:spacing w:val="-64"/>
        </w:rPr>
        <w:t> </w:t>
      </w:r>
      <w:r>
        <w:rPr>
          <w:spacing w:val="-64"/>
        </w:rPr>
      </w:r>
      <w:r>
        <w:rPr>
          <w:spacing w:val="-2"/>
        </w:rPr>
        <w:t>玉丹先生为公司第四届董事会独立董事候选人的议案》，同时对公司第四届董事会独立董事候选人金玉丹先生的资格进行了</w:t>
      </w:r>
      <w:r>
        <w:rPr>
          <w:spacing w:val="-64"/>
        </w:rPr>
        <w:t> </w:t>
      </w:r>
      <w:r>
        <w:rPr>
          <w:spacing w:val="-64"/>
        </w:rPr>
      </w:r>
      <w:r>
        <w:rPr/>
        <w:t>核查和提名。</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五、监事会工作情况" w:id="118"/>
      <w:bookmarkEnd w:id="118"/>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公司相对于控股股东在业务、人员、资产、机构、财务等方面的独立完整情况" w:id="119"/>
      <w:bookmarkEnd w:id="119"/>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43" w:firstLine="290"/>
        <w:jc w:val="both"/>
      </w:pPr>
      <w:r>
        <w:rPr/>
        <w:t>自成立以来，公司严格按照《公司法》、《证券法》等有关法律、法规和《公司章程》的要求规范运作，公司与控股股 东在业务、人员、资产、机构、财务等方面完全分开，具有独立完整的业务及自主经营能力。（一）资产独立</w:t>
      </w:r>
      <w:r>
        <w:rPr>
          <w:spacing w:val="8"/>
        </w:rPr>
        <w:t> </w:t>
      </w:r>
      <w:r>
        <w:rPr/>
        <w:t>本公司资</w:t>
      </w:r>
      <w:r>
        <w:rPr/>
        <w:t> </w:t>
      </w:r>
      <w:r>
        <w:rPr>
          <w:spacing w:val="-4"/>
        </w:rPr>
        <w:t>产独立，不存在资产、资金被控股股东和实际控制人占用的情形，不存在以资产、权益为控股股东和实际控制人担保的情形。</w:t>
      </w:r>
    </w:p>
    <w:p>
      <w:pPr>
        <w:pStyle w:val="BodyText"/>
        <w:tabs>
          <w:tab w:pos="731" w:val="left" w:leader="none"/>
          <w:tab w:pos="1684" w:val="left" w:leader="none"/>
          <w:tab w:pos="7442" w:val="left" w:leader="none"/>
        </w:tabs>
        <w:spacing w:line="477" w:lineRule="auto" w:before="54"/>
        <w:ind w:right="1042"/>
        <w:jc w:val="left"/>
      </w:pPr>
      <w:r>
        <w:rPr>
          <w:spacing w:val="-3"/>
        </w:rPr>
        <w:t>（二）人员独立</w:t>
        <w:tab/>
      </w:r>
      <w:r>
        <w:rPr>
          <w:spacing w:val="-2"/>
        </w:rPr>
        <w:t>本公司拥有独立的劳动、人事及工资管理体系。公司的董事、监事和高级管理人员均严格按照《公司法》</w:t>
      </w:r>
      <w:r>
        <w:rPr>
          <w:spacing w:val="-85"/>
        </w:rPr>
        <w:t> </w:t>
      </w:r>
      <w:r>
        <w:rPr>
          <w:spacing w:val="-85"/>
        </w:rPr>
      </w:r>
      <w:r>
        <w:rPr/>
        <w:t>和《公司章程》的有关规定产生，公司劳动、人事及工资方面完全独立。（三）财务独立</w:t>
        <w:tab/>
        <w:t>公司设立了独立的财务部门，</w:t>
      </w:r>
      <w:r>
        <w:rPr>
          <w:spacing w:val="-81"/>
        </w:rPr>
        <w:t> </w:t>
      </w:r>
      <w:r>
        <w:rPr>
          <w:spacing w:val="-81"/>
        </w:rPr>
      </w:r>
      <w:r>
        <w:rPr>
          <w:spacing w:val="-2"/>
        </w:rPr>
        <w:t>配备了专门的财务人员，建立了独立的会计核算体系和财务管理制度。本公司独立在银行开户，依法独立纳税。（四）机构</w:t>
      </w:r>
      <w:r>
        <w:rPr>
          <w:spacing w:val="-65"/>
        </w:rPr>
        <w:t> </w:t>
      </w:r>
      <w:r>
        <w:rPr>
          <w:spacing w:val="-65"/>
        </w:rPr>
      </w:r>
      <w:r>
        <w:rPr/>
        <w:t>独立</w:t>
        <w:tab/>
        <w:t>公司设立了完善的组织机构体系，独立运作，不存在控股股东影响本公司生产经营管理独立性的情况。（五）业务</w:t>
      </w:r>
      <w:r>
        <w:rPr>
          <w:spacing w:val="-44"/>
        </w:rPr>
        <w:t> </w:t>
      </w:r>
      <w:r>
        <w:rPr>
          <w:spacing w:val="-44"/>
        </w:rPr>
      </w:r>
      <w:r>
        <w:rPr/>
        <w:t>独立</w:t>
        <w:tab/>
        <w:t>公司具有独立完整的业务体系，拥有独立的生产经营场所，独立对外签订合同，开展业务，业务完全独立。</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七、同业竞争情况" w:id="120"/>
      <w:bookmarkEnd w:id="120"/>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21"/>
      <w:bookmarkEnd w:id="12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9" w:firstLine="217"/>
        <w:jc w:val="both"/>
      </w:pPr>
      <w:r>
        <w:rPr/>
        <w:t>公司建立了高级管理人员的选择、考评、激励与约束机制并不断完善，公司高级管理人员全部由董事会聘任，直接对董 事会负责，承担董事会下达的经营指标，董事会下设的薪酬与考核委员会对高级管理人员进行考评。</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73"/>
        <w:jc w:val="center"/>
        <w:rPr>
          <w:b w:val="0"/>
          <w:bCs w:val="0"/>
        </w:rPr>
      </w:pPr>
      <w:bookmarkStart w:name="第十节 内部控制" w:id="122"/>
      <w:bookmarkEnd w:id="122"/>
      <w:r>
        <w:rPr>
          <w:b w:val="0"/>
          <w:bCs w:val="0"/>
        </w:rPr>
      </w:r>
      <w:bookmarkStart w:name="_bookmark9" w:id="123"/>
      <w:bookmarkEnd w:id="123"/>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24"/>
      <w:bookmarkEnd w:id="124"/>
      <w:r>
        <w:rPr>
          <w:b w:val="0"/>
          <w:bCs w:val="0"/>
        </w:rPr>
      </w:r>
      <w:r>
        <w:rPr/>
        <w:t>一、内部控制建设情况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3" w:firstLine="420"/>
        <w:jc w:val="left"/>
      </w:pPr>
      <w:r>
        <w:rPr/>
        <w:t>为规范经营管理，控制风险，保证经营业务活动的正常开展，公司根据《公司法》、《证券法》、《深圳证券交易所 </w:t>
      </w:r>
      <w:r>
        <w:rPr>
          <w:spacing w:val="-2"/>
        </w:rPr>
        <w:t>股票上市规则》等相关法律法规的要求，依据《企业内部控制基本规范》及《深圳证券交易所中小企业板上市公司规范运作</w:t>
      </w:r>
      <w:r>
        <w:rPr>
          <w:spacing w:val="-66"/>
        </w:rPr>
        <w:t> </w:t>
      </w:r>
      <w:r>
        <w:rPr>
          <w:spacing w:val="-66"/>
        </w:rPr>
      </w:r>
      <w:r>
        <w:rPr>
          <w:spacing w:val="-2"/>
        </w:rPr>
        <w:t>指引》等规定，结合公司的实际情况、自身特点和管理需要，本公司建立了较完善的法人治理结构，公司按照内部环境、风</w:t>
      </w:r>
      <w:r>
        <w:rPr>
          <w:spacing w:val="-67"/>
        </w:rPr>
        <w:t> </w:t>
      </w:r>
      <w:r>
        <w:rPr>
          <w:spacing w:val="-67"/>
        </w:rPr>
      </w:r>
      <w:r>
        <w:rPr>
          <w:spacing w:val="-2"/>
        </w:rPr>
        <w:t>险评估、控制活动、信息与沟通，内部监督等内部控制要素建立了控制体系，制定了贯穿于公司经营管理各层面、各环节的</w:t>
      </w:r>
      <w:r>
        <w:rPr>
          <w:spacing w:val="-66"/>
        </w:rPr>
        <w:t> </w:t>
      </w:r>
      <w:r>
        <w:rPr>
          <w:spacing w:val="-66"/>
        </w:rPr>
      </w:r>
      <w:r>
        <w:rPr>
          <w:spacing w:val="-2"/>
        </w:rPr>
        <w:t>内部控制管理制度，并不断完善，内部控制体系健全、合理，内控制度已覆盖了公司各业务流程层面，且运行有效。该体系</w:t>
      </w:r>
      <w:r>
        <w:rPr>
          <w:spacing w:val="-68"/>
        </w:rPr>
        <w:t> </w:t>
      </w:r>
      <w:r>
        <w:rPr>
          <w:spacing w:val="-68"/>
        </w:rPr>
      </w:r>
      <w:r>
        <w:rPr/>
        <w:t>符合当前公司经营的实际情况需要，在公司经营管理的关键环节中起到了控制和防范作用，并建立了必要的内部监督机制， 为本公司经营管理的合法合规、资产安全、财务报告及相关信息的真实、完整提供了合理保障。</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二、董事会关于内部控制责任的声明" w:id="125"/>
      <w:bookmarkEnd w:id="125"/>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420"/>
        <w:jc w:val="left"/>
      </w:pPr>
      <w:r>
        <w:rPr>
          <w:spacing w:val="-2"/>
        </w:rPr>
        <w:t>公司董事会及全体董事保证内部控制相关内容不存在任何虚假记载、误导性陈述或者重大遗漏，并对其内容的真实性、</w:t>
      </w:r>
      <w:r>
        <w:rPr/>
        <w:t> 准确性和完整性承担个别及连带责任。</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三、建立财务报告内部控制的依据" w:id="126"/>
      <w:bookmarkEnd w:id="126"/>
      <w:r>
        <w:rPr>
          <w:b w:val="0"/>
          <w:bCs w:val="0"/>
        </w:rPr>
      </w:r>
      <w:r>
        <w:rPr/>
        <w:t>三、建立财务报告内部控制的依据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420"/>
        <w:jc w:val="left"/>
      </w:pPr>
      <w:r>
        <w:rPr/>
        <w:t>公司以《会计法》、《企业会计准则》、《企业内部控制基本规范》以及监管部门的相关规范性文件为依据，建立了 财务报告内部控制。</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四、内部控制评价报告" w:id="127"/>
      <w:bookmarkEnd w:id="127"/>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报告期内公司内部控制体系健全、合理，内控制度已覆盖了公司业务活动和内部管理的各个方面和环节，在完整性、合规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性、有效性等方面不存在重大缺陷。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《二六三网络通信股份有限公司内部控制自我评价报告》</w:t>
            </w:r>
            <w:hyperlink r:id="rId11">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28"/>
      <w:bookmarkEnd w:id="128"/>
      <w:r>
        <w:rPr>
          <w:b w:val="0"/>
          <w:bCs w:val="0"/>
        </w:rPr>
      </w:r>
      <w:r>
        <w:rPr/>
        <w:t>五、内部控制审计报告或鉴证报告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公司按</w:t>
            </w:r>
            <w:r>
              <w:rPr>
                <w:rFonts w:ascii="宋体" w:hAnsi="宋体" w:cs="宋体" w:eastAsia="宋体" w:hint="default"/>
                <w:spacing w:val="-29"/>
                <w:sz w:val="18"/>
                <w:szCs w:val="18"/>
              </w:rPr>
              <w:t>照</w:t>
            </w:r>
            <w:r>
              <w:rPr>
                <w:rFonts w:ascii="宋体" w:hAnsi="宋体" w:cs="宋体" w:eastAsia="宋体" w:hint="default"/>
                <w:sz w:val="18"/>
                <w:szCs w:val="18"/>
              </w:rPr>
              <w:t>《内部会计控制规范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w:t>
            </w:r>
            <w:r>
              <w:rPr>
                <w:rFonts w:ascii="宋体" w:hAnsi="宋体" w:cs="宋体" w:eastAsia="宋体" w:hint="default"/>
                <w:spacing w:val="-29"/>
                <w:sz w:val="18"/>
                <w:szCs w:val="18"/>
              </w:rPr>
              <w:t>范</w:t>
            </w:r>
            <w:r>
              <w:rPr>
                <w:rFonts w:ascii="宋体" w:hAnsi="宋体" w:cs="宋体" w:eastAsia="宋体" w:hint="default"/>
                <w:spacing w:val="-2"/>
                <w:sz w:val="18"/>
                <w:szCs w:val="18"/>
              </w:rPr>
              <w:t>（</w:t>
            </w: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w:t>
            </w:r>
            <w:r>
              <w:rPr>
                <w:rFonts w:ascii="宋体" w:hAnsi="宋体" w:cs="宋体" w:eastAsia="宋体" w:hint="default"/>
                <w:spacing w:val="1"/>
                <w:sz w:val="18"/>
                <w:szCs w:val="18"/>
              </w:rPr>
              <w:t>所</w:t>
            </w:r>
            <w:r>
              <w:rPr>
                <w:rFonts w:ascii="宋体" w:hAnsi="宋体" w:cs="宋体" w:eastAsia="宋体" w:hint="default"/>
                <w:sz w:val="18"/>
                <w:szCs w:val="18"/>
              </w:rPr>
              <w:t>有重大方面保持了与财务报表相关</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大华核字</w:t>
            </w:r>
            <w:r>
              <w:rPr>
                <w:rFonts w:ascii="Times New Roman" w:hAnsi="Times New Roman" w:cs="Times New Roman" w:eastAsia="Times New Roman" w:hint="default"/>
                <w:sz w:val="18"/>
                <w:szCs w:val="18"/>
              </w:rPr>
              <w:t>[2015]000741</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年度报告重大差错责任追究制度的建立与执行情况" w:id="129"/>
      <w:bookmarkEnd w:id="129"/>
      <w:r>
        <w:rPr>
          <w:b w:val="0"/>
          <w:bCs w:val="0"/>
        </w:rPr>
      </w:r>
      <w:r>
        <w:rPr/>
        <w:t>六、年度报告重大差错责任追究制度的建立与执行情况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420"/>
        <w:jc w:val="left"/>
      </w:pPr>
      <w:r>
        <w:rPr/>
        <w:t>公司已严格按照中国证监会、深圳证券交易所等监管部门的要求，建立了《年报信息披露重大差错责任追究制度》。 报告期内，公司未发生年度报告重大差错的情形。</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30"/>
      <w:bookmarkEnd w:id="130"/>
      <w:r>
        <w:rPr>
          <w:b w:val="0"/>
          <w:bCs w:val="0"/>
        </w:rPr>
      </w:r>
      <w:bookmarkStart w:name="_bookmark10" w:id="131"/>
      <w:bookmarkEnd w:id="13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32"/>
      <w:bookmarkEnd w:id="132"/>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[2015]001636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刘涛、马旭</w:t>
            </w:r>
          </w:p>
        </w:tc>
      </w:tr>
    </w:tbl>
    <w:p>
      <w:pPr>
        <w:pStyle w:val="BodyText"/>
        <w:spacing w:line="240" w:lineRule="auto" w:before="51"/>
        <w:ind w:left="495" w:right="1471"/>
        <w:jc w:val="center"/>
      </w:pPr>
      <w:r>
        <w:rPr/>
        <w:t>审计报告正文</w:t>
      </w:r>
    </w:p>
    <w:p>
      <w:pPr>
        <w:spacing w:before="157"/>
        <w:ind w:left="495" w:right="1474"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3"/>
        <w:spacing w:line="240" w:lineRule="auto" w:before="35"/>
        <w:ind w:left="0" w:right="1130"/>
        <w:jc w:val="right"/>
        <w:rPr>
          <w:b w:val="0"/>
          <w:bCs w:val="0"/>
        </w:rPr>
      </w:pPr>
      <w:r>
        <w:rPr>
          <w:w w:val="95"/>
        </w:rPr>
        <w:t>大华审字</w:t>
      </w:r>
      <w:r>
        <w:rPr>
          <w:rFonts w:ascii="Times New Roman" w:hAnsi="Times New Roman" w:cs="Times New Roman" w:eastAsia="Times New Roman" w:hint="default"/>
          <w:w w:val="95"/>
        </w:rPr>
        <w:t>[2015]001636</w:t>
      </w:r>
      <w:r>
        <w:rPr>
          <w:w w:val="95"/>
        </w:rPr>
        <w:t>号</w:t>
      </w:r>
      <w:r>
        <w:rPr>
          <w:b w:val="0"/>
          <w:bCs w:val="0"/>
        </w:rPr>
      </w:r>
    </w:p>
    <w:p>
      <w:pPr>
        <w:spacing w:line="240" w:lineRule="auto" w:before="5"/>
        <w:rPr>
          <w:rFonts w:ascii="宋体" w:hAnsi="宋体" w:cs="宋体" w:eastAsia="宋体" w:hint="default"/>
          <w:b/>
          <w:bCs/>
          <w:sz w:val="27"/>
          <w:szCs w:val="27"/>
        </w:rPr>
      </w:pPr>
    </w:p>
    <w:p>
      <w:pPr>
        <w:spacing w:line="316" w:lineRule="auto" w:before="0"/>
        <w:ind w:left="714" w:right="1128" w:hanging="561"/>
        <w:jc w:val="left"/>
        <w:rPr>
          <w:rFonts w:ascii="宋体" w:hAnsi="宋体" w:cs="宋体" w:eastAsia="宋体" w:hint="default"/>
          <w:sz w:val="18"/>
          <w:szCs w:val="18"/>
        </w:rPr>
      </w:pPr>
      <w:r>
        <w:rPr>
          <w:rFonts w:ascii="宋体" w:hAnsi="宋体" w:cs="宋体" w:eastAsia="宋体" w:hint="default"/>
          <w:b/>
          <w:bCs/>
          <w:sz w:val="18"/>
          <w:szCs w:val="18"/>
        </w:rPr>
        <w:t>二六三网络通信股份有限公司全体股东：</w:t>
      </w:r>
      <w:r>
        <w:rPr>
          <w:rFonts w:ascii="宋体" w:hAnsi="宋体" w:cs="宋体" w:eastAsia="宋体" w:hint="default"/>
          <w:b/>
          <w:bCs/>
          <w:w w:val="99"/>
          <w:sz w:val="18"/>
          <w:szCs w:val="18"/>
        </w:rPr>
        <w:t> </w:t>
      </w:r>
      <w:r>
        <w:rPr>
          <w:rFonts w:ascii="宋体" w:hAnsi="宋体" w:cs="宋体" w:eastAsia="宋体" w:hint="default"/>
          <w:spacing w:val="-1"/>
          <w:sz w:val="18"/>
          <w:szCs w:val="18"/>
        </w:rPr>
        <w:t>我们审计了后附的二六三网络通信股份有限公司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以下简称二六三公司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财务报表，包括</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日的合并及母公</w:t>
      </w:r>
    </w:p>
    <w:p>
      <w:pPr>
        <w:pStyle w:val="BodyText"/>
        <w:spacing w:line="300" w:lineRule="auto"/>
        <w:ind w:right="1118"/>
        <w:jc w:val="left"/>
      </w:pPr>
      <w:r>
        <w:rPr>
          <w:spacing w:val="-2"/>
        </w:rPr>
        <w:t>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年度的合并及母公司利润表、合并及母公司现金流量表、合并及母公司股东权益变动表，以及财务报表</w:t>
      </w:r>
      <w:r>
        <w:rPr>
          <w:spacing w:val="-61"/>
        </w:rPr>
        <w:t> </w:t>
      </w:r>
      <w:r>
        <w:rPr>
          <w:spacing w:val="-61"/>
        </w:rPr>
      </w:r>
      <w:r>
        <w:rPr/>
        <w:t>附注。</w:t>
      </w:r>
    </w:p>
    <w:p>
      <w:pPr>
        <w:spacing w:line="316" w:lineRule="auto" w:before="31"/>
        <w:ind w:left="714" w:right="1026"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编制和公允列报财务报表是二六三公司管理层的责任，这种责任包括：（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309" w:lineRule="auto"/>
        <w:ind w:left="714" w:right="1192" w:hanging="561"/>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w:t>
      </w:r>
    </w:p>
    <w:p>
      <w:pPr>
        <w:pStyle w:val="BodyText"/>
        <w:spacing w:line="316" w:lineRule="auto" w:before="24"/>
        <w:ind w:left="154" w:right="1118"/>
        <w:jc w:val="left"/>
      </w:pPr>
      <w:r>
        <w:rPr>
          <w:spacing w:val="-2"/>
        </w:rPr>
        <w:t>审计工作。中国注册会计师审计准则要求我们遵守职业道德守则，计划和执行审计工作以对财务报表是否不存在重大错报获</w:t>
      </w:r>
      <w:r>
        <w:rPr>
          <w:spacing w:val="-64"/>
        </w:rPr>
        <w:t> </w:t>
      </w:r>
      <w:r>
        <w:rPr>
          <w:spacing w:val="-64"/>
        </w:rPr>
      </w:r>
      <w:r>
        <w:rPr/>
        <w:t>取合理保证。</w:t>
      </w:r>
    </w:p>
    <w:p>
      <w:pPr>
        <w:pStyle w:val="BodyText"/>
        <w:spacing w:line="316" w:lineRule="auto" w:before="19"/>
        <w:ind w:left="154" w:right="0" w:firstLine="560"/>
        <w:jc w:val="left"/>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允列报相关的内部控制，以设计恰当的审计程序。审计工作还包括评价管理层选用会计政策的恰当性和作出会计估计的合理</w:t>
      </w:r>
      <w:r>
        <w:rPr>
          <w:spacing w:val="-64"/>
        </w:rPr>
        <w:t> </w:t>
      </w:r>
      <w:r>
        <w:rPr>
          <w:spacing w:val="-64"/>
        </w:rPr>
      </w:r>
      <w:r>
        <w:rPr/>
        <w:t>性，以及评价财务报表的总体列报。</w:t>
      </w:r>
    </w:p>
    <w:p>
      <w:pPr>
        <w:pStyle w:val="BodyText"/>
        <w:spacing w:line="316" w:lineRule="auto" w:before="19"/>
        <w:ind w:left="716" w:right="3892"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right="1193" w:firstLine="560"/>
        <w:jc w:val="left"/>
      </w:pPr>
      <w:r>
        <w:rPr/>
        <w:t>我们认为，二六三公司的财务报表在所有重大方面按照企业会计准则的规定编制，公允反映了二六三公司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997" w:type="dxa"/>
        <w:tblLayout w:type="fixed"/>
        <w:tblCellMar>
          <w:top w:w="0" w:type="dxa"/>
          <w:left w:w="0" w:type="dxa"/>
          <w:bottom w:w="0" w:type="dxa"/>
          <w:right w:w="0" w:type="dxa"/>
        </w:tblCellMar>
        <w:tblLook w:val="01E0"/>
      </w:tblPr>
      <w:tblGrid>
        <w:gridCol w:w="3577"/>
        <w:gridCol w:w="2737"/>
      </w:tblGrid>
      <w:tr>
        <w:trPr>
          <w:trHeight w:val="190"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2737" w:type="dxa"/>
            <w:tcBorders>
              <w:top w:val="nil" w:sz="6" w:space="0" w:color="auto"/>
              <w:left w:val="nil" w:sz="6" w:space="0" w:color="auto"/>
              <w:bottom w:val="nil" w:sz="6" w:space="0" w:color="auto"/>
              <w:right w:val="nil" w:sz="6" w:space="0" w:color="auto"/>
            </w:tcBorders>
          </w:tcPr>
          <w:p>
            <w:pPr>
              <w:pStyle w:val="TableParagraph"/>
              <w:spacing w:line="180" w:lineRule="exact"/>
              <w:ind w:left="737" w:right="0"/>
              <w:jc w:val="left"/>
              <w:rPr>
                <w:rFonts w:ascii="宋体" w:hAnsi="宋体" w:cs="宋体" w:eastAsia="宋体" w:hint="default"/>
                <w:sz w:val="18"/>
                <w:szCs w:val="18"/>
              </w:rPr>
            </w:pPr>
            <w:r>
              <w:rPr>
                <w:rFonts w:ascii="宋体" w:hAnsi="宋体" w:cs="宋体" w:eastAsia="宋体" w:hint="default"/>
                <w:sz w:val="18"/>
                <w:szCs w:val="18"/>
              </w:rPr>
              <w:t>中国注册会计师：马旭</w:t>
            </w:r>
          </w:p>
        </w:tc>
      </w:tr>
    </w:tbl>
    <w:p>
      <w:pPr>
        <w:spacing w:after="0" w:line="18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927" w:type="dxa"/>
        <w:tblLayout w:type="fixed"/>
        <w:tblCellMar>
          <w:top w:w="0" w:type="dxa"/>
          <w:left w:w="0" w:type="dxa"/>
          <w:bottom w:w="0" w:type="dxa"/>
          <w:right w:w="0" w:type="dxa"/>
        </w:tblCellMar>
        <w:tblLook w:val="01E0"/>
      </w:tblPr>
      <w:tblGrid>
        <w:gridCol w:w="5444"/>
      </w:tblGrid>
      <w:tr>
        <w:trPr>
          <w:trHeight w:val="820" w:hRule="exact"/>
        </w:trPr>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北京</w:t>
            </w:r>
          </w:p>
        </w:tc>
      </w:tr>
      <w:tr>
        <w:trPr>
          <w:trHeight w:val="649" w:hRule="exact"/>
        </w:trPr>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中国注册会计师：刘涛</w:t>
            </w:r>
          </w:p>
        </w:tc>
      </w:tr>
      <w:tr>
        <w:trPr>
          <w:trHeight w:val="422" w:hRule="exact"/>
        </w:trPr>
        <w:tc>
          <w:tcPr>
            <w:tcW w:w="54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二〇一五年三月二十七日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before="26"/>
        <w:ind w:left="154" w:right="0"/>
        <w:jc w:val="left"/>
        <w:rPr>
          <w:b w:val="0"/>
          <w:bCs w:val="0"/>
        </w:rPr>
      </w:pPr>
      <w:bookmarkStart w:name="二、财务报表" w:id="133"/>
      <w:bookmarkEnd w:id="13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34"/>
      <w:bookmarkEnd w:id="13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编制单位：二六三网络通信股份有限公司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
        <w:rPr>
          <w:rFonts w:ascii="宋体" w:hAnsi="宋体" w:cs="宋体" w:eastAsia="宋体" w:hint="default"/>
          <w:sz w:val="8"/>
          <w:szCs w:val="8"/>
        </w:rPr>
      </w:pPr>
      <w:r>
        <w:rPr/>
        <w:pict>
          <v:group style="position:absolute;margin-left:55.200001pt;margin-top:55.619984pt;width:485pt;height:.1pt;mso-position-horizontal-relative:page;mso-position-vertical-relative:page;z-index:-86233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4373"/>
        <w:gridCol w:w="2280"/>
        <w:gridCol w:w="2904"/>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510,293,386.15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291,855,818.55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48,448,631.14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43,887,237.12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35,275,576.90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20,681,324.74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1,189,315.07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152,312.33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14,913,314.96</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4,302,090.48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4,838,269.75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10,404,176.01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1,035,629.95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219,444,016.43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280"/>
        <w:gridCol w:w="2904"/>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650,494,123.92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602,146,975.66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16,310,800.00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34,681,810.41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41,232,445.52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90,708,327.41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88,433,515.21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4,504,899.17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10,804,040.89</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5,970,939.51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11,779,827.42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7,211,745.11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767,767,997.51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767,767,997.51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63,696,023.33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64,146,718.22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5,057,791.45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2,374,343.66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1,035,049,627.35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997,953,403.91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1,685,543,751.27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1,600,100,379.57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28,164,409.13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29,903,226.22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171,017,750.10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157,831,786.97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280"/>
        <w:gridCol w:w="2904"/>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21,634,023.93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31,937,931.87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4,686,352.63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-3,299,708.74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34,147,364.37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58,299,773.55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259,649,900.16</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274,673,009.87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7,662,015.67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126,717.37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7,662,015.67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126,717.37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267,311,915.83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274,799,727.24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482,493,802.00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349,887,655.89</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577,602,697.66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255,020.00</w:t>
            </w:r>
          </w:p>
        </w:tc>
        <w:tc>
          <w:tcPr>
            <w:tcW w:w="29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396"/>
        <w:gridCol w:w="2269"/>
        <w:gridCol w:w="2904"/>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22,934,891.07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-4,117,000.80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75,480,618.84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68,370,156.03</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487,689,887.64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443,444,799.44</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1,418,231,835.44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1,325,300,652.33</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1,418,231,835.44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1,325,300,652.33</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1,685,543,751.27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1,600,100,379.57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法定代表人：李小龙</w:t>
        <w:tab/>
        <w:t>主管会计工作负责人：刘江涛</w:t>
        <w:tab/>
        <w:t>会计机构负责人：董桂英</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35"/>
      <w:bookmarkEnd w:id="13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14"/>
        <w:gridCol w:w="2564"/>
        <w:gridCol w:w="2479"/>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325,140,356.00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88,791,248.64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4,263,479.98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1,406,362.44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19,263,791.11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2,055,520.76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1,189,315.07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152,312.33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221,443,109.50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188,395,538.37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13,192.61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10,687.82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1,035,629.95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215,828,100.08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606,848,874.22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508,059,770.44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35,481,165.84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16,310,800.00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656,371,685.85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657,039,797.37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514"/>
        <w:gridCol w:w="2564"/>
        <w:gridCol w:w="2479"/>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35,620,938.76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33,432,584.97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4,504,899.17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2,545,605.12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2,648,980.48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1,107,589.44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18,130.87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730,019,395.57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715,062,782.30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1,336,868,269.79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1,223,122,552.74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4,873,319.61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6,421,122.71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4,216,280.83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3,241,718.17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6,261,167.29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6,446,446.09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448,974.28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254,503.45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281,890,831.40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175,746,282.35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297,690,573.41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192,110,072.77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514"/>
        <w:gridCol w:w="2564"/>
        <w:gridCol w:w="2479"/>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126,717.37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126,717.37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297,690,573.41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192,236,790.14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482,493,802.00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372,957,780.34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600,672,822.49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255,020.00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19,170,365.84</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75,480,618.84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68,370,156.03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89,330,149.36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121,842,784.08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1,039,177,696.38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1,030,885,762.60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1,336,868,269.79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1,223,122,552.74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36"/>
      <w:bookmarkEnd w:id="13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924"/>
        <w:gridCol w:w="1289"/>
        <w:gridCol w:w="1345"/>
      </w:tblGrid>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684,897,755.79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715,974,866.79</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684,897,755.79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715,974,866.79</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539,975,262.30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588,458,351.51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46"/>
        <w:gridCol w:w="1277"/>
        <w:gridCol w:w="1345"/>
      </w:tblGrid>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215,592,158.39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254,648,796.64</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15,826,967.23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12,571,315.06</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132,502,592.65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131,883,358.24</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185,911,579.77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191,857,084.23</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-10,683,981.81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-1,911,889.28</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825,946.07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-590,313.38</w:t>
            </w:r>
            <w:r>
              <w:rPr>
                <w:rFonts w:ascii="Times New Roman"/>
                <w:sz w:val="18"/>
              </w:rPr>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-350,574.38</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7,321,936.20</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-6,897,274.53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-3,905,667.31</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144,571,919.11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134,838,451.48</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11,944,021.50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8,978,205.44</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365,461.10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4,591,065.38</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441,690.45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4,762,440.02</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218,296.29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644,782.07</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156,074,250.16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139,054,216.90</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8,211,899.15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848,148.08</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147,862,351.01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138,206,068.82</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147,862,351.01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137,791,122.41</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414,946.41</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27,051,891.87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-4,104,610.33</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27,051,891.87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-4,104,610.33</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权益法下在被投资单位不能重分类进损益的其他综合收益中享有的份额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27,051,891.87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-4,104,610.33</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权益法下在被投资单位以后将重分类进损益的其他综合收益中享有的份额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924"/>
        <w:gridCol w:w="1289"/>
        <w:gridCol w:w="1345"/>
      </w:tblGrid>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30,321,339.81</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-3,269,447.94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-4,104,610.33</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174,914,242.88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134,101,458.49</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174,914,242.88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133,686,512.08</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414,946.41</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法定代表人：李小龙</w:t>
        <w:tab/>
        <w:t>主管会计工作负责人：刘江涛</w:t>
        <w:tab/>
        <w:t>会计机构负责人：董桂英 </w:t>
      </w:r>
      <w:bookmarkStart w:name="4、母公司利润表" w:id="137"/>
      <w:bookmarkEnd w:id="1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066"/>
        <w:gridCol w:w="1288"/>
        <w:gridCol w:w="1204"/>
      </w:tblGrid>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25,960,448.93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76,974,241.16</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11,512,590.16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50,451,892.29</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481,654.89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2,008,896.25</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10,586,715.16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11,736,991.29</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45,810,571.53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44,833,864.61</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-13,889,317.87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-3,599,722.59</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276,091.15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-595,347.73</w:t>
            </w:r>
            <w:r>
              <w:rPr>
                <w:rFonts w:ascii="Times New Roman"/>
                <w:sz w:val="18"/>
              </w:rPr>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03"/>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98,797,773.91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73,505,421.54</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8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-5,165,018.38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-3,210,202.63</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69,979,917.82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45,643,088.58</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1,033,755.91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7,223,619.60</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4,591,065.38</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17,632.14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325,402.43</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16,490.70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237,442.57</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70,996,041.59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52,541,305.75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066"/>
        <w:gridCol w:w="1288"/>
        <w:gridCol w:w="1204"/>
      </w:tblGrid>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-108,586.50</w:t>
            </w:r>
            <w:r>
              <w:rPr>
                <w:rFonts w:ascii="Times New Roman"/>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-97,281.52</w:t>
            </w:r>
            <w:r>
              <w:rPr>
                <w:rFonts w:ascii="Times New Roman"/>
                <w:sz w:val="18"/>
              </w:rPr>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71,104,628.09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52,638,587.27</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19,170,365.84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121,680.48</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权益法下在被投资单位不能重分类进损益的其他综合收益中享有的份额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19,170,365.84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121,680.48</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权益法下在被投资单位以后将重分类进损益的其他综合收益中享有的份额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19,170,365.84</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121,680.48</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90,274,993.93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52,760,267.75</w:t>
            </w: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38"/>
      <w:bookmarkEnd w:id="13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7"/>
        <w:gridCol w:w="1996"/>
        <w:gridCol w:w="2054"/>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705,126,453.49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773,238,501.44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3,574,641.45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833,521.35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07"/>
        <w:gridCol w:w="1996"/>
        <w:gridCol w:w="2054"/>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36,607,084.46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20,074,299.38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745,308,179.40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794,146,322.17</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204,401,000.17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292,787,325.33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218,766,619.45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192,355,269.24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23,920,949.77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22,816,274.33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97,352,951.09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109,772,527.55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544,441,520.48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617,731,396.45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200,866,658.92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176,414,925.72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2,328,099.89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10,234,503.16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428,206.50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5,251,030.40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225,520,000.00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228,276,306.39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15,485,533.56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37,858,638.78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42,663,285.64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24,523,172.18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99,262,524.32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28,470,654.47</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125,352,465.43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367,445,809.96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102,923,840.96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-351,960,276.40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13,797,630.00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6"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13,797,630.00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30"/>
        <w:gridCol w:w="1985"/>
        <w:gridCol w:w="2054"/>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96,506,800.00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71,999,994.30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435,600.00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96,942,400.00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71,999,994.30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-83,144,770.00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-71,999,994.30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-2,424,950.96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-3,428,173.55</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218,220,778.92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-250,973,518.53</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291,530,012.55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542,503,531.08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509,750,791.47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291,530,012.55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39"/>
      <w:bookmarkEnd w:id="13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1713"/>
        <w:gridCol w:w="2479"/>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24,518,104.78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87,181,451.34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43,096.38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380,407,961.36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384,739,822.65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404,926,066.14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471,964,370.37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8,822,093.61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43,941,949.63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38,648,470.94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37,376,033.00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931,376.05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3,727,679.96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309,424,292.60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529,000,501.72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357,826,233.20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614,046,164.31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47,099,832.94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-142,081,793.94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125,256,500.00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102,328,099.89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90,234,503.16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161,521.00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10,924,246.61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33,308,524.28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225,520,000.00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361,318,145.17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266,415,249.77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5,379,283.15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12,732,558.31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94,342,284.32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1713"/>
        <w:gridCol w:w="2479"/>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30,514,817.60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88,924,100.75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332,594,842.63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272,394,044.42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-66,179,592.86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13,797,630.00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713"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713"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713"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13,797,630.00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713"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96,506,800.00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71,999,994.30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435,600.00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96,942,400.00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71,999,994.30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-83,144,770.00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-71,999,994.30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713"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236,349,107.36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-280,261,381.10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88,791,248.64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369,052,629.74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325,140,356.00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88,791,248.64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40"/>
      <w:bookmarkEnd w:id="14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577,602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,697.66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-4,117,0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00.80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68,370,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156.03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443,444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,799.44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577,602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-4,117,0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68,370,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156.03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443,444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242,49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5,041.7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27,051,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44,245,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088.20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92,931,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183.11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27,051,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147,862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174,914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,242.88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1,227,</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13,551,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760.23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740.23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1,227,</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11,052,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590.04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12,024,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570.04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2,499,1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70.19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2,499,1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70.19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7,262.8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6,802.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6,802.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482,49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3,802.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349,887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,655.89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255,020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75,480,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618.84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487,689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,887.64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603,123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,516.86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63,106,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297.30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382,917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,535.76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2,912,7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58.67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47,718.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603,123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,516.86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63,106,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297.30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382,917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,535.76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2,912,7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58.67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47,718.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-25,520,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819.20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-4,104,6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5,263,8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60,527,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263.68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-2,912,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758.67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33,252,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934.21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-4,104,6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137,791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,122.41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414,946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134,101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,458.49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-25,520,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819.20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-3,327,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705.08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-28,848,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524.28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-25,520,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819.20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-3,327,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705.08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-28,848,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524.28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5,263,8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-77,263,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858.73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5,263,8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-5,263,8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58.73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577,602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,697.66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-4,117,0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68,370,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156.03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443,444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,799.44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41"/>
      <w:bookmarkEnd w:id="14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600,672,8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22.49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68,370,15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121,842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,784.08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1,030,885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,762.60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600,672,8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22.49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68,370,15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121,842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,784.08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1,030,885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,762.60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242,493,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-227,715,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042.15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7,110,462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-32,512,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634.72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8,291,933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628.09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90,274,99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3.93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1,227,00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13,551,75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14,523,73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9.85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1,227,00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11,052,59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12,024,57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0.04</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2,499,169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2,499,169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7,110,462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7,262.8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-96,506,8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7,110,462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-7,110,4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62.81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-96,506,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-96,506,8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-241,266,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482,493,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372,957,7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75,480,61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89,330,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149.36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1,039,177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,696.38</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600,551,1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42.01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63,106,29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146,468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,055.54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1,050,125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,494.85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600,551,1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42.01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63,106,29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146,468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,055.54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1,050,125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,494.85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5,263,858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-24,625,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271.46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-19,239,7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32.25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52,638,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587.27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52,760,26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7.75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5,263,858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-77,263,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858.73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5,263,858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-5,263,8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58.73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600,672,8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68,370,15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121,842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1,030,885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,762.60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42"/>
      <w:bookmarkEnd w:id="142"/>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39" w:right="0"/>
        <w:jc w:val="left"/>
        <w:rPr>
          <w:b w:val="0"/>
          <w:bCs w:val="0"/>
        </w:rPr>
      </w:pPr>
      <w:bookmarkStart w:name="（一）公司注册地、组织形式和总部地址" w:id="143"/>
      <w:bookmarkEnd w:id="143"/>
      <w:r>
        <w:rPr>
          <w:b w:val="0"/>
          <w:bCs w:val="0"/>
        </w:rPr>
      </w:r>
      <w:r>
        <w:rPr/>
        <w:t>（一）公司注册地、组织形式和总部地址</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79"/>
        <w:ind w:right="1130" w:firstLine="420"/>
        <w:jc w:val="both"/>
      </w:pPr>
      <w:r>
        <w:rPr>
          <w:spacing w:val="-1"/>
        </w:rPr>
        <w:t>二六三网络通信股份有限公司（以下简称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日设立，</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日，本公司整体</w:t>
      </w:r>
      <w:r>
        <w:rPr/>
        <w:t> 变更为股份有限公司，股份总额为</w:t>
      </w:r>
      <w:r>
        <w:rPr>
          <w:rFonts w:ascii="Times New Roman" w:hAnsi="Times New Roman" w:cs="Times New Roman" w:eastAsia="Times New Roman" w:hint="default"/>
        </w:rPr>
        <w:t>9000</w:t>
      </w:r>
      <w:r>
        <w:rPr/>
        <w:t>万股，注册资本</w:t>
      </w:r>
      <w:r>
        <w:rPr>
          <w:rFonts w:ascii="Times New Roman" w:hAnsi="Times New Roman" w:cs="Times New Roman" w:eastAsia="Times New Roman" w:hint="default"/>
        </w:rPr>
        <w:t>9,000.00</w:t>
      </w:r>
      <w:r>
        <w:rPr/>
        <w:t>万元。</w:t>
      </w:r>
    </w:p>
    <w:p>
      <w:pPr>
        <w:pStyle w:val="BodyText"/>
        <w:spacing w:line="451" w:lineRule="auto" w:before="44"/>
        <w:ind w:right="1130" w:firstLine="420"/>
        <w:jc w:val="both"/>
      </w:pPr>
      <w:r>
        <w:rPr/>
        <w:t>根据本公司</w:t>
      </w:r>
      <w:r>
        <w:rPr>
          <w:rFonts w:ascii="Times New Roman" w:hAnsi="Times New Roman" w:cs="Times New Roman" w:eastAsia="Times New Roman" w:hint="default"/>
        </w:rPr>
        <w:t>2010</w:t>
      </w:r>
      <w:r>
        <w:rPr/>
        <w:t>年第一次临时股东大会通过决议及中国证券监督管理委员会证监许可［</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871</w:t>
      </w:r>
      <w:r>
        <w:rPr/>
        <w:t>号文</w:t>
      </w:r>
      <w:r>
        <w:rPr>
          <w:spacing w:val="-40"/>
        </w:rPr>
        <w:t> </w:t>
      </w:r>
      <w:r>
        <w:rPr>
          <w:rFonts w:ascii="Times New Roman" w:hAnsi="Times New Roman" w:cs="Times New Roman" w:eastAsia="Times New Roman" w:hint="default"/>
        </w:rPr>
        <w:t>“</w:t>
      </w:r>
      <w:r>
        <w:rPr/>
        <w:t>关于核准二六 </w:t>
      </w:r>
      <w:r>
        <w:rPr>
          <w:spacing w:val="-1"/>
        </w:rPr>
        <w:t>三网络通信股份有限公司首次公开发行股票的批复</w:t>
      </w:r>
      <w:r>
        <w:rPr>
          <w:rFonts w:ascii="Times New Roman" w:hAnsi="Times New Roman" w:cs="Times New Roman" w:eastAsia="Times New Roman" w:hint="default"/>
          <w:spacing w:val="-1"/>
        </w:rPr>
        <w:t>”</w:t>
      </w:r>
      <w:r>
        <w:rPr>
          <w:spacing w:val="-1"/>
        </w:rPr>
        <w:t>，本公司首次公开发行人民币普通股（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3,000.00</w:t>
      </w:r>
      <w:r>
        <w:rPr>
          <w:spacing w:val="-1"/>
        </w:rPr>
        <w:t>万股，</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7"/>
        </w:rPr>
        <w:t> </w:t>
      </w:r>
      <w:r>
        <w:rPr/>
        <w:t>日起本公司股票在深圳证券交易所上市交易。</w:t>
      </w:r>
    </w:p>
    <w:p>
      <w:pPr>
        <w:spacing w:after="0" w:line="45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73" w:right="0"/>
        <w:jc w:val="left"/>
      </w:pPr>
      <w:r>
        <w:rPr/>
        <w:t>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日完成了工商变更登记并换领了注册号为</w:t>
      </w:r>
      <w:r>
        <w:rPr>
          <w:rFonts w:ascii="Times New Roman" w:hAnsi="Times New Roman" w:cs="Times New Roman" w:eastAsia="Times New Roman" w:hint="default"/>
        </w:rPr>
        <w:t>110000000991739</w:t>
      </w:r>
      <w:r>
        <w:rPr/>
        <w:t>的企业法人营业执照，注册资本由</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9,000.00</w:t>
      </w:r>
      <w:r>
        <w:rPr/>
        <w:t>万元变更为</w:t>
      </w:r>
      <w:r>
        <w:rPr>
          <w:rFonts w:ascii="Times New Roman" w:hAnsi="Times New Roman" w:cs="Times New Roman" w:eastAsia="Times New Roman" w:hint="default"/>
        </w:rPr>
        <w:t>12,000.00</w:t>
      </w:r>
      <w:r>
        <w:rPr/>
        <w:t>万元。</w:t>
      </w:r>
    </w:p>
    <w:p>
      <w:pPr>
        <w:spacing w:line="240" w:lineRule="auto" w:before="9"/>
        <w:rPr>
          <w:rFonts w:ascii="宋体" w:hAnsi="宋体" w:cs="宋体" w:eastAsia="宋体" w:hint="default"/>
          <w:sz w:val="16"/>
          <w:szCs w:val="16"/>
        </w:rPr>
      </w:pPr>
    </w:p>
    <w:p>
      <w:pPr>
        <w:pStyle w:val="BodyText"/>
        <w:spacing w:line="451" w:lineRule="auto"/>
        <w:ind w:right="1132" w:firstLine="50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日，本公司股东大会决议批准：本公司以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12,000.00</w:t>
      </w:r>
      <w:r>
        <w:rPr/>
        <w:t>万股为基数，以资本公积向全 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股。上述转增出资业经利安达会计师事务所有限责任公司于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日以利安达验字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1034</w:t>
      </w:r>
      <w:r>
        <w:rPr>
          <w:rFonts w:ascii="Times New Roman" w:hAnsi="Times New Roman" w:cs="Times New Roman" w:eastAsia="Times New Roman" w:hint="default"/>
          <w:spacing w:val="15"/>
        </w:rPr>
        <w:t> </w:t>
      </w:r>
      <w:r>
        <w:rPr/>
        <w:t>号验资报告验证。</w:t>
      </w:r>
    </w:p>
    <w:p>
      <w:pPr>
        <w:pStyle w:val="BodyText"/>
        <w:spacing w:line="240" w:lineRule="auto" w:before="74"/>
        <w:ind w:left="573" w:right="0"/>
        <w:jc w:val="left"/>
      </w:pPr>
      <w:r>
        <w:rPr>
          <w:spacing w:val="3"/>
        </w:rPr>
        <w:t>本公司于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25</w:t>
      </w:r>
      <w:r>
        <w:rPr>
          <w:spacing w:val="3"/>
        </w:rPr>
        <w:t>日完成了工商变更登记并换领了注册号为</w:t>
      </w:r>
      <w:r>
        <w:rPr>
          <w:rFonts w:ascii="Times New Roman" w:hAnsi="Times New Roman" w:cs="Times New Roman" w:eastAsia="Times New Roman" w:hint="default"/>
          <w:spacing w:val="3"/>
        </w:rPr>
        <w:t>110000000991739</w:t>
      </w:r>
      <w:r>
        <w:rPr>
          <w:spacing w:val="3"/>
        </w:rPr>
        <w:t>的企业法人营业执照，注册资本由</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12,000.00</w:t>
      </w:r>
      <w:r>
        <w:rPr/>
        <w:t>万元变更为</w:t>
      </w:r>
      <w:r>
        <w:rPr>
          <w:rFonts w:ascii="Times New Roman" w:hAnsi="Times New Roman" w:cs="Times New Roman" w:eastAsia="Times New Roman" w:hint="default"/>
        </w:rPr>
        <w:t>24,000.00</w:t>
      </w:r>
      <w:r>
        <w:rPr/>
        <w:t>万元。</w:t>
      </w:r>
    </w:p>
    <w:p>
      <w:pPr>
        <w:spacing w:line="240" w:lineRule="auto" w:before="9"/>
        <w:rPr>
          <w:rFonts w:ascii="宋体" w:hAnsi="宋体" w:cs="宋体" w:eastAsia="宋体" w:hint="default"/>
          <w:sz w:val="16"/>
          <w:szCs w:val="16"/>
        </w:rPr>
      </w:pPr>
    </w:p>
    <w:p>
      <w:pPr>
        <w:pStyle w:val="BodyText"/>
        <w:spacing w:line="451" w:lineRule="auto"/>
        <w:ind w:left="154" w:right="1129"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日，经证监会上市一部函</w:t>
      </w:r>
      <w:r>
        <w:rPr>
          <w:rFonts w:ascii="Times New Roman" w:hAnsi="Times New Roman" w:cs="Times New Roman" w:eastAsia="Times New Roman" w:hint="default"/>
        </w:rPr>
        <w:t>[2013]999</w:t>
      </w:r>
      <w:r>
        <w:rPr/>
        <w:t>号文批准，及</w:t>
      </w:r>
      <w:r>
        <w:rPr>
          <w:rFonts w:ascii="Times New Roman" w:hAnsi="Times New Roman" w:cs="Times New Roman" w:eastAsia="Times New Roman" w:hint="default"/>
        </w:rPr>
        <w:t>2014</w:t>
      </w:r>
      <w:r>
        <w:rPr/>
        <w:t>年第一次临时股东大会决议和第四届董事会第十六 次会议的规定拟向</w:t>
      </w:r>
      <w:r>
        <w:rPr>
          <w:rFonts w:ascii="Times New Roman" w:hAnsi="Times New Roman" w:cs="Times New Roman" w:eastAsia="Times New Roman" w:hint="default"/>
        </w:rPr>
        <w:t>91</w:t>
      </w:r>
      <w:r>
        <w:rPr/>
        <w:t>名激励对象授予限制性股票</w:t>
      </w:r>
      <w:r>
        <w:rPr>
          <w:rFonts w:ascii="Times New Roman" w:hAnsi="Times New Roman" w:cs="Times New Roman" w:eastAsia="Times New Roman" w:hint="default"/>
        </w:rPr>
        <w:t>127</w:t>
      </w:r>
      <w:r>
        <w:rPr/>
        <w:t>万股，每股面值</w:t>
      </w:r>
      <w:r>
        <w:rPr>
          <w:rFonts w:ascii="Times New Roman" w:hAnsi="Times New Roman" w:cs="Times New Roman" w:eastAsia="Times New Roman" w:hint="default"/>
        </w:rPr>
        <w:t>1</w:t>
      </w:r>
      <w:r>
        <w:rPr/>
        <w:t>元，每股价格</w:t>
      </w:r>
      <w:r>
        <w:rPr>
          <w:rFonts w:ascii="Times New Roman" w:hAnsi="Times New Roman" w:cs="Times New Roman" w:eastAsia="Times New Roman" w:hint="default"/>
        </w:rPr>
        <w:t>10.89</w:t>
      </w:r>
      <w:r>
        <w:rPr/>
        <w:t>元，注册资本依据激励对象实际认</w:t>
      </w:r>
      <w:r>
        <w:rPr>
          <w:spacing w:val="-47"/>
        </w:rPr>
        <w:t> </w:t>
      </w:r>
      <w:r>
        <w:rPr>
          <w:spacing w:val="-47"/>
        </w:rPr>
      </w:r>
      <w:r>
        <w:rPr>
          <w:spacing w:val="-1"/>
        </w:rPr>
        <w:t>购情况增加；截至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日止，实际认购人为</w:t>
      </w:r>
      <w:r>
        <w:rPr>
          <w:rFonts w:ascii="Times New Roman" w:hAnsi="Times New Roman" w:cs="Times New Roman" w:eastAsia="Times New Roman" w:hint="default"/>
          <w:spacing w:val="-1"/>
        </w:rPr>
        <w:t>90</w:t>
      </w:r>
      <w:r>
        <w:rPr>
          <w:spacing w:val="-1"/>
        </w:rPr>
        <w:t>人，实际授予数量为</w:t>
      </w:r>
      <w:r>
        <w:rPr>
          <w:rFonts w:ascii="Times New Roman" w:hAnsi="Times New Roman" w:cs="Times New Roman" w:eastAsia="Times New Roman" w:hint="default"/>
          <w:spacing w:val="-1"/>
        </w:rPr>
        <w:t>126.7</w:t>
      </w:r>
      <w:r>
        <w:rPr>
          <w:spacing w:val="-1"/>
        </w:rPr>
        <w:t>万股。根据本公司修改后章程的规定，申请</w:t>
      </w:r>
      <w:r>
        <w:rPr>
          <w:spacing w:val="-71"/>
        </w:rPr>
        <w:t> </w:t>
      </w:r>
      <w:r>
        <w:rPr>
          <w:spacing w:val="-71"/>
        </w:rPr>
      </w:r>
      <w:r>
        <w:rPr/>
        <w:t>增加注册资本人民币</w:t>
      </w:r>
      <w:r>
        <w:rPr>
          <w:rFonts w:ascii="Times New Roman" w:hAnsi="Times New Roman" w:cs="Times New Roman" w:eastAsia="Times New Roman" w:hint="default"/>
        </w:rPr>
        <w:t>126.7</w:t>
      </w:r>
      <w:r>
        <w:rPr/>
        <w:t>万元，由</w:t>
      </w:r>
      <w:r>
        <w:rPr>
          <w:rFonts w:ascii="Times New Roman" w:hAnsi="Times New Roman" w:cs="Times New Roman" w:eastAsia="Times New Roman" w:hint="default"/>
        </w:rPr>
        <w:t>90</w:t>
      </w:r>
      <w:r>
        <w:rPr/>
        <w:t>名授予的激励对象认购限制性股票</w:t>
      </w:r>
      <w:r>
        <w:rPr>
          <w:rFonts w:ascii="Times New Roman" w:hAnsi="Times New Roman" w:cs="Times New Roman" w:eastAsia="Times New Roman" w:hint="default"/>
        </w:rPr>
        <w:t>126.7</w:t>
      </w:r>
      <w:r>
        <w:rPr/>
        <w:t>万股，每股面值</w:t>
      </w:r>
      <w:r>
        <w:rPr>
          <w:rFonts w:ascii="Times New Roman" w:hAnsi="Times New Roman" w:cs="Times New Roman" w:eastAsia="Times New Roman" w:hint="default"/>
        </w:rPr>
        <w:t>1</w:t>
      </w:r>
      <w:r>
        <w:rPr/>
        <w:t>元，每股价格</w:t>
      </w:r>
      <w:r>
        <w:rPr>
          <w:rFonts w:ascii="Times New Roman" w:hAnsi="Times New Roman" w:cs="Times New Roman" w:eastAsia="Times New Roman" w:hint="default"/>
        </w:rPr>
        <w:t>10.89</w:t>
      </w:r>
      <w:r>
        <w:rPr/>
        <w:t>元，增加</w:t>
      </w:r>
      <w:r>
        <w:rPr>
          <w:spacing w:val="-46"/>
        </w:rPr>
        <w:t> </w:t>
      </w:r>
      <w:r>
        <w:rPr>
          <w:spacing w:val="-46"/>
        </w:rPr>
      </w:r>
      <w:r>
        <w:rPr/>
        <w:t>注册资本人民币</w:t>
      </w:r>
      <w:r>
        <w:rPr>
          <w:rFonts w:ascii="Times New Roman" w:hAnsi="Times New Roman" w:cs="Times New Roman" w:eastAsia="Times New Roman" w:hint="default"/>
        </w:rPr>
        <w:t>126.7</w:t>
      </w:r>
      <w:r>
        <w:rPr/>
        <w:t>万元，变更后的注册资本为人民币</w:t>
      </w:r>
      <w:r>
        <w:rPr>
          <w:rFonts w:ascii="Times New Roman" w:hAnsi="Times New Roman" w:cs="Times New Roman" w:eastAsia="Times New Roman" w:hint="default"/>
        </w:rPr>
        <w:t>24,126.70</w:t>
      </w:r>
      <w:r>
        <w:rPr/>
        <w:t>万元。上述增加出资业经大华会计师事务所（特殊普通合</w:t>
      </w:r>
      <w:r>
        <w:rPr>
          <w:spacing w:val="-48"/>
        </w:rPr>
        <w:t> </w:t>
      </w:r>
      <w:r>
        <w:rPr>
          <w:spacing w:val="-48"/>
        </w:rPr>
      </w:r>
      <w:r>
        <w:rPr/>
        <w:t>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日以大华验字</w:t>
      </w:r>
      <w:r>
        <w:rPr>
          <w:rFonts w:ascii="Times New Roman" w:hAnsi="Times New Roman" w:cs="Times New Roman" w:eastAsia="Times New Roman" w:hint="default"/>
        </w:rPr>
        <w:t>[2014]000053</w:t>
      </w:r>
      <w:r>
        <w:rPr/>
        <w:t>号验资报告验证。本公司于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日完成了工商变更登记。</w:t>
      </w:r>
    </w:p>
    <w:p>
      <w:pPr>
        <w:pStyle w:val="BodyText"/>
        <w:spacing w:line="451" w:lineRule="auto" w:before="43"/>
        <w:ind w:right="1130" w:firstLine="420"/>
        <w:jc w:val="both"/>
      </w:pPr>
      <w:r>
        <w:rPr>
          <w:spacing w:val="-1"/>
        </w:rPr>
        <w:t>根据《</w:t>
      </w:r>
      <w:r>
        <w:rPr>
          <w:rFonts w:ascii="Times New Roman" w:hAnsi="Times New Roman" w:cs="Times New Roman" w:eastAsia="Times New Roman" w:hint="default"/>
          <w:spacing w:val="-1"/>
        </w:rPr>
        <w:t>2013</w:t>
      </w:r>
      <w:r>
        <w:rPr>
          <w:spacing w:val="-1"/>
        </w:rPr>
        <w:t>年限制性股票激励计划（草案修订稿）》、</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w:t>
      </w:r>
      <w:r>
        <w:rPr>
          <w:rFonts w:ascii="Times New Roman" w:hAnsi="Times New Roman" w:cs="Times New Roman" w:eastAsia="Times New Roman" w:hint="default"/>
          <w:spacing w:val="-1"/>
        </w:rPr>
        <w:t>2014</w:t>
      </w:r>
      <w:r>
        <w:rPr>
          <w:spacing w:val="-1"/>
        </w:rPr>
        <w:t>年第二次临时股东大会决议和修改后章程的</w:t>
      </w:r>
      <w:r>
        <w:rPr/>
        <w:t> </w:t>
      </w:r>
      <w:r>
        <w:rPr>
          <w:spacing w:val="-2"/>
        </w:rPr>
        <w:t>规定，本公司申请减少注册资本人民币</w:t>
      </w:r>
      <w:r>
        <w:rPr>
          <w:rFonts w:ascii="Times New Roman" w:hAnsi="Times New Roman" w:cs="Times New Roman" w:eastAsia="Times New Roman" w:hint="default"/>
          <w:spacing w:val="-2"/>
        </w:rPr>
        <w:t>40,000.00</w:t>
      </w:r>
      <w:r>
        <w:rPr>
          <w:spacing w:val="-2"/>
        </w:rPr>
        <w:t>元，变更后本公司的注册资本为人民币</w:t>
      </w:r>
      <w:r>
        <w:rPr>
          <w:rFonts w:ascii="Times New Roman" w:hAnsi="Times New Roman" w:cs="Times New Roman" w:eastAsia="Times New Roman" w:hint="default"/>
          <w:spacing w:val="-2"/>
        </w:rPr>
        <w:t>24,122.70</w:t>
      </w:r>
      <w:r>
        <w:rPr>
          <w:spacing w:val="-2"/>
        </w:rPr>
        <w:t>万元。上述减少出资业经大</w:t>
      </w:r>
      <w:r>
        <w:rPr>
          <w:spacing w:val="-50"/>
        </w:rPr>
        <w:t> </w:t>
      </w:r>
      <w:r>
        <w:rPr>
          <w:spacing w:val="-50"/>
        </w:rPr>
      </w:r>
      <w:r>
        <w:rPr>
          <w:spacing w:val="-1"/>
        </w:rPr>
        <w:t>华会计师事务所（特殊普通合伙）于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日以大华验字</w:t>
      </w:r>
      <w:r>
        <w:rPr>
          <w:rFonts w:ascii="Times New Roman" w:hAnsi="Times New Roman" w:cs="Times New Roman" w:eastAsia="Times New Roman" w:hint="default"/>
          <w:spacing w:val="-1"/>
        </w:rPr>
        <w:t>[2014]000128</w:t>
      </w:r>
      <w:r>
        <w:rPr>
          <w:spacing w:val="-1"/>
        </w:rPr>
        <w:t>号验资报告验证。本公司于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日完成</w:t>
      </w:r>
      <w:r>
        <w:rPr>
          <w:spacing w:val="-48"/>
        </w:rPr>
        <w:t> </w:t>
      </w:r>
      <w:r>
        <w:rPr/>
        <w:t>工商变更登记。</w:t>
      </w:r>
    </w:p>
    <w:p>
      <w:pPr>
        <w:pStyle w:val="BodyText"/>
        <w:spacing w:line="451" w:lineRule="auto" w:before="74"/>
        <w:ind w:right="1129"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日，本公司股东大会决议批准</w:t>
      </w:r>
      <w:r>
        <w:rPr>
          <w:rFonts w:ascii="Times New Roman" w:hAnsi="Times New Roman" w:cs="Times New Roman" w:eastAsia="Times New Roman" w:hint="default"/>
        </w:rPr>
        <w:t>:</w:t>
      </w:r>
      <w:r>
        <w:rPr/>
        <w:t>本公司以截止到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日的总股本</w:t>
      </w:r>
      <w:r>
        <w:rPr>
          <w:rFonts w:ascii="Times New Roman" w:hAnsi="Times New Roman" w:cs="Times New Roman" w:eastAsia="Times New Roman" w:hint="default"/>
        </w:rPr>
        <w:t>24,122.70</w:t>
      </w:r>
      <w:r>
        <w:rPr/>
        <w:t>万股为基数，以资本公积 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10.001650</w:t>
      </w:r>
      <w:r>
        <w:rPr>
          <w:rFonts w:ascii="Times New Roman" w:hAnsi="Times New Roman" w:cs="Times New Roman" w:eastAsia="Times New Roman" w:hint="default"/>
          <w:spacing w:val="8"/>
        </w:rPr>
        <w:t> </w:t>
      </w:r>
      <w:r>
        <w:rPr/>
        <w:t>股。上述转增出资业经大华会计师事务所（特殊普通合伙）于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日以大华验 字</w:t>
      </w:r>
      <w:r>
        <w:rPr>
          <w:rFonts w:ascii="Times New Roman" w:hAnsi="Times New Roman" w:cs="Times New Roman" w:eastAsia="Times New Roman" w:hint="default"/>
        </w:rPr>
        <w:t>[2014]000258</w:t>
      </w:r>
      <w:r>
        <w:rPr/>
        <w:t>号验资报告验证。本公司于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日完成了工商变更登记，注册资本变更为</w:t>
      </w:r>
      <w:r>
        <w:rPr>
          <w:rFonts w:ascii="Times New Roman" w:hAnsi="Times New Roman" w:cs="Times New Roman" w:eastAsia="Times New Roman" w:hint="default"/>
        </w:rPr>
        <w:t>48,249.3802</w:t>
      </w:r>
      <w:r>
        <w:rPr/>
        <w:t>万元。</w:t>
      </w:r>
    </w:p>
    <w:p>
      <w:pPr>
        <w:pStyle w:val="BodyText"/>
        <w:spacing w:line="451" w:lineRule="auto" w:before="43"/>
        <w:ind w:right="1130" w:firstLine="420"/>
        <w:jc w:val="both"/>
      </w:pPr>
      <w:r>
        <w:rPr/>
        <w:t>根据《</w:t>
      </w:r>
      <w:r>
        <w:rPr>
          <w:rFonts w:ascii="Times New Roman" w:hAnsi="Times New Roman" w:cs="Times New Roman" w:eastAsia="Times New Roman" w:hint="default"/>
        </w:rPr>
        <w:t>2013</w:t>
      </w:r>
      <w:r>
        <w:rPr/>
        <w:t>年限制性股票激励计划（草案修订稿）》、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2015</w:t>
      </w:r>
      <w:r>
        <w:rPr/>
        <w:t>年第一次临时股东大会决议和修改后章程的 </w:t>
      </w:r>
      <w:r>
        <w:rPr>
          <w:spacing w:val="-1"/>
        </w:rPr>
        <w:t>规定，本公司申请减少注册资本人民币</w:t>
      </w:r>
      <w:r>
        <w:rPr>
          <w:rFonts w:ascii="Times New Roman" w:hAnsi="Times New Roman" w:cs="Times New Roman" w:eastAsia="Times New Roman" w:hint="default"/>
          <w:spacing w:val="-1"/>
        </w:rPr>
        <w:t>255,020.00</w:t>
      </w:r>
      <w:r>
        <w:rPr>
          <w:spacing w:val="-1"/>
        </w:rPr>
        <w:t>元，变更后本公司的注册资本为人民币</w:t>
      </w:r>
      <w:r>
        <w:rPr>
          <w:rFonts w:ascii="Times New Roman" w:hAnsi="Times New Roman" w:cs="Times New Roman" w:eastAsia="Times New Roman" w:hint="default"/>
          <w:spacing w:val="-1"/>
        </w:rPr>
        <w:t>482,238,782.00</w:t>
      </w:r>
      <w:r>
        <w:rPr>
          <w:spacing w:val="-1"/>
        </w:rPr>
        <w:t>元。上述减少出资业</w:t>
      </w:r>
      <w:r>
        <w:rPr>
          <w:spacing w:val="-69"/>
        </w:rPr>
        <w:t> </w:t>
      </w:r>
      <w:r>
        <w:rPr>
          <w:spacing w:val="-69"/>
        </w:rPr>
      </w:r>
      <w:r>
        <w:rPr>
          <w:spacing w:val="-1"/>
        </w:rPr>
        <w:t>经大华会计师事务所（特殊普通合伙）于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日以大华验字</w:t>
      </w:r>
      <w:r>
        <w:rPr>
          <w:rFonts w:ascii="Times New Roman" w:hAnsi="Times New Roman" w:cs="Times New Roman" w:eastAsia="Times New Roman" w:hint="default"/>
          <w:spacing w:val="-1"/>
        </w:rPr>
        <w:t>[2015]000079</w:t>
      </w:r>
      <w:r>
        <w:rPr>
          <w:spacing w:val="-1"/>
        </w:rPr>
        <w:t>号验资报告验证。本公司于</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17</w:t>
      </w:r>
      <w:r>
        <w:rPr>
          <w:spacing w:val="-1"/>
        </w:rPr>
        <w:t>日</w:t>
      </w:r>
      <w:r>
        <w:rPr>
          <w:spacing w:val="-48"/>
        </w:rPr>
        <w:t> </w:t>
      </w:r>
      <w:r>
        <w:rPr/>
        <w:t>完成了工商变更登记，注册资本变更为</w:t>
      </w:r>
      <w:r>
        <w:rPr>
          <w:rFonts w:ascii="Times New Roman" w:hAnsi="Times New Roman" w:cs="Times New Roman" w:eastAsia="Times New Roman" w:hint="default"/>
        </w:rPr>
        <w:t>48,223.8782</w:t>
      </w:r>
      <w:r>
        <w:rPr/>
        <w:t>万元。</w:t>
      </w:r>
    </w:p>
    <w:p>
      <w:pPr>
        <w:pStyle w:val="BodyText"/>
        <w:spacing w:line="240" w:lineRule="auto" w:before="43"/>
        <w:ind w:left="574" w:right="0"/>
        <w:jc w:val="left"/>
      </w:pPr>
      <w:r>
        <w:rPr/>
        <w:t>注册地址：北京市昌平区城区镇超前路</w:t>
      </w:r>
      <w:r>
        <w:rPr>
          <w:rFonts w:ascii="Times New Roman" w:hAnsi="Times New Roman" w:cs="Times New Roman" w:eastAsia="Times New Roman" w:hint="default"/>
        </w:rPr>
        <w:t>13</w:t>
      </w:r>
      <w:r>
        <w:rPr/>
        <w:t>号，集团最终实际控制人为李小龙。</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470" w:right="0"/>
        <w:jc w:val="left"/>
        <w:rPr>
          <w:b w:val="0"/>
          <w:bCs w:val="0"/>
        </w:rPr>
      </w:pPr>
      <w:bookmarkStart w:name="（二）经营范围" w:id="144"/>
      <w:bookmarkEnd w:id="144"/>
      <w:r>
        <w:rPr>
          <w:b w:val="0"/>
          <w:bCs w:val="0"/>
        </w:rPr>
      </w:r>
      <w:r>
        <w:rPr/>
        <w:t>（二）经营范围</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79"/>
        <w:ind w:right="1130" w:firstLine="480"/>
        <w:jc w:val="both"/>
      </w:pPr>
      <w:r>
        <w:rPr/>
        <w:t>增值电信业务；互联网信息服务；计算机信息网络国际联网经营业务；电子商务；设计和制作网络广告；利用</w:t>
      </w:r>
      <w:r>
        <w:rPr>
          <w:rFonts w:ascii="Times New Roman" w:hAnsi="Times New Roman" w:cs="Times New Roman" w:eastAsia="Times New Roman" w:hint="default"/>
        </w:rPr>
        <w:t>263</w:t>
      </w:r>
      <w:r>
        <w:rPr/>
        <w:t>网 </w:t>
      </w:r>
      <w:r>
        <w:rPr>
          <w:spacing w:val="-1"/>
        </w:rPr>
        <w:t>站（</w:t>
      </w:r>
      <w:hyperlink r:id="rId20">
        <w:r>
          <w:rPr>
            <w:rFonts w:ascii="Times New Roman" w:hAnsi="Times New Roman" w:cs="Times New Roman" w:eastAsia="Times New Roman" w:hint="default"/>
            <w:spacing w:val="-1"/>
          </w:rPr>
          <w:t>www.263.net.cn</w:t>
        </w:r>
      </w:hyperlink>
      <w:r>
        <w:rPr>
          <w:spacing w:val="-1"/>
        </w:rPr>
        <w:t>）发布网络广告；电子技术、网络技术、计算机软件开发；销售自行开发后产品；物业管理（限分支机</w:t>
      </w:r>
      <w:r>
        <w:rPr>
          <w:spacing w:val="-46"/>
        </w:rPr>
        <w:t> </w:t>
      </w:r>
      <w:r>
        <w:rPr>
          <w:spacing w:val="-46"/>
        </w:rPr>
      </w:r>
      <w:r>
        <w:rPr/>
        <w:t>构经营）。</w:t>
      </w:r>
    </w:p>
    <w:p>
      <w:pPr>
        <w:spacing w:after="0" w:line="451"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423" w:right="0"/>
        <w:jc w:val="left"/>
        <w:rPr>
          <w:b w:val="0"/>
          <w:bCs w:val="0"/>
        </w:rPr>
      </w:pPr>
      <w:bookmarkStart w:name="（三）公司业务性质和主要经营活动" w:id="145"/>
      <w:bookmarkEnd w:id="145"/>
      <w:r>
        <w:rPr>
          <w:b w:val="0"/>
          <w:bCs w:val="0"/>
        </w:rPr>
      </w:r>
      <w:r>
        <w:rPr/>
        <w:t>（三）公司业务性质和主要经营活动</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79"/>
        <w:ind w:left="574" w:right="7992" w:firstLine="2"/>
        <w:jc w:val="left"/>
      </w:pPr>
      <w:r>
        <w:rPr>
          <w:rFonts w:ascii="Times New Roman" w:hAnsi="Times New Roman" w:cs="Times New Roman" w:eastAsia="Times New Roman" w:hint="default"/>
        </w:rPr>
        <w:t>1</w:t>
      </w:r>
      <w:r>
        <w:rPr/>
        <w:t>．业务性质 本公司属增值电信业务企业。</w:t>
      </w:r>
    </w:p>
    <w:p>
      <w:pPr>
        <w:pStyle w:val="BodyText"/>
        <w:spacing w:line="456" w:lineRule="auto" w:before="74"/>
        <w:ind w:right="1039" w:firstLine="420"/>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日取得中华人民共和国增值电信业务经营许可证（经营许可证编号：</w:t>
      </w:r>
      <w:r>
        <w:rPr>
          <w:rFonts w:ascii="Times New Roman" w:hAnsi="Times New Roman" w:cs="Times New Roman" w:eastAsia="Times New Roman" w:hint="default"/>
        </w:rPr>
        <w:t>B1.B2-20090386</w:t>
      </w:r>
      <w:r>
        <w:rPr/>
        <w:t>，有效期至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日），获准经营第一类增值电信业务中的国内多方通信服务业务；第二类增值电信业务中的呼叫中心业务、因</w:t>
      </w:r>
      <w:r>
        <w:rPr>
          <w:spacing w:val="-83"/>
        </w:rPr>
        <w:t> </w:t>
      </w:r>
      <w:r>
        <w:rPr>
          <w:spacing w:val="-83"/>
        </w:rPr>
      </w:r>
      <w:r>
        <w:rPr/>
        <w:t>特网接入服务业务和信息服务业务、</w:t>
      </w:r>
      <w:r>
        <w:rPr>
          <w:spacing w:val="-9"/>
        </w:rPr>
        <w:t> </w:t>
      </w:r>
      <w:r>
        <w:rPr/>
        <w:t>信息服务业务（不含固定网电话信息服务和互联网信息服务）。其中，国内多方通信</w:t>
      </w:r>
      <w:r>
        <w:rPr>
          <w:spacing w:val="-80"/>
        </w:rPr>
        <w:t> </w:t>
      </w:r>
      <w:r>
        <w:rPr>
          <w:spacing w:val="-80"/>
        </w:rPr>
      </w:r>
      <w:r>
        <w:rPr/>
        <w:t>服务业务获准全国经营；呼叫中心业务获准全国经营；因特网接入服务业务获准在北京、上海</w:t>
      </w:r>
      <w:r>
        <w:rPr>
          <w:rFonts w:ascii="Times New Roman" w:hAnsi="Times New Roman" w:cs="Times New Roman" w:eastAsia="Times New Roman" w:hint="default"/>
        </w:rPr>
        <w:t>2</w:t>
      </w:r>
      <w:r>
        <w:rPr/>
        <w:t>直辖市以及沈阳等</w:t>
      </w:r>
      <w:r>
        <w:rPr>
          <w:rFonts w:ascii="Times New Roman" w:hAnsi="Times New Roman" w:cs="Times New Roman" w:eastAsia="Times New Roman" w:hint="default"/>
        </w:rPr>
        <w:t>10</w:t>
      </w:r>
      <w:r>
        <w:rPr/>
        <w:t>个城市</w:t>
      </w:r>
      <w:r>
        <w:rPr>
          <w:spacing w:val="-82"/>
        </w:rPr>
        <w:t> </w:t>
      </w:r>
      <w:r>
        <w:rPr>
          <w:spacing w:val="-4"/>
        </w:rPr>
        <w:t>经营；信息服务业务（不包括固定网电话信息服务和互联网信息服务）获准在北京、天津、上海等</w:t>
      </w:r>
      <w:r>
        <w:rPr>
          <w:rFonts w:ascii="Times New Roman" w:hAnsi="Times New Roman" w:cs="Times New Roman" w:eastAsia="Times New Roman" w:hint="default"/>
          <w:spacing w:val="-4"/>
        </w:rPr>
        <w:t>18</w:t>
      </w:r>
      <w:r>
        <w:rPr>
          <w:spacing w:val="-4"/>
        </w:rPr>
        <w:t>个省（自治区、直辖市）</w:t>
      </w:r>
      <w:r>
        <w:rPr>
          <w:spacing w:val="-41"/>
        </w:rPr>
        <w:t> </w:t>
      </w:r>
      <w:r>
        <w:rPr>
          <w:spacing w:val="-41"/>
        </w:rPr>
      </w:r>
      <w:r>
        <w:rPr/>
        <w:t>经营。</w:t>
      </w:r>
    </w:p>
    <w:p>
      <w:pPr>
        <w:pStyle w:val="BodyText"/>
        <w:spacing w:line="463" w:lineRule="auto" w:before="70"/>
        <w:ind w:left="574" w:right="3492"/>
        <w:jc w:val="left"/>
      </w:pPr>
      <w:r>
        <w:rPr/>
        <w:t>本公司获中华人民共和国工业和信息化部批准在全国范围经营多方通信服务业务。 </w:t>
      </w:r>
      <w:r>
        <w:rPr>
          <w:rFonts w:ascii="Times New Roman" w:hAnsi="Times New Roman" w:cs="Times New Roman" w:eastAsia="Times New Roman" w:hint="default"/>
        </w:rPr>
        <w:t>2</w:t>
      </w:r>
      <w:r>
        <w:rPr/>
        <w:t>．主要经营活动 本公司经营增值电信业务，包括增值通信服务、企业通信服务、海外互联网综合服务业</w:t>
      </w:r>
    </w:p>
    <w:p>
      <w:pPr>
        <w:pStyle w:val="BodyText"/>
        <w:spacing w:line="451" w:lineRule="auto" w:before="65"/>
        <w:ind w:right="0"/>
        <w:jc w:val="left"/>
      </w:pPr>
      <w:r>
        <w:rPr/>
        <w:t>务及其他。增值通信服务包括</w:t>
      </w:r>
      <w:r>
        <w:rPr>
          <w:rFonts w:ascii="Times New Roman" w:hAnsi="Times New Roman" w:cs="Times New Roman" w:eastAsia="Times New Roman" w:hint="default"/>
        </w:rPr>
        <w:t>96446IP</w:t>
      </w:r>
      <w:r>
        <w:rPr/>
        <w:t>长途转售业务、</w:t>
      </w:r>
      <w:r>
        <w:rPr>
          <w:rFonts w:ascii="Times New Roman" w:hAnsi="Times New Roman" w:cs="Times New Roman" w:eastAsia="Times New Roman" w:hint="default"/>
        </w:rPr>
        <w:t>95050</w:t>
      </w:r>
      <w:r>
        <w:rPr/>
        <w:t>多方通话业务、</w:t>
      </w:r>
      <w:r>
        <w:rPr>
          <w:rFonts w:ascii="Times New Roman" w:hAnsi="Times New Roman" w:cs="Times New Roman" w:eastAsia="Times New Roman" w:hint="default"/>
        </w:rPr>
        <w:t>VPN</w:t>
      </w:r>
      <w:r>
        <w:rPr/>
        <w:t>业务等；企业通信服务包括企业邮件、云通 </w:t>
      </w:r>
      <w:r>
        <w:rPr>
          <w:spacing w:val="-2"/>
        </w:rPr>
        <w:t>信、企业会议、相关技术服务及个人邮箱；海外互联网综合服务业务包括网络电话（</w:t>
      </w:r>
      <w:r>
        <w:rPr>
          <w:rFonts w:ascii="Times New Roman" w:hAnsi="Times New Roman" w:cs="Times New Roman" w:eastAsia="Times New Roman" w:hint="default"/>
          <w:spacing w:val="-2"/>
        </w:rPr>
        <w:t>VOIP</w:t>
      </w:r>
      <w:r>
        <w:rPr>
          <w:spacing w:val="-2"/>
        </w:rPr>
        <w:t>）业务、网络电视（</w:t>
      </w:r>
      <w:r>
        <w:rPr>
          <w:rFonts w:ascii="Times New Roman" w:hAnsi="Times New Roman" w:cs="Times New Roman" w:eastAsia="Times New Roman" w:hint="default"/>
          <w:spacing w:val="-2"/>
        </w:rPr>
        <w:t>IPTV</w:t>
      </w:r>
      <w:r>
        <w:rPr>
          <w:spacing w:val="-2"/>
        </w:rPr>
        <w:t>）业务；</w:t>
      </w:r>
      <w:r>
        <w:rPr>
          <w:spacing w:val="-76"/>
        </w:rPr>
        <w:t> </w:t>
      </w:r>
      <w:r>
        <w:rPr>
          <w:spacing w:val="-76"/>
        </w:rPr>
      </w:r>
      <w:r>
        <w:rPr/>
        <w:t>其他包括立体宽带、</w:t>
      </w:r>
      <w:r>
        <w:rPr>
          <w:rFonts w:ascii="Times New Roman" w:hAnsi="Times New Roman" w:cs="Times New Roman" w:eastAsia="Times New Roman" w:hint="default"/>
        </w:rPr>
        <w:t>IDC</w:t>
      </w:r>
      <w:r>
        <w:rPr/>
        <w:t>（服务器托管及专线接入）等；另有让渡资产使用权及商品销售业务。</w:t>
      </w:r>
    </w:p>
    <w:p>
      <w:pPr>
        <w:spacing w:line="240" w:lineRule="auto" w:before="6"/>
        <w:rPr>
          <w:rFonts w:ascii="宋体" w:hAnsi="宋体" w:cs="宋体" w:eastAsia="宋体" w:hint="default"/>
          <w:sz w:val="18"/>
          <w:szCs w:val="18"/>
        </w:rPr>
      </w:pPr>
    </w:p>
    <w:p>
      <w:pPr>
        <w:pStyle w:val="Heading3"/>
        <w:spacing w:line="240" w:lineRule="auto"/>
        <w:ind w:left="470" w:right="0"/>
        <w:jc w:val="left"/>
        <w:rPr>
          <w:b w:val="0"/>
          <w:bCs w:val="0"/>
        </w:rPr>
      </w:pPr>
      <w:bookmarkStart w:name="（四）财务报表的批准报出" w:id="146"/>
      <w:bookmarkEnd w:id="146"/>
      <w:r>
        <w:rPr>
          <w:b w:val="0"/>
          <w:bCs w:val="0"/>
        </w:rPr>
      </w:r>
      <w:r>
        <w:rPr/>
        <w:t>（四）财务报表的批准报出</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9"/>
        <w:ind w:left="573" w:right="0"/>
        <w:jc w:val="left"/>
      </w:pPr>
      <w:r>
        <w:rPr/>
        <w:t>本财务报表业经公司董事会于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日批准报出。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576" w:right="0"/>
        <w:jc w:val="left"/>
        <w:rPr>
          <w:b w:val="0"/>
          <w:bCs w:val="0"/>
        </w:rPr>
      </w:pPr>
      <w:bookmarkStart w:name="（五）合并财务报表范围及其变化" w:id="147"/>
      <w:bookmarkEnd w:id="147"/>
      <w:r>
        <w:rPr>
          <w:b w:val="0"/>
          <w:bCs w:val="0"/>
        </w:rPr>
      </w:r>
      <w:r>
        <w:rPr/>
        <w:t>（五）合并财务报表范围及其变化</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9"/>
        <w:ind w:left="574" w:right="0"/>
        <w:jc w:val="left"/>
      </w:pPr>
      <w:r>
        <w:rPr/>
        <w:t>本期纳入合并财务报表范围的主体共</w:t>
      </w:r>
      <w:r>
        <w:rPr>
          <w:rFonts w:ascii="Times New Roman" w:hAnsi="Times New Roman" w:cs="Times New Roman" w:eastAsia="Times New Roman" w:hint="default"/>
        </w:rPr>
        <w:t>19</w:t>
      </w:r>
      <w:r>
        <w:rPr/>
        <w:t>户，具体包括：</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829"/>
        <w:gridCol w:w="1984"/>
        <w:gridCol w:w="1134"/>
        <w:gridCol w:w="852"/>
        <w:gridCol w:w="850"/>
        <w:gridCol w:w="851"/>
      </w:tblGrid>
      <w:tr>
        <w:trPr>
          <w:trHeight w:val="6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本报告简称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5" w:right="59" w:hanging="16"/>
              <w:jc w:val="left"/>
              <w:rPr>
                <w:rFonts w:ascii="宋体" w:hAnsi="宋体" w:cs="宋体" w:eastAsia="宋体"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企业通信公司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上海通信公司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上海翰平公司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21"/>
              <w:ind w:left="4" w:right="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二六三增值通信香港有限公司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英文名：</w:t>
            </w:r>
            <w:r>
              <w:rPr>
                <w:rFonts w:ascii="Times New Roman" w:hAnsi="Times New Roman" w:cs="Times New Roman" w:eastAsia="Times New Roman" w:hint="default"/>
                <w:spacing w:val="-3"/>
                <w:sz w:val="18"/>
                <w:szCs w:val="18"/>
              </w:rPr>
              <w:t>263 </w:t>
            </w:r>
            <w:r>
              <w:rPr>
                <w:rFonts w:ascii="Times New Roman" w:hAnsi="Times New Roman" w:cs="Times New Roman" w:eastAsia="Times New Roman" w:hint="default"/>
                <w:sz w:val="18"/>
                <w:szCs w:val="18"/>
              </w:rPr>
              <w:t>Value</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Added Communication Hong Kong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Co.,Limited)</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香港增值公司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网络科技公司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二六三软件技术（北京）有限公司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软件技术公司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ITALK GLOBAL COMMUNICATIONS,</w:t>
            </w:r>
            <w:r>
              <w:rPr>
                <w:rFonts w:ascii="Times New Roman"/>
                <w:spacing w:val="-3"/>
                <w:sz w:val="18"/>
              </w:rPr>
              <w:t> </w:t>
            </w:r>
            <w:r>
              <w:rPr>
                <w:rFonts w:ascii="Times New Roman"/>
                <w:sz w:val="18"/>
              </w:rPr>
              <w:t>INC.</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w:t>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29"/>
        <w:gridCol w:w="1984"/>
        <w:gridCol w:w="1134"/>
        <w:gridCol w:w="852"/>
        <w:gridCol w:w="850"/>
        <w:gridCol w:w="851"/>
      </w:tblGrid>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2"/>
                <w:sz w:val="18"/>
              </w:rPr>
              <w:t> </w:t>
            </w:r>
            <w:r>
              <w:rPr>
                <w:rFonts w:ascii="Times New Roman"/>
                <w:sz w:val="18"/>
              </w:rPr>
              <w:t>Inc.</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iTalkBB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Canada</w:t>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7"/>
                <w:sz w:val="18"/>
              </w:rPr>
              <w:t> </w:t>
            </w:r>
            <w:r>
              <w:rPr>
                <w:rFonts w:ascii="Times New Roman"/>
                <w:sz w:val="18"/>
              </w:rPr>
              <w:t>Ltd.</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iTalkBB</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Australia</w:t>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Digital Technology Marketing and Information,</w:t>
            </w:r>
            <w:r>
              <w:rPr>
                <w:rFonts w:ascii="Times New Roman"/>
                <w:spacing w:val="-9"/>
                <w:sz w:val="18"/>
              </w:rPr>
              <w:t> </w:t>
            </w:r>
            <w:r>
              <w:rPr>
                <w:rFonts w:ascii="Times New Roman"/>
                <w:sz w:val="18"/>
              </w:rPr>
              <w:t>Inc.</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DTMI</w:t>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6"/>
                <w:sz w:val="18"/>
              </w:rPr>
              <w:t> </w:t>
            </w:r>
            <w:r>
              <w:rPr>
                <w:rFonts w:ascii="Times New Roman"/>
                <w:sz w:val="18"/>
              </w:rPr>
              <w:t>Ltd.</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iTalkBB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Singapore</w:t>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爱涛信科国际通信技术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sz w:val="18"/>
                <w:szCs w:val="18"/>
              </w:rPr>
              <w:t>北京爱涛公司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sz w:val="18"/>
                <w:szCs w:val="18"/>
              </w:rPr>
              <w:t>江苏爱拓公司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iTalk Mobile</w:t>
            </w:r>
            <w:r>
              <w:rPr>
                <w:rFonts w:ascii="Times New Roman"/>
                <w:spacing w:val="-4"/>
                <w:sz w:val="18"/>
              </w:rPr>
              <w:t> </w:t>
            </w:r>
            <w:r>
              <w:rPr>
                <w:rFonts w:ascii="Times New Roman"/>
                <w:sz w:val="18"/>
              </w:rPr>
              <w:t>Corporation</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sz w:val="18"/>
                <w:szCs w:val="18"/>
              </w:rPr>
              <w:t>爱涛移动公司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sz w:val="18"/>
                <w:szCs w:val="18"/>
              </w:rPr>
              <w:t>首都在线公司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31"/>
              <w:jc w:val="left"/>
              <w:rPr>
                <w:rFonts w:ascii="宋体" w:hAnsi="宋体" w:cs="宋体" w:eastAsia="宋体" w:hint="default"/>
                <w:sz w:val="18"/>
                <w:szCs w:val="18"/>
              </w:rPr>
            </w:pPr>
            <w:r>
              <w:rPr>
                <w:rFonts w:ascii="宋体" w:hAnsi="宋体" w:cs="宋体" w:eastAsia="宋体" w:hint="default"/>
                <w:sz w:val="18"/>
                <w:szCs w:val="18"/>
              </w:rPr>
              <w:t>爱涛网络电视香港有限公司（英文名：</w:t>
            </w:r>
            <w:r>
              <w:rPr>
                <w:rFonts w:ascii="Times New Roman" w:hAnsi="Times New Roman" w:cs="Times New Roman" w:eastAsia="Times New Roman" w:hint="default"/>
                <w:sz w:val="18"/>
                <w:szCs w:val="18"/>
              </w:rPr>
              <w:t>iTalkTV Hongkong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sz w:val="18"/>
                <w:szCs w:val="18"/>
              </w:rPr>
              <w:t>爱涛网络公司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312"/>
              <w:jc w:val="left"/>
              <w:rPr>
                <w:rFonts w:ascii="宋体" w:hAnsi="宋体" w:cs="宋体" w:eastAsia="宋体" w:hint="default"/>
                <w:sz w:val="18"/>
                <w:szCs w:val="18"/>
              </w:rPr>
            </w:pPr>
            <w:r>
              <w:rPr>
                <w:rFonts w:ascii="宋体" w:hAnsi="宋体" w:cs="宋体" w:eastAsia="宋体" w:hint="default"/>
                <w:sz w:val="18"/>
                <w:szCs w:val="18"/>
              </w:rPr>
              <w:t>二六三香港控股有限公司（英文名：</w:t>
            </w:r>
            <w:r>
              <w:rPr>
                <w:rFonts w:ascii="Times New Roman" w:hAnsi="Times New Roman" w:cs="Times New Roman" w:eastAsia="Times New Roman" w:hint="default"/>
                <w:sz w:val="18"/>
                <w:szCs w:val="18"/>
              </w:rPr>
              <w:t>NET263 Holdings Limited</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5"/>
              <w:jc w:val="right"/>
              <w:rPr>
                <w:rFonts w:ascii="宋体" w:hAnsi="宋体" w:cs="宋体" w:eastAsia="宋体" w:hint="default"/>
                <w:sz w:val="18"/>
                <w:szCs w:val="18"/>
              </w:rPr>
            </w:pPr>
            <w:r>
              <w:rPr>
                <w:rFonts w:ascii="宋体" w:hAnsi="宋体" w:cs="宋体" w:eastAsia="宋体" w:hint="default"/>
                <w:sz w:val="18"/>
                <w:szCs w:val="18"/>
              </w:rPr>
              <w:t>二六三香港控股公司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United Wise Services</w:t>
            </w:r>
            <w:r>
              <w:rPr>
                <w:rFonts w:ascii="Times New Roman"/>
                <w:spacing w:val="-7"/>
                <w:sz w:val="18"/>
              </w:rPr>
              <w:t> </w:t>
            </w:r>
            <w:r>
              <w:rPr>
                <w:rFonts w:ascii="Times New Roman"/>
                <w:sz w:val="18"/>
              </w:rPr>
              <w:t>Limited</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United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Wise</w:t>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468" w:lineRule="auto" w:before="88"/>
        <w:ind w:left="513" w:right="2394" w:firstLine="60"/>
        <w:jc w:val="left"/>
      </w:pPr>
      <w:r>
        <w:rPr/>
        <w:pict>
          <v:shape style="position:absolute;margin-left:56.459999pt;margin-top:93.571709pt;width:468.6pt;height:69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46"/>
                    <w:gridCol w:w="4112"/>
                  </w:tblGrid>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二六三香港控股有限公司（英文名：</w:t>
                        </w:r>
                        <w:r>
                          <w:rPr>
                            <w:rFonts w:ascii="Times New Roman" w:hAnsi="Times New Roman" w:cs="Times New Roman" w:eastAsia="Times New Roman" w:hint="default"/>
                            <w:sz w:val="18"/>
                            <w:szCs w:val="18"/>
                          </w:rPr>
                          <w:t>NET263 Holdings Limited</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年设立</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United Wise Services</w:t>
                        </w:r>
                        <w:r>
                          <w:rPr>
                            <w:rFonts w:ascii="Times New Roman"/>
                            <w:spacing w:val="-7"/>
                            <w:sz w:val="18"/>
                          </w:rPr>
                          <w:t> </w:t>
                        </w:r>
                        <w:r>
                          <w:rPr>
                            <w:rFonts w:ascii="Times New Roman"/>
                            <w:sz w:val="18"/>
                          </w:rPr>
                          <w:t>Limited</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年设立</w:t>
                        </w:r>
                      </w:p>
                    </w:tc>
                  </w:tr>
                  <w:tr>
                    <w:trPr>
                      <w:trHeight w:val="34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iTalk Mobile</w:t>
                        </w:r>
                        <w:r>
                          <w:rPr>
                            <w:rFonts w:ascii="Times New Roman"/>
                            <w:spacing w:val="-4"/>
                            <w:sz w:val="18"/>
                          </w:rPr>
                          <w:t> </w:t>
                        </w:r>
                        <w:r>
                          <w:rPr>
                            <w:rFonts w:ascii="Times New Roman"/>
                            <w:sz w:val="18"/>
                          </w:rPr>
                          <w:t>Corporation</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年设立</w:t>
                        </w:r>
                      </w:p>
                    </w:tc>
                  </w:tr>
                </w:tbl>
                <w:p>
                  <w:pPr/>
                </w:p>
              </w:txbxContent>
            </v:textbox>
            <w10:wrap type="none"/>
          </v:shape>
        </w:pict>
      </w:r>
      <w:r>
        <w:rPr/>
        <w:t>无子公司的持股比例不同于表决权比例的情况。 本公司不存在特殊目的主体、通过委托经营或出租等方式丧失控制权的经营实体的情况。 本期纳入合并财务报表范围的主体较上期相比，增加</w:t>
      </w:r>
      <w:r>
        <w:rPr>
          <w:rFonts w:ascii="Times New Roman" w:hAnsi="Times New Roman" w:cs="Times New Roman" w:eastAsia="Times New Roman" w:hint="default"/>
        </w:rPr>
        <w:t>3</w:t>
      </w:r>
      <w:r>
        <w:rPr/>
        <w:t>户，减少</w:t>
      </w:r>
      <w:r>
        <w:rPr>
          <w:rFonts w:ascii="Times New Roman" w:hAnsi="Times New Roman" w:cs="Times New Roman" w:eastAsia="Times New Roman" w:hint="default"/>
        </w:rPr>
        <w:t>3</w:t>
      </w:r>
      <w:r>
        <w:rPr/>
        <w:t>户，其中： </w:t>
      </w:r>
      <w:r>
        <w:rPr>
          <w:rFonts w:ascii="宋体" w:hAnsi="宋体" w:cs="宋体" w:eastAsia="宋体" w:hint="default"/>
        </w:rPr>
        <w:t>1</w:t>
      </w:r>
      <w:r>
        <w:rPr/>
        <w:t>）本期新纳入合并范围的子公司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514" w:right="0"/>
        <w:jc w:val="left"/>
      </w:pPr>
      <w:r>
        <w:rPr>
          <w:rFonts w:ascii="宋体" w:hAnsi="宋体" w:cs="宋体" w:eastAsia="宋体" w:hint="default"/>
        </w:rPr>
        <w:t>2</w:t>
      </w:r>
      <w:r>
        <w:rPr/>
        <w:t>）本期不再纳入合并范围的子公司</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246"/>
        <w:gridCol w:w="4112"/>
      </w:tblGrid>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年注销</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爱涛信科国际通信技术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年注销</w:t>
            </w:r>
          </w:p>
        </w:tc>
      </w:tr>
      <w:tr>
        <w:trPr>
          <w:trHeight w:val="34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年注销</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财务报表的编制基础" w:id="148"/>
      <w:bookmarkEnd w:id="14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49"/>
      <w:bookmarkEnd w:id="14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本公司以持续经营为基础，根据实际发生的交易和事项，按照财政部颁布的《企业会计准则——基本准则》和具体企 </w:t>
      </w:r>
      <w:r>
        <w:rPr>
          <w:spacing w:val="-2"/>
        </w:rPr>
        <w:t>业会计准则、企业会计准则应用指南、企业会计准则解释及其他相关规定</w:t>
      </w:r>
      <w:r>
        <w:rPr>
          <w:rFonts w:ascii="宋体" w:hAnsi="宋体" w:cs="宋体" w:eastAsia="宋体" w:hint="default"/>
          <w:spacing w:val="-2"/>
        </w:rPr>
        <w:t>(</w:t>
      </w:r>
      <w:r>
        <w:rPr>
          <w:spacing w:val="-2"/>
        </w:rPr>
        <w:t>以下合称“企业会计准则”)进行确认和计量，在</w:t>
      </w:r>
      <w:r>
        <w:rPr>
          <w:spacing w:val="-64"/>
        </w:rPr>
        <w:t> </w:t>
      </w:r>
      <w:r>
        <w:rPr>
          <w:spacing w:val="-64"/>
        </w:rPr>
      </w:r>
      <w:r>
        <w:rPr/>
        <w:t>此基础上，结合中国证券监督管理委员会《公开发行证券的公司信息披露编报规则第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 </w:t>
      </w:r>
      <w:r>
        <w:rPr/>
        <w:t>年修订</w:t>
      </w:r>
      <w:r>
        <w:rPr>
          <w:rFonts w:ascii="宋体" w:hAnsi="宋体" w:cs="宋体" w:eastAsia="宋体" w:hint="default"/>
        </w:rPr>
        <w:t>)</w:t>
      </w:r>
      <w:r>
        <w:rPr/>
        <w:t>的规定，编制财务报表。</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持续经营" w:id="150"/>
      <w:bookmarkEnd w:id="15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本公司自报告期末起</w:t>
      </w:r>
      <w:r>
        <w:rPr>
          <w:rFonts w:ascii="宋体" w:hAnsi="宋体" w:cs="宋体" w:eastAsia="宋体" w:hint="default"/>
        </w:rPr>
        <w:t>12</w:t>
      </w:r>
      <w:r>
        <w:rPr/>
        <w:t>个月不存在对本公司持续经营能力产生重大疑虑的事项或情况。</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51"/>
      <w:bookmarkEnd w:id="151"/>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3" w:right="1153" w:hanging="420"/>
        <w:jc w:val="left"/>
      </w:pPr>
      <w:r>
        <w:rPr/>
        <w:t>具体会计政策和会计估计提示： 本公司根据实际生产经营特点针对应收款项坏账准备计提、固定资产折旧、无形资产摊销、收入确认等交易或事项制</w:t>
      </w:r>
    </w:p>
    <w:p>
      <w:pPr>
        <w:pStyle w:val="BodyText"/>
        <w:spacing w:line="240" w:lineRule="auto" w:before="19"/>
        <w:ind w:right="0"/>
        <w:jc w:val="left"/>
      </w:pPr>
      <w:r>
        <w:rPr/>
        <w:t>定了具体会计政策和会计估计。</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遵循企业会计准则的声明" w:id="152"/>
      <w:bookmarkEnd w:id="15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0" w:firstLine="325"/>
        <w:jc w:val="left"/>
      </w:pPr>
      <w:r>
        <w:rPr>
          <w:spacing w:val="-1"/>
        </w:rPr>
        <w:t>本公司所编制的财务报表符合企业会计准则的要求，真实、完整地反映了报告期公司的财务状况、经营成果、现金流量</w:t>
      </w:r>
      <w:r>
        <w:rPr/>
        <w:t> 等有关信息。</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会计期间" w:id="153"/>
      <w:bookmarkEnd w:id="15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68"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营业周期" w:id="154"/>
      <w:bookmarkEnd w:id="15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490" w:right="0"/>
        <w:jc w:val="left"/>
        <w:rPr>
          <w:sz w:val="21"/>
          <w:szCs w:val="21"/>
        </w:rPr>
      </w:pPr>
      <w:r>
        <w:rPr/>
        <w:t>公司经营业务的营业周期较短，以</w:t>
      </w:r>
      <w:r>
        <w:rPr>
          <w:rFonts w:ascii="Times New Roman" w:hAnsi="Times New Roman" w:cs="Times New Roman" w:eastAsia="Times New Roman" w:hint="default"/>
        </w:rPr>
        <w:t>12</w:t>
      </w:r>
      <w:r>
        <w:rPr/>
        <w:t>个月作为资产和负债的流动性划分标准</w:t>
      </w:r>
      <w:r>
        <w:rPr>
          <w:sz w:val="21"/>
          <w:szCs w:val="21"/>
        </w:rPr>
        <w:t>。</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4、记账本位币" w:id="155"/>
      <w:bookmarkEnd w:id="15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14" w:right="2112" w:hanging="24"/>
        <w:jc w:val="left"/>
      </w:pPr>
      <w:r>
        <w:rPr/>
        <w:t>采用人民币为记账本位币。 本公司境外子公司以其经营所处的主要经济环境中的货币为记账本位币，编制财务报表时折算为人民币。</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56"/>
      <w:bookmarkEnd w:id="15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分步实现企业合并过程中的各项交易的条款、条件以及经济影响符合以下一种或多种" w:id="157"/>
      <w:bookmarkEnd w:id="157"/>
      <w:r>
        <w:rPr>
          <w:b w:val="0"/>
          <w:bCs w:val="0"/>
        </w:rPr>
      </w:r>
      <w:r>
        <w:rPr/>
        <w:t>（</w:t>
      </w:r>
      <w:r>
        <w:rPr>
          <w:rFonts w:ascii="Times New Roman" w:hAnsi="Times New Roman" w:cs="Times New Roman" w:eastAsia="Times New Roman" w:hint="default"/>
        </w:rPr>
        <w:t>1</w:t>
      </w:r>
      <w:r>
        <w:rPr/>
        <w:t>）分步实现企业合并过程中的各项交易的条款、条件以及经济影响符合以下一种或多种情况，将多次</w:t>
      </w:r>
      <w:r>
        <w:rPr>
          <w:spacing w:val="-74"/>
        </w:rPr>
        <w:t> </w:t>
      </w:r>
      <w:r>
        <w:rPr>
          <w:spacing w:val="-74"/>
        </w:rPr>
      </w:r>
      <w:r>
        <w:rPr/>
        <w:t>交易事项作为一揽子交易进行会计处理：</w:t>
      </w:r>
      <w:r>
        <w:rPr>
          <w:b w:val="0"/>
          <w:bCs w:val="0"/>
        </w:rPr>
      </w:r>
    </w:p>
    <w:p>
      <w:pPr>
        <w:spacing w:line="240" w:lineRule="auto" w:before="0"/>
        <w:rPr>
          <w:rFonts w:ascii="宋体" w:hAnsi="宋体" w:cs="宋体" w:eastAsia="宋体" w:hint="default"/>
          <w:b/>
          <w:bCs/>
          <w:sz w:val="20"/>
          <w:szCs w:val="20"/>
        </w:rPr>
      </w:pPr>
    </w:p>
    <w:p>
      <w:pPr>
        <w:pStyle w:val="Heading5"/>
        <w:spacing w:line="240" w:lineRule="auto" w:before="146"/>
        <w:ind w:left="443" w:right="0"/>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8"/>
        <w:rPr>
          <w:rFonts w:ascii="宋体" w:hAnsi="宋体" w:cs="宋体" w:eastAsia="宋体" w:hint="default"/>
          <w:sz w:val="14"/>
          <w:szCs w:val="14"/>
        </w:rPr>
      </w:pPr>
    </w:p>
    <w:p>
      <w:pPr>
        <w:pStyle w:val="Heading5"/>
        <w:spacing w:line="240" w:lineRule="auto" w:before="0"/>
        <w:ind w:left="475" w:right="0"/>
        <w:jc w:val="left"/>
      </w:pPr>
      <w:r>
        <w:rPr>
          <w:rFonts w:ascii="Times New Roman" w:hAnsi="Times New Roman" w:cs="Times New Roman" w:eastAsia="Times New Roman" w:hint="default"/>
        </w:rPr>
        <w:t>2</w:t>
      </w:r>
      <w:r>
        <w:rPr/>
        <w:t>）这些交易整体才能达成一项完整的商业结果；</w:t>
      </w:r>
    </w:p>
    <w:p>
      <w:pPr>
        <w:spacing w:line="240" w:lineRule="auto" w:before="8"/>
        <w:rPr>
          <w:rFonts w:ascii="宋体" w:hAnsi="宋体" w:cs="宋体" w:eastAsia="宋体" w:hint="default"/>
          <w:sz w:val="14"/>
          <w:szCs w:val="14"/>
        </w:rPr>
      </w:pPr>
    </w:p>
    <w:p>
      <w:pPr>
        <w:pStyle w:val="Heading5"/>
        <w:spacing w:line="240" w:lineRule="auto" w:before="0"/>
        <w:ind w:left="475" w:right="0"/>
        <w:jc w:val="left"/>
      </w:pPr>
      <w:r>
        <w:rPr>
          <w:rFonts w:ascii="Times New Roman" w:hAnsi="Times New Roman" w:cs="Times New Roman" w:eastAsia="Times New Roman" w:hint="default"/>
        </w:rPr>
        <w:t>3</w:t>
      </w:r>
      <w:r>
        <w:rPr/>
        <w:t>）一项交易的发生取决于其他至少一项交易的发生；</w:t>
      </w:r>
    </w:p>
    <w:p>
      <w:pPr>
        <w:spacing w:line="240" w:lineRule="auto" w:before="8"/>
        <w:rPr>
          <w:rFonts w:ascii="宋体" w:hAnsi="宋体" w:cs="宋体" w:eastAsia="宋体" w:hint="default"/>
          <w:sz w:val="14"/>
          <w:szCs w:val="14"/>
        </w:rPr>
      </w:pPr>
    </w:p>
    <w:p>
      <w:pPr>
        <w:pStyle w:val="Heading5"/>
        <w:spacing w:line="240" w:lineRule="auto" w:before="0"/>
        <w:ind w:left="475" w:right="0"/>
        <w:jc w:val="left"/>
      </w:pPr>
      <w:r>
        <w:rPr>
          <w:rFonts w:ascii="Times New Roman" w:hAnsi="Times New Roman" w:cs="Times New Roman" w:eastAsia="Times New Roman" w:hint="default"/>
        </w:rPr>
        <w:t>4</w:t>
      </w:r>
      <w:r>
        <w:rPr/>
        <w:t>）一项交易单独看是不经济的，但是和其他交易一并考虑时是经济的。</w:t>
      </w:r>
    </w:p>
    <w:p>
      <w:pPr>
        <w:spacing w:line="240" w:lineRule="auto" w:before="0"/>
        <w:rPr>
          <w:rFonts w:ascii="宋体" w:hAnsi="宋体" w:cs="宋体" w:eastAsia="宋体" w:hint="default"/>
          <w:sz w:val="20"/>
          <w:szCs w:val="20"/>
        </w:rPr>
      </w:pPr>
    </w:p>
    <w:p>
      <w:pPr>
        <w:pStyle w:val="Heading3"/>
        <w:spacing w:line="240" w:lineRule="auto" w:before="143"/>
        <w:ind w:left="153" w:right="0"/>
        <w:jc w:val="left"/>
        <w:rPr>
          <w:b w:val="0"/>
          <w:bCs w:val="0"/>
        </w:rPr>
      </w:pPr>
      <w:bookmarkStart w:name="（2）同一控制下的企业合并" w:id="158"/>
      <w:bookmarkEnd w:id="158"/>
      <w:r>
        <w:rPr>
          <w:b w:val="0"/>
          <w:bCs w:val="0"/>
        </w:rPr>
      </w:r>
      <w:r>
        <w:rPr/>
        <w:t>（</w:t>
      </w:r>
      <w:r>
        <w:rPr>
          <w:rFonts w:ascii="Times New Roman" w:hAnsi="Times New Roman" w:cs="Times New Roman" w:eastAsia="Times New Roman" w:hint="default"/>
        </w:rPr>
        <w:t>2</w:t>
      </w:r>
      <w:r>
        <w:rPr/>
        <w:t>）同一控制下的企业合并</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74" w:right="0"/>
        <w:jc w:val="left"/>
      </w:pPr>
      <w:r>
        <w:rPr>
          <w:rFonts w:ascii="Times New Roman" w:hAnsi="Times New Roman" w:cs="Times New Roman" w:eastAsia="Times New Roman" w:hint="default"/>
        </w:rPr>
        <w:t>1</w:t>
      </w:r>
      <w:r>
        <w:rPr/>
        <w:t>）个别财务报表 公司以支付现金、转让非现金资产、承担债务方式或以发行权益性证券作为合并对价的，在合并日按照被合并方所有</w:t>
      </w:r>
    </w:p>
    <w:p>
      <w:pPr>
        <w:pStyle w:val="BodyText"/>
        <w:spacing w:line="477" w:lineRule="auto" w:before="74"/>
        <w:ind w:left="154" w:right="0"/>
        <w:jc w:val="left"/>
      </w:pPr>
      <w:r>
        <w:rPr>
          <w:spacing w:val="-2"/>
        </w:rPr>
        <w:t>者权益在最终控制方合并财务报表中的账面价值的份额作为长期股权投资的初始投资成本。长期股权投资初始投资成本与支</w:t>
      </w:r>
      <w:r>
        <w:rPr>
          <w:spacing w:val="-64"/>
        </w:rPr>
        <w:t> </w:t>
      </w:r>
      <w:r>
        <w:rPr>
          <w:spacing w:val="-64"/>
        </w:rPr>
      </w:r>
      <w:r>
        <w:rPr>
          <w:spacing w:val="-2"/>
        </w:rPr>
        <w:t>付合并对价之间的差额，调整资本公积；资本公积不足冲减的，调整留存收益。如果存在或有对价并需要确认预计负债或资</w:t>
      </w:r>
    </w:p>
    <w:p>
      <w:pPr>
        <w:spacing w:after="0" w:line="477" w:lineRule="auto"/>
        <w:jc w:val="left"/>
        <w:sectPr>
          <w:footerReference w:type="default" r:id="rId21"/>
          <w:pgSz w:w="11910" w:h="16840"/>
          <w:pgMar w:footer="1481" w:header="747" w:top="1060" w:bottom="1680" w:left="980" w:right="0"/>
          <w:pgNumType w:start="8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整留存收益。</w:t>
      </w:r>
    </w:p>
    <w:p>
      <w:pPr>
        <w:spacing w:line="240" w:lineRule="auto" w:before="10"/>
        <w:rPr>
          <w:rFonts w:ascii="宋体" w:hAnsi="宋体" w:cs="宋体" w:eastAsia="宋体" w:hint="default"/>
          <w:sz w:val="17"/>
          <w:szCs w:val="17"/>
        </w:rPr>
      </w:pPr>
    </w:p>
    <w:p>
      <w:pPr>
        <w:pStyle w:val="BodyText"/>
        <w:spacing w:line="477" w:lineRule="auto"/>
        <w:ind w:right="1131" w:firstLine="420"/>
        <w:jc w:val="both"/>
      </w:pPr>
      <w:r>
        <w:rPr/>
        <w:t>对于通过多次交易最终实现企业合并的，属于一揽子交易的，将各项交易作为一项取得控制权的交易进行会计处理； </w:t>
      </w:r>
      <w:r>
        <w:rPr>
          <w:spacing w:val="-2"/>
        </w:rPr>
        <w:t>不属于一揽子交易的，在取得控制权日，长期股权投资初始投资成本，与达到合并前的长期股权投资账面价值加上合并日进</w:t>
      </w:r>
      <w:r>
        <w:rPr>
          <w:spacing w:val="-66"/>
        </w:rPr>
        <w:t> </w:t>
      </w:r>
      <w:r>
        <w:rPr>
          <w:spacing w:val="-66"/>
        </w:rPr>
      </w:r>
      <w:r>
        <w:rPr>
          <w:spacing w:val="-2"/>
        </w:rPr>
        <w:t>一步取得股份新支付对价的账面价值之和的差额，调整资本公积；资本公积不足冲减的，调整留存收益。对于合并日之前持</w:t>
      </w:r>
      <w:r>
        <w:rPr>
          <w:spacing w:val="-66"/>
        </w:rPr>
        <w:t> </w:t>
      </w:r>
      <w:r>
        <w:rPr>
          <w:spacing w:val="-66"/>
        </w:rPr>
      </w:r>
      <w:r>
        <w:rPr>
          <w:spacing w:val="-2"/>
        </w:rPr>
        <w:t>有的股权投资，因采用权益法核算或金融工具确认和计量准则核算而确认的其他综合收益，暂不进行会计处理，直至处置该</w:t>
      </w:r>
      <w:r>
        <w:rPr>
          <w:spacing w:val="-66"/>
        </w:rPr>
        <w:t> </w:t>
      </w:r>
      <w:r>
        <w:rPr>
          <w:spacing w:val="-66"/>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6"/>
        </w:rPr>
        <w:t> </w:t>
      </w:r>
      <w:r>
        <w:rPr>
          <w:spacing w:val="-66"/>
        </w:rPr>
      </w:r>
      <w:r>
        <w:rPr/>
        <w:t>益。</w:t>
      </w:r>
    </w:p>
    <w:p>
      <w:pPr>
        <w:pStyle w:val="BodyText"/>
        <w:spacing w:line="477" w:lineRule="auto" w:before="54"/>
        <w:ind w:left="154" w:right="1131" w:firstLine="420"/>
        <w:jc w:val="both"/>
      </w:pPr>
      <w:r>
        <w:rPr/>
        <w:t>合并发生的各项直接相关费用，包括为进行合并而支付的审计费用、评估费用、法律服务费用等，于发生时计入当期 </w:t>
      </w:r>
      <w:r>
        <w:rPr>
          <w:spacing w:val="-2"/>
        </w:rPr>
        <w:t>损益；与发行权益性工具作为合并对价直接相关的交易费用，冲减资本公积，资本公积不足冲减的，依次冲减盈余公积和未</w:t>
      </w:r>
      <w:r>
        <w:rPr>
          <w:spacing w:val="-66"/>
        </w:rPr>
        <w:t> </w:t>
      </w:r>
      <w:r>
        <w:rPr>
          <w:spacing w:val="-66"/>
        </w:rPr>
      </w:r>
      <w:r>
        <w:rPr/>
        <w:t>分配利润；与发行债务性工具作为合并对价直接相关的交易费用，作为计入债务性工具的初始确认金额。</w:t>
      </w:r>
    </w:p>
    <w:p>
      <w:pPr>
        <w:pStyle w:val="BodyText"/>
        <w:spacing w:line="477" w:lineRule="auto" w:before="54"/>
        <w:ind w:right="1133" w:firstLine="420"/>
        <w:jc w:val="both"/>
      </w:pPr>
      <w:r>
        <w:rPr/>
        <w:t>被合并方存在合并财务报表，则以合并日被合并方合并财务报表中归属于母公司的所有者权益为基础确定长期股权投 资的初始投资成本。</w:t>
      </w:r>
    </w:p>
    <w:p>
      <w:pPr>
        <w:pStyle w:val="BodyText"/>
        <w:spacing w:line="451" w:lineRule="auto" w:before="54"/>
        <w:ind w:left="574" w:right="0"/>
        <w:jc w:val="left"/>
      </w:pPr>
      <w:r>
        <w:rPr>
          <w:rFonts w:ascii="Times New Roman" w:hAnsi="Times New Roman" w:cs="Times New Roman" w:eastAsia="Times New Roman" w:hint="default"/>
        </w:rPr>
        <w:t>2</w:t>
      </w:r>
      <w:r>
        <w:rPr/>
        <w:t>）合并财务报表 合并方在企业合并中取得的资产和负债，按照合并日在被合并方所有者权益在最终控制方合并财务报表中的账面价值</w:t>
      </w:r>
    </w:p>
    <w:p>
      <w:pPr>
        <w:pStyle w:val="BodyText"/>
        <w:spacing w:line="240" w:lineRule="auto" w:before="74"/>
        <w:ind w:left="154" w:right="0"/>
        <w:jc w:val="left"/>
      </w:pPr>
      <w:r>
        <w:rPr/>
        <w:t>计量。</w:t>
      </w:r>
    </w:p>
    <w:p>
      <w:pPr>
        <w:spacing w:line="240" w:lineRule="auto" w:before="10"/>
        <w:rPr>
          <w:rFonts w:ascii="宋体" w:hAnsi="宋体" w:cs="宋体" w:eastAsia="宋体" w:hint="default"/>
          <w:sz w:val="17"/>
          <w:szCs w:val="17"/>
        </w:rPr>
      </w:pPr>
    </w:p>
    <w:p>
      <w:pPr>
        <w:pStyle w:val="BodyText"/>
        <w:spacing w:line="477" w:lineRule="auto"/>
        <w:ind w:left="154" w:right="1131" w:firstLine="420"/>
        <w:jc w:val="both"/>
      </w:pPr>
      <w:r>
        <w:rPr/>
        <w:t>对于通过多次交易最终实现企业合并的，属于一揽子交易的，将各项交易作为一项取得控制权的交易进行会计处理； </w:t>
      </w:r>
      <w:r>
        <w:rPr>
          <w:spacing w:val="-2"/>
        </w:rPr>
        <w:t>不属于一揽子交易的，合并方在达到合并之前持有的长期股权投资，在取得日与合并方与被合并方同处于同一方最终控制之</w:t>
      </w:r>
      <w:r>
        <w:rPr>
          <w:spacing w:val="-64"/>
        </w:rPr>
        <w:t> </w:t>
      </w:r>
      <w:r>
        <w:rPr>
          <w:spacing w:val="-64"/>
        </w:rPr>
      </w:r>
      <w:r>
        <w:rPr>
          <w:spacing w:val="-2"/>
        </w:rPr>
        <w:t>日孰晚日与合并日之间已确认有关损益、其他综合收益和其他所有者权益变动，分别冲减比较报表期间的期初留存收益或当</w:t>
      </w:r>
      <w:r>
        <w:rPr>
          <w:spacing w:val="-64"/>
        </w:rPr>
        <w:t> </w:t>
      </w:r>
      <w:r>
        <w:rPr>
          <w:spacing w:val="-64"/>
        </w:rPr>
      </w:r>
      <w:r>
        <w:rPr/>
        <w:t>期损益。</w:t>
      </w:r>
    </w:p>
    <w:p>
      <w:pPr>
        <w:pStyle w:val="BodyText"/>
        <w:spacing w:line="477" w:lineRule="auto" w:before="54"/>
        <w:ind w:left="154" w:right="1133" w:firstLine="420"/>
        <w:jc w:val="both"/>
      </w:pPr>
      <w:r>
        <w:rPr/>
        <w:t>被合并各方采用的会计政策与本公司不一致的，本公司在合并日按照本公司会计政策进行调整，在此基础上按照企业 会计准则规定确认。</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3）非同一控制下的企业合并" w:id="159"/>
      <w:bookmarkEnd w:id="159"/>
      <w:r>
        <w:rPr>
          <w:b w:val="0"/>
          <w:bCs w:val="0"/>
        </w:rPr>
      </w:r>
      <w:r>
        <w:rPr/>
        <w:t>（</w:t>
      </w:r>
      <w:r>
        <w:rPr>
          <w:rFonts w:ascii="Times New Roman" w:hAnsi="Times New Roman" w:cs="Times New Roman" w:eastAsia="Times New Roman" w:hint="default"/>
        </w:rPr>
        <w:t>3</w:t>
      </w:r>
      <w:r>
        <w:rPr/>
        <w:t>）非同一控制下的企业合并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2" w:firstLine="420"/>
        <w:jc w:val="both"/>
      </w:pPr>
      <w:r>
        <w:rPr/>
        <w:t>对于非同一控制下的企业合并，合并成本为本公司在购买日为取得对被购买方的控制权而付出的资产、发生或承担的 </w:t>
      </w:r>
      <w:r>
        <w:rPr>
          <w:spacing w:val="-2"/>
        </w:rPr>
        <w:t>负债以及发行的权益性工具或债务性工具的公允价值。在合并合同中对可能影响合并成本的未来事项作出约定的，购买日如</w:t>
      </w:r>
      <w:r>
        <w:rPr>
          <w:spacing w:val="-64"/>
        </w:rPr>
        <w:t> </w:t>
      </w:r>
      <w:r>
        <w:rPr>
          <w:spacing w:val="-64"/>
        </w:rPr>
      </w:r>
      <w:r>
        <w:rPr/>
        <w:t>果估计未来事项很可能发生并且对合并成本的影响金额能够可靠计量的，也计入合并成本。</w:t>
      </w:r>
    </w:p>
    <w:p>
      <w:pPr>
        <w:pStyle w:val="BodyText"/>
        <w:spacing w:line="477" w:lineRule="auto" w:before="54"/>
        <w:ind w:right="1040" w:firstLine="420"/>
        <w:jc w:val="both"/>
      </w:pPr>
      <w:r>
        <w:rPr>
          <w:spacing w:val="-1"/>
        </w:rPr>
        <w:t>本公司为进行企业合并发生的审计、法律服务、评估咨询等中介费用以及其他相关管理费用，于发生时计入当期损益；</w:t>
      </w:r>
      <w:r>
        <w:rPr/>
        <w:t> 本公司作为合并对价发行的权益性工具或债务性工具的交易费用，计入权益性工具或债务性工具的初始确认金额。</w:t>
      </w:r>
    </w:p>
    <w:p>
      <w:pPr>
        <w:pStyle w:val="BodyText"/>
        <w:spacing w:line="240" w:lineRule="auto" w:before="54"/>
        <w:ind w:left="573" w:right="0"/>
        <w:jc w:val="left"/>
      </w:pPr>
      <w:r>
        <w:rPr/>
        <w:t>本公司对合并成本大于合并中取得的被购买方可辨认净资产公允价值份额的差额，确认为商誉。本公司对合并成本小</w:t>
      </w:r>
    </w:p>
    <w:p>
      <w:pPr>
        <w:spacing w:after="0" w:line="240" w:lineRule="auto"/>
        <w:jc w:val="left"/>
        <w:sectPr>
          <w:footerReference w:type="default" r:id="rId22"/>
          <w:pgSz w:w="11910" w:h="16840"/>
          <w:pgMar w:footer="979" w:header="747" w:top="1060" w:bottom="1160" w:left="980" w:right="0"/>
          <w:pgNumType w:start="85"/>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于合并中取得的被购买方可辨认净资产公允价值份额的，经复核后合并成本仍小于合并中取得的被购买方可辨认净资产公允</w:t>
      </w:r>
      <w:r>
        <w:rPr>
          <w:spacing w:val="-64"/>
        </w:rPr>
        <w:t> </w:t>
      </w:r>
      <w:r>
        <w:rPr>
          <w:spacing w:val="-64"/>
        </w:rPr>
      </w:r>
      <w:r>
        <w:rPr/>
        <w:t>价值份额的差额，计入当期损益。</w:t>
      </w:r>
    </w:p>
    <w:p>
      <w:pPr>
        <w:pStyle w:val="BodyText"/>
        <w:spacing w:line="477" w:lineRule="auto" w:before="54"/>
        <w:ind w:right="1132" w:firstLine="420"/>
        <w:jc w:val="both"/>
      </w:pPr>
      <w:r>
        <w:rPr/>
        <w:t>通过多次交换交易分步实现的非同一控制下企业合并，属于一揽子交易的，将各项交易作为一项取得控制权的交易进 行会计处理；不属于一揽子交易的，区分个别财务报表和合并财务报表进行相关会计处理：</w:t>
      </w:r>
    </w:p>
    <w:p>
      <w:pPr>
        <w:pStyle w:val="BodyText"/>
        <w:spacing w:line="451" w:lineRule="auto" w:before="54"/>
        <w:ind w:right="1130" w:firstLine="420"/>
        <w:jc w:val="both"/>
      </w:pPr>
      <w:r>
        <w:rPr>
          <w:rFonts w:ascii="Times New Roman" w:hAnsi="Times New Roman" w:cs="Times New Roman" w:eastAsia="Times New Roman" w:hint="default"/>
          <w:spacing w:val="-1"/>
        </w:rPr>
        <w:t>1</w:t>
      </w:r>
      <w:r>
        <w:rPr>
          <w:spacing w:val="-1"/>
        </w:rPr>
        <w:t>）在个别财务报表中，合并日之前持有的股权投资采用权益法核算的，以购买日之前所持被购买方的股权投资的账面</w:t>
      </w:r>
      <w:r>
        <w:rPr/>
        <w:t> 价值与购买日新增投资成本之和，作为该项投资的初始投资成本；</w:t>
      </w:r>
    </w:p>
    <w:p>
      <w:pPr>
        <w:pStyle w:val="BodyText"/>
        <w:spacing w:line="477" w:lineRule="auto" w:before="74"/>
        <w:ind w:right="1130" w:firstLine="420"/>
        <w:jc w:val="both"/>
      </w:pPr>
      <w:r>
        <w:rPr/>
        <w:t>合并日之前持有的股权投资采用金融工具确认和计量准则核算的，以该股权投资在合并日的公允价值加上新增投资成 </w:t>
      </w:r>
      <w:r>
        <w:rPr>
          <w:spacing w:val="-2"/>
        </w:rPr>
        <w:t>本之和，作为合并日的初始投资成本。原持有股权的公允价值与账面价值之间的差额以及原计入其他综合收益的累计公允价</w:t>
      </w:r>
      <w:r>
        <w:rPr>
          <w:spacing w:val="-63"/>
        </w:rPr>
        <w:t> </w:t>
      </w:r>
      <w:r>
        <w:rPr>
          <w:spacing w:val="-63"/>
        </w:rPr>
      </w:r>
      <w:r>
        <w:rPr/>
        <w:t>值变动应全部转入合并日当期的投资收益。</w:t>
      </w:r>
    </w:p>
    <w:p>
      <w:pPr>
        <w:pStyle w:val="BodyText"/>
        <w:spacing w:line="463" w:lineRule="auto" w:before="54"/>
        <w:ind w:right="1132" w:firstLine="420"/>
        <w:jc w:val="both"/>
      </w:pPr>
      <w:r>
        <w:rPr>
          <w:rFonts w:ascii="Times New Roman" w:hAnsi="Times New Roman" w:cs="Times New Roman" w:eastAsia="Times New Roman" w:hint="default"/>
          <w:spacing w:val="-2"/>
        </w:rPr>
        <w:t>2</w:t>
      </w:r>
      <w:r>
        <w:rPr>
          <w:spacing w:val="-2"/>
        </w:rPr>
        <w:t>）在合并财务报表中，对于购买日之前持有的被购买方的股权，按照该股权在购买日的公允价值进行重新计量，公允</w:t>
      </w:r>
      <w:r>
        <w:rPr/>
        <w:t> </w:t>
      </w:r>
      <w:r>
        <w:rPr>
          <w:spacing w:val="-2"/>
        </w:rPr>
        <w:t>价值与其账面价值的差额计入当期投资收益；购买日之前持有的被购买方的股权涉及权益法核算下的其他综合收益等的，与</w:t>
      </w:r>
      <w:r>
        <w:rPr>
          <w:spacing w:val="-64"/>
        </w:rPr>
        <w:t> </w:t>
      </w:r>
      <w:r>
        <w:rPr>
          <w:spacing w:val="-64"/>
        </w:rPr>
      </w:r>
      <w:r>
        <w:rPr/>
        <w:t>其相关的其他综合收益等转为购买日所属当期投资收益。</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6、合并财务报表的编制方法" w:id="160"/>
      <w:bookmarkEnd w:id="16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0"/>
        <w:jc w:val="left"/>
      </w:pPr>
      <w:r>
        <w:rPr>
          <w:spacing w:val="-4"/>
        </w:rPr>
        <w:t>本公司合并财务报表的合并范围以控制为基础确定，所有子公司（包括母公司所控制的单独主体）均纳入合并财务报表。</w:t>
      </w:r>
      <w:r>
        <w:rPr>
          <w:spacing w:val="-52"/>
        </w:rPr>
        <w:t> </w:t>
      </w:r>
      <w:r>
        <w:rPr>
          <w:spacing w:val="-52"/>
        </w:rPr>
      </w:r>
      <w:r>
        <w:rPr>
          <w:spacing w:val="-2"/>
        </w:rPr>
        <w:t>所有纳入合并财务报表合并范围的子公司所采用的会计政策、会计期间与本公司一致，如子公司采用的会计政策、会计</w:t>
      </w:r>
    </w:p>
    <w:p>
      <w:pPr>
        <w:pStyle w:val="BodyText"/>
        <w:spacing w:line="477" w:lineRule="auto" w:before="54"/>
        <w:ind w:left="513" w:right="0" w:hanging="360"/>
        <w:jc w:val="left"/>
      </w:pPr>
      <w:r>
        <w:rPr/>
        <w:t>期间与本公司不一致的，在编制合并财务报表时，按本公司的会计政策、会计期间进行必要的调整。 合并财务报表以本公司及子公司的财务报表为基础，根据其他有关资料由本公司编制。 </w:t>
      </w:r>
      <w:r>
        <w:rPr>
          <w:spacing w:val="-2"/>
        </w:rPr>
        <w:t>合并财务报表时抵销本公司与各子公司、各子公司相互之间发生的内部交易对合并资产负债表、合并利润表、合并现金</w:t>
      </w:r>
    </w:p>
    <w:p>
      <w:pPr>
        <w:pStyle w:val="BodyText"/>
        <w:spacing w:line="477" w:lineRule="auto" w:before="54"/>
        <w:ind w:left="513" w:right="0" w:hanging="360"/>
        <w:jc w:val="left"/>
      </w:pPr>
      <w:r>
        <w:rPr/>
        <w:t>流量表、合并股东权益变动表的影响。 </w:t>
      </w:r>
      <w:r>
        <w:rPr>
          <w:spacing w:val="-2"/>
        </w:rPr>
        <w:t>子公司少数股东分担的当期亏损超过了少数股东在该子公司期初所有者权益中所享有的份额的，其余额仍应当冲减少数</w:t>
      </w:r>
    </w:p>
    <w:p>
      <w:pPr>
        <w:pStyle w:val="BodyText"/>
        <w:spacing w:line="240" w:lineRule="auto" w:before="54"/>
        <w:ind w:right="0"/>
        <w:jc w:val="left"/>
      </w:pPr>
      <w:r>
        <w:rPr/>
        <w:t>股东权益。</w:t>
      </w:r>
    </w:p>
    <w:p>
      <w:pPr>
        <w:spacing w:line="240" w:lineRule="auto" w:before="10"/>
        <w:rPr>
          <w:rFonts w:ascii="宋体" w:hAnsi="宋体" w:cs="宋体" w:eastAsia="宋体" w:hint="default"/>
          <w:sz w:val="17"/>
          <w:szCs w:val="17"/>
        </w:rPr>
      </w:pPr>
    </w:p>
    <w:p>
      <w:pPr>
        <w:pStyle w:val="BodyText"/>
        <w:spacing w:line="477" w:lineRule="auto"/>
        <w:ind w:right="1132" w:firstLine="360"/>
        <w:jc w:val="both"/>
      </w:pPr>
      <w:r>
        <w:rPr>
          <w:spacing w:val="-2"/>
        </w:rPr>
        <w:t>在报告期内，若因同一控制下企业合并增加子公司以及业务的，则调整合并资产负债表的期初数；将子公司以及业务合</w:t>
      </w:r>
      <w:r>
        <w:rPr/>
        <w:t> </w:t>
      </w:r>
      <w:r>
        <w:rPr>
          <w:spacing w:val="-2"/>
        </w:rPr>
        <w:t>并当期期初至报告期末的收入、费用、利润纳入合并利润表；将子公司以及业务合并当期期初至报告期末的现金流量纳入合</w:t>
      </w:r>
      <w:r>
        <w:rPr>
          <w:spacing w:val="-66"/>
        </w:rPr>
        <w:t> </w:t>
      </w:r>
      <w:r>
        <w:rPr>
          <w:spacing w:val="-66"/>
        </w:rPr>
      </w:r>
      <w:r>
        <w:rPr/>
        <w:t>并现金流量表。</w:t>
      </w:r>
    </w:p>
    <w:p>
      <w:pPr>
        <w:pStyle w:val="BodyText"/>
        <w:spacing w:line="477" w:lineRule="auto" w:before="54"/>
        <w:ind w:right="1133" w:firstLine="360"/>
        <w:jc w:val="both"/>
      </w:pPr>
      <w:r>
        <w:rPr>
          <w:spacing w:val="-2"/>
        </w:rPr>
        <w:t>在报告期内，若因非同一控制下企业合并增加子公司以及业务的，则不调整合并资产负债表期初数；将子公司以及业务</w:t>
      </w:r>
      <w:r>
        <w:rPr/>
        <w:t> </w:t>
      </w:r>
      <w:r>
        <w:rPr>
          <w:spacing w:val="-2"/>
        </w:rPr>
        <w:t>自购买日至报告期末的收入、费用、利润纳入合并利润表；该子公司以及业务自购买日至报告期末的现金流量纳入合并现金</w:t>
      </w:r>
      <w:r>
        <w:rPr>
          <w:spacing w:val="-66"/>
        </w:rPr>
        <w:t> </w:t>
      </w:r>
      <w:r>
        <w:rPr>
          <w:spacing w:val="-66"/>
        </w:rPr>
      </w:r>
      <w:r>
        <w:rPr/>
        <w:t>流量表。</w:t>
      </w:r>
    </w:p>
    <w:p>
      <w:pPr>
        <w:pStyle w:val="BodyText"/>
        <w:spacing w:line="477" w:lineRule="auto" w:before="54"/>
        <w:ind w:right="1131" w:firstLine="360"/>
        <w:jc w:val="both"/>
      </w:pPr>
      <w:r>
        <w:rPr>
          <w:spacing w:val="-2"/>
        </w:rPr>
        <w:t>在报告期内，本公司处置子公司以及业务，则该子公司以及业务期初至处置日的收入、费用、利润纳入合并利润表；该</w:t>
      </w:r>
      <w:r>
        <w:rPr/>
        <w:t> 子公司以及业务期初至处置日的现金流量纳入合并现金流量表。</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firstLine="360"/>
        <w:jc w:val="both"/>
      </w:pPr>
      <w:r>
        <w:rPr>
          <w:spacing w:val="-2"/>
        </w:rPr>
        <w:t>本公司因处置部分股权投资或其他原因丧失了对原有子公司控制权的，在合并财务报表中，对于剩余股权，按照其在丧</w:t>
      </w:r>
      <w:r>
        <w:rPr/>
        <w:t> </w:t>
      </w: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公司自购买日开始持续计算的净资产的份额之间的差额，计入丧失控制权当期的投资收益。与原有子公司股权投资相关的其</w:t>
      </w:r>
      <w:r>
        <w:rPr>
          <w:spacing w:val="-64"/>
        </w:rPr>
        <w:t> </w:t>
      </w:r>
      <w:r>
        <w:rPr>
          <w:spacing w:val="-64"/>
        </w:rPr>
      </w:r>
      <w:r>
        <w:rPr/>
        <w:t>他综合收益，应当在丧失控制权时转为当期投资收益。</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7、合营安排分类及共同经营会计处理方法" w:id="161"/>
      <w:bookmarkEnd w:id="16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合营安排的分类" w:id="162"/>
      <w:bookmarkEnd w:id="162"/>
      <w:r>
        <w:rPr>
          <w:b w:val="0"/>
          <w:bCs w:val="0"/>
        </w:rPr>
      </w:r>
      <w:r>
        <w:rPr/>
        <w:t>（</w:t>
      </w:r>
      <w:r>
        <w:rPr>
          <w:rFonts w:ascii="Times New Roman" w:hAnsi="Times New Roman" w:cs="Times New Roman" w:eastAsia="Times New Roman" w:hint="default"/>
        </w:rPr>
        <w:t>1</w:t>
      </w:r>
      <w:r>
        <w:rPr/>
        <w:t>）合营安排的分类</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2" w:firstLine="420"/>
        <w:jc w:val="both"/>
      </w:pPr>
      <w:r>
        <w:rPr/>
        <w:t>本公司根据合营安排的结构、法律形式以及合营安排中约定的条款、其他相关事实和情况等因素，将合营安排分为共 同经营和合营企业。</w:t>
      </w:r>
    </w:p>
    <w:p>
      <w:pPr>
        <w:pStyle w:val="BodyText"/>
        <w:spacing w:line="477" w:lineRule="auto" w:before="54"/>
        <w:ind w:right="1133" w:firstLine="420"/>
        <w:jc w:val="both"/>
      </w:pPr>
      <w:r>
        <w:rPr/>
        <w:t>未通过单独主体达成的合营安排，划分为共同经营；通过单独主体达成的合营安排，通常划分为合营企业；但有确凿 证据表明满足下列任一条件并且符合相关法律法规规定的合营安排划分为共同经营：</w:t>
      </w:r>
    </w:p>
    <w:p>
      <w:pPr>
        <w:pStyle w:val="BodyText"/>
        <w:spacing w:line="240" w:lineRule="auto" w:before="54"/>
        <w:ind w:left="444" w:right="0"/>
        <w:jc w:val="left"/>
      </w:pPr>
      <w:r>
        <w:rPr>
          <w:rFonts w:ascii="Times New Roman" w:hAnsi="Times New Roman" w:cs="Times New Roman" w:eastAsia="Times New Roman" w:hint="default"/>
        </w:rPr>
        <w:t>1</w:t>
      </w:r>
      <w:r>
        <w:rPr/>
        <w:t>）合营安排的法律形式表明，合营方对该安排中的相关资产和负债分别享有权利和承担义务。</w:t>
      </w:r>
    </w:p>
    <w:p>
      <w:pPr>
        <w:spacing w:line="240" w:lineRule="auto" w:before="9"/>
        <w:rPr>
          <w:rFonts w:ascii="宋体" w:hAnsi="宋体" w:cs="宋体" w:eastAsia="宋体" w:hint="default"/>
          <w:sz w:val="16"/>
          <w:szCs w:val="16"/>
        </w:rPr>
      </w:pPr>
    </w:p>
    <w:p>
      <w:pPr>
        <w:pStyle w:val="BodyText"/>
        <w:spacing w:line="240" w:lineRule="auto"/>
        <w:ind w:left="444" w:right="0"/>
        <w:jc w:val="left"/>
      </w:pPr>
      <w:r>
        <w:rPr>
          <w:rFonts w:ascii="Times New Roman" w:hAnsi="Times New Roman" w:cs="Times New Roman" w:eastAsia="Times New Roman" w:hint="default"/>
        </w:rPr>
        <w:t>2</w:t>
      </w:r>
      <w:r>
        <w:rPr/>
        <w:t>）合营安排的合同条款约定，合营方对该安排中的相关资产和负债分别享有权利和承担义务。</w:t>
      </w:r>
    </w:p>
    <w:p>
      <w:pPr>
        <w:spacing w:line="240" w:lineRule="auto" w:before="9"/>
        <w:rPr>
          <w:rFonts w:ascii="宋体" w:hAnsi="宋体" w:cs="宋体" w:eastAsia="宋体" w:hint="default"/>
          <w:sz w:val="16"/>
          <w:szCs w:val="16"/>
        </w:rPr>
      </w:pPr>
    </w:p>
    <w:p>
      <w:pPr>
        <w:pStyle w:val="BodyText"/>
        <w:spacing w:line="451" w:lineRule="auto"/>
        <w:ind w:left="154" w:right="1131" w:firstLine="307"/>
        <w:jc w:val="both"/>
      </w:pP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）其他相关事实和情况表明，合营方对该安排中的相关资产和负债分别享有权利和承担义务，如合营方享有与合营安</w:t>
      </w:r>
      <w:r>
        <w:rPr>
          <w:spacing w:val="1"/>
        </w:rPr>
        <w:t> </w:t>
      </w:r>
      <w:r>
        <w:rPr/>
        <w:t>排相关的几乎所有产出，并且该安排中负债的清偿持续依赖于合营方的支持。</w:t>
      </w:r>
    </w:p>
    <w:p>
      <w:pPr>
        <w:spacing w:line="240" w:lineRule="auto" w:before="10"/>
        <w:rPr>
          <w:rFonts w:ascii="宋体" w:hAnsi="宋体" w:cs="宋体" w:eastAsia="宋体" w:hint="default"/>
          <w:sz w:val="20"/>
          <w:szCs w:val="20"/>
        </w:rPr>
      </w:pPr>
    </w:p>
    <w:p>
      <w:pPr>
        <w:pStyle w:val="Heading3"/>
        <w:spacing w:line="240" w:lineRule="auto"/>
        <w:ind w:left="153" w:right="0"/>
        <w:jc w:val="left"/>
        <w:rPr>
          <w:b w:val="0"/>
          <w:bCs w:val="0"/>
        </w:rPr>
      </w:pPr>
      <w:bookmarkStart w:name="（2）共同经营会计处理方法" w:id="163"/>
      <w:bookmarkEnd w:id="163"/>
      <w:r>
        <w:rPr>
          <w:b w:val="0"/>
          <w:bCs w:val="0"/>
        </w:rPr>
      </w:r>
      <w:r>
        <w:rPr/>
        <w:t>（</w:t>
      </w:r>
      <w:r>
        <w:rPr>
          <w:rFonts w:ascii="Times New Roman" w:hAnsi="Times New Roman" w:cs="Times New Roman" w:eastAsia="Times New Roman" w:hint="default"/>
        </w:rPr>
        <w:t>2</w:t>
      </w:r>
      <w:r>
        <w:rPr/>
        <w:t>）共同经营会计处理方法</w:t>
      </w:r>
      <w:r>
        <w:rPr>
          <w:b w:val="0"/>
          <w:bCs w:val="0"/>
        </w:rPr>
      </w:r>
    </w:p>
    <w:p>
      <w:pPr>
        <w:spacing w:line="240" w:lineRule="auto" w:before="4"/>
        <w:rPr>
          <w:rFonts w:ascii="宋体" w:hAnsi="宋体" w:cs="宋体" w:eastAsia="宋体" w:hint="default"/>
          <w:b/>
          <w:bCs/>
          <w:sz w:val="22"/>
          <w:szCs w:val="22"/>
        </w:rPr>
      </w:pPr>
    </w:p>
    <w:p>
      <w:pPr>
        <w:pStyle w:val="Heading5"/>
        <w:spacing w:line="240" w:lineRule="auto" w:before="38"/>
        <w:ind w:left="573" w:right="0"/>
        <w:jc w:val="left"/>
      </w:pPr>
      <w:r>
        <w:rPr/>
        <w:t>本公司确认共同经营中利益份额中与本公司相关的下列项目，并按照相关企业会计准则的规定进行会计处</w:t>
      </w:r>
    </w:p>
    <w:p>
      <w:pPr>
        <w:pStyle w:val="Heading5"/>
        <w:spacing w:line="240" w:lineRule="auto" w:before="50"/>
        <w:ind w:right="0"/>
        <w:jc w:val="left"/>
      </w:pPr>
      <w:r>
        <w:rPr/>
        <w:t>理：</w:t>
      </w:r>
    </w:p>
    <w:p>
      <w:pPr>
        <w:pStyle w:val="Heading5"/>
        <w:spacing w:line="240" w:lineRule="auto" w:before="50"/>
        <w:ind w:left="975" w:right="0"/>
        <w:jc w:val="left"/>
      </w:pPr>
      <w:r>
        <w:rPr>
          <w:rFonts w:ascii="宋体" w:hAnsi="宋体" w:cs="宋体" w:eastAsia="宋体" w:hint="default"/>
        </w:rPr>
        <w:t>1</w:t>
      </w:r>
      <w:r>
        <w:rPr/>
        <w:t>）确认单独所持有的资产，以及按其份额确认共同持有的资产；</w:t>
      </w:r>
    </w:p>
    <w:p>
      <w:pPr>
        <w:pStyle w:val="Heading5"/>
        <w:spacing w:line="240" w:lineRule="auto" w:before="50"/>
        <w:ind w:left="975" w:right="0"/>
        <w:jc w:val="left"/>
      </w:pPr>
      <w:r>
        <w:rPr>
          <w:rFonts w:ascii="宋体" w:hAnsi="宋体" w:cs="宋体" w:eastAsia="宋体" w:hint="default"/>
        </w:rPr>
        <w:t>2</w:t>
      </w:r>
      <w:r>
        <w:rPr/>
        <w:t>）确认单独所承担的负债，以及按其份额确认共同承担的负债；</w:t>
      </w:r>
    </w:p>
    <w:p>
      <w:pPr>
        <w:pStyle w:val="Heading5"/>
        <w:spacing w:line="240" w:lineRule="auto" w:before="50"/>
        <w:ind w:left="975" w:right="0"/>
        <w:jc w:val="left"/>
      </w:pPr>
      <w:r>
        <w:rPr>
          <w:rFonts w:ascii="宋体" w:hAnsi="宋体" w:cs="宋体" w:eastAsia="宋体" w:hint="default"/>
        </w:rPr>
        <w:t>3</w:t>
      </w:r>
      <w:r>
        <w:rPr/>
        <w:t>）确认出售其享有的共同经营产出份额所产生的收入；</w:t>
      </w:r>
    </w:p>
    <w:p>
      <w:pPr>
        <w:pStyle w:val="Heading5"/>
        <w:spacing w:line="240" w:lineRule="auto" w:before="50"/>
        <w:ind w:left="975" w:right="0"/>
        <w:jc w:val="left"/>
      </w:pPr>
      <w:r>
        <w:rPr>
          <w:rFonts w:ascii="宋体" w:hAnsi="宋体" w:cs="宋体" w:eastAsia="宋体" w:hint="default"/>
        </w:rPr>
        <w:t>4</w:t>
      </w:r>
      <w:r>
        <w:rPr/>
        <w:t>）按其份额确认共同经营因出售产出所产生的收入；</w:t>
      </w:r>
    </w:p>
    <w:p>
      <w:pPr>
        <w:pStyle w:val="Heading5"/>
        <w:spacing w:line="285" w:lineRule="auto" w:before="50"/>
        <w:ind w:left="573" w:right="0" w:firstLine="401"/>
        <w:jc w:val="left"/>
      </w:pPr>
      <w:r>
        <w:rPr>
          <w:rFonts w:ascii="宋体" w:hAnsi="宋体" w:cs="宋体" w:eastAsia="宋体" w:hint="default"/>
        </w:rPr>
        <w:t>5</w:t>
      </w:r>
      <w:r>
        <w:rPr/>
        <w:t>）确认单独所发生的费用，以及按其份额确认共同经营发生的费用。</w:t>
      </w:r>
      <w:r>
        <w:rPr>
          <w:w w:val="100"/>
        </w:rPr>
        <w:t> </w:t>
      </w:r>
      <w:r>
        <w:rPr>
          <w:spacing w:val="-1"/>
        </w:rPr>
        <w:t>本公司向共同经营投出或出售资产等（该资产构成业务的除外），在该资产等由共同经营出售给第三方之</w:t>
      </w:r>
    </w:p>
    <w:p>
      <w:pPr>
        <w:pStyle w:val="Heading5"/>
        <w:spacing w:line="285" w:lineRule="auto"/>
        <w:ind w:right="0"/>
        <w:jc w:val="left"/>
      </w:pPr>
      <w:r>
        <w:rPr>
          <w:spacing w:val="-1"/>
        </w:rPr>
        <w:t>前，仅确认因该交易产生的损益中归属于共同经营其他参与方的部分。投出或出售的资产发生符合《企业会计</w:t>
      </w:r>
      <w:r>
        <w:rPr>
          <w:spacing w:val="-63"/>
        </w:rPr>
        <w:t> </w:t>
      </w:r>
      <w:r>
        <w:rPr>
          <w:spacing w:val="-63"/>
        </w:rPr>
      </w:r>
      <w:r>
        <w:rPr/>
        <w:t>准则第</w:t>
      </w:r>
      <w:r>
        <w:rPr>
          <w:rFonts w:ascii="宋体" w:hAnsi="宋体" w:cs="宋体" w:eastAsia="宋体" w:hint="default"/>
        </w:rPr>
        <w:t>8</w:t>
      </w:r>
      <w:r>
        <w:rPr/>
        <w:t>号——资产减值》等规定的资产减值损失的，本公司全额确认该损失。</w:t>
      </w:r>
    </w:p>
    <w:p>
      <w:pPr>
        <w:pStyle w:val="Heading5"/>
        <w:spacing w:line="285" w:lineRule="auto"/>
        <w:ind w:right="0" w:firstLine="420"/>
        <w:jc w:val="left"/>
      </w:pPr>
      <w:r>
        <w:rPr/>
        <w:t>本公司自共同经营购买资产等（该资产构成业务的除外），在将该资产等出售给第三方之前，仅确认因该</w:t>
      </w:r>
      <w:r>
        <w:rPr>
          <w:w w:val="100"/>
        </w:rPr>
        <w:t> </w:t>
      </w:r>
      <w:r>
        <w:rPr>
          <w:spacing w:val="-4"/>
          <w:w w:val="100"/>
        </w:rPr>
        <w:t>交易产生的损益中归属于共同经营其他参与方的部分。购入的资产发生符合《企业会计准则第</w:t>
      </w:r>
      <w:r>
        <w:rPr>
          <w:rFonts w:ascii="宋体" w:hAnsi="宋体" w:cs="宋体" w:eastAsia="宋体" w:hint="default"/>
          <w:spacing w:val="-4"/>
          <w:w w:val="100"/>
        </w:rPr>
        <w:t>8</w:t>
      </w:r>
      <w:r>
        <w:rPr>
          <w:spacing w:val="-4"/>
          <w:w w:val="100"/>
        </w:rPr>
        <w:t>号——资产减值》</w:t>
      </w:r>
      <w:r>
        <w:rPr>
          <w:spacing w:val="-94"/>
          <w:w w:val="100"/>
        </w:rPr>
        <w:t> </w:t>
      </w:r>
      <w:r>
        <w:rPr>
          <w:spacing w:val="-94"/>
          <w:w w:val="100"/>
        </w:rPr>
      </w:r>
      <w:r>
        <w:rPr/>
        <w:t>等规定的资产减值损失的，本公司按承担的份额确认该部分损失。</w:t>
      </w:r>
    </w:p>
    <w:p>
      <w:pPr>
        <w:pStyle w:val="Heading5"/>
        <w:spacing w:line="285" w:lineRule="auto"/>
        <w:ind w:right="0" w:firstLine="420"/>
        <w:jc w:val="left"/>
      </w:pPr>
      <w:r>
        <w:rPr>
          <w:spacing w:val="-1"/>
        </w:rPr>
        <w:t>本公司对共同经营不享有共同控制，如果本公司享有该共同经营相关资产且承担该共同经营相关负债的，</w:t>
      </w:r>
      <w:r>
        <w:rPr>
          <w:w w:val="100"/>
        </w:rPr>
        <w:t> </w:t>
      </w:r>
      <w:r>
        <w:rPr/>
        <w:t>仍按上述原则进行会计处理，否则，应当按照相关企业会计准则的规定进行会计处理。</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8、现金及现金等价物的确定标准" w:id="164"/>
      <w:bookmarkEnd w:id="16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Heading5"/>
        <w:spacing w:line="240" w:lineRule="auto" w:before="0"/>
        <w:ind w:left="573" w:right="0"/>
        <w:jc w:val="left"/>
      </w:pPr>
      <w:r>
        <w:rPr>
          <w:spacing w:val="-5"/>
        </w:rPr>
        <w:t>在编制现金流量表时，将本公司库存现金以及可以随时用于支付的存款确认为现金。将同时具备期限短（一</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0"/>
        <w:jc w:val="left"/>
      </w:pPr>
      <w:r>
        <w:rPr>
          <w:spacing w:val="-2"/>
        </w:rPr>
        <w:t>般从购买日起，三个月内到期）、流动性强、易于转换为已知金额的现金、价值变动风险很小四个条件的投资，</w:t>
      </w:r>
      <w:r>
        <w:rPr>
          <w:spacing w:val="-80"/>
        </w:rPr>
        <w:t> </w:t>
      </w:r>
      <w:r>
        <w:rPr>
          <w:spacing w:val="-80"/>
        </w:rPr>
      </w:r>
      <w:r>
        <w:rPr/>
        <w:t>确定为现金等价物。</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9、外币业务和外币报表折算" w:id="165"/>
      <w:bookmarkEnd w:id="16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业务" w:id="166"/>
      <w:bookmarkEnd w:id="166"/>
      <w:r>
        <w:rPr>
          <w:b w:val="0"/>
          <w:bCs w:val="0"/>
        </w:rPr>
      </w:r>
      <w:r>
        <w:rPr/>
        <w:t>（</w:t>
      </w:r>
      <w:r>
        <w:rPr>
          <w:rFonts w:ascii="Times New Roman" w:hAnsi="Times New Roman" w:cs="Times New Roman" w:eastAsia="Times New Roman" w:hint="default"/>
        </w:rPr>
        <w:t>1</w:t>
      </w:r>
      <w:r>
        <w:rPr/>
        <w:t>）外币业务</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left="573" w:right="0"/>
        <w:jc w:val="left"/>
      </w:pPr>
      <w:r>
        <w:rPr/>
        <w:t>外币业务交易在初始确认时，采用交易发生日的即期汇率作为折算汇率折合成人民币记账。</w:t>
      </w:r>
      <w:r>
        <w:rPr>
          <w:w w:val="100"/>
        </w:rPr>
        <w:t> </w:t>
      </w:r>
      <w:r>
        <w:rPr>
          <w:spacing w:val="-1"/>
        </w:rPr>
        <w:t>资产负债表日，外币货币性项目按资产负债表日即期汇率折算，由此产生的汇兑差额，除属于与购建符合</w:t>
      </w:r>
    </w:p>
    <w:p>
      <w:pPr>
        <w:pStyle w:val="Heading5"/>
        <w:spacing w:line="285" w:lineRule="auto"/>
        <w:ind w:right="0"/>
        <w:jc w:val="left"/>
      </w:pPr>
      <w:r>
        <w:rPr>
          <w:spacing w:val="-1"/>
        </w:rPr>
        <w:t>资本化条件的资产相关的外币专门借款产生的汇兑差额按照借款费用资本化的原则处理外，均计入当期损益。</w:t>
      </w:r>
      <w:r>
        <w:rPr>
          <w:spacing w:val="-63"/>
        </w:rPr>
        <w:t> </w:t>
      </w:r>
      <w:r>
        <w:rPr>
          <w:spacing w:val="-63"/>
        </w:rPr>
      </w:r>
      <w:r>
        <w:rPr/>
        <w:t>以历史成本计量的外币非货币性项目，仍采用交易发生日的即期汇率折算，不改变其记账本位币金额。</w:t>
      </w:r>
    </w:p>
    <w:p>
      <w:pPr>
        <w:pStyle w:val="Heading5"/>
        <w:spacing w:line="285" w:lineRule="auto"/>
        <w:ind w:right="0" w:firstLine="420"/>
        <w:jc w:val="left"/>
      </w:pPr>
      <w:r>
        <w:rPr>
          <w:spacing w:val="-1"/>
        </w:rPr>
        <w:t>以公允价值计量的外币非货币性项目，采用公允价值确定日的即期汇率折算，由此产生的汇兑差额作为公</w:t>
      </w:r>
      <w:r>
        <w:rPr>
          <w:w w:val="100"/>
        </w:rPr>
        <w:t> </w:t>
      </w:r>
      <w:r>
        <w:rPr/>
        <w:t>允价值变动损益计入当期损益。如属于可供出售外币非货币性项目的，形成的汇兑差额计入其他综合收益。</w:t>
      </w:r>
    </w:p>
    <w:p>
      <w:pPr>
        <w:spacing w:line="612" w:lineRule="exact" w:before="57"/>
        <w:ind w:left="573" w:right="0" w:hanging="420"/>
        <w:jc w:val="left"/>
        <w:rPr>
          <w:rFonts w:ascii="宋体" w:hAnsi="宋体" w:cs="宋体" w:eastAsia="宋体" w:hint="default"/>
          <w:sz w:val="20"/>
          <w:szCs w:val="20"/>
        </w:rPr>
      </w:pPr>
      <w:bookmarkStart w:name="（2）外币财务报表的折算" w:id="167"/>
      <w:bookmarkEnd w:id="16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）外币财务报表的折算</w:t>
      </w:r>
      <w:r>
        <w:rPr>
          <w:rFonts w:ascii="宋体" w:hAnsi="宋体" w:cs="宋体" w:eastAsia="宋体" w:hint="default"/>
          <w:b/>
          <w:bCs/>
          <w:w w:val="99"/>
          <w:sz w:val="20"/>
          <w:szCs w:val="20"/>
        </w:rPr>
        <w:t> </w:t>
      </w:r>
      <w:r>
        <w:rPr>
          <w:rFonts w:ascii="宋体" w:hAnsi="宋体" w:cs="宋体" w:eastAsia="宋体" w:hint="default"/>
          <w:spacing w:val="-1"/>
          <w:sz w:val="20"/>
          <w:szCs w:val="20"/>
        </w:rPr>
        <w:t>资产负债表中的资产和负债项目，采用资产负债表日的即期汇率折算；所有者权益项目除“未分配利润”</w:t>
      </w:r>
    </w:p>
    <w:p>
      <w:pPr>
        <w:pStyle w:val="Heading5"/>
        <w:spacing w:line="218" w:lineRule="exact" w:before="0"/>
        <w:ind w:right="0"/>
        <w:jc w:val="left"/>
      </w:pPr>
      <w:r>
        <w:rPr/>
        <w:t>项目外，其他项目采用发生时的即期汇率折算。利润表中的收入和费用项目，采用交易发生日的即期汇率折算。</w:t>
      </w:r>
    </w:p>
    <w:p>
      <w:pPr>
        <w:pStyle w:val="Heading5"/>
        <w:spacing w:line="285" w:lineRule="auto" w:before="50"/>
        <w:ind w:left="573" w:right="0" w:hanging="420"/>
        <w:jc w:val="left"/>
      </w:pPr>
      <w:r>
        <w:rPr/>
        <w:t>按照上述折算产生的外币财务报表折算差额计入其他综合收益。</w:t>
      </w:r>
      <w:r>
        <w:rPr>
          <w:w w:val="100"/>
        </w:rPr>
        <w:t> </w:t>
      </w:r>
      <w:r>
        <w:rPr>
          <w:spacing w:val="-1"/>
        </w:rPr>
        <w:t>处置境外经营时，将资产负债表中其他综合收益项目中列示的、与该境外经营相关的外币财务报表折算差</w:t>
      </w:r>
    </w:p>
    <w:p>
      <w:pPr>
        <w:pStyle w:val="Heading5"/>
        <w:spacing w:line="285" w:lineRule="auto"/>
        <w:ind w:right="0"/>
        <w:jc w:val="left"/>
      </w:pPr>
      <w:r>
        <w:rPr>
          <w:spacing w:val="-1"/>
        </w:rPr>
        <w:t>额，自其他综合收益项目转入处置当期损益；部分处置境外经营的，按处置的比例计算处置部分的外币财务报</w:t>
      </w:r>
      <w:r>
        <w:rPr>
          <w:spacing w:val="-62"/>
        </w:rPr>
        <w:t> </w:t>
      </w:r>
      <w:r>
        <w:rPr>
          <w:spacing w:val="-62"/>
        </w:rPr>
      </w:r>
      <w:r>
        <w:rPr/>
        <w:t>表折算差额，转入处置当期损益。</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10、金融工具" w:id="168"/>
      <w:bookmarkEnd w:id="16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5"/>
          <w:szCs w:val="25"/>
        </w:rPr>
      </w:pPr>
    </w:p>
    <w:p>
      <w:pPr>
        <w:pStyle w:val="Heading5"/>
        <w:spacing w:line="240" w:lineRule="auto" w:before="0"/>
        <w:ind w:left="573" w:right="0"/>
        <w:jc w:val="left"/>
      </w:pPr>
      <w:r>
        <w:rPr/>
        <w:t>金融工具包括金融资产、金融负债和权益工具。</w:t>
      </w:r>
    </w:p>
    <w:p>
      <w:pPr>
        <w:pStyle w:val="Heading5"/>
        <w:spacing w:line="590" w:lineRule="atLeast" w:before="38"/>
        <w:ind w:left="573" w:right="0" w:hanging="420"/>
        <w:jc w:val="left"/>
      </w:pPr>
      <w:bookmarkStart w:name="（1）金融工具的分类" w:id="169"/>
      <w:bookmarkEnd w:id="169"/>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管理层根据所发行金融工具的合同条款及其所反映的经济实质而非仅以法律形式，结合取得持有金融资产</w:t>
      </w:r>
    </w:p>
    <w:p>
      <w:pPr>
        <w:pStyle w:val="Heading5"/>
        <w:spacing w:line="285" w:lineRule="auto" w:before="50"/>
        <w:ind w:right="0"/>
        <w:jc w:val="left"/>
      </w:pPr>
      <w:r>
        <w:rPr>
          <w:spacing w:val="-1"/>
        </w:rPr>
        <w:t>和承担金融负债的目的，将金融资产和金融负债分为不同类别：以公允价值计量且其变动计入当期损益的金融</w:t>
      </w:r>
      <w:r>
        <w:rPr>
          <w:spacing w:val="-63"/>
        </w:rPr>
        <w:t> </w:t>
      </w:r>
      <w:r>
        <w:rPr>
          <w:spacing w:val="-63"/>
        </w:rPr>
      </w:r>
      <w:r>
        <w:rPr/>
        <w:t>资产（或金融负债）；持有至到期投资；应收款项；可供出售金融资产；其他金融负债等。</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2）金融工具的确认依据和计量方法" w:id="170"/>
      <w:bookmarkEnd w:id="170"/>
      <w:r>
        <w:rPr>
          <w:b w:val="0"/>
          <w:bCs w:val="0"/>
        </w:rPr>
      </w: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462" w:right="0"/>
        <w:jc w:val="left"/>
        <w:rPr>
          <w:b w:val="0"/>
          <w:bCs w:val="0"/>
        </w:rPr>
      </w:pPr>
      <w:r>
        <w:rPr>
          <w:rFonts w:ascii="Times New Roman" w:hAnsi="Times New Roman" w:cs="Times New Roman" w:eastAsia="Times New Roman" w:hint="default"/>
        </w:rPr>
        <w:t>1</w:t>
      </w:r>
      <w:r>
        <w:rPr/>
        <w:t>）以公允价值计量且其变动计入当期损益的金融资产（金融负债）</w:t>
      </w:r>
      <w:r>
        <w:rPr>
          <w:b w:val="0"/>
          <w:bCs w:val="0"/>
        </w:rPr>
      </w:r>
    </w:p>
    <w:p>
      <w:pPr>
        <w:pStyle w:val="Heading5"/>
        <w:spacing w:line="285" w:lineRule="auto" w:before="46"/>
        <w:ind w:right="0" w:firstLine="420"/>
        <w:jc w:val="left"/>
      </w:pPr>
      <w:r>
        <w:rPr>
          <w:spacing w:val="-1"/>
        </w:rPr>
        <w:t>以公允价值计量且其变动计入当期损益的金融资产或金融负债，包括交易性金融资产或金融负债和直接指</w:t>
      </w:r>
      <w:r>
        <w:rPr>
          <w:w w:val="100"/>
        </w:rPr>
        <w:t> </w:t>
      </w:r>
      <w:r>
        <w:rPr/>
        <w:t>定为以公允价值计量且其变动计入当期损益的金融资产或金融负债。</w:t>
      </w:r>
    </w:p>
    <w:p>
      <w:pPr>
        <w:pStyle w:val="Heading5"/>
        <w:spacing w:line="240" w:lineRule="auto"/>
        <w:ind w:left="573" w:right="0"/>
        <w:jc w:val="left"/>
      </w:pPr>
      <w:r>
        <w:rPr/>
        <w:t>交易性金融资产或金融负债是指满足下列条件之一的金融资产或金融负债：</w:t>
      </w:r>
    </w:p>
    <w:p>
      <w:pPr>
        <w:pStyle w:val="Heading5"/>
        <w:spacing w:line="240" w:lineRule="auto" w:before="50"/>
        <w:ind w:left="573" w:right="0"/>
        <w:jc w:val="left"/>
      </w:pPr>
      <w:r>
        <w:rPr/>
        <w:t>①取得该金融资产或金融负债的目的是为了在短期内出售、回购或赎回；</w:t>
      </w:r>
    </w:p>
    <w:p>
      <w:pPr>
        <w:pStyle w:val="Heading5"/>
        <w:spacing w:line="285" w:lineRule="auto" w:before="50"/>
        <w:ind w:right="0" w:firstLine="420"/>
        <w:jc w:val="left"/>
      </w:pPr>
      <w:r>
        <w:rPr>
          <w:spacing w:val="-1"/>
        </w:rPr>
        <w:t>②属于进行集中管理的可辨认金融工具组合的一部分，且有客观证据表明本公司近期采用短期获利方式对</w:t>
      </w:r>
      <w:r>
        <w:rPr>
          <w:w w:val="100"/>
        </w:rPr>
        <w:t> </w:t>
      </w:r>
      <w:r>
        <w:rPr/>
        <w:t>该组合进行管理；</w:t>
      </w:r>
    </w:p>
    <w:p>
      <w:pPr>
        <w:pStyle w:val="Heading5"/>
        <w:spacing w:line="285" w:lineRule="auto"/>
        <w:ind w:right="1118" w:firstLine="420"/>
        <w:jc w:val="left"/>
      </w:pPr>
      <w:r>
        <w:rPr>
          <w:spacing w:val="-1"/>
        </w:rPr>
        <w:t>③属于衍生金融工具，但是被指定为有效套期工具的衍生工具、属于财务担保合同的衍生工具、与在活跃</w:t>
      </w:r>
      <w:r>
        <w:rPr>
          <w:w w:val="100"/>
        </w:rPr>
        <w:t> </w:t>
      </w:r>
      <w:r>
        <w:rPr/>
        <w:t>市场中没有报价且其公允价值不能可靠计量的权益工具投资挂钩并须通过交付该权益工具结算的衍生工具除</w:t>
      </w:r>
      <w:r>
        <w:rPr>
          <w:w w:val="100"/>
        </w:rPr>
        <w:t> </w:t>
      </w:r>
      <w:r>
        <w:rPr/>
        <w:t>外。</w:t>
      </w:r>
    </w:p>
    <w:p>
      <w:pPr>
        <w:spacing w:after="0" w:line="285"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48" w:firstLine="420"/>
        <w:jc w:val="both"/>
      </w:pPr>
      <w:r>
        <w:rPr>
          <w:spacing w:val="-1"/>
        </w:rPr>
        <w:t>只有符合以下条件之一，金融资产或金融负债才可在初始计量时指定为以公允价值计量且其变动计入损益</w:t>
      </w:r>
      <w:r>
        <w:rPr>
          <w:w w:val="100"/>
        </w:rPr>
        <w:t> </w:t>
      </w:r>
      <w:r>
        <w:rPr/>
        <w:t>的金融资产或金融负债：</w:t>
      </w:r>
    </w:p>
    <w:p>
      <w:pPr>
        <w:pStyle w:val="Heading5"/>
        <w:spacing w:line="285" w:lineRule="auto"/>
        <w:ind w:right="1148" w:firstLine="420"/>
        <w:jc w:val="both"/>
      </w:pPr>
      <w:r>
        <w:rPr>
          <w:spacing w:val="-1"/>
        </w:rPr>
        <w:t>①该项指定可以消除或明显减少由于金融资产或金融负债的计量基础不同所导致的相关利得或损失在确认</w:t>
      </w:r>
      <w:r>
        <w:rPr>
          <w:w w:val="100"/>
        </w:rPr>
        <w:t> </w:t>
      </w:r>
      <w:r>
        <w:rPr/>
        <w:t>或计量方面不一致的情况；</w:t>
      </w:r>
    </w:p>
    <w:p>
      <w:pPr>
        <w:pStyle w:val="Heading5"/>
        <w:spacing w:line="285" w:lineRule="auto"/>
        <w:ind w:right="1148" w:firstLine="420"/>
        <w:jc w:val="both"/>
      </w:pPr>
      <w:r>
        <w:rPr>
          <w:spacing w:val="-1"/>
        </w:rPr>
        <w:t>②风险管理或投资策略的正式书面文件已载明，该金融资产组合、该金融负债组合、或该金融资产和金融</w:t>
      </w:r>
      <w:r>
        <w:rPr>
          <w:w w:val="100"/>
        </w:rPr>
        <w:t> </w:t>
      </w:r>
      <w:r>
        <w:rPr/>
        <w:t>负债组合，以公允价值为基础进行管理、评价并向关键管理人员报告；</w:t>
      </w:r>
    </w:p>
    <w:p>
      <w:pPr>
        <w:pStyle w:val="Heading5"/>
        <w:spacing w:line="285" w:lineRule="auto"/>
        <w:ind w:right="1148" w:firstLine="420"/>
        <w:jc w:val="both"/>
      </w:pPr>
      <w:r>
        <w:rPr>
          <w:spacing w:val="-1"/>
        </w:rPr>
        <w:t>③包含一项或多项嵌入衍生工具的混合工具，除非嵌入衍生工具对混合工具的现金流量没有重大改变，或</w:t>
      </w:r>
      <w:r>
        <w:rPr>
          <w:w w:val="100"/>
        </w:rPr>
        <w:t> </w:t>
      </w:r>
      <w:r>
        <w:rPr/>
        <w:t>所嵌入的衍生工具明显不应当从相关混合工具中分拆；</w:t>
      </w:r>
    </w:p>
    <w:p>
      <w:pPr>
        <w:pStyle w:val="Heading5"/>
        <w:spacing w:line="285" w:lineRule="auto"/>
        <w:ind w:left="573" w:right="0"/>
        <w:jc w:val="left"/>
      </w:pPr>
      <w:r>
        <w:rPr/>
        <w:t>④包含需要分拆但无法在取得时或后续的资产负债表日对其进行单独计量的嵌入衍生工具的混合工具。</w:t>
      </w:r>
      <w:r>
        <w:rPr>
          <w:w w:val="100"/>
        </w:rPr>
        <w:t> </w:t>
      </w:r>
      <w:r>
        <w:rPr>
          <w:spacing w:val="-1"/>
        </w:rPr>
        <w:t>本公司对以公允价值计量且其变动计入当期损益的金融资产或金融负债，在取得时以公允价值（扣除已宣</w:t>
      </w:r>
    </w:p>
    <w:p>
      <w:pPr>
        <w:pStyle w:val="Heading5"/>
        <w:spacing w:line="285" w:lineRule="auto"/>
        <w:ind w:right="1169"/>
        <w:jc w:val="both"/>
      </w:pPr>
      <w:r>
        <w:rPr>
          <w:spacing w:val="-1"/>
        </w:rPr>
        <w:t>告但尚未发放的现金股利或已到付息期但尚未领取的债券利息）作为初始确认金额，相关的交易费用计入当期</w:t>
      </w:r>
      <w:r>
        <w:rPr>
          <w:spacing w:val="-63"/>
        </w:rPr>
        <w:t> </w:t>
      </w:r>
      <w:r>
        <w:rPr>
          <w:spacing w:val="-63"/>
        </w:rPr>
      </w:r>
      <w:r>
        <w:rPr>
          <w:spacing w:val="-1"/>
        </w:rPr>
        <w:t>损益。持有期间将取得的利息或现金股利确认为投资收益，期末将公允价值变动计入当期损益。处置时，其公</w:t>
      </w:r>
      <w:r>
        <w:rPr>
          <w:spacing w:val="-63"/>
        </w:rPr>
        <w:t> </w:t>
      </w:r>
      <w:r>
        <w:rPr>
          <w:spacing w:val="-63"/>
        </w:rPr>
      </w:r>
      <w:r>
        <w:rPr/>
        <w:t>允价值与初始入账金额之间的差额确认为投资收益，同时调整公允价值变动损益。</w:t>
      </w:r>
    </w:p>
    <w:p>
      <w:pPr>
        <w:pStyle w:val="Heading5"/>
        <w:spacing w:line="271" w:lineRule="auto"/>
        <w:ind w:left="573" w:right="1118" w:hanging="94"/>
        <w:jc w:val="left"/>
      </w:pPr>
      <w:r>
        <w:rPr>
          <w:rFonts w:ascii="Times New Roman" w:hAnsi="Times New Roman" w:cs="Times New Roman" w:eastAsia="Times New Roman" w:hint="default"/>
          <w:b/>
          <w:bCs/>
        </w:rPr>
        <w:t>2</w:t>
      </w:r>
      <w:r>
        <w:rPr>
          <w:rFonts w:ascii="宋体" w:hAnsi="宋体" w:cs="宋体" w:eastAsia="宋体" w:hint="default"/>
          <w:b/>
          <w:bCs/>
        </w:rPr>
        <w:t>）应收款项</w:t>
      </w:r>
      <w:r>
        <w:rPr>
          <w:rFonts w:ascii="宋体" w:hAnsi="宋体" w:cs="宋体" w:eastAsia="宋体" w:hint="default"/>
          <w:b/>
          <w:bCs/>
          <w:w w:val="99"/>
        </w:rPr>
        <w:t> </w:t>
      </w:r>
      <w:r>
        <w:rPr>
          <w:spacing w:val="-1"/>
        </w:rPr>
        <w:t>本公司对外销售商品或提供劳务形成的应收债权，以及公司持有的其他企业的不包括在活跃市场上有报价</w:t>
      </w:r>
    </w:p>
    <w:p>
      <w:pPr>
        <w:pStyle w:val="Heading5"/>
        <w:spacing w:line="285" w:lineRule="auto" w:before="24"/>
        <w:ind w:right="1168"/>
        <w:jc w:val="both"/>
      </w:pPr>
      <w:r>
        <w:rPr>
          <w:spacing w:val="-1"/>
        </w:rPr>
        <w:t>的债务工具的债权，包括应收账款、其他应收款、预付账款等，以向购货方应收的合同或协议价款作为初始确</w:t>
      </w:r>
      <w:r>
        <w:rPr>
          <w:spacing w:val="-63"/>
        </w:rPr>
        <w:t> </w:t>
      </w:r>
      <w:r>
        <w:rPr>
          <w:spacing w:val="-63"/>
        </w:rPr>
      </w:r>
      <w:r>
        <w:rPr/>
        <w:t>认金额；具有融资性质的，按其现值进行初始确认。</w:t>
      </w:r>
    </w:p>
    <w:p>
      <w:pPr>
        <w:pStyle w:val="Heading5"/>
        <w:spacing w:line="240" w:lineRule="auto"/>
        <w:ind w:left="573" w:right="0"/>
        <w:jc w:val="left"/>
      </w:pPr>
      <w:r>
        <w:rPr/>
        <w:t>收回或处置时，将取得的价款与该应收款项账面价值之间的差额计入当期损益。</w:t>
      </w:r>
    </w:p>
    <w:p>
      <w:pPr>
        <w:pStyle w:val="Heading5"/>
        <w:spacing w:line="271" w:lineRule="auto" w:before="50"/>
        <w:ind w:left="573" w:right="0" w:hanging="94"/>
        <w:jc w:val="left"/>
      </w:pPr>
      <w:r>
        <w:rPr>
          <w:rFonts w:ascii="Times New Roman" w:hAnsi="Times New Roman" w:cs="Times New Roman" w:eastAsia="Times New Roman" w:hint="default"/>
          <w:b/>
          <w:bCs/>
        </w:rPr>
        <w:t>3</w:t>
      </w:r>
      <w:r>
        <w:rPr>
          <w:rFonts w:ascii="宋体" w:hAnsi="宋体" w:cs="宋体" w:eastAsia="宋体" w:hint="default"/>
          <w:b/>
          <w:bCs/>
        </w:rPr>
        <w:t>）持有至到期投资</w:t>
      </w:r>
      <w:r>
        <w:rPr>
          <w:rFonts w:ascii="宋体" w:hAnsi="宋体" w:cs="宋体" w:eastAsia="宋体" w:hint="default"/>
          <w:b/>
          <w:bCs/>
          <w:w w:val="99"/>
        </w:rPr>
        <w:t> </w:t>
      </w:r>
      <w:r>
        <w:rPr>
          <w:spacing w:val="-1"/>
        </w:rPr>
        <w:t>持有至到期投资是指到期日固定、回收金额固定或可确定，且本公司有明确意图和能力持有至到期的非衍</w:t>
      </w:r>
    </w:p>
    <w:p>
      <w:pPr>
        <w:pStyle w:val="Heading5"/>
        <w:spacing w:line="285" w:lineRule="auto" w:before="24"/>
        <w:ind w:left="573" w:right="1118" w:hanging="420"/>
        <w:jc w:val="left"/>
      </w:pPr>
      <w:r>
        <w:rPr/>
        <w:t>生性金融资产。</w:t>
      </w:r>
      <w:r>
        <w:rPr>
          <w:w w:val="100"/>
        </w:rPr>
        <w:t> </w:t>
      </w:r>
      <w:r>
        <w:rPr>
          <w:spacing w:val="-1"/>
        </w:rPr>
        <w:t>本公司对持有至到期投资，在取得时按公允价值（扣除已到付息期但尚未领取的债券利息）和相关交易费</w:t>
      </w:r>
    </w:p>
    <w:p>
      <w:pPr>
        <w:pStyle w:val="Heading5"/>
        <w:spacing w:line="285" w:lineRule="auto"/>
        <w:ind w:right="1168"/>
        <w:jc w:val="both"/>
      </w:pPr>
      <w:r>
        <w:rPr>
          <w:spacing w:val="-1"/>
        </w:rPr>
        <w:t>用之和作为初始确认金额。持有期间按照摊余成本和实际利率计算确认利息收入，计入投资收益。实际利率在</w:t>
      </w:r>
      <w:r>
        <w:rPr>
          <w:spacing w:val="-63"/>
        </w:rPr>
        <w:t> </w:t>
      </w:r>
      <w:r>
        <w:rPr>
          <w:spacing w:val="-63"/>
        </w:rPr>
      </w:r>
      <w:r>
        <w:rPr>
          <w:spacing w:val="-1"/>
        </w:rPr>
        <w:t>取得时确定，在该预期存续期间或适用的更短期间内保持不变。处置时，将所取得价款与该投资账面价值之间</w:t>
      </w:r>
      <w:r>
        <w:rPr>
          <w:spacing w:val="-62"/>
        </w:rPr>
        <w:t> </w:t>
      </w:r>
      <w:r>
        <w:rPr>
          <w:spacing w:val="-62"/>
        </w:rPr>
      </w:r>
      <w:r>
        <w:rPr/>
        <w:t>的差额计入投资收益。</w:t>
      </w:r>
    </w:p>
    <w:p>
      <w:pPr>
        <w:pStyle w:val="Heading5"/>
        <w:spacing w:line="285" w:lineRule="auto"/>
        <w:ind w:right="1148" w:firstLine="420"/>
        <w:jc w:val="both"/>
      </w:pPr>
      <w:r>
        <w:rPr>
          <w:spacing w:val="-1"/>
        </w:rPr>
        <w:t>如果持有至到期投资处置或重分类为其他类金融资产的金额，相对于本公司全部持有至到期投资在出售或</w:t>
      </w:r>
      <w:r>
        <w:rPr>
          <w:w w:val="100"/>
        </w:rPr>
        <w:t> </w:t>
      </w:r>
      <w:r>
        <w:rPr>
          <w:spacing w:val="-1"/>
        </w:rPr>
        <w:t>重分类前的总额较大，在处置或重分类后应立即将其剩余的持有至到期投资重分类为可供出售金融资产；重分</w:t>
      </w:r>
      <w:r>
        <w:rPr>
          <w:spacing w:val="-63"/>
        </w:rPr>
        <w:t> </w:t>
      </w:r>
      <w:r>
        <w:rPr>
          <w:spacing w:val="-63"/>
        </w:rPr>
      </w:r>
      <w:r>
        <w:rPr>
          <w:spacing w:val="-1"/>
        </w:rPr>
        <w:t>类日，该投资的账面价值与其公允价值之间的差额计入其他综合收益，在该可供出售金融资产发生减值或终止</w:t>
      </w:r>
      <w:r>
        <w:rPr>
          <w:spacing w:val="-63"/>
        </w:rPr>
        <w:t> </w:t>
      </w:r>
      <w:r>
        <w:rPr>
          <w:spacing w:val="-63"/>
        </w:rPr>
      </w:r>
      <w:r>
        <w:rPr/>
        <w:t>确认时转出，计入当期损益。但是，遇到下列情况可以除外：</w:t>
      </w:r>
    </w:p>
    <w:p>
      <w:pPr>
        <w:pStyle w:val="Heading5"/>
        <w:spacing w:line="271" w:lineRule="auto"/>
        <w:ind w:right="1215" w:firstLine="420"/>
        <w:jc w:val="both"/>
      </w:pPr>
      <w:r>
        <w:rPr>
          <w:spacing w:val="-1"/>
        </w:rPr>
        <w:t>①出售日或重分类日距离该项投资到期日或赎回日较近</w:t>
      </w:r>
      <w:r>
        <w:rPr>
          <w:rFonts w:ascii="Times New Roman" w:hAnsi="Times New Roman" w:cs="Times New Roman" w:eastAsia="Times New Roman" w:hint="default"/>
          <w:spacing w:val="-1"/>
        </w:rPr>
        <w:t>(</w:t>
      </w:r>
      <w:r>
        <w:rPr>
          <w:spacing w:val="-1"/>
        </w:rPr>
        <w:t>如到期前三个月内</w:t>
      </w:r>
      <w:r>
        <w:rPr>
          <w:rFonts w:ascii="Times New Roman" w:hAnsi="Times New Roman" w:cs="Times New Roman" w:eastAsia="Times New Roman" w:hint="default"/>
          <w:spacing w:val="-1"/>
        </w:rPr>
        <w:t>)</w:t>
      </w:r>
      <w:r>
        <w:rPr>
          <w:spacing w:val="-1"/>
        </w:rPr>
        <w:t>，且市场利率变化对该项投资</w:t>
      </w:r>
      <w:r>
        <w:rPr>
          <w:w w:val="100"/>
        </w:rPr>
        <w:t> </w:t>
      </w:r>
      <w:r>
        <w:rPr/>
        <w:t>的公允价值没有显著影响。</w:t>
      </w:r>
    </w:p>
    <w:p>
      <w:pPr>
        <w:pStyle w:val="Heading5"/>
        <w:spacing w:line="240" w:lineRule="auto" w:before="24"/>
        <w:ind w:left="573" w:right="0"/>
        <w:jc w:val="left"/>
      </w:pPr>
      <w:r>
        <w:rPr/>
        <w:t>②根据合同约定的偿付方式，企业已收回几乎所有初始本金。</w:t>
      </w:r>
    </w:p>
    <w:p>
      <w:pPr>
        <w:pStyle w:val="Heading5"/>
        <w:spacing w:line="278" w:lineRule="auto" w:before="50"/>
        <w:ind w:left="485" w:right="1118" w:firstLine="88"/>
        <w:jc w:val="left"/>
      </w:pPr>
      <w:r>
        <w:rPr/>
        <w:t>③出售或重分类是由于企业无法控制、预期不会重复发生且难以合理预计的独立事件所引起。</w:t>
      </w:r>
      <w:r>
        <w:rPr>
          <w:w w:val="100"/>
        </w:rPr>
        <w:t> </w:t>
      </w:r>
      <w:r>
        <w:rPr>
          <w:rFonts w:ascii="Times New Roman" w:hAnsi="Times New Roman" w:cs="Times New Roman" w:eastAsia="Times New Roman" w:hint="default"/>
          <w:b/>
          <w:bCs/>
        </w:rPr>
        <w:t>4</w:t>
      </w:r>
      <w:r>
        <w:rPr>
          <w:rFonts w:ascii="宋体" w:hAnsi="宋体" w:cs="宋体" w:eastAsia="宋体" w:hint="default"/>
          <w:b/>
          <w:bCs/>
        </w:rPr>
        <w:t>）可供出售金融资产</w:t>
      </w:r>
      <w:r>
        <w:rPr>
          <w:rFonts w:ascii="宋体" w:hAnsi="宋体" w:cs="宋体" w:eastAsia="宋体" w:hint="default"/>
          <w:b/>
          <w:bCs/>
          <w:w w:val="99"/>
        </w:rPr>
        <w:t> </w:t>
      </w:r>
      <w:r>
        <w:rPr/>
        <w:t>可供出售金融资产，是指初始确认时即指定为可供出售的非衍生金融资产，以及除其他金融资产类别以外</w:t>
      </w:r>
    </w:p>
    <w:p>
      <w:pPr>
        <w:pStyle w:val="Heading5"/>
        <w:spacing w:line="240" w:lineRule="auto" w:before="18"/>
        <w:ind w:right="0"/>
        <w:jc w:val="both"/>
      </w:pPr>
      <w:r>
        <w:rPr/>
        <w:t>的金融资产。</w:t>
      </w:r>
    </w:p>
    <w:p>
      <w:pPr>
        <w:pStyle w:val="Heading5"/>
        <w:spacing w:line="285" w:lineRule="auto" w:before="50"/>
        <w:ind w:right="1148" w:firstLine="420"/>
        <w:jc w:val="both"/>
      </w:pPr>
      <w:r>
        <w:rPr>
          <w:spacing w:val="-1"/>
        </w:rPr>
        <w:t>本公司对可供出售金融资产，在取得时按公允价值（扣除已宣告但尚未发放的现金股利或已到付息期但尚</w:t>
      </w:r>
      <w:r>
        <w:rPr>
          <w:w w:val="100"/>
        </w:rPr>
        <w:t> </w:t>
      </w:r>
      <w:r>
        <w:rPr>
          <w:spacing w:val="-1"/>
        </w:rPr>
        <w:t>未领取的债券利息）和相关交易费用之和作为初始确认金额。持有期间将取得的利息或现金股利确认为投资收</w:t>
      </w:r>
      <w:r>
        <w:rPr>
          <w:spacing w:val="-63"/>
        </w:rPr>
        <w:t> </w:t>
      </w:r>
      <w:r>
        <w:rPr>
          <w:spacing w:val="-63"/>
        </w:rPr>
      </w:r>
      <w:r>
        <w:rPr>
          <w:spacing w:val="-1"/>
        </w:rPr>
        <w:t>益。可供出售金融资产的公允价值变动形成的利得或损失，除减值损失和外币货币性金融资产形成的汇兑差额</w:t>
      </w:r>
      <w:r>
        <w:rPr>
          <w:spacing w:val="-63"/>
        </w:rPr>
        <w:t> </w:t>
      </w:r>
      <w:r>
        <w:rPr>
          <w:spacing w:val="-63"/>
        </w:rPr>
      </w:r>
      <w:r>
        <w:rPr>
          <w:spacing w:val="-1"/>
        </w:rPr>
        <w:t>外，直接计入其他综合收益。处置可供出售金融资产时，将取得的价款与该金融资产账面价值之间的差额，计</w:t>
      </w:r>
      <w:r>
        <w:rPr>
          <w:spacing w:val="-63"/>
        </w:rPr>
        <w:t> </w:t>
      </w:r>
      <w:r>
        <w:rPr>
          <w:spacing w:val="-63"/>
        </w:rPr>
      </w:r>
      <w:r>
        <w:rPr>
          <w:spacing w:val="-1"/>
        </w:rPr>
        <w:t>入投资损益；同时，将原直接计入其他综合收益的公允价值变动累计额对应处置部分的金额转出，计入投资损</w:t>
      </w:r>
      <w:r>
        <w:rPr>
          <w:spacing w:val="-63"/>
        </w:rPr>
        <w:t> </w:t>
      </w:r>
      <w:r>
        <w:rPr>
          <w:spacing w:val="-63"/>
        </w:rPr>
      </w:r>
      <w:r>
        <w:rPr/>
        <w:t>益。</w:t>
      </w:r>
    </w:p>
    <w:p>
      <w:pPr>
        <w:spacing w:after="0" w:line="285" w:lineRule="auto"/>
        <w:jc w:val="both"/>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4"/>
        <w:spacing w:line="240" w:lineRule="auto" w:before="38"/>
        <w:ind w:right="0"/>
        <w:jc w:val="left"/>
        <w:rPr>
          <w:b w:val="0"/>
          <w:bCs w:val="0"/>
        </w:rPr>
      </w:pPr>
      <w:bookmarkStart w:name="（3）金融资产转移的确认依据和计量方法" w:id="171"/>
      <w:bookmarkEnd w:id="171"/>
      <w:r>
        <w:rPr>
          <w:b w:val="0"/>
          <w:bCs w:val="0"/>
        </w:rPr>
      </w: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8"/>
        <w:rPr>
          <w:rFonts w:ascii="宋体" w:hAnsi="宋体" w:cs="宋体" w:eastAsia="宋体" w:hint="default"/>
          <w:b/>
          <w:bCs/>
          <w:sz w:val="25"/>
          <w:szCs w:val="25"/>
        </w:rPr>
      </w:pPr>
    </w:p>
    <w:p>
      <w:pPr>
        <w:pStyle w:val="Heading5"/>
        <w:spacing w:line="285" w:lineRule="auto" w:before="0"/>
        <w:ind w:right="1147" w:firstLine="420"/>
        <w:jc w:val="both"/>
      </w:pPr>
      <w:r>
        <w:rPr>
          <w:spacing w:val="-1"/>
        </w:rPr>
        <w:t>公司发生金融资产转移时，如已将金融资产所有权上几乎所有的风险和报酬转移给转入方，则终止确认该</w:t>
      </w:r>
      <w:r>
        <w:rPr>
          <w:w w:val="100"/>
        </w:rPr>
        <w:t> </w:t>
      </w:r>
      <w:r>
        <w:rPr/>
        <w:t>金融资产；如保留了金融资产所有权上几乎所有的风险和报酬的，则不终止确认该金融资产。</w:t>
      </w:r>
    </w:p>
    <w:p>
      <w:pPr>
        <w:pStyle w:val="Heading5"/>
        <w:spacing w:line="285" w:lineRule="auto"/>
        <w:ind w:right="1148" w:firstLine="420"/>
        <w:jc w:val="both"/>
      </w:pPr>
      <w:r>
        <w:rPr>
          <w:spacing w:val="-1"/>
        </w:rPr>
        <w:t>在判断金融资产转移是否满足上述金融资产终止确认条件时，采用实质重于形式的原则。公司将金融资产</w:t>
      </w:r>
      <w:r>
        <w:rPr>
          <w:w w:val="100"/>
        </w:rPr>
        <w:t> </w:t>
      </w:r>
      <w:r>
        <w:rPr>
          <w:spacing w:val="-1"/>
        </w:rPr>
        <w:t>转移区分为金融资产整体转移和部分转移。金融资产整体转移满足终止确认条件的，将下列两项金额的差额计</w:t>
      </w:r>
      <w:r>
        <w:rPr>
          <w:spacing w:val="-63"/>
        </w:rPr>
        <w:t> </w:t>
      </w:r>
      <w:r>
        <w:rPr>
          <w:spacing w:val="-63"/>
        </w:rPr>
      </w:r>
      <w:r>
        <w:rPr/>
        <w:t>入当期损益：</w:t>
      </w:r>
    </w:p>
    <w:p>
      <w:pPr>
        <w:pStyle w:val="Heading5"/>
        <w:spacing w:line="240" w:lineRule="auto"/>
        <w:ind w:left="573" w:right="0"/>
        <w:jc w:val="left"/>
      </w:pPr>
      <w:r>
        <w:rPr>
          <w:rFonts w:ascii="Times New Roman" w:hAnsi="Times New Roman" w:cs="Times New Roman" w:eastAsia="Times New Roman" w:hint="default"/>
        </w:rPr>
        <w:t>1</w:t>
      </w:r>
      <w:r>
        <w:rPr/>
        <w:t>）所转移金融资产的账面价值；</w:t>
      </w:r>
    </w:p>
    <w:p>
      <w:pPr>
        <w:pStyle w:val="Heading5"/>
        <w:spacing w:line="271" w:lineRule="auto" w:before="35"/>
        <w:ind w:right="1131" w:firstLine="420"/>
        <w:jc w:val="both"/>
      </w:pPr>
      <w:r>
        <w:rPr>
          <w:rFonts w:ascii="Times New Roman" w:hAnsi="Times New Roman" w:cs="Times New Roman" w:eastAsia="Times New Roman" w:hint="default"/>
          <w:spacing w:val="-3"/>
        </w:rPr>
        <w:t>2</w:t>
      </w:r>
      <w:r>
        <w:rPr>
          <w:spacing w:val="-3"/>
        </w:rPr>
        <w:t>）因转移而收到的对价，与原直接计入所有者权益的公允价值变动累计额（涉及转移的金融资产为可供出</w:t>
      </w:r>
      <w:r>
        <w:rPr>
          <w:w w:val="100"/>
        </w:rPr>
        <w:t> </w:t>
      </w:r>
      <w:r>
        <w:rPr/>
        <w:t>售金融资产的情形）之和。</w:t>
      </w:r>
    </w:p>
    <w:p>
      <w:pPr>
        <w:pStyle w:val="Heading5"/>
        <w:spacing w:line="285" w:lineRule="auto" w:before="24"/>
        <w:ind w:right="1148" w:firstLine="420"/>
        <w:jc w:val="both"/>
      </w:pPr>
      <w:r>
        <w:rPr>
          <w:spacing w:val="-1"/>
        </w:rPr>
        <w:t>金融资产部分转移满足终止确认条件的，将所转移金融资产整体的账面价值，在终止确认部分和未终止确</w:t>
      </w:r>
      <w:r>
        <w:rPr>
          <w:w w:val="100"/>
        </w:rPr>
        <w:t> </w:t>
      </w:r>
      <w:r>
        <w:rPr/>
        <w:t>认部分之间，按照各自的相对公允价值进行分摊，并将下列两项金额的差额计入当期损益：</w:t>
      </w:r>
    </w:p>
    <w:p>
      <w:pPr>
        <w:pStyle w:val="Heading5"/>
        <w:spacing w:line="240" w:lineRule="auto"/>
        <w:ind w:left="573" w:right="0"/>
        <w:jc w:val="left"/>
      </w:pPr>
      <w:r>
        <w:rPr>
          <w:rFonts w:ascii="Times New Roman" w:hAnsi="Times New Roman" w:cs="Times New Roman" w:eastAsia="Times New Roman" w:hint="default"/>
        </w:rPr>
        <w:t>1</w:t>
      </w:r>
      <w:r>
        <w:rPr/>
        <w:t>）终止确认部分的账面价值；</w:t>
      </w:r>
    </w:p>
    <w:p>
      <w:pPr>
        <w:pStyle w:val="Heading5"/>
        <w:spacing w:line="271" w:lineRule="auto" w:before="35"/>
        <w:ind w:right="1130" w:firstLine="420"/>
        <w:jc w:val="both"/>
      </w:pPr>
      <w:r>
        <w:rPr>
          <w:rFonts w:ascii="Times New Roman" w:hAnsi="Times New Roman" w:cs="Times New Roman" w:eastAsia="Times New Roman" w:hint="default"/>
          <w:spacing w:val="-3"/>
        </w:rPr>
        <w:t>2</w:t>
      </w:r>
      <w:r>
        <w:rPr>
          <w:spacing w:val="-3"/>
        </w:rPr>
        <w:t>）终止确认部分的对价，与原直接计入所有者权益的公允价值变动累计额中对应终止确认部分的金额（涉</w:t>
      </w:r>
      <w:r>
        <w:rPr>
          <w:w w:val="100"/>
        </w:rPr>
        <w:t> </w:t>
      </w:r>
      <w:r>
        <w:rPr/>
        <w:t>及转移的金融资产为可供出售金融资产的情形）之和。</w:t>
      </w:r>
    </w:p>
    <w:p>
      <w:pPr>
        <w:pStyle w:val="Heading5"/>
        <w:spacing w:line="240" w:lineRule="auto" w:before="24"/>
        <w:ind w:left="573" w:right="0"/>
        <w:jc w:val="left"/>
      </w:pPr>
      <w:r>
        <w:rPr/>
        <w:t>金融资产转移不满足终止确认条件的，继续确认该金融资产，所收到的对价确认为一项金融负债。</w:t>
      </w:r>
    </w:p>
    <w:p>
      <w:pPr>
        <w:spacing w:line="590" w:lineRule="atLeast" w:before="38"/>
        <w:ind w:left="573" w:right="0" w:hanging="420"/>
        <w:jc w:val="left"/>
        <w:rPr>
          <w:rFonts w:ascii="宋体" w:hAnsi="宋体" w:cs="宋体" w:eastAsia="宋体" w:hint="default"/>
          <w:sz w:val="20"/>
          <w:szCs w:val="20"/>
        </w:rPr>
      </w:pPr>
      <w:bookmarkStart w:name="（4）金融负债终止确认条件" w:id="172"/>
      <w:bookmarkEnd w:id="17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）金融负债终止确认条件</w:t>
      </w:r>
      <w:r>
        <w:rPr>
          <w:rFonts w:ascii="宋体" w:hAnsi="宋体" w:cs="宋体" w:eastAsia="宋体" w:hint="default"/>
          <w:b/>
          <w:bCs/>
          <w:w w:val="99"/>
          <w:sz w:val="20"/>
          <w:szCs w:val="20"/>
        </w:rPr>
        <w:t> </w:t>
      </w:r>
      <w:r>
        <w:rPr>
          <w:rFonts w:ascii="宋体" w:hAnsi="宋体" w:cs="宋体" w:eastAsia="宋体" w:hint="default"/>
          <w:spacing w:val="-1"/>
          <w:sz w:val="20"/>
          <w:szCs w:val="20"/>
        </w:rPr>
        <w:t>金融负债的的现时义务全部或部分已经解除的，则终止确认该金融负债或其一部分；本公司若与债权人签</w:t>
      </w:r>
    </w:p>
    <w:p>
      <w:pPr>
        <w:pStyle w:val="Heading5"/>
        <w:spacing w:line="285" w:lineRule="auto" w:before="50"/>
        <w:ind w:right="0"/>
        <w:jc w:val="left"/>
      </w:pPr>
      <w:r>
        <w:rPr>
          <w:spacing w:val="-1"/>
        </w:rPr>
        <w:t>定协议，以承担新金融负债方式替换现存金融负债，且新金融负债与现存金融负债的合同条款实质上不同的，</w:t>
      </w:r>
      <w:r>
        <w:rPr>
          <w:spacing w:val="-63"/>
        </w:rPr>
        <w:t> </w:t>
      </w:r>
      <w:r>
        <w:rPr>
          <w:spacing w:val="-63"/>
        </w:rPr>
      </w:r>
      <w:r>
        <w:rPr/>
        <w:t>则终止确认现存金融负债，并同时确认新金融负债。</w:t>
      </w:r>
    </w:p>
    <w:p>
      <w:pPr>
        <w:pStyle w:val="Heading5"/>
        <w:spacing w:line="285" w:lineRule="auto"/>
        <w:ind w:right="1148" w:firstLine="420"/>
        <w:jc w:val="both"/>
      </w:pPr>
      <w:r>
        <w:rPr>
          <w:spacing w:val="-1"/>
        </w:rPr>
        <w:t>对现存金融负债全部或部分合同条款作出实质性修改的，则终止确认现存金融负债或其一部分，同时将修</w:t>
      </w:r>
      <w:r>
        <w:rPr>
          <w:w w:val="100"/>
        </w:rPr>
        <w:t> </w:t>
      </w:r>
      <w:r>
        <w:rPr/>
        <w:t>改条款后的金融负债确认为一项新金融负债。</w:t>
      </w:r>
    </w:p>
    <w:p>
      <w:pPr>
        <w:pStyle w:val="Heading5"/>
        <w:spacing w:line="285" w:lineRule="auto"/>
        <w:ind w:right="1148" w:firstLine="420"/>
        <w:jc w:val="both"/>
      </w:pPr>
      <w:r>
        <w:rPr>
          <w:spacing w:val="-1"/>
        </w:rPr>
        <w:t>金融负债全部或部分终止确认时，终止确认的金融负债账面价值与支付对价（包括转出的非现金资产或承</w:t>
      </w:r>
      <w:r>
        <w:rPr>
          <w:w w:val="100"/>
        </w:rPr>
        <w:t> </w:t>
      </w:r>
      <w:r>
        <w:rPr/>
        <w:t>担的新金融负债）之间的差额，计入当期损益。</w:t>
      </w:r>
    </w:p>
    <w:p>
      <w:pPr>
        <w:pStyle w:val="Heading5"/>
        <w:spacing w:line="285" w:lineRule="auto"/>
        <w:ind w:right="1148" w:firstLine="420"/>
        <w:jc w:val="both"/>
      </w:pPr>
      <w:r>
        <w:rPr>
          <w:spacing w:val="-1"/>
        </w:rPr>
        <w:t>本公司若回购部分金融负债的，在回购日按照继续确认部分与终止确认部分的相对公允价值，将该金融负</w:t>
      </w:r>
      <w:r>
        <w:rPr>
          <w:w w:val="100"/>
        </w:rPr>
        <w:t> </w:t>
      </w:r>
      <w:r>
        <w:rPr>
          <w:spacing w:val="-1"/>
        </w:rPr>
        <w:t>债整体的账面价值进行分配。分配给终止确认部分的账面价值与支付的对价（包括转出的非现金资产或承担的</w:t>
      </w:r>
      <w:r>
        <w:rPr>
          <w:spacing w:val="-62"/>
        </w:rPr>
        <w:t> </w:t>
      </w:r>
      <w:r>
        <w:rPr>
          <w:spacing w:val="-62"/>
        </w:rPr>
      </w:r>
      <w:r>
        <w:rPr/>
        <w:t>新金融负债）之间的差额，计入当期损益。</w:t>
      </w:r>
    </w:p>
    <w:p>
      <w:pPr>
        <w:spacing w:line="612" w:lineRule="exact" w:before="57"/>
        <w:ind w:left="573" w:right="0" w:hanging="420"/>
        <w:jc w:val="left"/>
        <w:rPr>
          <w:rFonts w:ascii="宋体" w:hAnsi="宋体" w:cs="宋体" w:eastAsia="宋体" w:hint="default"/>
          <w:sz w:val="20"/>
          <w:szCs w:val="20"/>
        </w:rPr>
      </w:pPr>
      <w:bookmarkStart w:name="（5）金融资产和金融负债公允价值的确定方法" w:id="173"/>
      <w:bookmarkEnd w:id="17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）金融资产和金融负债公允价值的确定方法</w:t>
      </w:r>
      <w:r>
        <w:rPr>
          <w:rFonts w:ascii="宋体" w:hAnsi="宋体" w:cs="宋体" w:eastAsia="宋体" w:hint="default"/>
          <w:b/>
          <w:bCs/>
          <w:w w:val="99"/>
          <w:sz w:val="20"/>
          <w:szCs w:val="20"/>
        </w:rPr>
        <w:t> </w:t>
      </w:r>
      <w:r>
        <w:rPr>
          <w:rFonts w:ascii="宋体" w:hAnsi="宋体" w:cs="宋体" w:eastAsia="宋体" w:hint="default"/>
          <w:spacing w:val="-1"/>
          <w:sz w:val="20"/>
          <w:szCs w:val="20"/>
        </w:rPr>
        <w:t>本公司采用公允价值计量的金融资产和金融负债存在活跃市场的金融资产或金融负债，以活跃市场的报价</w:t>
      </w:r>
    </w:p>
    <w:p>
      <w:pPr>
        <w:pStyle w:val="Heading5"/>
        <w:spacing w:line="218" w:lineRule="exact" w:before="0"/>
        <w:ind w:right="0"/>
        <w:jc w:val="left"/>
      </w:pPr>
      <w:r>
        <w:rPr/>
        <w:t>确定其公允价值；不存在活跃市场的金融资产或金融负债，采用估值技术（包括参考熟悉情况并自愿交易的各</w:t>
      </w:r>
    </w:p>
    <w:p>
      <w:pPr>
        <w:pStyle w:val="Heading5"/>
        <w:spacing w:line="285" w:lineRule="auto" w:before="50"/>
        <w:ind w:right="1168"/>
        <w:jc w:val="both"/>
      </w:pPr>
      <w:r>
        <w:rPr>
          <w:spacing w:val="-1"/>
        </w:rPr>
        <w:t>方最近进行的市场交易中使用的价格、参照实质上相同的其他金融工具的当前公允价值、现金流量折现法和期</w:t>
      </w:r>
      <w:r>
        <w:rPr>
          <w:spacing w:val="-63"/>
        </w:rPr>
        <w:t> </w:t>
      </w:r>
      <w:r>
        <w:rPr>
          <w:spacing w:val="-63"/>
        </w:rPr>
      </w:r>
      <w:r>
        <w:rPr>
          <w:spacing w:val="-1"/>
        </w:rPr>
        <w:t>权定价模型等）确定其公允价值；初始取得或衍生的金融资产或承担的金融负债，以市场交易价格作为确定其</w:t>
      </w:r>
      <w:r>
        <w:rPr>
          <w:spacing w:val="-62"/>
        </w:rPr>
        <w:t> </w:t>
      </w:r>
      <w:r>
        <w:rPr>
          <w:spacing w:val="-62"/>
        </w:rPr>
      </w:r>
      <w:r>
        <w:rPr/>
        <w:t>公允价值的基础。</w:t>
      </w:r>
    </w:p>
    <w:p>
      <w:pPr>
        <w:spacing w:line="612" w:lineRule="exact" w:before="57"/>
        <w:ind w:left="573" w:right="0" w:hanging="420"/>
        <w:jc w:val="left"/>
        <w:rPr>
          <w:rFonts w:ascii="宋体" w:hAnsi="宋体" w:cs="宋体" w:eastAsia="宋体" w:hint="default"/>
          <w:sz w:val="20"/>
          <w:szCs w:val="20"/>
        </w:rPr>
      </w:pPr>
      <w:bookmarkStart w:name="（6）金融资产（上含应收款项）减值准备计提" w:id="174"/>
      <w:bookmarkEnd w:id="17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）金融资产（不含应收款项）减值准备计提</w:t>
      </w:r>
      <w:r>
        <w:rPr>
          <w:rFonts w:ascii="宋体" w:hAnsi="宋体" w:cs="宋体" w:eastAsia="宋体" w:hint="default"/>
          <w:b/>
          <w:bCs/>
          <w:w w:val="99"/>
          <w:sz w:val="20"/>
          <w:szCs w:val="20"/>
        </w:rPr>
        <w:t> </w:t>
      </w:r>
      <w:r>
        <w:rPr>
          <w:rFonts w:ascii="宋体" w:hAnsi="宋体" w:cs="宋体" w:eastAsia="宋体" w:hint="default"/>
          <w:spacing w:val="-1"/>
          <w:sz w:val="20"/>
          <w:szCs w:val="20"/>
        </w:rPr>
        <w:t>资产负债表日对以公允价值计量且其变动计入当期损益的金融资产以外的金融资产的账面价值进行检查，</w:t>
      </w:r>
    </w:p>
    <w:p>
      <w:pPr>
        <w:pStyle w:val="Heading5"/>
        <w:spacing w:line="218" w:lineRule="exact" w:before="0"/>
        <w:ind w:right="0"/>
        <w:jc w:val="left"/>
      </w:pPr>
      <w:r>
        <w:rPr/>
        <w:t>如有客观证据表明该金融资产发生减值的，计提减值准备。</w:t>
      </w:r>
    </w:p>
    <w:p>
      <w:pPr>
        <w:pStyle w:val="Heading5"/>
        <w:spacing w:line="240" w:lineRule="auto" w:before="50"/>
        <w:ind w:left="573" w:right="0"/>
        <w:jc w:val="left"/>
      </w:pPr>
      <w:r>
        <w:rPr/>
        <w:t>金融资产发生减值的客观证据，包括但不限于：</w:t>
      </w:r>
    </w:p>
    <w:p>
      <w:pPr>
        <w:pStyle w:val="Heading5"/>
        <w:spacing w:line="240" w:lineRule="auto" w:before="50"/>
        <w:ind w:right="0"/>
        <w:jc w:val="left"/>
      </w:pPr>
      <w:r>
        <w:rPr>
          <w:rFonts w:ascii="Times New Roman" w:hAnsi="Times New Roman" w:cs="Times New Roman" w:eastAsia="Times New Roman" w:hint="default"/>
        </w:rPr>
        <w:t>1</w:t>
      </w:r>
      <w:r>
        <w:rPr/>
        <w:t>）发行方或债务人发生严重财务困难；</w:t>
      </w:r>
    </w:p>
    <w:p>
      <w:pPr>
        <w:pStyle w:val="Heading5"/>
        <w:spacing w:line="240" w:lineRule="auto" w:before="35"/>
        <w:ind w:right="0"/>
        <w:jc w:val="left"/>
      </w:pPr>
      <w:r>
        <w:rPr>
          <w:rFonts w:ascii="Times New Roman" w:hAnsi="Times New Roman" w:cs="Times New Roman" w:eastAsia="Times New Roman" w:hint="default"/>
        </w:rPr>
        <w:t>2</w:t>
      </w:r>
      <w:r>
        <w:rPr/>
        <w:t>）债务人违反了合同条款，如偿付利息或本金发生违约或逾期等；</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pPr>
      <w:r>
        <w:rPr>
          <w:rFonts w:ascii="Times New Roman" w:hAnsi="Times New Roman" w:cs="Times New Roman" w:eastAsia="Times New Roman" w:hint="default"/>
        </w:rPr>
        <w:t>3</w:t>
      </w:r>
      <w:r>
        <w:rPr/>
        <w:t>）债权人出于经济或法律等方面因素的考虑，对发生财务困难的债务人作出让步；</w:t>
      </w:r>
    </w:p>
    <w:p>
      <w:pPr>
        <w:pStyle w:val="Heading5"/>
        <w:spacing w:line="240" w:lineRule="auto" w:before="35"/>
        <w:ind w:right="0"/>
        <w:jc w:val="left"/>
      </w:pPr>
      <w:r>
        <w:rPr>
          <w:rFonts w:ascii="Times New Roman" w:hAnsi="Times New Roman" w:cs="Times New Roman" w:eastAsia="Times New Roman" w:hint="default"/>
        </w:rPr>
        <w:t>4</w:t>
      </w:r>
      <w:r>
        <w:rPr/>
        <w:t>）债务人很可能倒闭或进行其他财务重组；</w:t>
      </w:r>
    </w:p>
    <w:p>
      <w:pPr>
        <w:pStyle w:val="Heading5"/>
        <w:spacing w:line="240" w:lineRule="auto" w:before="35"/>
        <w:ind w:right="0"/>
        <w:jc w:val="left"/>
      </w:pPr>
      <w:r>
        <w:rPr>
          <w:rFonts w:ascii="Times New Roman" w:hAnsi="Times New Roman" w:cs="Times New Roman" w:eastAsia="Times New Roman" w:hint="default"/>
        </w:rPr>
        <w:t>5</w:t>
      </w:r>
      <w:r>
        <w:rPr/>
        <w:t>）因发行方发生重大财务困难，该金融资产无法在活跃市场继续交易；</w:t>
      </w:r>
    </w:p>
    <w:p>
      <w:pPr>
        <w:pStyle w:val="Heading5"/>
        <w:spacing w:line="278" w:lineRule="auto" w:before="35"/>
        <w:ind w:right="0"/>
        <w:jc w:val="left"/>
      </w:pPr>
      <w:r>
        <w:rPr>
          <w:rFonts w:ascii="Times New Roman" w:hAnsi="Times New Roman" w:cs="Times New Roman" w:eastAsia="Times New Roman" w:hint="default"/>
          <w:spacing w:val="-4"/>
          <w:w w:val="100"/>
        </w:rPr>
        <w:t>6</w:t>
      </w:r>
      <w:r>
        <w:rPr>
          <w:spacing w:val="-4"/>
          <w:w w:val="100"/>
        </w:rPr>
        <w:t>）无法辨认一组金融资产中的某项资产的现金流量是否已经减少，但根据公开的数据对其进行总体评价后发现，</w:t>
      </w:r>
      <w:r>
        <w:rPr>
          <w:spacing w:val="-97"/>
          <w:w w:val="100"/>
        </w:rPr>
        <w:t> </w:t>
      </w:r>
      <w:r>
        <w:rPr>
          <w:spacing w:val="-97"/>
          <w:w w:val="100"/>
        </w:rPr>
      </w:r>
      <w:r>
        <w:rPr/>
        <w:t>该组金融资产自初始确认以来的预计未来现金流量确已减少且可计量，如该组金融资产的债务人支付能力逐步</w:t>
      </w:r>
      <w:r>
        <w:rPr>
          <w:w w:val="100"/>
        </w:rPr>
        <w:t> </w:t>
      </w:r>
      <w:r>
        <w:rPr/>
        <w:t>恶化，或债务人所在国家或地区失业率提高、担保物在其所在地区的价格明显下降、所处行业不景气等；</w:t>
      </w:r>
      <w:r>
        <w:rPr>
          <w:w w:val="100"/>
        </w:rPr>
        <w:t> </w:t>
      </w:r>
      <w:r>
        <w:rPr>
          <w:rFonts w:ascii="Times New Roman" w:hAnsi="Times New Roman" w:cs="Times New Roman" w:eastAsia="Times New Roman" w:hint="default"/>
          <w:spacing w:val="-2"/>
        </w:rPr>
        <w:t>7</w:t>
      </w:r>
      <w:r>
        <w:rPr>
          <w:spacing w:val="-2"/>
        </w:rPr>
        <w:t>）权益工具发行方经营所处的技术、市场、经济或法律环境等发生重大不利变化，使权益工具投资人可能无法</w:t>
      </w:r>
      <w:r>
        <w:rPr>
          <w:spacing w:val="-79"/>
        </w:rPr>
        <w:t> </w:t>
      </w:r>
      <w:r>
        <w:rPr>
          <w:spacing w:val="-79"/>
        </w:rPr>
      </w:r>
      <w:r>
        <w:rPr/>
        <w:t>收回投资成本；</w:t>
      </w:r>
    </w:p>
    <w:p>
      <w:pPr>
        <w:pStyle w:val="Heading5"/>
        <w:spacing w:line="278" w:lineRule="auto" w:before="18"/>
        <w:ind w:left="573" w:right="5353" w:hanging="420"/>
        <w:jc w:val="left"/>
      </w:pPr>
      <w:r>
        <w:rPr>
          <w:rFonts w:ascii="Times New Roman" w:hAnsi="Times New Roman" w:cs="Times New Roman" w:eastAsia="Times New Roman" w:hint="default"/>
          <w:spacing w:val="-1"/>
        </w:rPr>
        <w:t>8</w:t>
      </w:r>
      <w:r>
        <w:rPr>
          <w:spacing w:val="-1"/>
        </w:rPr>
        <w:t>）权益工具投资的公允价值发生严重或非暂时性下跌；</w:t>
      </w:r>
      <w:r>
        <w:rPr>
          <w:spacing w:val="-82"/>
        </w:rPr>
        <w:t> </w:t>
      </w:r>
      <w:r>
        <w:rPr>
          <w:spacing w:val="-82"/>
        </w:rPr>
      </w:r>
      <w:r>
        <w:rPr/>
        <w:t>金融资产的具体减值方法如下：</w:t>
      </w:r>
      <w:r>
        <w:rPr>
          <w:w w:val="100"/>
        </w:rPr>
        <w:t> </w:t>
      </w:r>
      <w:r>
        <w:rPr>
          <w:rFonts w:ascii="Times New Roman" w:hAnsi="Times New Roman" w:cs="Times New Roman" w:eastAsia="Times New Roman" w:hint="default"/>
        </w:rPr>
        <w:t>1.</w:t>
      </w:r>
      <w:r>
        <w:rPr/>
        <w:t>可供出售金融资产的减值准备</w:t>
      </w:r>
    </w:p>
    <w:p>
      <w:pPr>
        <w:pStyle w:val="Heading5"/>
        <w:spacing w:line="285" w:lineRule="auto" w:before="0"/>
        <w:ind w:right="1148" w:firstLine="420"/>
        <w:jc w:val="both"/>
      </w:pPr>
      <w:r>
        <w:rPr>
          <w:spacing w:val="-1"/>
        </w:rPr>
        <w:t>本公司于资产负债表日对各项可供出售金融资产采用个别认定的方式评估减值损失，其中：表明可供出售</w:t>
      </w:r>
      <w:r>
        <w:rPr>
          <w:w w:val="100"/>
        </w:rPr>
        <w:t> </w:t>
      </w:r>
      <w:r>
        <w:rPr/>
        <w:t>权益工具投资发生减值的客观证据包括权益工具投资的公允价值发生严重或非暂时性下跌。</w:t>
      </w:r>
    </w:p>
    <w:p>
      <w:pPr>
        <w:pStyle w:val="Heading5"/>
        <w:spacing w:line="276" w:lineRule="auto"/>
        <w:ind w:right="1168" w:firstLine="420"/>
        <w:jc w:val="both"/>
      </w:pPr>
      <w:r>
        <w:rPr>
          <w:spacing w:val="-1"/>
        </w:rPr>
        <w:t>上段所述</w:t>
      </w:r>
      <w:r>
        <w:rPr>
          <w:rFonts w:ascii="Times New Roman" w:hAnsi="Times New Roman" w:cs="Times New Roman" w:eastAsia="Times New Roman" w:hint="default"/>
          <w:spacing w:val="-1"/>
        </w:rPr>
        <w:t>“</w:t>
      </w:r>
      <w:r>
        <w:rPr>
          <w:spacing w:val="-1"/>
        </w:rPr>
        <w:t>成本</w:t>
      </w:r>
      <w:r>
        <w:rPr>
          <w:rFonts w:ascii="Times New Roman" w:hAnsi="Times New Roman" w:cs="Times New Roman" w:eastAsia="Times New Roman" w:hint="default"/>
          <w:spacing w:val="-1"/>
        </w:rPr>
        <w:t>”</w:t>
      </w:r>
      <w:r>
        <w:rPr>
          <w:spacing w:val="-1"/>
        </w:rPr>
        <w:t>按照可供出售权益工具投资的初始取得成本扣除已收回本金和已摊销金额、原已计入损益</w:t>
      </w:r>
      <w:r>
        <w:rPr>
          <w:w w:val="100"/>
        </w:rPr>
        <w:t> </w:t>
      </w:r>
      <w:r>
        <w:rPr>
          <w:spacing w:val="-1"/>
        </w:rPr>
        <w:t>的减值损失确定；</w:t>
      </w:r>
      <w:r>
        <w:rPr>
          <w:rFonts w:ascii="Times New Roman" w:hAnsi="Times New Roman" w:cs="Times New Roman" w:eastAsia="Times New Roman" w:hint="default"/>
          <w:spacing w:val="-1"/>
        </w:rPr>
        <w:t>“</w:t>
      </w:r>
      <w:r>
        <w:rPr>
          <w:spacing w:val="-1"/>
        </w:rPr>
        <w:t>公允价值</w:t>
      </w:r>
      <w:r>
        <w:rPr>
          <w:rFonts w:ascii="Times New Roman" w:hAnsi="Times New Roman" w:cs="Times New Roman" w:eastAsia="Times New Roman" w:hint="default"/>
          <w:spacing w:val="-1"/>
        </w:rPr>
        <w:t>”</w:t>
      </w:r>
      <w:r>
        <w:rPr>
          <w:spacing w:val="-1"/>
        </w:rPr>
        <w:t>根据证券交易所期末收盘价确定，除非该项可供出售权益工具投资存在限售期。</w:t>
      </w:r>
      <w:r>
        <w:rPr>
          <w:spacing w:val="-66"/>
        </w:rPr>
        <w:t> </w:t>
      </w:r>
      <w:r>
        <w:rPr>
          <w:spacing w:val="-66"/>
        </w:rPr>
      </w:r>
      <w:r>
        <w:rPr>
          <w:spacing w:val="-1"/>
        </w:rPr>
        <w:t>对于存在限售期的可供出售权益工具投资，按照证券交易所期末收盘价扣除市场参与者因承担指定期间内无法</w:t>
      </w:r>
      <w:r>
        <w:rPr>
          <w:spacing w:val="-62"/>
        </w:rPr>
        <w:t> </w:t>
      </w:r>
      <w:r>
        <w:rPr>
          <w:spacing w:val="-62"/>
        </w:rPr>
      </w:r>
      <w:r>
        <w:rPr/>
        <w:t>在公开市场上出售该权益工具的风险而要求获得的补偿金额后确定。</w:t>
      </w:r>
    </w:p>
    <w:p>
      <w:pPr>
        <w:pStyle w:val="Heading5"/>
        <w:spacing w:line="285" w:lineRule="auto" w:before="20"/>
        <w:ind w:right="1148" w:firstLine="420"/>
        <w:jc w:val="both"/>
      </w:pPr>
      <w:r>
        <w:rPr>
          <w:spacing w:val="-1"/>
        </w:rPr>
        <w:t>可供出售金融资产发生减值时，即使该金融资产没有终止确认，本公司将原直接计入其他综合收益的因公</w:t>
      </w:r>
      <w:r>
        <w:rPr>
          <w:w w:val="100"/>
        </w:rPr>
        <w:t> </w:t>
      </w:r>
      <w:r>
        <w:rPr>
          <w:spacing w:val="-1"/>
        </w:rPr>
        <w:t>允价值下降形成的累计损失从其他综合收益转出，计入当期损益。该转出的累计损失，等于可供出售金融资产</w:t>
      </w:r>
      <w:r>
        <w:rPr>
          <w:spacing w:val="-63"/>
        </w:rPr>
        <w:t> </w:t>
      </w:r>
      <w:r>
        <w:rPr>
          <w:spacing w:val="-63"/>
        </w:rPr>
      </w:r>
      <w:r>
        <w:rPr/>
        <w:t>的初始取得成本扣除已收回本金和已摊余金额、当前公允价值和原已计入损益的减值损失后的余额。</w:t>
      </w:r>
    </w:p>
    <w:p>
      <w:pPr>
        <w:pStyle w:val="Heading5"/>
        <w:spacing w:line="285" w:lineRule="auto"/>
        <w:ind w:right="0" w:firstLine="420"/>
        <w:jc w:val="left"/>
      </w:pPr>
      <w:r>
        <w:rPr/>
        <w:t>对于已确认减值损失的可供出售债务工具，在随后的会计期间公允价值已上升且客观上与确认原减值损失</w:t>
      </w:r>
      <w:r>
        <w:rPr>
          <w:w w:val="100"/>
        </w:rPr>
        <w:t> </w:t>
      </w:r>
      <w:r>
        <w:rPr>
          <w:spacing w:val="-2"/>
        </w:rPr>
        <w:t>后发生的事项有关的，原确认的减值损失予以转回计入当期损益；对于可供出售权益工具投资发生的减值损失，</w:t>
      </w:r>
      <w:r>
        <w:rPr>
          <w:spacing w:val="-76"/>
        </w:rPr>
        <w:t> </w:t>
      </w:r>
      <w:r>
        <w:rPr>
          <w:spacing w:val="-76"/>
        </w:rPr>
      </w:r>
      <w:r>
        <w:rPr>
          <w:spacing w:val="-2"/>
        </w:rPr>
        <w:t>在该权益工具价值回升时通过权益转回；但在活跃市场中没有报价且其公允价值不能可靠计量的权益工具投资，</w:t>
      </w:r>
      <w:r>
        <w:rPr>
          <w:spacing w:val="-77"/>
        </w:rPr>
        <w:t> </w:t>
      </w:r>
      <w:r>
        <w:rPr>
          <w:spacing w:val="-77"/>
        </w:rPr>
      </w:r>
      <w:r>
        <w:rPr/>
        <w:t>或与该权益工具挂钩并须通过交付该权益工具结算的衍生金融资产发生的减值损失，不得转回。</w:t>
      </w:r>
    </w:p>
    <w:p>
      <w:pPr>
        <w:pStyle w:val="Heading5"/>
        <w:spacing w:line="271" w:lineRule="auto"/>
        <w:ind w:left="573" w:right="0"/>
        <w:jc w:val="left"/>
      </w:pPr>
      <w:r>
        <w:rPr>
          <w:rFonts w:ascii="Times New Roman" w:hAnsi="Times New Roman" w:cs="Times New Roman" w:eastAsia="Times New Roman" w:hint="default"/>
        </w:rPr>
        <w:t>2.</w:t>
      </w:r>
      <w:r>
        <w:rPr/>
        <w:t>持有至到期投资的减值准备</w:t>
      </w:r>
      <w:r>
        <w:rPr>
          <w:w w:val="100"/>
        </w:rPr>
        <w:t> </w:t>
      </w:r>
      <w:r>
        <w:rPr>
          <w:spacing w:val="-1"/>
        </w:rPr>
        <w:t>对于持有至到期投资，有客观证据表明其发生了减值的，根据其账面价值与预计未来现金流量现值之间差</w:t>
      </w:r>
    </w:p>
    <w:p>
      <w:pPr>
        <w:pStyle w:val="Heading5"/>
        <w:spacing w:line="285" w:lineRule="auto" w:before="24"/>
        <w:ind w:right="0"/>
        <w:jc w:val="left"/>
      </w:pPr>
      <w:r>
        <w:rPr>
          <w:spacing w:val="-1"/>
        </w:rPr>
        <w:t>额计算确认减值损失；计提后如有证据表明其价值已恢复，原确认的减值损失可予以转回，记入当期损益，但</w:t>
      </w:r>
      <w:r>
        <w:rPr>
          <w:spacing w:val="-63"/>
        </w:rPr>
        <w:t> </w:t>
      </w:r>
      <w:r>
        <w:rPr>
          <w:spacing w:val="-63"/>
        </w:rPr>
      </w:r>
      <w:r>
        <w:rPr/>
        <w:t>该转回的账面价值不超过假定不计提减值准备情况下该金融资产在转回日的摊余成本。</w:t>
      </w:r>
    </w:p>
    <w:p>
      <w:pPr>
        <w:spacing w:line="612" w:lineRule="exact" w:before="57"/>
        <w:ind w:left="573" w:right="0" w:hanging="420"/>
        <w:jc w:val="left"/>
        <w:rPr>
          <w:rFonts w:ascii="宋体" w:hAnsi="宋体" w:cs="宋体" w:eastAsia="宋体" w:hint="default"/>
          <w:sz w:val="20"/>
          <w:szCs w:val="20"/>
        </w:rPr>
      </w:pPr>
      <w:bookmarkStart w:name="（7）金融资产及金融负债的抵销" w:id="175"/>
      <w:bookmarkEnd w:id="17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）金融资产及金融负债的抵销</w:t>
      </w:r>
      <w:r>
        <w:rPr>
          <w:rFonts w:ascii="宋体" w:hAnsi="宋体" w:cs="宋体" w:eastAsia="宋体" w:hint="default"/>
          <w:b/>
          <w:bCs/>
          <w:w w:val="99"/>
          <w:sz w:val="20"/>
          <w:szCs w:val="20"/>
        </w:rPr>
        <w:t> </w:t>
      </w:r>
      <w:r>
        <w:rPr>
          <w:rFonts w:ascii="宋体" w:hAnsi="宋体" w:cs="宋体" w:eastAsia="宋体" w:hint="default"/>
          <w:spacing w:val="-1"/>
          <w:sz w:val="20"/>
          <w:szCs w:val="20"/>
        </w:rPr>
        <w:t>金融资产和金融负债在资产负债表内分别列示，没有相互抵销。但是，同时满足下列条件的，以相互抵销</w:t>
      </w:r>
    </w:p>
    <w:p>
      <w:pPr>
        <w:pStyle w:val="Heading5"/>
        <w:spacing w:line="218" w:lineRule="exact" w:before="0"/>
        <w:ind w:right="0"/>
        <w:jc w:val="left"/>
      </w:pPr>
      <w:r>
        <w:rPr/>
        <w:t>后的净额在资产负债表内列示：</w:t>
      </w:r>
    </w:p>
    <w:p>
      <w:pPr>
        <w:spacing w:before="50"/>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）本公司具有抵销已确认</w:t>
      </w:r>
      <w:r>
        <w:rPr>
          <w:rFonts w:ascii="宋体" w:hAnsi="宋体" w:cs="宋体" w:eastAsia="宋体" w:hint="default"/>
          <w:sz w:val="18"/>
          <w:szCs w:val="18"/>
        </w:rPr>
        <w:t>金额的法定权利，且该种法定权利是当前可执行的；</w:t>
      </w:r>
    </w:p>
    <w:p>
      <w:pPr>
        <w:pStyle w:val="BodyText"/>
        <w:spacing w:line="240" w:lineRule="auto" w:before="51"/>
        <w:ind w:left="573" w:right="0"/>
        <w:jc w:val="left"/>
      </w:pP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8"/>
        <w:gridCol w:w="6591"/>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986"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 计提方法</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在资产负债表日，本公司对单项金额重大的应收款项单独进行减值测试，经测试发 生了减值的，按其未来现金流量现值低于其帐面价值的差额确定减值损失，计提坏 帐准备；如单独测试未发生减值情形，汇同对单项金额非重大的应收款项，按类似</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0;top:14;width:2968;height:665" coordorigin="10,14" coordsize="2968,665">
              <v:shape style="position:absolute;left:10;top:14;width:2968;height:665" coordorigin="10,14" coordsize="2968,665" path="m10,679l2978,679,2978,14,10,14,10,679xe" filled="true" fillcolor="#d2d2d2" stroked="false">
                <v:path arrowok="t"/>
                <v:fill type="solid"/>
              </v:shape>
            </v:group>
            <v:group style="position:absolute;left:10;top:10;width:2968;height:2" coordorigin="10,10" coordsize="2968,2">
              <v:shape style="position:absolute;left:10;top:10;width:2968;height:2" coordorigin="10,10" coordsize="2968,0" path="m10,10l2978,10e" filled="false" stroked="true" strokeweight=".48pt" strokecolor="#000000">
                <v:path arrowok="t"/>
              </v:shape>
            </v:group>
            <v:group style="position:absolute;left:2987;top:10;width:6582;height:2" coordorigin="2987,10" coordsize="6582,2">
              <v:shape style="position:absolute;left:2987;top:10;width:6582;height:2" coordorigin="2987,10" coordsize="6582,0" path="m2987,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2968;height:2" coordorigin="10,684" coordsize="2968,2">
              <v:shape style="position:absolute;left:10;top:684;width:2968;height:2" coordorigin="10,684" coordsize="2968,0" path="m10,684l2978,684e" filled="false" stroked="true" strokeweight=".48pt" strokecolor="#000000">
                <v:path arrowok="t"/>
              </v:shape>
            </v:group>
            <v:group style="position:absolute;left:2982;top:5;width:2;height:684" coordorigin="2982,5" coordsize="2,684">
              <v:shape style="position:absolute;left:2982;top:5;width:2;height:684" coordorigin="2982,5" coordsize="0,684" path="m2982,5l2982,689e" filled="false" stroked="true" strokeweight=".48pt" strokecolor="#000000">
                <v:path arrowok="t"/>
              </v:shape>
            </v:group>
            <v:group style="position:absolute;left:2987;top:684;width:6582;height:2" coordorigin="2987,684" coordsize="6582,2">
              <v:shape style="position:absolute;left:2987;top:684;width:6582;height:2" coordorigin="2987,684" coordsize="6582,0" path="m2987,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2982;top:10;width:6592;height:675" type="#_x0000_t202" filled="false" stroked="false">
                <v:textbox inset="0,0,0,0">
                  <w:txbxContent>
                    <w:p>
                      <w:pPr>
                        <w:spacing w:line="319" w:lineRule="auto" w:before="15"/>
                        <w:ind w:left="27" w:right="81" w:firstLine="0"/>
                        <w:jc w:val="left"/>
                        <w:rPr>
                          <w:rFonts w:ascii="宋体" w:hAnsi="宋体" w:cs="宋体" w:eastAsia="宋体" w:hint="default"/>
                          <w:sz w:val="18"/>
                          <w:szCs w:val="18"/>
                        </w:rPr>
                      </w:pPr>
                      <w:r>
                        <w:rPr>
                          <w:rFonts w:ascii="宋体" w:hAnsi="宋体" w:cs="宋体" w:eastAsia="宋体" w:hint="default"/>
                          <w:sz w:val="18"/>
                          <w:szCs w:val="18"/>
                        </w:rPr>
                        <w:t>的信用风险特征划分为若干组合，再按这些应收款项组合在资产负债表日余额的一 定比例计算确定减值损失，计提坏账准备。</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与电信运营商的通信业务的保证金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房租等押金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54" w:right="0"/>
        <w:jc w:val="left"/>
      </w:pPr>
      <w:r>
        <w:rPr/>
        <w:t>组合中，采用其他方法计提坏账准备的：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本公司本年度无单项金额虽不重大但单项计提坏账准备的应 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存货的分类" w:id="181"/>
      <w:bookmarkEnd w:id="181"/>
      <w:r>
        <w:rPr>
          <w:b w:val="0"/>
          <w:bCs w:val="0"/>
        </w:rPr>
      </w: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52" w:firstLine="420"/>
        <w:jc w:val="left"/>
      </w:pPr>
      <w:r>
        <w:rPr/>
        <w:t>存货是指本公司在日常活动中持有以备出售的产成品或商品、处在生产过程中的在产品、在生产过程或提供劳务过程 中耗用的材料和物料等。主要包括库存商品、低值易耗品等。</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存货的计价方法" w:id="182"/>
      <w:bookmarkEnd w:id="182"/>
      <w:r>
        <w:rPr>
          <w:b w:val="0"/>
          <w:bCs w:val="0"/>
        </w:rPr>
      </w:r>
      <w:r>
        <w:rPr/>
        <w:t>（</w:t>
      </w:r>
      <w:r>
        <w:rPr>
          <w:rFonts w:ascii="Times New Roman" w:hAnsi="Times New Roman" w:cs="Times New Roman" w:eastAsia="Times New Roman" w:hint="default"/>
        </w:rPr>
        <w:t>2</w:t>
      </w:r>
      <w:r>
        <w:rPr/>
        <w:t>）存货的计价方法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存货在取得时，按成本进行初始计量，包括采购成本、加工成本和其他成本。存货发出时按加权平均法计价。</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存货可变现净值的确定依据及存货跌价准备的计提方法" w:id="183"/>
      <w:bookmarkEnd w:id="183"/>
      <w:r>
        <w:rPr>
          <w:b w:val="0"/>
          <w:bCs w:val="0"/>
        </w:rPr>
      </w: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期末对存货进行全面清查后，按存货的成本与可变现净值孰低提取或调整存货跌价准备。产成品、库存商品和用于出 </w:t>
      </w: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额，确定其可变现净值；需要经过加工的材料存货，在正常生产经营过程中，以所生产的产成品的估计售价减去至完工时估</w:t>
      </w:r>
      <w:r>
        <w:rPr>
          <w:spacing w:val="-66"/>
        </w:rPr>
        <w:t> </w:t>
      </w:r>
      <w:r>
        <w:rPr>
          <w:spacing w:val="-66"/>
        </w:rPr>
      </w:r>
      <w:r>
        <w:rPr>
          <w:spacing w:val="-4"/>
        </w:rPr>
        <w:t>计将要发生的成本、估计的销售费用和相关税费后的金额，确定其可变现净值；为执行销售合同或者劳务合同而持有的存货，</w:t>
      </w:r>
      <w:r>
        <w:rPr>
          <w:spacing w:val="-44"/>
        </w:rPr>
        <w:t> </w:t>
      </w:r>
      <w:r>
        <w:rPr>
          <w:spacing w:val="-44"/>
        </w:rPr>
      </w:r>
      <w:r>
        <w:rPr>
          <w:spacing w:val="-2"/>
        </w:rPr>
        <w:t>其可变现净值以合同价格为基础计算，若持有存货的数量多于销售合同订购数量的，超出部分的存货的可变现净值以一般销</w:t>
      </w:r>
      <w:r>
        <w:rPr>
          <w:spacing w:val="-64"/>
        </w:rPr>
        <w:t> </w:t>
      </w:r>
      <w:r>
        <w:rPr>
          <w:spacing w:val="-64"/>
        </w:rPr>
      </w:r>
      <w:r>
        <w:rPr/>
        <w:t>售价格为基础计算。</w:t>
      </w:r>
    </w:p>
    <w:p>
      <w:pPr>
        <w:pStyle w:val="BodyText"/>
        <w:spacing w:line="316" w:lineRule="auto" w:before="19"/>
        <w:ind w:right="1133"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16" w:lineRule="auto" w:before="19"/>
        <w:ind w:right="1153" w:firstLine="420"/>
        <w:jc w:val="left"/>
      </w:pPr>
      <w:r>
        <w:rPr/>
        <w:t>以前减记存货价值的影响因素已经消失的，减记的金额予以恢复，并在原已计提的存货跌价准备金额内转回，转回的 金额计入当期损益。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4）存货的盘存制度" w:id="184"/>
      <w:bookmarkEnd w:id="184"/>
      <w:r>
        <w:rPr>
          <w:b w:val="0"/>
          <w:bCs w:val="0"/>
        </w:rPr>
      </w:r>
      <w:r>
        <w:rPr/>
        <w:t>（</w:t>
      </w:r>
      <w:r>
        <w:rPr>
          <w:rFonts w:ascii="Times New Roman" w:hAnsi="Times New Roman" w:cs="Times New Roman" w:eastAsia="Times New Roman" w:hint="default"/>
        </w:rPr>
        <w:t>4</w:t>
      </w:r>
      <w:r>
        <w:rPr/>
        <w:t>）存货的盘存制度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采用永续盘存制。</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5）低值易耗品和包装物的摊销方法" w:id="185"/>
      <w:bookmarkEnd w:id="185"/>
      <w:r>
        <w:rPr>
          <w:b w:val="0"/>
          <w:bCs w:val="0"/>
        </w:rPr>
      </w: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63"/>
        <w:ind w:left="444" w:right="0"/>
        <w:jc w:val="left"/>
      </w:pP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3、长期股权投资" w:id="186"/>
      <w:bookmarkEnd w:id="186"/>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投资成本的确定" w:id="187"/>
      <w:bookmarkEnd w:id="187"/>
      <w:r>
        <w:rPr>
          <w:b w:val="0"/>
          <w:bCs w:val="0"/>
        </w:rPr>
      </w:r>
      <w:r>
        <w:rPr/>
        <w:t>（</w:t>
      </w:r>
      <w:r>
        <w:rPr>
          <w:rFonts w:ascii="Times New Roman" w:hAnsi="Times New Roman" w:cs="Times New Roman" w:eastAsia="Times New Roman" w:hint="default"/>
        </w:rPr>
        <w:t>1</w:t>
      </w:r>
      <w:r>
        <w:rPr/>
        <w:t>）投资成本的确定</w:t>
      </w:r>
      <w:r>
        <w:rPr>
          <w:b w:val="0"/>
          <w:bCs w:val="0"/>
        </w:rPr>
      </w:r>
    </w:p>
    <w:p>
      <w:pPr>
        <w:spacing w:line="240" w:lineRule="auto" w:before="3"/>
        <w:rPr>
          <w:rFonts w:ascii="宋体" w:hAnsi="宋体" w:cs="宋体" w:eastAsia="宋体" w:hint="default"/>
          <w:b/>
          <w:bCs/>
          <w:sz w:val="25"/>
          <w:szCs w:val="25"/>
        </w:rPr>
      </w:pPr>
    </w:p>
    <w:p>
      <w:pPr>
        <w:pStyle w:val="Heading5"/>
        <w:spacing w:line="271" w:lineRule="auto" w:before="0"/>
        <w:ind w:right="1118" w:firstLine="420"/>
        <w:jc w:val="left"/>
      </w:pPr>
      <w:r>
        <w:rPr>
          <w:rFonts w:ascii="Times New Roman" w:hAnsi="Times New Roman" w:cs="Times New Roman" w:eastAsia="Times New Roman" w:hint="default"/>
          <w:spacing w:val="-1"/>
        </w:rPr>
        <w:t>1</w:t>
      </w:r>
      <w:r>
        <w:rPr>
          <w:spacing w:val="-1"/>
        </w:rPr>
        <w:t>）企业合并形成的长期股权投资，具体会计政策详见“</w:t>
      </w:r>
      <w:r>
        <w:rPr>
          <w:rFonts w:ascii="Times New Roman" w:hAnsi="Times New Roman" w:cs="Times New Roman" w:eastAsia="Times New Roman" w:hint="default"/>
          <w:spacing w:val="-1"/>
        </w:rPr>
        <w:t>5</w:t>
      </w:r>
      <w:r>
        <w:rPr>
          <w:spacing w:val="-1"/>
        </w:rPr>
        <w:t>、同一控制下和非同一控制下企业合并的会计处</w:t>
      </w:r>
      <w:r>
        <w:rPr>
          <w:w w:val="100"/>
        </w:rPr>
        <w:t> </w:t>
      </w:r>
      <w:r>
        <w:rPr/>
        <w:t>理方法”。</w:t>
      </w:r>
    </w:p>
    <w:p>
      <w:pPr>
        <w:pStyle w:val="Heading5"/>
        <w:spacing w:line="271" w:lineRule="auto" w:before="24"/>
        <w:ind w:left="573" w:right="0"/>
        <w:jc w:val="left"/>
      </w:pPr>
      <w:r>
        <w:rPr>
          <w:rFonts w:ascii="Times New Roman" w:hAnsi="Times New Roman" w:cs="Times New Roman" w:eastAsia="Times New Roman" w:hint="default"/>
        </w:rPr>
        <w:t>2</w:t>
      </w:r>
      <w:r>
        <w:rPr/>
        <w:t>）其他方式取得的长期股权投资</w:t>
      </w:r>
      <w:r>
        <w:rPr>
          <w:w w:val="100"/>
        </w:rPr>
        <w:t> </w:t>
      </w:r>
      <w:r>
        <w:rPr>
          <w:spacing w:val="-1"/>
        </w:rPr>
        <w:t>以支付现金方式取得的长期股权投资，按照实际支付的购买价款作为初始投资成本。初始投资成本包括与</w:t>
      </w:r>
    </w:p>
    <w:p>
      <w:pPr>
        <w:pStyle w:val="Heading5"/>
        <w:spacing w:line="285" w:lineRule="auto" w:before="24"/>
        <w:ind w:left="573" w:right="0" w:hanging="420"/>
        <w:jc w:val="left"/>
      </w:pPr>
      <w:r>
        <w:rPr/>
        <w:t>取得长期股权投资直接相关的费用、税金及其他必要支出。</w:t>
      </w:r>
      <w:r>
        <w:rPr>
          <w:w w:val="100"/>
        </w:rPr>
        <w:t> </w:t>
      </w:r>
      <w:r>
        <w:rPr>
          <w:spacing w:val="-1"/>
        </w:rPr>
        <w:t>以发行权益性证券取得的长期股权投资，按照发行权益性证券的公允价值作为初始投资成本；发行或取得</w:t>
      </w:r>
    </w:p>
    <w:p>
      <w:pPr>
        <w:pStyle w:val="Heading5"/>
        <w:spacing w:line="285" w:lineRule="auto"/>
        <w:ind w:left="573" w:right="0" w:hanging="420"/>
        <w:jc w:val="left"/>
      </w:pPr>
      <w:r>
        <w:rPr/>
        <w:t>自身权益工具时发生的交易费用，可直接归属于权益性交易的从权益中扣减。</w:t>
      </w:r>
      <w:r>
        <w:rPr>
          <w:w w:val="100"/>
        </w:rPr>
        <w:t> </w:t>
      </w:r>
      <w:r>
        <w:rPr>
          <w:spacing w:val="-1"/>
        </w:rPr>
        <w:t>在非货币性资产交换具备商业实质和换入资产或换出资产的公允价值能够可靠计量的前提下，非货币性资</w:t>
      </w:r>
    </w:p>
    <w:p>
      <w:pPr>
        <w:pStyle w:val="Heading5"/>
        <w:spacing w:line="285" w:lineRule="auto"/>
        <w:ind w:right="1169"/>
        <w:jc w:val="both"/>
      </w:pPr>
      <w:r>
        <w:rPr>
          <w:spacing w:val="-1"/>
        </w:rPr>
        <w:t>产交换换入的长期股权投资以换出资产的公允价值为基础确定其初始投资成本，除非有确凿证据表明换入资产</w:t>
      </w:r>
      <w:r>
        <w:rPr>
          <w:spacing w:val="-63"/>
        </w:rPr>
        <w:t> </w:t>
      </w:r>
      <w:r>
        <w:rPr>
          <w:spacing w:val="-63"/>
        </w:rPr>
      </w:r>
      <w:r>
        <w:rPr>
          <w:spacing w:val="-1"/>
        </w:rPr>
        <w:t>的公允价值更加可靠；不满足上述前提的非货币性资产交换，以换出资产的账面价值和应支付的相关税费作为</w:t>
      </w:r>
      <w:r>
        <w:rPr>
          <w:spacing w:val="-63"/>
        </w:rPr>
        <w:t> </w:t>
      </w:r>
      <w:r>
        <w:rPr>
          <w:spacing w:val="-63"/>
        </w:rPr>
      </w:r>
      <w:r>
        <w:rPr/>
        <w:t>换入长期股权投资的初始投资成本。</w:t>
      </w:r>
    </w:p>
    <w:p>
      <w:pPr>
        <w:pStyle w:val="Heading5"/>
        <w:spacing w:line="240" w:lineRule="auto"/>
        <w:ind w:left="573" w:right="0"/>
        <w:jc w:val="left"/>
      </w:pPr>
      <w:r>
        <w:rPr/>
        <w:t>通过债务重组取得的长期股权投资，其初始投资成本按照公允价值为基础确定。</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后续计量及损益确认" w:id="188"/>
      <w:bookmarkEnd w:id="188"/>
      <w:r>
        <w:rPr>
          <w:b w:val="0"/>
          <w:bCs w:val="0"/>
        </w:rPr>
      </w:r>
      <w:r>
        <w:rPr/>
        <w:t>（</w:t>
      </w:r>
      <w:r>
        <w:rPr>
          <w:rFonts w:ascii="Times New Roman" w:hAnsi="Times New Roman" w:cs="Times New Roman" w:eastAsia="Times New Roman" w:hint="default"/>
        </w:rPr>
        <w:t>2</w:t>
      </w:r>
      <w:r>
        <w:rPr/>
        <w:t>）后续计量及损益确认</w:t>
      </w:r>
      <w:r>
        <w:rPr>
          <w:b w:val="0"/>
          <w:bCs w:val="0"/>
        </w:rPr>
      </w:r>
    </w:p>
    <w:p>
      <w:pPr>
        <w:spacing w:line="240" w:lineRule="auto" w:before="3"/>
        <w:rPr>
          <w:rFonts w:ascii="宋体" w:hAnsi="宋体" w:cs="宋体" w:eastAsia="宋体" w:hint="default"/>
          <w:b/>
          <w:bCs/>
          <w:sz w:val="25"/>
          <w:szCs w:val="25"/>
        </w:rPr>
      </w:pPr>
    </w:p>
    <w:p>
      <w:pPr>
        <w:pStyle w:val="Heading5"/>
        <w:spacing w:line="271" w:lineRule="auto" w:before="0"/>
        <w:ind w:left="573" w:right="1118"/>
        <w:jc w:val="left"/>
      </w:pPr>
      <w:r>
        <w:rPr>
          <w:rFonts w:ascii="Times New Roman" w:hAnsi="Times New Roman" w:cs="Times New Roman" w:eastAsia="Times New Roman" w:hint="default"/>
        </w:rPr>
        <w:t>1</w:t>
      </w:r>
      <w:r>
        <w:rPr/>
        <w:t>）成本法</w:t>
      </w:r>
      <w:r>
        <w:rPr>
          <w:w w:val="100"/>
        </w:rPr>
        <w:t> </w:t>
      </w:r>
      <w:r>
        <w:rPr>
          <w:spacing w:val="-1"/>
        </w:rPr>
        <w:t>本公司能够对被投资单位实施控制的长期股权投资采用成本法核算，并按照初始投资成本计价，追加或收</w:t>
      </w:r>
    </w:p>
    <w:p>
      <w:pPr>
        <w:pStyle w:val="Heading5"/>
        <w:spacing w:line="285" w:lineRule="auto" w:before="24"/>
        <w:ind w:left="573" w:right="0" w:hanging="420"/>
        <w:jc w:val="left"/>
      </w:pPr>
      <w:r>
        <w:rPr/>
        <w:t>回投资调整长期股权投资的成本。</w:t>
      </w:r>
      <w:r>
        <w:rPr>
          <w:w w:val="100"/>
        </w:rPr>
        <w:t> </w:t>
      </w:r>
      <w:r>
        <w:rPr>
          <w:spacing w:val="-1"/>
        </w:rPr>
        <w:t>除取得投资时实际支付的价款或对价中包含的已宣告但尚未发放的现金股利或利润外，本公司按照享有被</w:t>
      </w:r>
    </w:p>
    <w:p>
      <w:pPr>
        <w:pStyle w:val="Heading5"/>
        <w:spacing w:line="240" w:lineRule="auto"/>
        <w:ind w:right="0"/>
        <w:jc w:val="both"/>
      </w:pPr>
      <w:r>
        <w:rPr/>
        <w:t>投资单位宣告分派的现金股利或利润确认为当期投资收益。</w:t>
      </w:r>
    </w:p>
    <w:p>
      <w:pPr>
        <w:pStyle w:val="Heading5"/>
        <w:spacing w:line="271" w:lineRule="auto" w:before="50"/>
        <w:ind w:left="573" w:right="1118"/>
        <w:jc w:val="left"/>
      </w:pPr>
      <w:r>
        <w:rPr>
          <w:rFonts w:ascii="Times New Roman" w:hAnsi="Times New Roman" w:cs="Times New Roman" w:eastAsia="Times New Roman" w:hint="default"/>
        </w:rPr>
        <w:t>2</w:t>
      </w:r>
      <w:r>
        <w:rPr/>
        <w:t>）权益法</w:t>
      </w:r>
      <w:r>
        <w:rPr>
          <w:w w:val="100"/>
        </w:rPr>
        <w:t> </w:t>
      </w:r>
      <w:r>
        <w:rPr>
          <w:spacing w:val="-1"/>
        </w:rPr>
        <w:t>本公司对联营企业和合营企业的长期股权投资采用权益法核算；对于其中一部分通过风险投资机构、共同</w:t>
      </w:r>
    </w:p>
    <w:p>
      <w:pPr>
        <w:pStyle w:val="Heading5"/>
        <w:spacing w:line="285" w:lineRule="auto" w:before="24"/>
        <w:ind w:right="0"/>
        <w:jc w:val="left"/>
      </w:pPr>
      <w:r>
        <w:rPr>
          <w:spacing w:val="-1"/>
        </w:rPr>
        <w:t>基金、信托公司或包括投连险基金在内的类似主体间接持有的联营企业的权益性投资，采用公允价值计量且其</w:t>
      </w:r>
      <w:r>
        <w:rPr>
          <w:spacing w:val="-63"/>
        </w:rPr>
        <w:t> </w:t>
      </w:r>
      <w:r>
        <w:rPr>
          <w:spacing w:val="-63"/>
        </w:rPr>
      </w:r>
      <w:r>
        <w:rPr/>
        <w:t>变动计入损益。</w:t>
      </w:r>
    </w:p>
    <w:p>
      <w:pPr>
        <w:pStyle w:val="Heading5"/>
        <w:spacing w:line="285" w:lineRule="auto"/>
        <w:ind w:right="1148" w:firstLine="420"/>
        <w:jc w:val="both"/>
      </w:pPr>
      <w:r>
        <w:rPr>
          <w:spacing w:val="-1"/>
        </w:rPr>
        <w:t>长期股权投资的初始投资成本大于投资时应享有被投资单位可辨认净资产公允价值份额的差额，不调整长</w:t>
      </w:r>
      <w:r>
        <w:rPr>
          <w:w w:val="100"/>
        </w:rPr>
        <w:t> </w:t>
      </w:r>
      <w:r>
        <w:rPr>
          <w:spacing w:val="-1"/>
        </w:rPr>
        <w:t>期股权投资的初始投资成本；初始投资成本小于投资时应享有被投资单位可辨认净资产公允价值份额的差额，</w:t>
      </w:r>
      <w:r>
        <w:rPr>
          <w:spacing w:val="-63"/>
        </w:rPr>
        <w:t> </w:t>
      </w:r>
      <w:r>
        <w:rPr>
          <w:spacing w:val="-63"/>
        </w:rPr>
      </w:r>
      <w:r>
        <w:rPr/>
        <w:t>计入当期损益。</w:t>
      </w:r>
    </w:p>
    <w:p>
      <w:pPr>
        <w:pStyle w:val="Heading5"/>
        <w:spacing w:line="285" w:lineRule="auto"/>
        <w:ind w:right="1148" w:firstLine="420"/>
        <w:jc w:val="both"/>
      </w:pPr>
      <w:r>
        <w:rPr>
          <w:spacing w:val="-1"/>
        </w:rPr>
        <w:t>本公司取得长期股权投资后，按照应享有或应分担的被投资单位实现的净损益和其他综合收益的份额，分</w:t>
      </w:r>
      <w:r>
        <w:rPr>
          <w:w w:val="100"/>
        </w:rPr>
        <w:t> </w:t>
      </w:r>
      <w:r>
        <w:rPr>
          <w:spacing w:val="-1"/>
        </w:rPr>
        <w:t>别确认投资收益和其他综合收益，同时调整长期股权投资的账面价值；并按照被投资单位宣告分派的利润或现</w:t>
      </w:r>
      <w:r>
        <w:rPr>
          <w:spacing w:val="-63"/>
        </w:rPr>
        <w:t> </w:t>
      </w:r>
      <w:r>
        <w:rPr>
          <w:spacing w:val="-63"/>
        </w:rPr>
      </w:r>
      <w:r>
        <w:rPr>
          <w:spacing w:val="-1"/>
        </w:rPr>
        <w:t>金股利计算应享有的部分，相应减少长期股权投资的账面价值；对于被投资单位除净损益、其他综合收益和利</w:t>
      </w:r>
      <w:r>
        <w:rPr>
          <w:spacing w:val="-63"/>
        </w:rPr>
        <w:t> </w:t>
      </w:r>
      <w:r>
        <w:rPr>
          <w:spacing w:val="-63"/>
        </w:rPr>
      </w:r>
      <w:r>
        <w:rPr/>
        <w:t>润分配以外所有者权益的其他变动，调整长期股权投资的账面价值并计入所有者权益。</w:t>
      </w:r>
    </w:p>
    <w:p>
      <w:pPr>
        <w:pStyle w:val="Heading5"/>
        <w:spacing w:line="285" w:lineRule="auto"/>
        <w:ind w:right="1148" w:firstLine="420"/>
        <w:jc w:val="both"/>
      </w:pPr>
      <w:r>
        <w:rPr>
          <w:spacing w:val="-1"/>
        </w:rPr>
        <w:t>本公司在确认应享有被投资单位净损益的份额时，以取得投资时被投资单位各项可辨认资产等的公允价值</w:t>
      </w:r>
      <w:r>
        <w:rPr>
          <w:w w:val="100"/>
        </w:rPr>
        <w:t> </w:t>
      </w:r>
      <w:r>
        <w:rPr>
          <w:spacing w:val="-1"/>
        </w:rPr>
        <w:t>为基础，对被投资单位的净利润进行调整后确认。本公司与联营企业、合营企业之间发生的未实现内部交易损</w:t>
      </w:r>
      <w:r>
        <w:rPr>
          <w:spacing w:val="-63"/>
        </w:rPr>
        <w:t> </w:t>
      </w:r>
      <w:r>
        <w:rPr>
          <w:spacing w:val="-63"/>
        </w:rPr>
      </w:r>
      <w:r>
        <w:rPr/>
        <w:t>益按照应享有的比例计算归属于本公司的部分予以抵销，在此基础上确认投资损益。</w:t>
      </w:r>
    </w:p>
    <w:p>
      <w:pPr>
        <w:pStyle w:val="Heading5"/>
        <w:spacing w:line="285" w:lineRule="auto"/>
        <w:ind w:right="1148" w:firstLine="420"/>
        <w:jc w:val="both"/>
      </w:pPr>
      <w:r>
        <w:rPr>
          <w:spacing w:val="-1"/>
        </w:rPr>
        <w:t>本公司确认应分担被投资单位发生的亏损时，按照以下顺序进行处理：首先，冲减长期股权投资的账面价</w:t>
      </w:r>
      <w:r>
        <w:rPr>
          <w:w w:val="100"/>
        </w:rPr>
        <w:t> </w:t>
      </w:r>
      <w:r>
        <w:rPr>
          <w:spacing w:val="-1"/>
        </w:rPr>
        <w:t>值。其次，长期股权投资的账面价值不足以冲减的，以其他实质上构成对被投资单位净投资的长期权益账面价</w:t>
      </w:r>
      <w:r>
        <w:rPr>
          <w:spacing w:val="-63"/>
        </w:rPr>
        <w:t> </w:t>
      </w:r>
      <w:r>
        <w:rPr>
          <w:spacing w:val="-63"/>
        </w:rPr>
      </w:r>
      <w:r>
        <w:rPr>
          <w:spacing w:val="-1"/>
        </w:rPr>
        <w:t>值为限继续确认投资损失，冲减长期应收项目等的账面价值。最后，经过上述处理，按照投资合同或协议约定</w:t>
      </w:r>
      <w:r>
        <w:rPr>
          <w:spacing w:val="-63"/>
        </w:rPr>
        <w:t> </w:t>
      </w:r>
      <w:r>
        <w:rPr>
          <w:spacing w:val="-63"/>
        </w:rPr>
      </w:r>
      <w:r>
        <w:rPr/>
        <w:t>企业仍承担额外义务的，按预计承担的义务确认预计负债，计入当期投资损失。</w:t>
      </w:r>
    </w:p>
    <w:p>
      <w:pPr>
        <w:pStyle w:val="Heading5"/>
        <w:spacing w:line="285" w:lineRule="auto"/>
        <w:ind w:right="0" w:firstLine="420"/>
        <w:jc w:val="left"/>
      </w:pPr>
      <w:r>
        <w:rPr/>
        <w:t>被投资单位以后期间实现盈利的，公司在扣除未确认的亏损分担额后，按与上述相反的顺序处理，减记已</w:t>
      </w:r>
      <w:r>
        <w:rPr>
          <w:w w:val="100"/>
        </w:rPr>
        <w:t> </w:t>
      </w:r>
      <w:r>
        <w:rPr>
          <w:spacing w:val="-2"/>
        </w:rPr>
        <w:t>确认预计负债的账面余额、恢复其他实质上构成对被投资单位净投资的长期权益及长期股权投资的账面价值后，</w:t>
      </w:r>
      <w:r>
        <w:rPr>
          <w:spacing w:val="-77"/>
        </w:rPr>
        <w:t> </w:t>
      </w:r>
      <w:r>
        <w:rPr>
          <w:spacing w:val="-77"/>
        </w:rPr>
      </w:r>
      <w:r>
        <w:rPr/>
        <w:t>恢复确认投资收益。</w:t>
      </w:r>
    </w:p>
    <w:p>
      <w:pPr>
        <w:spacing w:line="240" w:lineRule="auto" w:before="3"/>
        <w:rPr>
          <w:rFonts w:ascii="宋体" w:hAnsi="宋体" w:cs="宋体" w:eastAsia="宋体" w:hint="default"/>
          <w:sz w:val="23"/>
          <w:szCs w:val="23"/>
        </w:rPr>
      </w:pPr>
    </w:p>
    <w:p>
      <w:pPr>
        <w:pStyle w:val="Heading3"/>
        <w:spacing w:line="240" w:lineRule="auto"/>
        <w:ind w:left="153" w:right="0"/>
        <w:jc w:val="both"/>
        <w:rPr>
          <w:b w:val="0"/>
          <w:bCs w:val="0"/>
        </w:rPr>
      </w:pPr>
      <w:bookmarkStart w:name="（3）长期股权投资核算方法的转换" w:id="189"/>
      <w:bookmarkEnd w:id="189"/>
      <w:r>
        <w:rPr>
          <w:b w:val="0"/>
          <w:bCs w:val="0"/>
        </w:rPr>
      </w:r>
      <w:r>
        <w:rPr/>
        <w:t>（</w:t>
      </w:r>
      <w:r>
        <w:rPr>
          <w:rFonts w:ascii="Times New Roman" w:hAnsi="Times New Roman" w:cs="Times New Roman" w:eastAsia="Times New Roman" w:hint="default"/>
        </w:rPr>
        <w:t>3</w:t>
      </w:r>
      <w:r>
        <w:rPr/>
        <w:t>）长期股权投资核算方法的转换</w:t>
      </w:r>
      <w:r>
        <w:rPr>
          <w:b w:val="0"/>
          <w:bCs w:val="0"/>
        </w:rPr>
      </w:r>
    </w:p>
    <w:p>
      <w:pPr>
        <w:spacing w:line="240" w:lineRule="auto" w:before="3"/>
        <w:rPr>
          <w:rFonts w:ascii="宋体" w:hAnsi="宋体" w:cs="宋体" w:eastAsia="宋体" w:hint="default"/>
          <w:b/>
          <w:bCs/>
          <w:sz w:val="25"/>
          <w:szCs w:val="25"/>
        </w:rPr>
      </w:pPr>
    </w:p>
    <w:p>
      <w:pPr>
        <w:pStyle w:val="Heading5"/>
        <w:spacing w:line="271" w:lineRule="auto" w:before="0"/>
        <w:ind w:left="573" w:right="0" w:hanging="99"/>
        <w:jc w:val="left"/>
      </w:pPr>
      <w:r>
        <w:rPr>
          <w:rFonts w:ascii="Times New Roman" w:hAnsi="Times New Roman" w:cs="Times New Roman" w:eastAsia="Times New Roman" w:hint="default"/>
        </w:rPr>
        <w:t>1</w:t>
      </w:r>
      <w:r>
        <w:rPr/>
        <w:t>）公允价值计量转权益法核算</w:t>
      </w:r>
      <w:r>
        <w:rPr>
          <w:w w:val="100"/>
        </w:rPr>
        <w:t> </w:t>
      </w:r>
      <w:r>
        <w:rPr>
          <w:spacing w:val="-1"/>
        </w:rPr>
        <w:t>本公司原持有的对被投资单位不具有控制、共同控制或重大影响的按金融工具确认和计量准则进行会计处</w:t>
      </w:r>
    </w:p>
    <w:p>
      <w:pPr>
        <w:pStyle w:val="Heading5"/>
        <w:spacing w:line="278" w:lineRule="auto" w:before="24"/>
        <w:ind w:right="1131"/>
        <w:jc w:val="both"/>
      </w:pPr>
      <w:r>
        <w:rPr>
          <w:spacing w:val="-4"/>
        </w:rPr>
        <w:t>理的权益性投资，因追加投资等原因能够对被投资单位施加重大影响或实施共同控制但不构成控制的，按照《企</w:t>
      </w:r>
      <w:r>
        <w:rPr>
          <w:spacing w:val="-79"/>
        </w:rPr>
        <w:t> </w:t>
      </w:r>
      <w:r>
        <w:rPr>
          <w:spacing w:val="-79"/>
        </w:rPr>
      </w:r>
      <w:r>
        <w:rPr/>
        <w:t>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金融工具确认和计量》确定的原持有的股权投资的公允价值加上新增投资成本之和，作</w:t>
      </w:r>
      <w:r>
        <w:rPr>
          <w:w w:val="100"/>
        </w:rPr>
        <w:t> </w:t>
      </w:r>
      <w:r>
        <w:rPr/>
        <w:t>为改按权益法核算的初始投资成本。</w:t>
      </w:r>
    </w:p>
    <w:p>
      <w:pPr>
        <w:pStyle w:val="Heading5"/>
        <w:spacing w:line="285" w:lineRule="auto" w:before="18"/>
        <w:ind w:right="1148" w:firstLine="420"/>
        <w:jc w:val="both"/>
      </w:pPr>
      <w:r>
        <w:rPr>
          <w:spacing w:val="-1"/>
        </w:rPr>
        <w:t>原持有的股权投资分类为可供出售金融资产的，其公允价值与账面价值之间的差额，以及原计入其他综合</w:t>
      </w:r>
      <w:r>
        <w:rPr>
          <w:w w:val="100"/>
        </w:rPr>
        <w:t> </w:t>
      </w:r>
      <w:r>
        <w:rPr/>
        <w:t>收益的累计公允价值变动转入改按权益法核算的当期损益。</w:t>
      </w:r>
    </w:p>
    <w:p>
      <w:pPr>
        <w:pStyle w:val="Heading5"/>
        <w:spacing w:line="285" w:lineRule="auto"/>
        <w:ind w:right="1148" w:firstLine="420"/>
        <w:jc w:val="both"/>
      </w:pPr>
      <w:r>
        <w:rPr>
          <w:spacing w:val="-1"/>
        </w:rPr>
        <w:t>按权益法核算的初始投资成本小于按照追加投资后全新的持股比例计算确定的应享有被投资单位在追加投</w:t>
      </w:r>
      <w:r>
        <w:rPr>
          <w:w w:val="100"/>
        </w:rPr>
        <w:t> </w:t>
      </w:r>
      <w:r>
        <w:rPr/>
        <w:t>资日可辨认净资产公允价值份额之间的差额，调整长期股权投资的账面价值，并计入当期营业外收入。</w:t>
      </w:r>
    </w:p>
    <w:p>
      <w:pPr>
        <w:pStyle w:val="Heading5"/>
        <w:spacing w:line="271" w:lineRule="auto"/>
        <w:ind w:left="573" w:right="0" w:hanging="99"/>
        <w:jc w:val="left"/>
      </w:pPr>
      <w:r>
        <w:rPr>
          <w:rFonts w:ascii="Times New Roman" w:hAnsi="Times New Roman" w:cs="Times New Roman" w:eastAsia="Times New Roman" w:hint="default"/>
        </w:rPr>
        <w:t>2</w:t>
      </w:r>
      <w:r>
        <w:rPr/>
        <w:t>）公允价值计量或权益法核算转成本法核算</w:t>
      </w:r>
      <w:r>
        <w:rPr>
          <w:w w:val="100"/>
        </w:rPr>
        <w:t> </w:t>
      </w:r>
      <w:r>
        <w:rPr>
          <w:spacing w:val="-1"/>
        </w:rPr>
        <w:t>本公司原持有的对被投资单位不具有控制、共同控制或重大影响的按金融工具确认和计量准则进行会计处</w:t>
      </w:r>
    </w:p>
    <w:p>
      <w:pPr>
        <w:pStyle w:val="Heading5"/>
        <w:spacing w:line="285" w:lineRule="auto" w:before="24"/>
        <w:ind w:right="0"/>
        <w:jc w:val="left"/>
      </w:pPr>
      <w:r>
        <w:rPr>
          <w:spacing w:val="-1"/>
        </w:rPr>
        <w:t>理的权益性投资，或原持有对联营企业、合营企业的长期股权投资，因追加投资等原因能够对非同一控制下的</w:t>
      </w:r>
      <w:r>
        <w:rPr>
          <w:spacing w:val="-63"/>
        </w:rPr>
        <w:t> </w:t>
      </w:r>
      <w:r>
        <w:rPr>
          <w:spacing w:val="-63"/>
        </w:rPr>
      </w:r>
      <w:r>
        <w:rPr>
          <w:spacing w:val="-1"/>
        </w:rPr>
        <w:t>被投资单位实施控制的，在编制个别财务报表时，按照原持有的股权投资账面价值加上新增投资成本之和，作</w:t>
      </w:r>
    </w:p>
    <w:p>
      <w:pPr>
        <w:spacing w:after="0" w:line="285"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left="573" w:right="0" w:hanging="420"/>
        <w:jc w:val="left"/>
      </w:pPr>
      <w:r>
        <w:rPr/>
        <w:t>为改按成本法核算的初始投资成本。</w:t>
      </w:r>
      <w:r>
        <w:rPr>
          <w:w w:val="100"/>
        </w:rPr>
        <w:t> </w:t>
      </w:r>
      <w:r>
        <w:rPr>
          <w:spacing w:val="-1"/>
        </w:rPr>
        <w:t>购买日之前持有的股权投资因采用权益法核算而确认的其他综合收益，在处置该项投资时采用与被投资单</w:t>
      </w:r>
    </w:p>
    <w:p>
      <w:pPr>
        <w:pStyle w:val="Heading5"/>
        <w:spacing w:line="285" w:lineRule="auto"/>
        <w:ind w:left="573" w:right="0" w:hanging="420"/>
        <w:jc w:val="left"/>
      </w:pPr>
      <w:r>
        <w:rPr/>
        <w:t>位直接处置相关资产或负债相同的基础进行会计处理。</w:t>
      </w:r>
      <w:r>
        <w:rPr>
          <w:w w:val="100"/>
        </w:rPr>
        <w:t> </w:t>
      </w: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w:t>
      </w:r>
    </w:p>
    <w:p>
      <w:pPr>
        <w:pStyle w:val="Heading5"/>
        <w:spacing w:line="278" w:lineRule="auto" w:before="0"/>
        <w:ind w:left="475" w:right="1118" w:hanging="322"/>
        <w:jc w:val="left"/>
      </w:pPr>
      <w:r>
        <w:rPr/>
        <w:t>理的，原计入其他综合收益的累计公允价值变动在改按成本法核算时转入当期损益。</w:t>
      </w:r>
      <w:r>
        <w:rPr>
          <w:w w:val="100"/>
        </w:rPr>
        <w:t> </w:t>
      </w:r>
      <w:r>
        <w:rPr>
          <w:rFonts w:ascii="Times New Roman" w:hAnsi="Times New Roman" w:cs="Times New Roman" w:eastAsia="Times New Roman" w:hint="default"/>
        </w:rPr>
        <w:t>3</w:t>
      </w:r>
      <w:r>
        <w:rPr/>
        <w:t>）权益法核算转公允价值计量</w:t>
      </w:r>
      <w:r>
        <w:rPr>
          <w:w w:val="100"/>
        </w:rPr>
        <w:t> </w:t>
      </w:r>
      <w:r>
        <w:rPr/>
        <w:t>本公司因处置部分股权投资等原因丧失了对被投资单位的共同控制或重大影响的，处置后的剩余股权改按</w:t>
      </w:r>
    </w:p>
    <w:p>
      <w:pPr>
        <w:pStyle w:val="Heading5"/>
        <w:spacing w:line="271" w:lineRule="auto" w:before="18"/>
        <w:ind w:right="0"/>
        <w:jc w:val="left"/>
      </w:pPr>
      <w:r>
        <w:rPr>
          <w:spacing w:val="-1"/>
        </w:rPr>
        <w:t>《企业会计准则第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金融工具确认和计量》核算，其在丧失共同控制或重大影响之日的公允价值与账面</w:t>
      </w:r>
      <w:r>
        <w:rPr>
          <w:spacing w:val="-63"/>
        </w:rPr>
        <w:t> </w:t>
      </w:r>
      <w:r>
        <w:rPr>
          <w:spacing w:val="-63"/>
        </w:rPr>
      </w:r>
      <w:r>
        <w:rPr/>
        <w:t>价值之间的差额计入当期损益。</w:t>
      </w:r>
    </w:p>
    <w:p>
      <w:pPr>
        <w:pStyle w:val="Heading5"/>
        <w:spacing w:line="285" w:lineRule="auto" w:before="24"/>
        <w:ind w:right="1148" w:firstLine="420"/>
        <w:jc w:val="both"/>
      </w:pPr>
      <w:r>
        <w:rPr>
          <w:spacing w:val="-1"/>
        </w:rPr>
        <w:t>原股权投资因采用权益法核算而确认的其他综合收益，在终止采用权益法核算时采用与被投资单位直接处</w:t>
      </w:r>
      <w:r>
        <w:rPr>
          <w:w w:val="100"/>
        </w:rPr>
        <w:t> </w:t>
      </w:r>
      <w:r>
        <w:rPr/>
        <w:t>置相关资产或负债相同的基础进行会计处理。</w:t>
      </w:r>
    </w:p>
    <w:p>
      <w:pPr>
        <w:pStyle w:val="Heading5"/>
        <w:spacing w:line="271" w:lineRule="auto"/>
        <w:ind w:left="573" w:right="0" w:hanging="99"/>
        <w:jc w:val="left"/>
      </w:pPr>
      <w:r>
        <w:rPr>
          <w:rFonts w:ascii="Times New Roman" w:hAnsi="Times New Roman" w:cs="Times New Roman" w:eastAsia="Times New Roman" w:hint="default"/>
        </w:rPr>
        <w:t>4</w:t>
      </w:r>
      <w:r>
        <w:rPr/>
        <w:t>）成本法转权益法</w:t>
      </w:r>
      <w:r>
        <w:rPr>
          <w:w w:val="100"/>
        </w:rPr>
        <w:t> </w:t>
      </w:r>
      <w:r>
        <w:rPr>
          <w:spacing w:val="-1"/>
        </w:rPr>
        <w:t>本公司因处置部分权益性投资等原因丧失了对被投资单位的控制的，在编制个别财务报表时，处置后的剩</w:t>
      </w:r>
    </w:p>
    <w:p>
      <w:pPr>
        <w:pStyle w:val="Heading5"/>
        <w:spacing w:line="285" w:lineRule="auto" w:before="24"/>
        <w:ind w:right="0"/>
        <w:jc w:val="left"/>
      </w:pPr>
      <w:r>
        <w:rPr>
          <w:spacing w:val="-1"/>
        </w:rPr>
        <w:t>余股权能够对被投资单位实施共同控制或施加重大影响的，改按权益法核算，并对该剩余股权视同自取得时即</w:t>
      </w:r>
      <w:r>
        <w:rPr>
          <w:spacing w:val="-63"/>
        </w:rPr>
        <w:t> </w:t>
      </w:r>
      <w:r>
        <w:rPr>
          <w:spacing w:val="-63"/>
        </w:rPr>
      </w:r>
      <w:r>
        <w:rPr/>
        <w:t>采用权益法核算进行调整。</w:t>
      </w:r>
    </w:p>
    <w:p>
      <w:pPr>
        <w:pStyle w:val="Heading5"/>
        <w:spacing w:line="271" w:lineRule="auto"/>
        <w:ind w:left="573" w:right="0" w:hanging="99"/>
        <w:jc w:val="left"/>
      </w:pPr>
      <w:r>
        <w:rPr>
          <w:rFonts w:ascii="Times New Roman" w:hAnsi="Times New Roman" w:cs="Times New Roman" w:eastAsia="Times New Roman" w:hint="default"/>
        </w:rPr>
        <w:t>5</w:t>
      </w:r>
      <w:r>
        <w:rPr/>
        <w:t>）成本法转公允价值计量</w:t>
      </w:r>
      <w:r>
        <w:rPr>
          <w:w w:val="100"/>
        </w:rPr>
        <w:t> </w:t>
      </w:r>
      <w:r>
        <w:rPr>
          <w:spacing w:val="-1"/>
        </w:rPr>
        <w:t>本公司因处置部分权益性投资等原因丧失了对被投资单位的控制的，在编制个别财务报表时，处置后的剩</w:t>
      </w:r>
    </w:p>
    <w:p>
      <w:pPr>
        <w:pStyle w:val="Heading5"/>
        <w:spacing w:line="271" w:lineRule="auto" w:before="24"/>
        <w:ind w:left="154" w:right="0"/>
        <w:jc w:val="left"/>
      </w:pPr>
      <w:r>
        <w:rPr>
          <w:spacing w:val="-1"/>
        </w:rPr>
        <w:t>余股权不能对被投资单位实施共同控制或施加重大影响的，改按《企业会计准则第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w:t>
      </w:r>
      <w:r>
        <w:rPr>
          <w:spacing w:val="-61"/>
        </w:rPr>
        <w:t> </w:t>
      </w:r>
      <w:r>
        <w:rPr>
          <w:spacing w:val="-61"/>
        </w:rPr>
      </w:r>
      <w:r>
        <w:rPr/>
        <w:t>量》的有关规定进行会计处理，其在丧失控制之日的公允价值与账面价值间的差额计入当期损益。</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bookmarkStart w:name="（4）长期股权投资的处置" w:id="190"/>
      <w:bookmarkEnd w:id="190"/>
      <w:r>
        <w:rPr>
          <w:b w:val="0"/>
          <w:bCs w:val="0"/>
        </w:rPr>
      </w:r>
      <w:r>
        <w:rPr/>
        <w:t>（</w:t>
      </w:r>
      <w:r>
        <w:rPr>
          <w:rFonts w:ascii="Times New Roman" w:hAnsi="Times New Roman" w:cs="Times New Roman" w:eastAsia="Times New Roman" w:hint="default"/>
        </w:rPr>
        <w:t>4</w:t>
      </w:r>
      <w:r>
        <w:rPr/>
        <w:t>）长期股权投资的处置</w:t>
      </w:r>
      <w:r>
        <w:rPr>
          <w:b w:val="0"/>
          <w:bCs w:val="0"/>
        </w:rPr>
      </w:r>
    </w:p>
    <w:p>
      <w:pPr>
        <w:spacing w:line="240" w:lineRule="auto" w:before="4"/>
        <w:rPr>
          <w:rFonts w:ascii="宋体" w:hAnsi="宋体" w:cs="宋体" w:eastAsia="宋体" w:hint="default"/>
          <w:b/>
          <w:bCs/>
          <w:sz w:val="25"/>
          <w:szCs w:val="25"/>
        </w:rPr>
      </w:pPr>
    </w:p>
    <w:p>
      <w:pPr>
        <w:pStyle w:val="Heading5"/>
        <w:spacing w:line="285" w:lineRule="auto" w:before="0"/>
        <w:ind w:left="154" w:right="1148" w:firstLine="420"/>
        <w:jc w:val="both"/>
      </w:pPr>
      <w:r>
        <w:rPr>
          <w:spacing w:val="-1"/>
        </w:rPr>
        <w:t>处置长期股权投资，其账面价值与实际取得价款之间的差额，应当计入当期损益。采用权益法核算的长期</w:t>
      </w:r>
      <w:r>
        <w:rPr>
          <w:w w:val="100"/>
        </w:rPr>
        <w:t> </w:t>
      </w:r>
      <w:r>
        <w:rPr>
          <w:spacing w:val="-1"/>
        </w:rPr>
        <w:t>股权投资，在处置该项投资时，采用与被投资单位直接处置相关资产或负债相同的基础，按相应比例对原计入</w:t>
      </w:r>
      <w:r>
        <w:rPr>
          <w:spacing w:val="-63"/>
        </w:rPr>
        <w:t> </w:t>
      </w:r>
      <w:r>
        <w:rPr>
          <w:spacing w:val="-63"/>
        </w:rPr>
      </w:r>
      <w:r>
        <w:rPr/>
        <w:t>其他综合收益的部分进行会计处理。</w:t>
      </w:r>
    </w:p>
    <w:p>
      <w:pPr>
        <w:pStyle w:val="Heading5"/>
        <w:spacing w:line="285" w:lineRule="auto"/>
        <w:ind w:left="154" w:right="1148" w:firstLine="420"/>
        <w:jc w:val="both"/>
      </w:pPr>
      <w:r>
        <w:rPr>
          <w:spacing w:val="-1"/>
        </w:rPr>
        <w:t>处置对子公司股权投资的各项交易的条款、条件以及经济影响符合以下一种或多种情况，将多次交易事项</w:t>
      </w:r>
      <w:r>
        <w:rPr>
          <w:w w:val="100"/>
        </w:rPr>
        <w:t> </w:t>
      </w:r>
      <w:r>
        <w:rPr/>
        <w:t>作为一揽子交易进行会计处理：</w:t>
      </w:r>
    </w:p>
    <w:p>
      <w:pPr>
        <w:pStyle w:val="Heading5"/>
        <w:spacing w:line="240" w:lineRule="auto"/>
        <w:ind w:left="994" w:right="0"/>
        <w:jc w:val="left"/>
      </w:pPr>
      <w:r>
        <w:rPr/>
        <w:t>①这些交易是同时或者在考虑了彼此影响的情况下订立的；</w:t>
      </w:r>
    </w:p>
    <w:p>
      <w:pPr>
        <w:pStyle w:val="Heading5"/>
        <w:spacing w:line="240" w:lineRule="auto" w:before="50"/>
        <w:ind w:left="994" w:right="0"/>
        <w:jc w:val="left"/>
      </w:pPr>
      <w:r>
        <w:rPr/>
        <w:t>②这些交易整体才能达成一项完整的商业结果；</w:t>
      </w:r>
    </w:p>
    <w:p>
      <w:pPr>
        <w:pStyle w:val="Heading5"/>
        <w:spacing w:line="240" w:lineRule="auto" w:before="50"/>
        <w:ind w:left="994" w:right="0"/>
        <w:jc w:val="left"/>
      </w:pPr>
      <w:r>
        <w:rPr/>
        <w:t>③一项交易的发生取决于其他至少一项交易的发生；</w:t>
      </w:r>
    </w:p>
    <w:p>
      <w:pPr>
        <w:pStyle w:val="Heading5"/>
        <w:spacing w:line="285" w:lineRule="auto" w:before="50"/>
        <w:ind w:left="574" w:right="0" w:firstLine="420"/>
        <w:jc w:val="left"/>
      </w:pPr>
      <w:r>
        <w:rPr/>
        <w:t>④一项交易单独看是不经济的，但是和其他交易一并考虑时是经济的。</w:t>
      </w:r>
      <w:r>
        <w:rPr>
          <w:w w:val="100"/>
        </w:rPr>
        <w:t> </w:t>
      </w:r>
      <w:r>
        <w:rPr>
          <w:spacing w:val="-1"/>
        </w:rPr>
        <w:t>因处置部分股权投资或其他原因丧失了对原有子公司控制权的，不属于一揽子交易的，区分个别财务报表</w:t>
      </w:r>
    </w:p>
    <w:p>
      <w:pPr>
        <w:pStyle w:val="Heading5"/>
        <w:spacing w:line="240" w:lineRule="auto"/>
        <w:ind w:left="154" w:right="0"/>
        <w:jc w:val="left"/>
      </w:pPr>
      <w:r>
        <w:rPr/>
        <w:t>和合并财务报表进行相关会计处理：</w:t>
      </w:r>
    </w:p>
    <w:p>
      <w:pPr>
        <w:pStyle w:val="Heading5"/>
        <w:spacing w:line="278" w:lineRule="auto" w:before="50"/>
        <w:ind w:right="1131" w:firstLine="420"/>
        <w:jc w:val="both"/>
      </w:pPr>
      <w:r>
        <w:rPr>
          <w:rFonts w:ascii="Times New Roman" w:hAnsi="Times New Roman" w:cs="Times New Roman" w:eastAsia="Times New Roman" w:hint="default"/>
          <w:spacing w:val="-3"/>
        </w:rPr>
        <w:t>1</w:t>
      </w:r>
      <w:r>
        <w:rPr>
          <w:spacing w:val="-3"/>
        </w:rPr>
        <w:t>）在个别财务报表中，对于处置的股权，其账面价值与实际取得价款之间的差额计入当期损益。处置后的</w:t>
      </w:r>
      <w:r>
        <w:rPr>
          <w:w w:val="100"/>
        </w:rPr>
        <w:t> </w:t>
      </w:r>
      <w:r>
        <w:rPr/>
        <w:t>剩余股权能够对被投资单位实施共同控制或施加重大影响的，改按权益法核算，并对该剩余股权视同自取得时</w:t>
      </w:r>
      <w:r>
        <w:rPr>
          <w:w w:val="100"/>
        </w:rPr>
        <w:t> </w:t>
      </w:r>
      <w:r>
        <w:rPr/>
        <w:t>即采用权益法核算进行调整；处置后的剩余股权不能对被投资单位实施共同控制或施加重大影响的，改按《企</w:t>
      </w:r>
      <w:r>
        <w:rPr>
          <w:w w:val="100"/>
        </w:rPr>
        <w:t> </w:t>
      </w:r>
      <w:r>
        <w:rPr/>
        <w:t>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金融工具确认和计量》的有关规定进行会计处理，其在丧失控制之日的公允价值与账面</w:t>
      </w:r>
      <w:r>
        <w:rPr>
          <w:w w:val="100"/>
        </w:rPr>
        <w:t> </w:t>
      </w:r>
      <w:r>
        <w:rPr/>
        <w:t>价值间的差额计入当期损益。</w:t>
      </w:r>
    </w:p>
    <w:p>
      <w:pPr>
        <w:pStyle w:val="Heading5"/>
        <w:spacing w:line="283" w:lineRule="auto" w:before="18"/>
        <w:ind w:right="1131" w:firstLine="420"/>
        <w:jc w:val="both"/>
      </w:pPr>
      <w:r>
        <w:rPr>
          <w:rFonts w:ascii="Times New Roman" w:hAnsi="Times New Roman" w:cs="Times New Roman" w:eastAsia="Times New Roman" w:hint="default"/>
          <w:spacing w:val="-3"/>
        </w:rPr>
        <w:t>2</w:t>
      </w:r>
      <w:r>
        <w:rPr>
          <w:spacing w:val="-3"/>
        </w:rPr>
        <w:t>）在合并财务报表中，对于在丧失对子公司控制权以前的各项交易，处置价款与处置长期股权投资相应对</w:t>
      </w:r>
      <w:r>
        <w:rPr>
          <w:w w:val="100"/>
        </w:rPr>
        <w:t> </w:t>
      </w:r>
      <w:r>
        <w:rPr/>
        <w:t>享有子公司自购买日或合并日开始持续计算的净资产份额之间的差额，调整资本公积（股本溢价），资本公积</w:t>
      </w:r>
      <w:r>
        <w:rPr>
          <w:w w:val="100"/>
        </w:rPr>
        <w:t> </w:t>
      </w:r>
      <w:r>
        <w:rPr/>
        <w:t>不足冲减的，调整留存收益；在丧失对子公司控制权时，对于剩余股权，按照其在丧失控制权日的公允价值进</w:t>
      </w:r>
      <w:r>
        <w:rPr>
          <w:w w:val="100"/>
        </w:rPr>
        <w:t> </w:t>
      </w:r>
      <w:r>
        <w:rPr/>
        <w:t>行重新计量。处置股权取得的对价与剩余股权公允价值之和，减去按原持股比例计算应享有原有子公司自购买</w:t>
      </w:r>
      <w:r>
        <w:rPr>
          <w:w w:val="100"/>
        </w:rPr>
        <w:t> </w:t>
      </w:r>
      <w:r>
        <w:rPr/>
        <w:t>日开始持续计算的净资产的份额之间的差额，计入丧失控制权当期的投资收益，同时冲减商誉。与原有子公司</w:t>
      </w:r>
      <w:r>
        <w:rPr>
          <w:w w:val="100"/>
        </w:rPr>
        <w:t> </w:t>
      </w:r>
      <w:r>
        <w:rPr/>
        <w:t>股权投资相关的其他综合收益等，在丧失控制权时转为当期投资收益。</w:t>
      </w:r>
    </w:p>
    <w:p>
      <w:pPr>
        <w:spacing w:after="0" w:line="283"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48" w:firstLine="420"/>
        <w:jc w:val="both"/>
      </w:pPr>
      <w:r>
        <w:rPr>
          <w:spacing w:val="-1"/>
        </w:rPr>
        <w:t>处置对子公司股权投资直至丧失控制权的各项交易属于一揽子交易的，将各项交易作为一项处置子公司股</w:t>
      </w:r>
      <w:r>
        <w:rPr>
          <w:w w:val="100"/>
        </w:rPr>
        <w:t> </w:t>
      </w:r>
      <w:r>
        <w:rPr/>
        <w:t>权投资并丧失控制权的交易进行会计处理，区分个别财务报表和合并财务报表进行相关会计处理：</w:t>
      </w:r>
    </w:p>
    <w:p>
      <w:pPr>
        <w:pStyle w:val="Heading5"/>
        <w:spacing w:line="271" w:lineRule="auto"/>
        <w:ind w:right="1131" w:firstLine="420"/>
        <w:jc w:val="both"/>
      </w:pPr>
      <w:r>
        <w:rPr>
          <w:rFonts w:ascii="Times New Roman" w:hAnsi="Times New Roman" w:cs="Times New Roman" w:eastAsia="Times New Roman" w:hint="default"/>
          <w:spacing w:val="-3"/>
        </w:rPr>
        <w:t>1</w:t>
      </w:r>
      <w:r>
        <w:rPr>
          <w:spacing w:val="-3"/>
        </w:rPr>
        <w:t>）在个别财务报表中，在丧失控制权之前每一次处置价款与处置的股权对应的长期股权投资账面价值之间</w:t>
      </w:r>
      <w:r>
        <w:rPr>
          <w:w w:val="100"/>
        </w:rPr>
        <w:t> </w:t>
      </w:r>
      <w:r>
        <w:rPr/>
        <w:t>的差额，确认为其他综合收益，在丧失控制权时一并转入丧失控制权当期的损益。</w:t>
      </w:r>
    </w:p>
    <w:p>
      <w:pPr>
        <w:pStyle w:val="Heading5"/>
        <w:spacing w:line="271" w:lineRule="auto" w:before="24"/>
        <w:ind w:right="1131" w:firstLine="420"/>
        <w:jc w:val="both"/>
      </w:pPr>
      <w:r>
        <w:rPr>
          <w:rFonts w:ascii="Times New Roman" w:hAnsi="Times New Roman" w:cs="Times New Roman" w:eastAsia="Times New Roman" w:hint="default"/>
          <w:spacing w:val="-3"/>
        </w:rPr>
        <w:t>2</w:t>
      </w:r>
      <w:r>
        <w:rPr>
          <w:spacing w:val="-3"/>
        </w:rPr>
        <w:t>）在合并财务报表中，在丧失控制权之前每一次处置价款与处置投资对应的享有该子公司净资产份额的差</w:t>
      </w:r>
      <w:r>
        <w:rPr>
          <w:w w:val="100"/>
        </w:rPr>
        <w:t> </w:t>
      </w:r>
      <w:r>
        <w:rPr/>
        <w:t>额，确认为其他综合收益，在丧失控制权时一并转入丧失控制权当期的损益。</w:t>
      </w:r>
    </w:p>
    <w:p>
      <w:pPr>
        <w:spacing w:line="240" w:lineRule="auto" w:before="2"/>
        <w:rPr>
          <w:rFonts w:ascii="宋体" w:hAnsi="宋体" w:cs="宋体" w:eastAsia="宋体" w:hint="default"/>
          <w:sz w:val="24"/>
          <w:szCs w:val="24"/>
        </w:rPr>
      </w:pPr>
    </w:p>
    <w:p>
      <w:pPr>
        <w:pStyle w:val="Heading3"/>
        <w:spacing w:line="240" w:lineRule="auto"/>
        <w:ind w:left="153" w:right="0"/>
        <w:jc w:val="left"/>
        <w:rPr>
          <w:b w:val="0"/>
          <w:bCs w:val="0"/>
        </w:rPr>
      </w:pPr>
      <w:bookmarkStart w:name="（5）共同控制、重大影响的判断标准" w:id="191"/>
      <w:bookmarkEnd w:id="191"/>
      <w:r>
        <w:rPr>
          <w:b w:val="0"/>
          <w:bCs w:val="0"/>
        </w:rPr>
      </w:r>
      <w:r>
        <w:rPr/>
        <w:t>（</w:t>
      </w:r>
      <w:r>
        <w:rPr>
          <w:rFonts w:ascii="Times New Roman" w:hAnsi="Times New Roman" w:cs="Times New Roman" w:eastAsia="Times New Roman" w:hint="default"/>
        </w:rPr>
        <w:t>5</w:t>
      </w:r>
      <w:r>
        <w:rPr/>
        <w:t>）共同控制、重大影响的判断标准</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right="1147" w:firstLine="420"/>
        <w:jc w:val="both"/>
      </w:pPr>
      <w:r>
        <w:rPr>
          <w:spacing w:val="-1"/>
        </w:rPr>
        <w:t>如果本公司按照相关约定与其他参与方集体控制某项安排，并且对该安排回报具有重大影响的活动决策，</w:t>
      </w:r>
      <w:r>
        <w:rPr>
          <w:w w:val="100"/>
        </w:rPr>
        <w:t> </w:t>
      </w:r>
      <w:r>
        <w:rPr>
          <w:spacing w:val="-1"/>
        </w:rPr>
        <w:t>需要经过分享控制权的参与方一致同意时才存在，则视为本公司与其他参与方共同控制某项安排，该安排即属</w:t>
      </w:r>
      <w:r>
        <w:rPr>
          <w:spacing w:val="-63"/>
        </w:rPr>
        <w:t> </w:t>
      </w:r>
      <w:r>
        <w:rPr>
          <w:spacing w:val="-63"/>
        </w:rPr>
      </w:r>
      <w:r>
        <w:rPr/>
        <w:t>于合营安排。</w:t>
      </w:r>
    </w:p>
    <w:p>
      <w:pPr>
        <w:pStyle w:val="Heading5"/>
        <w:spacing w:line="285" w:lineRule="auto"/>
        <w:ind w:right="1148" w:firstLine="420"/>
        <w:jc w:val="both"/>
      </w:pPr>
      <w:r>
        <w:rPr>
          <w:spacing w:val="-1"/>
        </w:rPr>
        <w:t>合营安排通过单独主体达成的，根据相关约定判断本公司对该单独主体的净资产享有权利时，将该单独主</w:t>
      </w:r>
      <w:r>
        <w:rPr>
          <w:w w:val="100"/>
        </w:rPr>
        <w:t> </w:t>
      </w:r>
      <w:r>
        <w:rPr>
          <w:spacing w:val="-1"/>
        </w:rPr>
        <w:t>体作为合营企业，采用权益法核算。若根据相关约定判断本公司并非对该单独主体的净资产享有权利时，该单</w:t>
      </w:r>
      <w:r>
        <w:rPr>
          <w:spacing w:val="-63"/>
        </w:rPr>
        <w:t> </w:t>
      </w:r>
      <w:r>
        <w:rPr>
          <w:spacing w:val="-63"/>
        </w:rPr>
      </w:r>
      <w:r>
        <w:rPr>
          <w:spacing w:val="-1"/>
        </w:rPr>
        <w:t>独主体作为共同经营，本公司确认与共同经营利益份额相关的项目，并按照相关企业会计准则的规定进行会计</w:t>
      </w:r>
      <w:r>
        <w:rPr>
          <w:spacing w:val="-63"/>
        </w:rPr>
        <w:t> </w:t>
      </w:r>
      <w:r>
        <w:rPr>
          <w:spacing w:val="-63"/>
        </w:rPr>
      </w:r>
      <w:r>
        <w:rPr/>
        <w:t>处理。</w:t>
      </w:r>
    </w:p>
    <w:p>
      <w:pPr>
        <w:pStyle w:val="Heading5"/>
        <w:spacing w:line="285" w:lineRule="auto"/>
        <w:ind w:right="1148" w:firstLine="420"/>
        <w:jc w:val="both"/>
      </w:pPr>
      <w:r>
        <w:rPr>
          <w:spacing w:val="-1"/>
        </w:rPr>
        <w:t>重大影响，是指投资方对被投资单位的财务和经营政策有参与决策的权力，但并不能够控制或者与其他方</w:t>
      </w:r>
      <w:r>
        <w:rPr>
          <w:w w:val="100"/>
        </w:rPr>
        <w:t> </w:t>
      </w:r>
      <w:r>
        <w:rPr>
          <w:spacing w:val="-1"/>
        </w:rPr>
        <w:t>一起共同控制这些政策的制定。本公司通过以下一种或多种情形，并综合考虑所有事实和情况后，判断对被投</w:t>
      </w:r>
      <w:r>
        <w:rPr>
          <w:spacing w:val="-63"/>
        </w:rPr>
        <w:t> </w:t>
      </w:r>
      <w:r>
        <w:rPr>
          <w:spacing w:val="-63"/>
        </w:rPr>
      </w:r>
      <w:r>
        <w:rPr/>
        <w:t>资单位具有重大影响：</w:t>
      </w:r>
    </w:p>
    <w:p>
      <w:pPr>
        <w:pStyle w:val="Heading5"/>
        <w:spacing w:line="240" w:lineRule="auto"/>
        <w:ind w:left="573" w:right="0"/>
        <w:jc w:val="left"/>
      </w:pPr>
      <w:r>
        <w:rPr>
          <w:rFonts w:ascii="Times New Roman" w:hAnsi="Times New Roman" w:cs="Times New Roman" w:eastAsia="Times New Roman" w:hint="default"/>
        </w:rPr>
        <w:t>1</w:t>
      </w:r>
      <w:r>
        <w:rPr/>
        <w:t>）在被投资单位的董事会或类似权力机构中派有代表；</w:t>
      </w:r>
    </w:p>
    <w:p>
      <w:pPr>
        <w:pStyle w:val="Heading5"/>
        <w:spacing w:line="240" w:lineRule="auto" w:before="35"/>
        <w:ind w:left="573" w:right="0"/>
        <w:jc w:val="left"/>
      </w:pPr>
      <w:r>
        <w:rPr>
          <w:rFonts w:ascii="Times New Roman" w:hAnsi="Times New Roman" w:cs="Times New Roman" w:eastAsia="Times New Roman" w:hint="default"/>
        </w:rPr>
        <w:t>2</w:t>
      </w:r>
      <w:r>
        <w:rPr/>
        <w:t>）参与被投资单位财务和经营政策制定过程；</w:t>
      </w:r>
    </w:p>
    <w:p>
      <w:pPr>
        <w:pStyle w:val="Heading5"/>
        <w:spacing w:line="240" w:lineRule="auto" w:before="35"/>
        <w:ind w:left="573" w:right="0"/>
        <w:jc w:val="left"/>
      </w:pPr>
      <w:r>
        <w:rPr>
          <w:rFonts w:ascii="Times New Roman" w:hAnsi="Times New Roman" w:cs="Times New Roman" w:eastAsia="Times New Roman" w:hint="default"/>
        </w:rPr>
        <w:t>3</w:t>
      </w:r>
      <w:r>
        <w:rPr/>
        <w:t>）与被投资单位之间发生重要交易；</w:t>
      </w:r>
    </w:p>
    <w:p>
      <w:pPr>
        <w:pStyle w:val="Heading5"/>
        <w:spacing w:line="240" w:lineRule="auto" w:before="35"/>
        <w:ind w:left="573" w:right="0"/>
        <w:jc w:val="left"/>
      </w:pPr>
      <w:r>
        <w:rPr>
          <w:rFonts w:ascii="Times New Roman" w:hAnsi="Times New Roman" w:cs="Times New Roman" w:eastAsia="Times New Roman" w:hint="default"/>
        </w:rPr>
        <w:t>4</w:t>
      </w:r>
      <w:r>
        <w:rPr/>
        <w:t>）向被投资单位派出管理人员；</w:t>
      </w:r>
    </w:p>
    <w:p>
      <w:pPr>
        <w:pStyle w:val="Heading5"/>
        <w:spacing w:line="240" w:lineRule="auto" w:before="35"/>
        <w:ind w:left="573" w:right="0"/>
        <w:jc w:val="left"/>
      </w:pPr>
      <w:r>
        <w:rPr>
          <w:rFonts w:ascii="Times New Roman" w:hAnsi="Times New Roman" w:cs="Times New Roman" w:eastAsia="Times New Roman" w:hint="default"/>
        </w:rPr>
        <w:t>5</w:t>
      </w:r>
      <w:r>
        <w:rPr/>
        <w:t>）向被投资单位提供关键技术资料。</w:t>
      </w:r>
    </w:p>
    <w:p>
      <w:pPr>
        <w:spacing w:line="240" w:lineRule="auto" w:before="13"/>
        <w:rPr>
          <w:rFonts w:ascii="宋体" w:hAnsi="宋体" w:cs="宋体" w:eastAsia="宋体" w:hint="default"/>
          <w:sz w:val="24"/>
          <w:szCs w:val="24"/>
        </w:rPr>
      </w:pPr>
    </w:p>
    <w:p>
      <w:pPr>
        <w:pStyle w:val="Heading3"/>
        <w:spacing w:line="240" w:lineRule="auto"/>
        <w:ind w:left="153" w:right="0"/>
        <w:jc w:val="left"/>
        <w:rPr>
          <w:b w:val="0"/>
          <w:bCs w:val="0"/>
        </w:rPr>
      </w:pPr>
      <w:bookmarkStart w:name="14、固定资产" w:id="192"/>
      <w:bookmarkEnd w:id="192"/>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Heading5"/>
        <w:spacing w:line="288" w:lineRule="auto" w:before="0"/>
        <w:ind w:left="154" w:right="0" w:firstLine="399"/>
        <w:jc w:val="left"/>
      </w:pPr>
      <w:r>
        <w:rPr>
          <w:spacing w:val="-2"/>
        </w:rPr>
        <w:t>固定资产指为生产商品、提供劳务、出租或经营管理而持有，并且使用寿命超过一个会计年度的有形资产。</w:t>
      </w:r>
      <w:r>
        <w:rPr>
          <w:w w:val="100"/>
        </w:rPr>
        <w:t> </w:t>
      </w:r>
      <w:r>
        <w:rPr/>
        <w:t>固定资产在同时满足下列条件时予以确认：</w:t>
      </w:r>
    </w:p>
    <w:p>
      <w:pPr>
        <w:pStyle w:val="Heading5"/>
        <w:spacing w:line="240" w:lineRule="auto" w:before="51"/>
        <w:ind w:left="553" w:right="0"/>
        <w:jc w:val="left"/>
      </w:pPr>
      <w:r>
        <w:rPr>
          <w:rFonts w:ascii="Times New Roman" w:hAnsi="Times New Roman" w:cs="Times New Roman" w:eastAsia="Times New Roman" w:hint="default"/>
        </w:rPr>
        <w:t>1</w:t>
      </w:r>
      <w:r>
        <w:rPr/>
        <w:t>）与该固定资产有关的经济利益很可能流入企业；</w:t>
      </w:r>
    </w:p>
    <w:p>
      <w:pPr>
        <w:pStyle w:val="Heading5"/>
        <w:spacing w:line="240" w:lineRule="auto" w:before="74"/>
        <w:ind w:left="553" w:right="0"/>
        <w:jc w:val="left"/>
      </w:pPr>
      <w:r>
        <w:rPr>
          <w:rFonts w:ascii="Times New Roman" w:hAnsi="Times New Roman" w:cs="Times New Roman" w:eastAsia="Times New Roman" w:hint="default"/>
        </w:rPr>
        <w:t>2</w:t>
      </w:r>
      <w:r>
        <w:rPr/>
        <w:t>）该固定资产的成本能够可靠地计量。</w:t>
      </w:r>
    </w:p>
    <w:p>
      <w:pPr>
        <w:spacing w:line="240" w:lineRule="auto" w:before="11"/>
        <w:rPr>
          <w:rFonts w:ascii="宋体" w:hAnsi="宋体" w:cs="宋体" w:eastAsia="宋体" w:hint="default"/>
          <w:sz w:val="24"/>
          <w:szCs w:val="24"/>
        </w:rPr>
      </w:pPr>
    </w:p>
    <w:p>
      <w:pPr>
        <w:pStyle w:val="Heading3"/>
        <w:spacing w:line="240" w:lineRule="auto"/>
        <w:ind w:left="153" w:right="0"/>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both"/>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5"/>
          <w:szCs w:val="25"/>
        </w:rPr>
      </w:pPr>
    </w:p>
    <w:p>
      <w:pPr>
        <w:pStyle w:val="Heading5"/>
        <w:spacing w:line="240" w:lineRule="auto" w:before="0"/>
        <w:ind w:left="553" w:right="0"/>
        <w:jc w:val="left"/>
      </w:pPr>
      <w:r>
        <w:rPr/>
        <w:t>当本公司租入的固定资产符合下列一项或数项标准时，确认为融资租入固定资产：</w:t>
      </w:r>
    </w:p>
    <w:p>
      <w:pPr>
        <w:pStyle w:val="Heading5"/>
        <w:spacing w:line="240" w:lineRule="auto" w:before="90"/>
        <w:ind w:left="553" w:right="0"/>
        <w:jc w:val="left"/>
      </w:pPr>
      <w:r>
        <w:rPr>
          <w:rFonts w:ascii="Times New Roman" w:hAnsi="Times New Roman" w:cs="Times New Roman" w:eastAsia="Times New Roman" w:hint="default"/>
        </w:rPr>
        <w:t>1</w:t>
      </w:r>
      <w:r>
        <w:rPr/>
        <w:t>）在租赁期届满时，租赁资产的所有权转移给本公司；</w:t>
      </w:r>
    </w:p>
    <w:p>
      <w:pPr>
        <w:pStyle w:val="Heading5"/>
        <w:spacing w:line="271" w:lineRule="auto" w:before="75"/>
        <w:ind w:right="1067" w:firstLine="399"/>
        <w:jc w:val="both"/>
      </w:pPr>
      <w:r>
        <w:rPr>
          <w:rFonts w:ascii="Times New Roman" w:hAnsi="Times New Roman" w:cs="Times New Roman" w:eastAsia="Times New Roman" w:hint="default"/>
          <w:spacing w:val="-1"/>
        </w:rPr>
        <w:t>2</w:t>
      </w:r>
      <w:r>
        <w:rPr>
          <w:spacing w:val="-1"/>
        </w:rPr>
        <w:t>）本公司有购买租赁资产的选择权，所订立的购买价款预计将远低于行使选择权时租赁资产的公允价值，</w:t>
      </w:r>
      <w:r>
        <w:rPr>
          <w:w w:val="100"/>
        </w:rPr>
        <w:t> </w:t>
      </w:r>
      <w:r>
        <w:rPr/>
        <w:t>因而在租赁开始日就可以合理确定本公司将会行使这种选择权；</w:t>
      </w:r>
    </w:p>
    <w:p>
      <w:pPr>
        <w:pStyle w:val="Heading5"/>
        <w:spacing w:line="240" w:lineRule="auto" w:before="64"/>
        <w:ind w:left="553" w:right="0"/>
        <w:jc w:val="left"/>
      </w:pPr>
      <w:r>
        <w:rPr>
          <w:rFonts w:ascii="Times New Roman" w:hAnsi="Times New Roman" w:cs="Times New Roman" w:eastAsia="Times New Roman" w:hint="default"/>
        </w:rPr>
        <w:t>3</w:t>
      </w:r>
      <w:r>
        <w:rPr/>
        <w:t>）即使资产的所有权不转移，但租赁期占租赁资产使用寿命的大部分；</w:t>
      </w:r>
    </w:p>
    <w:p>
      <w:pPr>
        <w:pStyle w:val="Heading5"/>
        <w:spacing w:line="240" w:lineRule="auto" w:before="74"/>
        <w:ind w:left="553" w:right="0"/>
        <w:jc w:val="left"/>
      </w:pP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Heading5"/>
        <w:spacing w:line="304" w:lineRule="auto" w:before="76"/>
        <w:ind w:left="553" w:right="0"/>
        <w:jc w:val="left"/>
      </w:pPr>
      <w:r>
        <w:rPr>
          <w:rFonts w:ascii="Times New Roman" w:hAnsi="Times New Roman" w:cs="Times New Roman" w:eastAsia="Times New Roman" w:hint="default"/>
        </w:rPr>
        <w:t>5</w:t>
      </w:r>
      <w:r>
        <w:rPr/>
        <w:t>）租赁资产性质特殊，如果不作较大改造，只有本公司才能使用。</w:t>
      </w:r>
      <w:r>
        <w:rPr>
          <w:w w:val="100"/>
        </w:rPr>
        <w:t> </w:t>
      </w:r>
      <w:r>
        <w:rPr>
          <w:spacing w:val="-1"/>
        </w:rPr>
        <w:t>融资租赁租入的固定资产，按租赁开始日租赁资产公允价值与最低租赁付款额的现值两者中较低者，作为</w:t>
      </w:r>
    </w:p>
    <w:p>
      <w:pPr>
        <w:pStyle w:val="Heading5"/>
        <w:spacing w:line="285" w:lineRule="auto" w:before="0"/>
        <w:ind w:right="1168"/>
        <w:jc w:val="both"/>
      </w:pPr>
      <w:r>
        <w:rPr>
          <w:spacing w:val="-1"/>
        </w:rPr>
        <w:t>入账价值。最低租赁付款额作为长期应付款的入账价值，其差额作为未确认融资费用。在租赁谈判和签订租赁</w:t>
      </w:r>
      <w:r>
        <w:rPr>
          <w:spacing w:val="-62"/>
        </w:rPr>
        <w:t> </w:t>
      </w:r>
      <w:r>
        <w:rPr>
          <w:spacing w:val="-62"/>
        </w:rPr>
      </w:r>
      <w:r>
        <w:rPr>
          <w:spacing w:val="-1"/>
        </w:rPr>
        <w:t>合同过程中发生的，可归属于租赁项目的手续费、律师费、差旅费、印花税等初始直接费用，计入租入资产价</w:t>
      </w:r>
      <w:r>
        <w:rPr>
          <w:spacing w:val="-63"/>
        </w:rPr>
        <w:t> </w:t>
      </w:r>
      <w:r>
        <w:rPr>
          <w:spacing w:val="-63"/>
        </w:rPr>
      </w:r>
      <w:r>
        <w:rPr>
          <w:spacing w:val="-1"/>
        </w:rPr>
        <w:t>值。未确认融资费用在租赁期内各个期间采用实际利率法进行分摊。本公司采用与自有固定资产相一致的折旧</w:t>
      </w:r>
      <w:r>
        <w:rPr>
          <w:spacing w:val="-63"/>
        </w:rPr>
        <w:t> </w:t>
      </w:r>
      <w:r>
        <w:rPr>
          <w:spacing w:val="-63"/>
        </w:rPr>
      </w:r>
      <w:r>
        <w:rPr>
          <w:spacing w:val="-1"/>
        </w:rPr>
        <w:t>政策计提融资租入固定资产折旧。能够合理确定租赁期届满时取得租赁资产所有权的，在租赁资产使用寿命内</w:t>
      </w:r>
      <w:r>
        <w:rPr>
          <w:spacing w:val="-63"/>
        </w:rPr>
        <w:t> </w:t>
      </w:r>
      <w:r>
        <w:rPr>
          <w:spacing w:val="-63"/>
        </w:rPr>
      </w:r>
      <w:r>
        <w:rPr>
          <w:spacing w:val="-1"/>
        </w:rPr>
        <w:t>计提折旧。无法合理确定租赁期届满时能够取得租赁资产所有权的，在租赁期与租赁资产使用寿命两者中较短</w:t>
      </w:r>
      <w:r>
        <w:rPr>
          <w:spacing w:val="-63"/>
        </w:rPr>
        <w:t> </w:t>
      </w:r>
      <w:r>
        <w:rPr>
          <w:spacing w:val="-63"/>
        </w:rPr>
      </w:r>
      <w:r>
        <w:rPr/>
        <w:t>的期间内计提折旧。</w:t>
      </w:r>
    </w:p>
    <w:p>
      <w:pPr>
        <w:spacing w:line="240" w:lineRule="auto" w:before="1"/>
        <w:rPr>
          <w:rFonts w:ascii="宋体" w:hAnsi="宋体" w:cs="宋体" w:eastAsia="宋体" w:hint="default"/>
          <w:sz w:val="23"/>
          <w:szCs w:val="23"/>
        </w:rPr>
      </w:pPr>
    </w:p>
    <w:p>
      <w:pPr>
        <w:pStyle w:val="Heading3"/>
        <w:spacing w:line="240" w:lineRule="auto"/>
        <w:ind w:left="153" w:right="0"/>
        <w:jc w:val="both"/>
        <w:rPr>
          <w:b w:val="0"/>
          <w:bCs w:val="0"/>
        </w:rPr>
      </w:pPr>
      <w:bookmarkStart w:name="15、在建工程" w:id="196"/>
      <w:bookmarkEnd w:id="196"/>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left="154" w:right="0"/>
        <w:jc w:val="both"/>
        <w:rPr>
          <w:b w:val="0"/>
          <w:bCs w:val="0"/>
        </w:rPr>
      </w:pPr>
      <w:bookmarkStart w:name="（1）在建工程的类别" w:id="197"/>
      <w:bookmarkEnd w:id="197"/>
      <w:r>
        <w:rPr>
          <w:b w:val="0"/>
          <w:bCs w:val="0"/>
        </w:rPr>
      </w:r>
      <w:r>
        <w:rPr/>
        <w:t>（</w:t>
      </w:r>
      <w:r>
        <w:rPr>
          <w:rFonts w:ascii="Times New Roman" w:hAnsi="Times New Roman" w:cs="Times New Roman" w:eastAsia="Times New Roman" w:hint="default"/>
        </w:rPr>
        <w:t>1</w:t>
      </w:r>
      <w:r>
        <w:rPr/>
        <w:t>）在建工程的类别</w:t>
      </w:r>
      <w:r>
        <w:rPr>
          <w:b w:val="0"/>
          <w:bCs w:val="0"/>
        </w:rPr>
      </w:r>
    </w:p>
    <w:p>
      <w:pPr>
        <w:spacing w:line="240" w:lineRule="auto" w:before="7"/>
        <w:rPr>
          <w:rFonts w:ascii="宋体" w:hAnsi="宋体" w:cs="宋体" w:eastAsia="宋体" w:hint="default"/>
          <w:b/>
          <w:bCs/>
          <w:sz w:val="26"/>
          <w:szCs w:val="26"/>
        </w:rPr>
      </w:pPr>
    </w:p>
    <w:p>
      <w:pPr>
        <w:pStyle w:val="Heading5"/>
        <w:spacing w:line="285" w:lineRule="auto" w:before="0"/>
        <w:ind w:left="154" w:right="1148" w:firstLine="420"/>
        <w:jc w:val="both"/>
      </w:pPr>
      <w:r>
        <w:rPr>
          <w:spacing w:val="-1"/>
        </w:rPr>
        <w:t>本公司自行建造的在建工程按实际成本计价，实际成本由建造该项资产达到预定可使用状态前所发生的必</w:t>
      </w:r>
      <w:r>
        <w:rPr>
          <w:w w:val="100"/>
        </w:rPr>
        <w:t> </w:t>
      </w:r>
      <w:r>
        <w:rPr>
          <w:spacing w:val="-1"/>
        </w:rPr>
        <w:t>要支出构成，包括工程用物资成本、人工成本、交纳的相关税费、应予资本化的借款费用以及应分摊的间接费</w:t>
      </w:r>
      <w:r>
        <w:rPr>
          <w:spacing w:val="-63"/>
        </w:rPr>
        <w:t> </w:t>
      </w:r>
      <w:r>
        <w:rPr>
          <w:spacing w:val="-63"/>
        </w:rPr>
      </w:r>
      <w:r>
        <w:rPr/>
        <w:t>用等。本公司的在建工程以项目分类核算。</w:t>
      </w:r>
    </w:p>
    <w:p>
      <w:pPr>
        <w:spacing w:line="240" w:lineRule="auto" w:before="2"/>
        <w:rPr>
          <w:rFonts w:ascii="宋体" w:hAnsi="宋体" w:cs="宋体" w:eastAsia="宋体" w:hint="default"/>
          <w:sz w:val="25"/>
          <w:szCs w:val="25"/>
        </w:rPr>
      </w:pPr>
    </w:p>
    <w:p>
      <w:pPr>
        <w:pStyle w:val="Heading6"/>
        <w:spacing w:line="240" w:lineRule="auto"/>
        <w:ind w:left="154" w:right="0"/>
        <w:jc w:val="both"/>
        <w:rPr>
          <w:b w:val="0"/>
          <w:bCs w:val="0"/>
        </w:rPr>
      </w:pPr>
      <w:bookmarkStart w:name="（2）在建工程结转为固定资产的标准和时点" w:id="198"/>
      <w:bookmarkEnd w:id="198"/>
      <w:r>
        <w:rPr>
          <w:b w:val="0"/>
          <w:bCs w:val="0"/>
        </w:rPr>
      </w: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6"/>
        <w:rPr>
          <w:rFonts w:ascii="宋体" w:hAnsi="宋体" w:cs="宋体" w:eastAsia="宋体" w:hint="default"/>
          <w:b/>
          <w:bCs/>
          <w:sz w:val="26"/>
          <w:szCs w:val="26"/>
        </w:rPr>
      </w:pPr>
    </w:p>
    <w:p>
      <w:pPr>
        <w:pStyle w:val="Heading5"/>
        <w:spacing w:line="285" w:lineRule="auto" w:before="0"/>
        <w:ind w:right="1148" w:firstLine="420"/>
        <w:jc w:val="both"/>
      </w:pPr>
      <w:r>
        <w:rPr>
          <w:spacing w:val="-1"/>
        </w:rPr>
        <w:t>在建工程项目按建造该项资产达到预定可使用状态前所发生的全部支出，作为固定资产的入账价值。所建</w:t>
      </w:r>
      <w:r>
        <w:rPr>
          <w:w w:val="100"/>
        </w:rPr>
        <w:t> </w:t>
      </w:r>
      <w:r>
        <w:rPr>
          <w:spacing w:val="-1"/>
        </w:rPr>
        <w:t>造的固定资产在建工程已达到预定可使用状态，但尚未办理竣工决算的，自达到预定可使用状态之日起，根据</w:t>
      </w:r>
      <w:r>
        <w:rPr>
          <w:spacing w:val="-63"/>
        </w:rPr>
        <w:t> </w:t>
      </w:r>
      <w:r>
        <w:rPr>
          <w:spacing w:val="-63"/>
        </w:rPr>
      </w:r>
      <w:r>
        <w:rPr>
          <w:spacing w:val="-1"/>
        </w:rPr>
        <w:t>工程预算、造价或者工程实际成本等，按估计的价值转入固定资产，并按本公司固定资产折旧政策计提固定资</w:t>
      </w:r>
      <w:r>
        <w:rPr>
          <w:spacing w:val="-63"/>
        </w:rPr>
        <w:t> </w:t>
      </w:r>
      <w:r>
        <w:rPr>
          <w:spacing w:val="-63"/>
        </w:rPr>
      </w:r>
      <w:r>
        <w:rPr/>
        <w:t>产的折旧，待办理竣工决算后，再按实际成本调整原来的暂估价值，但不调整原已计提的折旧额。</w:t>
      </w:r>
    </w:p>
    <w:p>
      <w:pPr>
        <w:spacing w:line="240" w:lineRule="auto" w:before="3"/>
        <w:rPr>
          <w:rFonts w:ascii="宋体" w:hAnsi="宋体" w:cs="宋体" w:eastAsia="宋体" w:hint="default"/>
          <w:sz w:val="23"/>
          <w:szCs w:val="23"/>
        </w:rPr>
      </w:pPr>
    </w:p>
    <w:p>
      <w:pPr>
        <w:pStyle w:val="Heading3"/>
        <w:spacing w:line="240" w:lineRule="auto"/>
        <w:ind w:left="153" w:right="0"/>
        <w:jc w:val="both"/>
        <w:rPr>
          <w:b w:val="0"/>
          <w:bCs w:val="0"/>
        </w:rPr>
      </w:pPr>
      <w:bookmarkStart w:name="16、无形资产" w:id="199"/>
      <w:bookmarkEnd w:id="199"/>
      <w:r>
        <w:rPr>
          <w:b w:val="0"/>
          <w:bCs w:val="0"/>
        </w:rPr>
      </w:r>
      <w:r>
        <w:rPr>
          <w:rFonts w:ascii="Times New Roman" w:hAnsi="Times New Roman" w:cs="Times New Roman" w:eastAsia="Times New Roman" w:hint="default"/>
        </w:rPr>
        <w:t>16</w:t>
      </w:r>
      <w:r>
        <w:rPr/>
        <w:t>、无形资产</w:t>
      </w:r>
      <w:r>
        <w:rPr>
          <w:b w:val="0"/>
          <w:bCs w:val="0"/>
        </w:rPr>
      </w:r>
    </w:p>
    <w:p>
      <w:pPr>
        <w:spacing w:line="612" w:lineRule="exact" w:before="68"/>
        <w:ind w:left="573" w:right="4393" w:hanging="420"/>
        <w:jc w:val="left"/>
        <w:rPr>
          <w:rFonts w:ascii="宋体" w:hAnsi="宋体" w:cs="宋体" w:eastAsia="宋体" w:hint="default"/>
          <w:sz w:val="18"/>
          <w:szCs w:val="18"/>
        </w:rPr>
      </w:pPr>
      <w:bookmarkStart w:name="（1）计价方法、使用寿命、减值测试" w:id="200"/>
      <w:bookmarkEnd w:id="200"/>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w w:val="99"/>
          <w:sz w:val="18"/>
          <w:szCs w:val="18"/>
        </w:rPr>
        <w:t> </w:t>
      </w:r>
      <w:r>
        <w:rPr>
          <w:rFonts w:ascii="宋体" w:hAnsi="宋体" w:cs="宋体" w:eastAsia="宋体" w:hint="default"/>
          <w:sz w:val="18"/>
          <w:szCs w:val="18"/>
        </w:rPr>
        <w:t>无形资产是指本公司拥有或者控制的没有实物形态的可辨认非货币性资产。</w:t>
      </w:r>
    </w:p>
    <w:p>
      <w:pPr>
        <w:pStyle w:val="Heading6"/>
        <w:spacing w:line="229" w:lineRule="exact"/>
        <w:ind w:right="0"/>
        <w:jc w:val="both"/>
        <w:rPr>
          <w:b w:val="0"/>
          <w:bCs w:val="0"/>
        </w:rPr>
      </w:pPr>
      <w:r>
        <w:rPr>
          <w:rFonts w:ascii="Times New Roman" w:hAnsi="Times New Roman" w:cs="Times New Roman" w:eastAsia="Times New Roman" w:hint="default"/>
        </w:rPr>
        <w:t>1</w:t>
      </w:r>
      <w:r>
        <w:rPr/>
        <w:t>）无形资产的初始计量</w:t>
      </w:r>
      <w:r>
        <w:rPr>
          <w:b w:val="0"/>
          <w:bCs w:val="0"/>
        </w:rPr>
      </w:r>
    </w:p>
    <w:p>
      <w:pPr>
        <w:pStyle w:val="Heading5"/>
        <w:spacing w:line="285" w:lineRule="auto" w:before="46"/>
        <w:ind w:left="154" w:right="1148" w:firstLine="420"/>
        <w:jc w:val="both"/>
      </w:pPr>
      <w:r>
        <w:rPr>
          <w:spacing w:val="-1"/>
        </w:rPr>
        <w:t>外购无形资产的成本，包括购买价款、相关税费以及直接归属于使该项资产达到预定用途所发生的其他支</w:t>
      </w:r>
      <w:r>
        <w:rPr>
          <w:w w:val="100"/>
        </w:rPr>
        <w:t> </w:t>
      </w:r>
      <w:r>
        <w:rPr>
          <w:spacing w:val="-1"/>
        </w:rPr>
        <w:t>出。购买无形资产的价款超过正常信用条件延期支付，实质上具有融资性质的，无形资产的成本以购买价款的</w:t>
      </w:r>
      <w:r>
        <w:rPr>
          <w:spacing w:val="-63"/>
        </w:rPr>
        <w:t> </w:t>
      </w:r>
      <w:r>
        <w:rPr>
          <w:spacing w:val="-63"/>
        </w:rPr>
      </w:r>
      <w:r>
        <w:rPr/>
        <w:t>现值为基础确定。</w:t>
      </w:r>
    </w:p>
    <w:p>
      <w:pPr>
        <w:pStyle w:val="Heading5"/>
        <w:spacing w:line="285" w:lineRule="auto"/>
        <w:ind w:left="154" w:right="1147" w:firstLine="420"/>
        <w:jc w:val="both"/>
      </w:pPr>
      <w:r>
        <w:rPr>
          <w:spacing w:val="-1"/>
        </w:rPr>
        <w:t>债务重组取得债务人用以抵债的无形资产，以该无形资产的公允价值为基础确定其入账价值，并将重组债</w:t>
      </w:r>
      <w:r>
        <w:rPr>
          <w:w w:val="100"/>
        </w:rPr>
        <w:t> </w:t>
      </w:r>
      <w:r>
        <w:rPr/>
        <w:t>务的账面价值与该用以抵债的无形资产公允价值之间的差额，计入当期损益。</w:t>
      </w:r>
    </w:p>
    <w:p>
      <w:pPr>
        <w:pStyle w:val="Heading5"/>
        <w:spacing w:line="240" w:lineRule="auto"/>
        <w:ind w:left="573" w:right="0"/>
        <w:jc w:val="left"/>
      </w:pPr>
      <w:r>
        <w:rPr/>
        <w:t>在非货币性资产交换具备商业实质且换入资产或换出资产的公允价值能够可靠计量的前提下，非货币性资</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69"/>
        <w:jc w:val="both"/>
      </w:pPr>
      <w:r>
        <w:rPr>
          <w:spacing w:val="-1"/>
        </w:rPr>
        <w:t>产交换换入的无形资产以换出资产的公允价值为基础确定其入账价值，除非有确凿证据表明换入资产的公允价</w:t>
      </w:r>
      <w:r>
        <w:rPr>
          <w:spacing w:val="-63"/>
        </w:rPr>
        <w:t> </w:t>
      </w:r>
      <w:r>
        <w:rPr>
          <w:spacing w:val="-63"/>
        </w:rPr>
      </w:r>
      <w:r>
        <w:rPr>
          <w:spacing w:val="-1"/>
        </w:rPr>
        <w:t>值更加可靠；不满足上述前提的非货币性资产交换，以换出资产的账面价值和应支付的相关税费作为换入无形</w:t>
      </w:r>
      <w:r>
        <w:rPr>
          <w:spacing w:val="-63"/>
        </w:rPr>
        <w:t> </w:t>
      </w:r>
      <w:r>
        <w:rPr>
          <w:spacing w:val="-63"/>
        </w:rPr>
      </w:r>
      <w:r>
        <w:rPr/>
        <w:t>资产的成本，不确认损益。</w:t>
      </w:r>
    </w:p>
    <w:p>
      <w:pPr>
        <w:pStyle w:val="Heading5"/>
        <w:spacing w:line="285" w:lineRule="auto"/>
        <w:ind w:right="1148" w:firstLine="420"/>
        <w:jc w:val="both"/>
      </w:pPr>
      <w:r>
        <w:rPr>
          <w:spacing w:val="-1"/>
        </w:rPr>
        <w:t>以同一控制下的企业吸收合并方式取得的无形资产按被合并方的账面价值确定其入账价值；以非同一控制</w:t>
      </w:r>
      <w:r>
        <w:rPr>
          <w:w w:val="100"/>
        </w:rPr>
        <w:t> </w:t>
      </w:r>
      <w:r>
        <w:rPr/>
        <w:t>下的企业吸收合并方式取得的无形资产按公允价值确定其入账价值。</w:t>
      </w:r>
    </w:p>
    <w:p>
      <w:pPr>
        <w:pStyle w:val="Heading5"/>
        <w:spacing w:line="285" w:lineRule="auto"/>
        <w:ind w:right="1148" w:firstLine="420"/>
        <w:jc w:val="both"/>
      </w:pPr>
      <w:r>
        <w:rPr>
          <w:spacing w:val="-1"/>
        </w:rPr>
        <w:t>内部自行开发的无形资产，其成本包括：开发该无形资产时耗用的材料、劳务成本、注册费、在开发过程</w:t>
      </w:r>
      <w:r>
        <w:rPr>
          <w:w w:val="100"/>
        </w:rPr>
        <w:t> </w:t>
      </w:r>
      <w:r>
        <w:rPr>
          <w:spacing w:val="-1"/>
        </w:rPr>
        <w:t>中使用的其他专利权和特许权的摊销以及满足资本化条件的利息费用，以及为使该无形资产达到预定用途前所</w:t>
      </w:r>
      <w:r>
        <w:rPr>
          <w:spacing w:val="-63"/>
        </w:rPr>
        <w:t> </w:t>
      </w:r>
      <w:r>
        <w:rPr>
          <w:spacing w:val="-63"/>
        </w:rPr>
      </w:r>
      <w:r>
        <w:rPr/>
        <w:t>发生的其他直接费用。</w:t>
      </w:r>
    </w:p>
    <w:p>
      <w:pPr>
        <w:pStyle w:val="Heading6"/>
        <w:spacing w:line="240" w:lineRule="auto" w:before="28"/>
        <w:ind w:right="0"/>
        <w:jc w:val="both"/>
        <w:rPr>
          <w:b w:val="0"/>
          <w:bCs w:val="0"/>
        </w:rPr>
      </w:pPr>
      <w:r>
        <w:rPr>
          <w:rFonts w:ascii="Times New Roman" w:hAnsi="Times New Roman" w:cs="Times New Roman" w:eastAsia="Times New Roman" w:hint="default"/>
        </w:rPr>
        <w:t>2</w:t>
      </w:r>
      <w:r>
        <w:rPr/>
        <w:t>）无形资产的后续计量</w:t>
      </w:r>
      <w:r>
        <w:rPr>
          <w:b w:val="0"/>
          <w:bCs w:val="0"/>
        </w:rPr>
      </w:r>
    </w:p>
    <w:p>
      <w:pPr>
        <w:pStyle w:val="Heading5"/>
        <w:spacing w:line="240" w:lineRule="auto" w:before="46"/>
        <w:ind w:left="574" w:right="0"/>
        <w:jc w:val="left"/>
      </w:pPr>
      <w:r>
        <w:rPr/>
        <w:t>本公司在取得无形资产时分析判断其使用寿命，划分为使用寿命有限和使用寿命不确定的无形资产。</w:t>
      </w:r>
    </w:p>
    <w:p>
      <w:pPr>
        <w:pStyle w:val="Heading5"/>
        <w:spacing w:line="285" w:lineRule="auto" w:before="50"/>
        <w:ind w:left="574" w:right="0" w:hanging="99"/>
        <w:jc w:val="left"/>
      </w:pPr>
      <w:r>
        <w:rPr/>
        <w:t>①使用寿命有限的无形资产</w:t>
      </w:r>
      <w:r>
        <w:rPr>
          <w:w w:val="100"/>
        </w:rPr>
        <w:t> </w:t>
      </w:r>
      <w:r>
        <w:rPr>
          <w:spacing w:val="-1"/>
        </w:rPr>
        <w:t>对于使用寿命有限的无形资产，在为企业带来经济利益的期限内按直线法摊销。使用寿命有限的无形资产</w:t>
      </w:r>
    </w:p>
    <w:p>
      <w:pPr>
        <w:pStyle w:val="Heading5"/>
        <w:spacing w:line="240" w:lineRule="auto"/>
        <w:ind w:left="154" w:right="0"/>
        <w:jc w:val="both"/>
      </w:pPr>
      <w:r>
        <w:rPr/>
        <w:t>预计寿命及依据如下：</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444"/>
        <w:gridCol w:w="2565"/>
        <w:gridCol w:w="5516"/>
      </w:tblGrid>
      <w:tr>
        <w:trPr>
          <w:trHeight w:val="342" w:hRule="exact"/>
        </w:trPr>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76" w:right="0"/>
              <w:jc w:val="left"/>
              <w:rPr>
                <w:rFonts w:ascii="宋体" w:hAnsi="宋体" w:cs="宋体" w:eastAsia="宋体" w:hint="default"/>
                <w:sz w:val="20"/>
                <w:szCs w:val="20"/>
              </w:rPr>
            </w:pPr>
            <w:r>
              <w:rPr>
                <w:rFonts w:ascii="宋体" w:hAnsi="宋体" w:cs="宋体" w:eastAsia="宋体" w:hint="default"/>
                <w:sz w:val="20"/>
                <w:szCs w:val="20"/>
              </w:rPr>
              <w:t>预计使用寿命</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依</w:t>
            </w:r>
            <w:r>
              <w:rPr>
                <w:rFonts w:ascii="宋体" w:hAnsi="宋体" w:cs="宋体" w:eastAsia="宋体" w:hint="default"/>
                <w:spacing w:val="60"/>
                <w:sz w:val="20"/>
                <w:szCs w:val="20"/>
              </w:rPr>
              <w:t> </w:t>
            </w:r>
            <w:r>
              <w:rPr>
                <w:rFonts w:ascii="宋体" w:hAnsi="宋体" w:cs="宋体" w:eastAsia="宋体" w:hint="default"/>
                <w:sz w:val="20"/>
                <w:szCs w:val="20"/>
              </w:rPr>
              <w:t>据</w:t>
            </w:r>
          </w:p>
        </w:tc>
      </w:tr>
      <w:tr>
        <w:trPr>
          <w:trHeight w:val="342" w:hRule="exact"/>
        </w:trPr>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依法律规定</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依法律规定</w:t>
            </w:r>
          </w:p>
        </w:tc>
      </w:tr>
      <w:tr>
        <w:trPr>
          <w:trHeight w:val="382" w:hRule="exact"/>
        </w:trPr>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3-5</w:t>
            </w:r>
            <w:r>
              <w:rPr>
                <w:rFonts w:ascii="宋体" w:hAnsi="宋体" w:cs="宋体" w:eastAsia="宋体" w:hint="default"/>
                <w:sz w:val="20"/>
                <w:szCs w:val="20"/>
              </w:rPr>
              <w:t>年</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预计使用年限、合同规定的受益年限、法律规定的有效年限</w:t>
            </w:r>
          </w:p>
        </w:tc>
      </w:tr>
    </w:tbl>
    <w:p>
      <w:pPr>
        <w:spacing w:line="240" w:lineRule="auto" w:before="10"/>
        <w:rPr>
          <w:rFonts w:ascii="宋体" w:hAnsi="宋体" w:cs="宋体" w:eastAsia="宋体" w:hint="default"/>
          <w:sz w:val="5"/>
          <w:szCs w:val="5"/>
        </w:rPr>
      </w:pPr>
    </w:p>
    <w:p>
      <w:pPr>
        <w:pStyle w:val="Heading5"/>
        <w:spacing w:line="285" w:lineRule="auto" w:before="38"/>
        <w:ind w:left="154" w:right="1118" w:firstLine="420"/>
        <w:jc w:val="left"/>
      </w:pPr>
      <w:r>
        <w:rPr>
          <w:spacing w:val="-1"/>
        </w:rPr>
        <w:t>每期末，对使用寿命有限的无形资产的使用寿命及摊销方法进行复核，如与原先估计数存在差异的，进行</w:t>
      </w:r>
      <w:r>
        <w:rPr>
          <w:w w:val="100"/>
        </w:rPr>
        <w:t> </w:t>
      </w:r>
      <w:r>
        <w:rPr/>
        <w:t>相应的调整。</w:t>
      </w:r>
    </w:p>
    <w:p>
      <w:pPr>
        <w:pStyle w:val="Heading5"/>
        <w:spacing w:line="240" w:lineRule="auto"/>
        <w:ind w:left="573" w:right="0"/>
        <w:jc w:val="left"/>
      </w:pPr>
      <w:r>
        <w:rPr/>
        <w:t>经复核，本期期末无形资产的使用寿命及摊销方法与以前估计未有不同。</w:t>
      </w:r>
    </w:p>
    <w:p>
      <w:pPr>
        <w:pStyle w:val="Heading5"/>
        <w:spacing w:line="240" w:lineRule="auto" w:before="50"/>
        <w:ind w:left="475" w:right="0"/>
        <w:jc w:val="left"/>
      </w:pPr>
      <w:r>
        <w:rPr/>
        <w:t>②使用寿命不确定的无形资产</w:t>
      </w:r>
    </w:p>
    <w:p>
      <w:pPr>
        <w:pStyle w:val="Heading5"/>
        <w:spacing w:line="285" w:lineRule="auto" w:before="170"/>
        <w:ind w:left="573" w:right="0"/>
        <w:jc w:val="left"/>
      </w:pPr>
      <w:r>
        <w:rPr>
          <w:spacing w:val="-1"/>
        </w:rPr>
        <w:t>对于使用寿命不确定的无形资产，在持有期间内不摊销，每期末对无形资产的寿命进行复核。</w:t>
      </w:r>
      <w:r>
        <w:rPr>
          <w:spacing w:val="-69"/>
        </w:rPr>
        <w:t> </w:t>
      </w:r>
      <w:r>
        <w:rPr>
          <w:spacing w:val="-69"/>
        </w:rPr>
      </w:r>
      <w:r>
        <w:rPr/>
        <w:t>经复核，该类无形资产的使用寿命仍为不确定。</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spacing w:line="309" w:lineRule="auto" w:before="0"/>
        <w:ind w:left="574" w:right="115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316" w:lineRule="auto" w:before="24"/>
        <w:ind w:left="574" w:right="5472" w:hanging="420"/>
        <w:jc w:val="left"/>
      </w:pPr>
      <w:r>
        <w:rPr/>
        <w:t>改进的材料、装置、产品等活动的阶段。 内部研究开发项目研究阶段的支出，在发生时计入当期损益。</w:t>
      </w:r>
    </w:p>
    <w:p>
      <w:pPr>
        <w:pStyle w:val="Heading6"/>
        <w:spacing w:line="240" w:lineRule="auto" w:before="19"/>
        <w:ind w:right="0"/>
        <w:jc w:val="left"/>
        <w:rPr>
          <w:b w:val="0"/>
          <w:bCs w:val="0"/>
        </w:rPr>
      </w:pPr>
      <w:r>
        <w:rPr>
          <w:rFonts w:ascii="Times New Roman" w:hAnsi="Times New Roman" w:cs="Times New Roman" w:eastAsia="Times New Roman" w:hint="default"/>
        </w:rPr>
        <w:t>2</w:t>
      </w:r>
      <w:r>
        <w:rPr/>
        <w:t>）开发阶段支出符合资本化的具体标准</w:t>
      </w:r>
      <w:r>
        <w:rPr>
          <w:b w:val="0"/>
          <w:bCs w:val="0"/>
        </w:rPr>
      </w:r>
    </w:p>
    <w:p>
      <w:pPr>
        <w:pStyle w:val="Heading5"/>
        <w:spacing w:line="240" w:lineRule="auto" w:before="46"/>
        <w:ind w:left="573" w:right="0"/>
        <w:jc w:val="left"/>
      </w:pPr>
      <w:r>
        <w:rPr/>
        <w:t>内部研究开发项目开发阶段的支出，同时满足下列条件时确认为无形资产：</w:t>
      </w:r>
    </w:p>
    <w:p>
      <w:pPr>
        <w:pStyle w:val="Heading5"/>
        <w:spacing w:line="240" w:lineRule="auto" w:before="50"/>
        <w:ind w:left="573" w:right="0"/>
        <w:jc w:val="left"/>
      </w:pPr>
      <w:r>
        <w:rPr/>
        <w:t>①完成该无形资产以使其能够使用或出售在技术上具有可行性；</w:t>
      </w:r>
    </w:p>
    <w:p>
      <w:pPr>
        <w:pStyle w:val="Heading5"/>
        <w:spacing w:line="240" w:lineRule="auto" w:before="50"/>
        <w:ind w:left="573" w:right="0"/>
        <w:jc w:val="left"/>
      </w:pPr>
      <w:r>
        <w:rPr/>
        <w:t>②具有完成该无形资产并使用或出售的意图；</w:t>
      </w:r>
    </w:p>
    <w:p>
      <w:pPr>
        <w:pStyle w:val="Heading5"/>
        <w:spacing w:line="285" w:lineRule="auto" w:before="50"/>
        <w:ind w:left="154" w:right="0" w:firstLine="420"/>
        <w:jc w:val="left"/>
      </w:pPr>
      <w:r>
        <w:rPr>
          <w:spacing w:val="-1"/>
        </w:rPr>
        <w:t>③无形资产产生经济利益的方式，包括能够证明运用该无形资产生产的产品存在市场或无形资产自身存在</w:t>
      </w:r>
      <w:r>
        <w:rPr>
          <w:w w:val="100"/>
        </w:rPr>
        <w:t> </w:t>
      </w:r>
      <w:r>
        <w:rPr/>
        <w:t>市场，无形资产将在内部使用的，能够证明其有用性；</w:t>
      </w:r>
    </w:p>
    <w:p>
      <w:pPr>
        <w:pStyle w:val="Heading5"/>
        <w:spacing w:line="240" w:lineRule="auto"/>
        <w:ind w:left="574" w:right="0"/>
        <w:jc w:val="left"/>
      </w:pPr>
      <w:r>
        <w:rPr>
          <w:spacing w:val="-3"/>
        </w:rPr>
        <w:t>④有足够的技术、财务资源和其他资源支持，以完成该无形资产的开发，并有能力使用或出售该无形资产；</w:t>
      </w:r>
    </w:p>
    <w:p>
      <w:pPr>
        <w:pStyle w:val="Heading5"/>
        <w:spacing w:line="285" w:lineRule="auto" w:before="50"/>
        <w:ind w:left="574" w:right="0"/>
        <w:jc w:val="left"/>
      </w:pPr>
      <w:r>
        <w:rPr/>
        <w:t>⑤归属于该无形资产开发阶段的支出能够可靠地计量。</w:t>
      </w:r>
      <w:r>
        <w:rPr>
          <w:w w:val="100"/>
        </w:rPr>
        <w:t> </w:t>
      </w:r>
      <w:r>
        <w:rPr>
          <w:spacing w:val="-1"/>
        </w:rPr>
        <w:t>不满足上述条件的开发阶段的支出，于发生时计入当期损益。以前期间已计入损益的开发支出不在以后期</w:t>
      </w:r>
    </w:p>
    <w:p>
      <w:pPr>
        <w:pStyle w:val="Heading5"/>
        <w:spacing w:line="285" w:lineRule="auto"/>
        <w:ind w:left="154" w:right="0"/>
        <w:jc w:val="left"/>
      </w:pPr>
      <w:r>
        <w:rPr>
          <w:spacing w:val="-1"/>
        </w:rPr>
        <w:t>间重新确认为资产。已资本化的开发阶段的支出在资产负债表上列示为开发支出，自该项目达到预定用途之日</w:t>
      </w:r>
      <w:r>
        <w:rPr>
          <w:spacing w:val="-63"/>
        </w:rPr>
        <w:t> </w:t>
      </w:r>
      <w:r>
        <w:rPr>
          <w:spacing w:val="-63"/>
        </w:rPr>
      </w:r>
      <w:r>
        <w:rPr/>
        <w:t>起转为无形资产。</w:t>
      </w:r>
    </w:p>
    <w:p>
      <w:pPr>
        <w:spacing w:after="0" w:line="285"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7、长期资产减值" w:id="202"/>
      <w:bookmarkEnd w:id="202"/>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left="154" w:right="1148" w:firstLine="420"/>
        <w:jc w:val="both"/>
      </w:pPr>
      <w:r>
        <w:rPr>
          <w:spacing w:val="-1"/>
        </w:rPr>
        <w:t>本公司在资产负债表日判断长期资产是否存在可能发生减值的迹象。如果长期资产存在减值迹象的，以单</w:t>
      </w:r>
      <w:r>
        <w:rPr>
          <w:w w:val="100"/>
        </w:rPr>
        <w:t> </w:t>
      </w:r>
      <w:r>
        <w:rPr>
          <w:spacing w:val="-1"/>
        </w:rPr>
        <w:t>项资产为基础估计其可收回金额；难以对单项资产的可收回金额进行估计的，以该资产所属的资产组为基础确</w:t>
      </w:r>
      <w:r>
        <w:rPr>
          <w:spacing w:val="-63"/>
        </w:rPr>
        <w:t> </w:t>
      </w:r>
      <w:r>
        <w:rPr>
          <w:spacing w:val="-63"/>
        </w:rPr>
      </w:r>
      <w:r>
        <w:rPr/>
        <w:t>定资产组的可收回金额。</w:t>
      </w:r>
    </w:p>
    <w:p>
      <w:pPr>
        <w:pStyle w:val="Heading5"/>
        <w:spacing w:line="285" w:lineRule="auto"/>
        <w:ind w:left="154" w:right="1148" w:firstLine="420"/>
        <w:jc w:val="both"/>
      </w:pPr>
      <w:r>
        <w:rPr>
          <w:spacing w:val="-1"/>
        </w:rPr>
        <w:t>资产可收回金额的估计，根据其公允价值减去处置费用后的净额与资产预计未来现金流量的现值两者之间</w:t>
      </w:r>
      <w:r>
        <w:rPr>
          <w:w w:val="100"/>
        </w:rPr>
        <w:t> </w:t>
      </w:r>
      <w:r>
        <w:rPr/>
        <w:t>较高者确定。</w:t>
      </w:r>
    </w:p>
    <w:p>
      <w:pPr>
        <w:pStyle w:val="Heading5"/>
        <w:spacing w:line="285" w:lineRule="auto"/>
        <w:ind w:left="154" w:right="1148" w:firstLine="420"/>
        <w:jc w:val="both"/>
      </w:pPr>
      <w:r>
        <w:rPr>
          <w:spacing w:val="-1"/>
        </w:rPr>
        <w:t>可收回金额的计量结果表明，长期资产的可收回金额低于其账面价值的，将长期资产的账面价值减记至可</w:t>
      </w:r>
      <w:r>
        <w:rPr>
          <w:w w:val="100"/>
        </w:rPr>
        <w:t> </w:t>
      </w:r>
      <w:r>
        <w:rPr>
          <w:spacing w:val="-1"/>
        </w:rPr>
        <w:t>收回金额，减记的金额确认为资产减值损失，计入当期损益，同时计提相应的资产减值准备。资产减值损失一</w:t>
      </w:r>
      <w:r>
        <w:rPr>
          <w:spacing w:val="-63"/>
        </w:rPr>
        <w:t> </w:t>
      </w:r>
      <w:r>
        <w:rPr>
          <w:spacing w:val="-63"/>
        </w:rPr>
      </w:r>
      <w:r>
        <w:rPr/>
        <w:t>经确认，在以后会计期间不得转回。</w:t>
      </w:r>
    </w:p>
    <w:p>
      <w:pPr>
        <w:pStyle w:val="Heading5"/>
        <w:spacing w:line="285" w:lineRule="auto"/>
        <w:ind w:left="154" w:right="1148" w:firstLine="420"/>
        <w:jc w:val="both"/>
      </w:pPr>
      <w:r>
        <w:rPr>
          <w:spacing w:val="-1"/>
        </w:rPr>
        <w:t>资产减值损失确认后，减值资产的折旧或者摊销费用在未来期间作相应调整，以使该资产在剩余使用寿命</w:t>
      </w:r>
      <w:r>
        <w:rPr>
          <w:w w:val="100"/>
        </w:rPr>
        <w:t> </w:t>
      </w:r>
      <w:r>
        <w:rPr/>
        <w:t>内，系统地分摊调整后的资产账面价值（扣除预计净残值）。</w:t>
      </w:r>
    </w:p>
    <w:p>
      <w:pPr>
        <w:pStyle w:val="Heading5"/>
        <w:spacing w:line="285" w:lineRule="auto"/>
        <w:ind w:left="154" w:right="1148" w:firstLine="420"/>
        <w:jc w:val="right"/>
      </w:pPr>
      <w:r>
        <w:rPr>
          <w:spacing w:val="-1"/>
        </w:rPr>
        <w:t>因企业合并所形成的商誉和使用寿命不确定的无形资产，无论是否存在减值迹象，每年都进行减值测试。</w:t>
      </w:r>
      <w:r>
        <w:rPr>
          <w:w w:val="100"/>
        </w:rPr>
        <w:t> </w:t>
      </w:r>
      <w:r>
        <w:rPr>
          <w:spacing w:val="-1"/>
        </w:rPr>
        <w:t>商誉结合与其相关的资产组或者资产组组合进行减值测试。在对包含商誉的相关资产组或者资产组组合进</w:t>
      </w:r>
      <w:r>
        <w:rPr>
          <w:w w:val="100"/>
        </w:rPr>
        <w:t> </w:t>
      </w:r>
      <w:r>
        <w:rPr>
          <w:spacing w:val="-1"/>
        </w:rPr>
        <w:t>行减值测试时，如与商誉相关的资产组或者资产组组合存在减值迹象的，先对不包含商誉的资产组或者资产组</w:t>
      </w:r>
      <w:r>
        <w:rPr>
          <w:w w:val="100"/>
        </w:rPr>
        <w:t> </w:t>
      </w:r>
      <w:r>
        <w:rPr>
          <w:spacing w:val="-1"/>
        </w:rPr>
        <w:t>组合进行减值测试，计算可收回金额，并与相关账面价值相比较，确认相应的减值损失。再对包含商誉的资产</w:t>
      </w:r>
      <w:r>
        <w:rPr>
          <w:w w:val="100"/>
        </w:rPr>
        <w:t> </w:t>
      </w:r>
      <w:r>
        <w:rPr>
          <w:spacing w:val="-1"/>
        </w:rPr>
        <w:t>组或者资产组组合进行减值测试，比较这些相关资产组或者资产组组合的账面价值（包括所分摊的商誉的账面</w:t>
      </w:r>
      <w:r>
        <w:rPr>
          <w:w w:val="100"/>
        </w:rPr>
        <w:t> </w:t>
      </w:r>
      <w:r>
        <w:rPr>
          <w:spacing w:val="-1"/>
        </w:rPr>
        <w:t>价值部分）与其可收回金额，如相关资产组或者资产组组合的可收回金额低于其账面价值的，确认商誉的减值</w:t>
      </w:r>
    </w:p>
    <w:p>
      <w:pPr>
        <w:pStyle w:val="Heading5"/>
        <w:spacing w:line="240" w:lineRule="auto"/>
        <w:ind w:left="154" w:right="0"/>
        <w:jc w:val="left"/>
      </w:pPr>
      <w:r>
        <w:rPr/>
        <w:t>损失。</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8、长期待摊费用" w:id="203"/>
      <w:bookmarkEnd w:id="203"/>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154" w:right="0"/>
        <w:jc w:val="left"/>
        <w:rPr>
          <w:b w:val="0"/>
          <w:bCs w:val="0"/>
        </w:rPr>
      </w:pPr>
      <w:r>
        <w:rPr/>
        <w:t>（</w:t>
      </w:r>
      <w:r>
        <w:rPr>
          <w:rFonts w:ascii="Times New Roman" w:hAnsi="Times New Roman" w:cs="Times New Roman" w:eastAsia="Times New Roman" w:hint="default"/>
        </w:rPr>
        <w:t>1</w:t>
      </w:r>
      <w:r>
        <w:rPr/>
        <w:t>）摊销方法</w:t>
      </w:r>
      <w:r>
        <w:rPr>
          <w:b w:val="0"/>
          <w:bCs w:val="0"/>
        </w:rPr>
      </w:r>
    </w:p>
    <w:p>
      <w:pPr>
        <w:pStyle w:val="BodyText"/>
        <w:spacing w:line="300" w:lineRule="auto" w:before="63"/>
        <w:ind w:right="1132" w:firstLine="420"/>
        <w:jc w:val="both"/>
      </w:pP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年以上的各项费用。长期待摊费用在受</w:t>
      </w:r>
      <w:r>
        <w:rPr/>
        <w:t> 益期内按平均年限法摊销。</w:t>
      </w:r>
    </w:p>
    <w:p>
      <w:pPr>
        <w:pStyle w:val="Heading6"/>
        <w:spacing w:line="240" w:lineRule="auto" w:before="31"/>
        <w:ind w:right="0"/>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4"/>
        <w:gridCol w:w="2693"/>
      </w:tblGrid>
      <w:tr>
        <w:trPr>
          <w:trHeight w:val="34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BOX</w:t>
            </w:r>
            <w:r>
              <w:rPr>
                <w:rFonts w:ascii="宋体" w:hAnsi="宋体" w:cs="宋体" w:eastAsia="宋体" w:hint="default"/>
                <w:sz w:val="18"/>
                <w:szCs w:val="18"/>
              </w:rPr>
              <w:t>（向用户提供的网络电话网关设备）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BOX</w:t>
            </w:r>
            <w:r>
              <w:rPr>
                <w:rFonts w:ascii="宋体" w:hAnsi="宋体" w:cs="宋体" w:eastAsia="宋体" w:hint="default"/>
                <w:sz w:val="18"/>
                <w:szCs w:val="18"/>
              </w:rPr>
              <w:t>（向用户提供的网络电视网关设备）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9、职工薪酬" w:id="204"/>
      <w:bookmarkEnd w:id="204"/>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left="154" w:right="0" w:firstLine="420"/>
        <w:jc w:val="left"/>
      </w:pPr>
      <w:r>
        <w:rPr/>
        <w:t>短期薪酬是指本公司在职工提供相关服务的年度报告期间结束后十二个月内需要全部予以支付的职工薪</w:t>
      </w:r>
      <w:r>
        <w:rPr>
          <w:w w:val="100"/>
        </w:rPr>
        <w:t> </w:t>
      </w:r>
      <w:r>
        <w:rPr>
          <w:spacing w:val="-1"/>
        </w:rPr>
        <w:t>酬，离职后福利和辞退福利除外。本公司在职工提供服务的会计期间，将应付的短期薪酬确认为负债，并根据</w:t>
      </w:r>
      <w:r>
        <w:rPr>
          <w:spacing w:val="-63"/>
        </w:rPr>
        <w:t> </w:t>
      </w:r>
      <w:r>
        <w:rPr>
          <w:spacing w:val="-63"/>
        </w:rPr>
      </w:r>
      <w:r>
        <w:rPr/>
        <w:t>职工提供服务的受益对象计入相关资产成本和费用。</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5"/>
          <w:szCs w:val="25"/>
        </w:rPr>
      </w:pPr>
    </w:p>
    <w:p>
      <w:pPr>
        <w:pStyle w:val="Heading5"/>
        <w:spacing w:line="285" w:lineRule="auto" w:before="0"/>
        <w:ind w:left="154" w:right="0" w:firstLine="420"/>
        <w:jc w:val="left"/>
      </w:pPr>
      <w:r>
        <w:rPr>
          <w:spacing w:val="-1"/>
        </w:rPr>
        <w:t>离职后福利是指本公司为获得职工提供的服务而在职工退休或与企业解除劳动关系后，提供的各种形式的</w:t>
      </w:r>
      <w:r>
        <w:rPr>
          <w:w w:val="100"/>
        </w:rPr>
        <w:t> </w:t>
      </w:r>
      <w:r>
        <w:rPr/>
        <w:t>报酬和福利，短期薪酬和辞退福利除外。离职后福利计划分类为设定提存计划和设定受益计划。</w:t>
      </w:r>
    </w:p>
    <w:p>
      <w:pPr>
        <w:pStyle w:val="Heading5"/>
        <w:spacing w:line="240" w:lineRule="auto"/>
        <w:ind w:left="574" w:right="0"/>
        <w:jc w:val="left"/>
      </w:pPr>
      <w:r>
        <w:rPr/>
        <w:t>离职后福利设定提存计划主要为参加由各地劳动及社会保障机构组织实施的社会基本养老保险、失业保险</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0"/>
        <w:jc w:val="left"/>
      </w:pPr>
      <w:r>
        <w:rPr>
          <w:spacing w:val="-1"/>
        </w:rPr>
        <w:t>等</w:t>
      </w:r>
      <w:r>
        <w:rPr>
          <w:color w:val="0000CC"/>
          <w:spacing w:val="-1"/>
        </w:rPr>
        <w:t>。</w:t>
      </w:r>
      <w:r>
        <w:rPr>
          <w:spacing w:val="-1"/>
        </w:rPr>
        <w:t>在职工为本公司提供服务的会计期间，将根据设定提存计划计算的应缴存金额确认为负债，并计入当期损</w:t>
      </w:r>
      <w:r>
        <w:rPr>
          <w:spacing w:val="-63"/>
        </w:rPr>
        <w:t> </w:t>
      </w:r>
      <w:r>
        <w:rPr>
          <w:spacing w:val="-63"/>
        </w:rPr>
      </w:r>
      <w:r>
        <w:rPr/>
        <w:t>益或相关资产成本。</w:t>
      </w:r>
    </w:p>
    <w:p>
      <w:pPr>
        <w:pStyle w:val="Heading5"/>
        <w:spacing w:line="240" w:lineRule="auto"/>
        <w:ind w:left="574" w:right="0"/>
        <w:jc w:val="left"/>
      </w:pPr>
      <w:r>
        <w:rPr/>
        <w:t>本公司按照国家规定的标准定期缴付上述款项后，不再有其他的支付义务。</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left="154" w:right="0" w:firstLine="420"/>
        <w:jc w:val="left"/>
      </w:pPr>
      <w:r>
        <w:rPr>
          <w:spacing w:val="-1"/>
        </w:rPr>
        <w:t>辞退福利是指本公司在职工劳动合同到期之前解除与职工的劳动关系，或者为鼓励职工自愿接受裁减而给</w:t>
      </w:r>
      <w:r>
        <w:rPr>
          <w:w w:val="100"/>
        </w:rPr>
        <w:t> </w:t>
      </w:r>
      <w:r>
        <w:rPr/>
        <w:t>予职工的补偿，在发生当期计入当期损益。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40" w:lineRule="auto" w:before="0"/>
        <w:ind w:left="574" w:right="0"/>
        <w:jc w:val="left"/>
      </w:pPr>
      <w:r>
        <w:rPr/>
        <w:t>其他长期职工福利是指除短期薪酬、离职后福利、辞退福利之外的其他所有职工福利。</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0、预计负债" w:id="209"/>
      <w:bookmarkEnd w:id="209"/>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left="154" w:right="0"/>
        <w:jc w:val="left"/>
        <w:rPr>
          <w:b w:val="0"/>
          <w:bCs w:val="0"/>
        </w:rPr>
      </w:pPr>
      <w:bookmarkStart w:name="（1）预计负债的确认标准" w:id="210"/>
      <w:bookmarkEnd w:id="210"/>
      <w:r>
        <w:rPr>
          <w:b w:val="0"/>
          <w:bCs w:val="0"/>
        </w:rPr>
      </w:r>
      <w:r>
        <w:rPr/>
        <w:t>（</w:t>
      </w:r>
      <w:r>
        <w:rPr>
          <w:rFonts w:ascii="Times New Roman" w:hAnsi="Times New Roman" w:cs="Times New Roman" w:eastAsia="Times New Roman" w:hint="default"/>
        </w:rPr>
        <w:t>1</w:t>
      </w:r>
      <w:r>
        <w:rPr/>
        <w:t>）预计负债的确认标准</w:t>
      </w:r>
      <w:r>
        <w:rPr>
          <w:b w:val="0"/>
          <w:bCs w:val="0"/>
        </w:rPr>
      </w:r>
    </w:p>
    <w:p>
      <w:pPr>
        <w:spacing w:line="240" w:lineRule="auto" w:before="8"/>
        <w:rPr>
          <w:rFonts w:ascii="宋体" w:hAnsi="宋体" w:cs="宋体" w:eastAsia="宋体" w:hint="default"/>
          <w:b/>
          <w:bCs/>
          <w:sz w:val="25"/>
          <w:szCs w:val="25"/>
        </w:rPr>
      </w:pPr>
    </w:p>
    <w:p>
      <w:pPr>
        <w:pStyle w:val="Heading5"/>
        <w:spacing w:line="285" w:lineRule="auto" w:before="0"/>
        <w:ind w:left="574" w:right="1118"/>
        <w:jc w:val="left"/>
      </w:pPr>
      <w:r>
        <w:rPr>
          <w:spacing w:val="-1"/>
        </w:rPr>
        <w:t>与或有事项相关的义务同时满足下列条件时，本公司确认为预计负债：</w:t>
      </w:r>
      <w:r>
        <w:rPr>
          <w:spacing w:val="-77"/>
        </w:rPr>
        <w:t> </w:t>
      </w:r>
      <w:r>
        <w:rPr>
          <w:spacing w:val="-77"/>
        </w:rPr>
      </w:r>
      <w:r>
        <w:rPr>
          <w:rFonts w:ascii="宋体" w:hAnsi="宋体" w:cs="宋体" w:eastAsia="宋体" w:hint="default"/>
        </w:rPr>
        <w:t>1</w:t>
      </w:r>
      <w:r>
        <w:rPr/>
        <w:t>）该义务是本公司承担的现时义务；</w:t>
      </w:r>
    </w:p>
    <w:p>
      <w:pPr>
        <w:pStyle w:val="Heading5"/>
        <w:spacing w:line="240" w:lineRule="auto"/>
        <w:ind w:left="573" w:right="0"/>
        <w:jc w:val="left"/>
      </w:pPr>
      <w:r>
        <w:rPr>
          <w:rFonts w:ascii="宋体" w:hAnsi="宋体" w:cs="宋体" w:eastAsia="宋体" w:hint="default"/>
        </w:rPr>
        <w:t>2</w:t>
      </w:r>
      <w:r>
        <w:rPr/>
        <w:t>）履行该义务很可能导致经济利益流出本公司；</w:t>
      </w:r>
    </w:p>
    <w:p>
      <w:pPr>
        <w:pStyle w:val="Heading5"/>
        <w:spacing w:line="240" w:lineRule="auto" w:before="50"/>
        <w:ind w:left="573" w:right="0"/>
        <w:jc w:val="left"/>
      </w:pPr>
      <w:r>
        <w:rPr>
          <w:rFonts w:ascii="宋体" w:hAnsi="宋体" w:cs="宋体" w:eastAsia="宋体" w:hint="default"/>
        </w:rPr>
        <w:t>3</w:t>
      </w:r>
      <w:r>
        <w:rPr/>
        <w:t>）该义务的金额能够可靠地计量。</w:t>
      </w:r>
    </w:p>
    <w:p>
      <w:pPr>
        <w:spacing w:line="590" w:lineRule="atLeast" w:before="38"/>
        <w:ind w:left="573" w:right="2394" w:hanging="420"/>
        <w:jc w:val="left"/>
        <w:rPr>
          <w:rFonts w:ascii="宋体" w:hAnsi="宋体" w:cs="宋体" w:eastAsia="宋体" w:hint="default"/>
          <w:sz w:val="20"/>
          <w:szCs w:val="20"/>
        </w:rPr>
      </w:pPr>
      <w:bookmarkStart w:name="（2）预计负债的计量方法" w:id="211"/>
      <w:bookmarkEnd w:id="21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）预计负债的计量方法</w:t>
      </w:r>
      <w:r>
        <w:rPr>
          <w:rFonts w:ascii="宋体" w:hAnsi="宋体" w:cs="宋体" w:eastAsia="宋体" w:hint="default"/>
          <w:b/>
          <w:bCs/>
          <w:w w:val="99"/>
          <w:sz w:val="20"/>
          <w:szCs w:val="20"/>
        </w:rPr>
        <w:t> </w:t>
      </w:r>
      <w:r>
        <w:rPr>
          <w:rFonts w:ascii="宋体" w:hAnsi="宋体" w:cs="宋体" w:eastAsia="宋体" w:hint="default"/>
          <w:spacing w:val="-1"/>
          <w:sz w:val="20"/>
          <w:szCs w:val="20"/>
        </w:rPr>
        <w:t>本公司预计负债按履行相关现时义务所需的支出的最佳估计数进行初始计量。</w:t>
      </w:r>
    </w:p>
    <w:p>
      <w:pPr>
        <w:pStyle w:val="Heading5"/>
        <w:spacing w:line="285" w:lineRule="auto" w:before="50"/>
        <w:ind w:right="0" w:firstLine="420"/>
        <w:jc w:val="left"/>
      </w:pPr>
      <w:r>
        <w:rPr>
          <w:spacing w:val="-1"/>
        </w:rPr>
        <w:t>本公司在确定最佳估计数时，综合考虑与或有事项有关的风险、不确定性和货币时间价值等因素。对于货</w:t>
      </w:r>
      <w:r>
        <w:rPr>
          <w:w w:val="100"/>
        </w:rPr>
        <w:t> </w:t>
      </w:r>
      <w:r>
        <w:rPr/>
        <w:t>币时间价值影响重大的，通过对相关未来现金流出进行折现后确定最佳估计数。</w:t>
      </w:r>
    </w:p>
    <w:p>
      <w:pPr>
        <w:pStyle w:val="Heading5"/>
        <w:spacing w:line="285" w:lineRule="auto"/>
        <w:ind w:left="573" w:right="0"/>
        <w:jc w:val="left"/>
      </w:pPr>
      <w:r>
        <w:rPr/>
        <w:t>最佳估计数分别以下情况处理：</w:t>
      </w:r>
      <w:r>
        <w:rPr>
          <w:w w:val="100"/>
        </w:rPr>
        <w:t> </w:t>
      </w:r>
      <w:r>
        <w:rPr>
          <w:spacing w:val="-1"/>
        </w:rPr>
        <w:t>所需支出存在一个连续范围（或区间），且该范围内各种结果发生的可能性相同的，则最佳估计数按照该</w:t>
      </w:r>
    </w:p>
    <w:p>
      <w:pPr>
        <w:pStyle w:val="Heading5"/>
        <w:spacing w:line="285" w:lineRule="auto"/>
        <w:ind w:left="573" w:right="0" w:hanging="420"/>
        <w:jc w:val="left"/>
      </w:pPr>
      <w:r>
        <w:rPr/>
        <w:t>范围的中间值即上下限金额的平均数确定。</w:t>
      </w:r>
      <w:r>
        <w:rPr>
          <w:w w:val="100"/>
        </w:rPr>
        <w:t> </w:t>
      </w:r>
      <w:r>
        <w:rPr>
          <w:spacing w:val="-1"/>
        </w:rPr>
        <w:t>所需支出不存在一个连续范围（或区间），或虽然存在一个连续范围但该范围内各种结果发生的可能性不</w:t>
      </w:r>
    </w:p>
    <w:p>
      <w:pPr>
        <w:pStyle w:val="Heading5"/>
        <w:spacing w:line="285" w:lineRule="auto"/>
        <w:ind w:right="0"/>
        <w:jc w:val="left"/>
      </w:pPr>
      <w:r>
        <w:rPr>
          <w:spacing w:val="-1"/>
        </w:rPr>
        <w:t>相同的，如或有事项涉及单个项目的，则最佳估计数按照最可能发生金额确定；如或有事项涉及多个项目的，</w:t>
      </w:r>
      <w:r>
        <w:rPr>
          <w:spacing w:val="-63"/>
        </w:rPr>
        <w:t> </w:t>
      </w:r>
      <w:r>
        <w:rPr>
          <w:spacing w:val="-63"/>
        </w:rPr>
      </w:r>
      <w:r>
        <w:rPr/>
        <w:t>则最佳估计数按各种可能结果及相关概率计算确定。</w:t>
      </w:r>
    </w:p>
    <w:p>
      <w:pPr>
        <w:pStyle w:val="Heading5"/>
        <w:spacing w:line="285" w:lineRule="auto"/>
        <w:ind w:left="154" w:right="0" w:firstLine="420"/>
        <w:jc w:val="left"/>
      </w:pPr>
      <w:r>
        <w:rPr>
          <w:spacing w:val="-1"/>
        </w:rPr>
        <w:t>本公司清偿预计负债所需支出全部或部分预期由第三方补偿的，补偿金额在基本确定能够收到时，作为资</w:t>
      </w:r>
      <w:r>
        <w:rPr>
          <w:w w:val="100"/>
        </w:rPr>
        <w:t> </w:t>
      </w:r>
      <w:r>
        <w:rPr/>
        <w:t>产单独确认，确认的补偿金额不超过预计负债的账面价值。</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1、股份支付" w:id="212"/>
      <w:bookmarkEnd w:id="212"/>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left="154" w:right="0"/>
        <w:jc w:val="left"/>
        <w:rPr>
          <w:b w:val="0"/>
          <w:bCs w:val="0"/>
        </w:rPr>
      </w:pPr>
      <w:bookmarkStart w:name="（1）股份支付的种类" w:id="213"/>
      <w:bookmarkEnd w:id="213"/>
      <w:r>
        <w:rPr>
          <w:b w:val="0"/>
          <w:bCs w:val="0"/>
        </w:rPr>
      </w:r>
      <w:r>
        <w:rPr/>
        <w:t>（</w:t>
      </w:r>
      <w:r>
        <w:rPr>
          <w:rFonts w:ascii="Times New Roman" w:hAnsi="Times New Roman" w:cs="Times New Roman" w:eastAsia="Times New Roman" w:hint="default"/>
        </w:rPr>
        <w:t>1</w:t>
      </w:r>
      <w:r>
        <w:rPr/>
        <w:t>）股份支付的种类</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74" w:right="0"/>
        <w:jc w:val="left"/>
      </w:pPr>
      <w:r>
        <w:rPr/>
        <w:t>本公司的股份支付分为以权益结算的股份支付和以现金结算的股份支付。</w:t>
      </w:r>
    </w:p>
    <w:p>
      <w:pPr>
        <w:spacing w:line="240" w:lineRule="auto" w:before="0"/>
        <w:rPr>
          <w:rFonts w:ascii="宋体" w:hAnsi="宋体" w:cs="宋体" w:eastAsia="宋体" w:hint="default"/>
          <w:sz w:val="18"/>
          <w:szCs w:val="18"/>
        </w:rPr>
      </w:pPr>
    </w:p>
    <w:p>
      <w:pPr>
        <w:spacing w:line="530" w:lineRule="auto" w:before="126"/>
        <w:ind w:left="573" w:right="0" w:hanging="420"/>
        <w:jc w:val="left"/>
        <w:rPr>
          <w:rFonts w:ascii="宋体" w:hAnsi="宋体" w:cs="宋体" w:eastAsia="宋体" w:hint="default"/>
          <w:sz w:val="20"/>
          <w:szCs w:val="20"/>
        </w:rPr>
      </w:pPr>
      <w:bookmarkStart w:name="（2）权益工具公允价值的确定方法" w:id="214"/>
      <w:bookmarkEnd w:id="21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）权益工具公允价值的确定方法</w:t>
      </w:r>
      <w:r>
        <w:rPr>
          <w:rFonts w:ascii="宋体" w:hAnsi="宋体" w:cs="宋体" w:eastAsia="宋体" w:hint="default"/>
          <w:b/>
          <w:bCs/>
          <w:w w:val="99"/>
          <w:sz w:val="20"/>
          <w:szCs w:val="20"/>
        </w:rPr>
        <w:t> </w:t>
      </w:r>
      <w:r>
        <w:rPr>
          <w:rFonts w:ascii="宋体" w:hAnsi="宋体" w:cs="宋体" w:eastAsia="宋体" w:hint="default"/>
          <w:spacing w:val="-1"/>
          <w:sz w:val="20"/>
          <w:szCs w:val="20"/>
        </w:rPr>
        <w:t>对于授予的存在活跃市场的期权等权益工具，按照活跃市场中的报价确定其公允价值。对于授予的不存在</w:t>
      </w:r>
    </w:p>
    <w:p>
      <w:pPr>
        <w:spacing w:after="0" w:line="530" w:lineRule="auto"/>
        <w:jc w:val="left"/>
        <w:rPr>
          <w:rFonts w:ascii="宋体" w:hAnsi="宋体" w:cs="宋体" w:eastAsia="宋体" w:hint="default"/>
          <w:sz w:val="20"/>
          <w:szCs w:val="20"/>
        </w:rPr>
        <w:sectPr>
          <w:footerReference w:type="default" r:id="rId23"/>
          <w:pgSz w:w="11910" w:h="16840"/>
          <w:pgMar w:footer="979" w:header="747" w:top="1060" w:bottom="1160" w:left="980" w:right="0"/>
        </w:sectPr>
      </w:pPr>
    </w:p>
    <w:p>
      <w:pPr>
        <w:spacing w:line="240" w:lineRule="auto" w:before="1"/>
        <w:rPr>
          <w:rFonts w:ascii="宋体" w:hAnsi="宋体" w:cs="宋体" w:eastAsia="宋体" w:hint="default"/>
          <w:sz w:val="25"/>
          <w:szCs w:val="25"/>
        </w:rPr>
      </w:pPr>
    </w:p>
    <w:p>
      <w:pPr>
        <w:pStyle w:val="Heading5"/>
        <w:spacing w:line="271" w:lineRule="auto" w:before="38"/>
        <w:ind w:right="0"/>
        <w:jc w:val="left"/>
      </w:pPr>
      <w:r>
        <w:rPr>
          <w:spacing w:val="-1"/>
        </w:rPr>
        <w:t>活跃市场的期权等权益工具，采用期权定价模型等确定其公允价值，选用的期权定价模型考虑以下因素：（</w:t>
      </w:r>
      <w:r>
        <w:rPr>
          <w:rFonts w:ascii="Times New Roman" w:hAnsi="Times New Roman" w:cs="Times New Roman" w:eastAsia="Times New Roman" w:hint="default"/>
          <w:spacing w:val="-1"/>
        </w:rPr>
        <w:t>1</w:t>
      </w:r>
      <w:r>
        <w:rPr>
          <w:spacing w:val="-1"/>
        </w:rPr>
        <w:t>）</w:t>
      </w:r>
      <w:r>
        <w:rPr>
          <w:spacing w:val="-63"/>
        </w:rPr>
        <w:t> </w:t>
      </w:r>
      <w:r>
        <w:rPr/>
        <w:t>期权的行权价格；（</w:t>
      </w:r>
      <w:r>
        <w:rPr>
          <w:rFonts w:ascii="Times New Roman" w:hAnsi="Times New Roman" w:cs="Times New Roman" w:eastAsia="Times New Roman" w:hint="default"/>
        </w:rPr>
        <w:t>2</w:t>
      </w:r>
      <w:r>
        <w:rPr/>
        <w:t>）期权的有效期；（</w:t>
      </w:r>
      <w:r>
        <w:rPr>
          <w:rFonts w:ascii="Times New Roman" w:hAnsi="Times New Roman" w:cs="Times New Roman" w:eastAsia="Times New Roman" w:hint="default"/>
        </w:rPr>
        <w:t>3</w:t>
      </w:r>
      <w:r>
        <w:rPr/>
        <w:t>）标的股份的现行价格；（</w:t>
      </w:r>
      <w:r>
        <w:rPr>
          <w:rFonts w:ascii="Times New Roman" w:hAnsi="Times New Roman" w:cs="Times New Roman" w:eastAsia="Times New Roman" w:hint="default"/>
        </w:rPr>
        <w:t>4</w:t>
      </w:r>
      <w:r>
        <w:rPr/>
        <w:t>）股价预计波动率；（</w:t>
      </w:r>
      <w:r>
        <w:rPr>
          <w:rFonts w:ascii="Times New Roman" w:hAnsi="Times New Roman" w:cs="Times New Roman" w:eastAsia="Times New Roman" w:hint="default"/>
        </w:rPr>
        <w:t>5</w:t>
      </w:r>
      <w:r>
        <w:rPr/>
        <w:t>）股份的预计</w:t>
      </w:r>
      <w:r>
        <w:rPr>
          <w:w w:val="100"/>
        </w:rPr>
        <w:t> </w:t>
      </w:r>
      <w:r>
        <w:rPr/>
        <w:t>股利；（</w:t>
      </w:r>
      <w:r>
        <w:rPr>
          <w:rFonts w:ascii="Times New Roman" w:hAnsi="Times New Roman" w:cs="Times New Roman" w:eastAsia="Times New Roman" w:hint="default"/>
        </w:rPr>
        <w:t>6</w:t>
      </w:r>
      <w:r>
        <w:rPr/>
        <w:t>）期权有效期内的无风险利率。</w:t>
      </w:r>
    </w:p>
    <w:p>
      <w:pPr>
        <w:pStyle w:val="Heading5"/>
        <w:spacing w:line="285" w:lineRule="auto" w:before="6"/>
        <w:ind w:right="1148" w:firstLine="420"/>
        <w:jc w:val="both"/>
      </w:pPr>
      <w:r>
        <w:rPr>
          <w:spacing w:val="-1"/>
        </w:rPr>
        <w:t>在确定权益工具授予日的公允价值时，考虑股份支付协议规定的可行权条件中的市场条件和非可行权条件</w:t>
      </w:r>
      <w:r>
        <w:rPr>
          <w:w w:val="100"/>
        </w:rPr>
        <w:t> </w:t>
      </w:r>
      <w:r>
        <w:rPr>
          <w:spacing w:val="-1"/>
        </w:rPr>
        <w:t>的影响。股份支付存在非可行权条件的，只要职工或其他方满足了所有可行权条件中的非市场条件（如服务期</w:t>
      </w:r>
      <w:r>
        <w:rPr>
          <w:spacing w:val="-63"/>
        </w:rPr>
        <w:t> </w:t>
      </w:r>
      <w:r>
        <w:rPr>
          <w:spacing w:val="-63"/>
        </w:rPr>
      </w:r>
      <w:r>
        <w:rPr/>
        <w:t>限等），即确认已得到服务相对应的成本费用。</w:t>
      </w:r>
    </w:p>
    <w:p>
      <w:pPr>
        <w:spacing w:line="612" w:lineRule="exact" w:before="57"/>
        <w:ind w:left="574" w:right="0" w:hanging="420"/>
        <w:jc w:val="left"/>
        <w:rPr>
          <w:rFonts w:ascii="宋体" w:hAnsi="宋体" w:cs="宋体" w:eastAsia="宋体" w:hint="default"/>
          <w:sz w:val="20"/>
          <w:szCs w:val="20"/>
        </w:rPr>
      </w:pPr>
      <w:bookmarkStart w:name="（3）确定可行权权益工具最佳估计的依据" w:id="215"/>
      <w:bookmarkEnd w:id="21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）确定可行权权益工具最佳估计的依据</w:t>
      </w:r>
      <w:r>
        <w:rPr>
          <w:rFonts w:ascii="宋体" w:hAnsi="宋体" w:cs="宋体" w:eastAsia="宋体" w:hint="default"/>
          <w:b/>
          <w:bCs/>
          <w:w w:val="99"/>
          <w:sz w:val="20"/>
          <w:szCs w:val="20"/>
        </w:rPr>
        <w:t> </w:t>
      </w:r>
      <w:r>
        <w:rPr>
          <w:rFonts w:ascii="宋体" w:hAnsi="宋体" w:cs="宋体" w:eastAsia="宋体" w:hint="default"/>
          <w:spacing w:val="-1"/>
          <w:sz w:val="20"/>
          <w:szCs w:val="20"/>
        </w:rPr>
        <w:t>等待期内每个资产负债表日，根据最新取得的可行权职工人数变动等后续信息作出最佳估计，修正预计可</w:t>
      </w:r>
    </w:p>
    <w:p>
      <w:pPr>
        <w:pStyle w:val="Heading5"/>
        <w:spacing w:line="218" w:lineRule="exact" w:before="0"/>
        <w:ind w:left="154" w:right="0"/>
        <w:jc w:val="left"/>
      </w:pPr>
      <w:r>
        <w:rPr/>
        <w:t>行权的权益工具数量。在可行权日，最终预计可行权权益工具的数量与实际可行权数量一致。</w:t>
      </w:r>
    </w:p>
    <w:p>
      <w:pPr>
        <w:spacing w:line="590" w:lineRule="atLeast" w:before="38"/>
        <w:ind w:left="574" w:right="0" w:hanging="420"/>
        <w:jc w:val="left"/>
        <w:rPr>
          <w:rFonts w:ascii="宋体" w:hAnsi="宋体" w:cs="宋体" w:eastAsia="宋体" w:hint="default"/>
          <w:sz w:val="20"/>
          <w:szCs w:val="20"/>
        </w:rPr>
      </w:pPr>
      <w:bookmarkStart w:name="（4）实施、修改、终止股份支付计划的相关会计处理" w:id="216"/>
      <w:bookmarkEnd w:id="21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）实施、修改、终止股份支付计划的相关会计处理</w:t>
      </w:r>
      <w:r>
        <w:rPr>
          <w:rFonts w:ascii="宋体" w:hAnsi="宋体" w:cs="宋体" w:eastAsia="宋体" w:hint="default"/>
          <w:b/>
          <w:bCs/>
          <w:w w:val="99"/>
          <w:sz w:val="20"/>
          <w:szCs w:val="20"/>
        </w:rPr>
        <w:t> </w:t>
      </w:r>
      <w:r>
        <w:rPr>
          <w:rFonts w:ascii="宋体" w:hAnsi="宋体" w:cs="宋体" w:eastAsia="宋体" w:hint="default"/>
          <w:spacing w:val="-1"/>
          <w:sz w:val="20"/>
          <w:szCs w:val="20"/>
        </w:rPr>
        <w:t>以权益结算的股份支付，按授予职工权益工具的公允价值计量。授予后立即可行权的，在授予日按照权益</w:t>
      </w:r>
    </w:p>
    <w:p>
      <w:pPr>
        <w:pStyle w:val="Heading5"/>
        <w:spacing w:line="285" w:lineRule="auto" w:before="50"/>
        <w:ind w:left="154" w:right="1168"/>
        <w:jc w:val="both"/>
      </w:pPr>
      <w:r>
        <w:rPr>
          <w:spacing w:val="-1"/>
        </w:rPr>
        <w:t>工具的公允价值计入相关成本或费用，相应增加资本公积。在完成等待期内的服务或达到规定业绩条件才可行</w:t>
      </w:r>
      <w:r>
        <w:rPr>
          <w:spacing w:val="-63"/>
        </w:rPr>
        <w:t> </w:t>
      </w:r>
      <w:r>
        <w:rPr>
          <w:spacing w:val="-63"/>
        </w:rPr>
      </w:r>
      <w:r>
        <w:rPr>
          <w:spacing w:val="-1"/>
        </w:rPr>
        <w:t>权的，在等待期内的每个资产负债表日，以对可行权权益工具数量的最佳估计为基础，按照权益工具授予日的</w:t>
      </w:r>
      <w:r>
        <w:rPr>
          <w:spacing w:val="-63"/>
        </w:rPr>
        <w:t> </w:t>
      </w:r>
      <w:r>
        <w:rPr>
          <w:spacing w:val="-63"/>
        </w:rPr>
      </w:r>
      <w:r>
        <w:rPr>
          <w:spacing w:val="-1"/>
        </w:rPr>
        <w:t>公允价值，将当期取得的服务计入相关成本或费用和资本公积。在可行权日之后不再对已确认的相关成本或费</w:t>
      </w:r>
      <w:r>
        <w:rPr>
          <w:spacing w:val="-63"/>
        </w:rPr>
        <w:t> </w:t>
      </w:r>
      <w:r>
        <w:rPr>
          <w:spacing w:val="-63"/>
        </w:rPr>
      </w:r>
      <w:r>
        <w:rPr/>
        <w:t>用和所有者权益总额进行调整。</w:t>
      </w:r>
    </w:p>
    <w:p>
      <w:pPr>
        <w:pStyle w:val="Heading5"/>
        <w:spacing w:line="285" w:lineRule="auto"/>
        <w:ind w:left="154" w:right="1033" w:firstLine="420"/>
        <w:jc w:val="left"/>
      </w:pPr>
      <w:r>
        <w:rPr>
          <w:spacing w:val="-3"/>
          <w:w w:val="100"/>
        </w:rPr>
        <w:t>以现金结算的股份支付，按照本公司承担的以股份或其他权益工具为基础计算确定的负债的公允价值计量。</w:t>
      </w:r>
      <w:r>
        <w:rPr>
          <w:w w:val="100"/>
        </w:rPr>
        <w:t> </w:t>
      </w:r>
      <w:r>
        <w:rPr/>
        <w:t>授予后立即可行权的，在授予日以本公司承担负债的公允价值计入相关成本或费用，相应增加负债。在完成等</w:t>
      </w:r>
      <w:r>
        <w:rPr>
          <w:w w:val="100"/>
        </w:rPr>
        <w:t> </w:t>
      </w:r>
      <w:r>
        <w:rPr/>
        <w:t>待期内的服务或达到规定业绩条件以后才可行权的以现金结算的股份支付，在等待期内的每个资产负债表日，</w:t>
      </w:r>
      <w:r>
        <w:rPr>
          <w:w w:val="100"/>
        </w:rPr>
        <w:t> </w:t>
      </w:r>
      <w:r>
        <w:rPr/>
        <w:t>以对可行权情况的最佳估计为基础，按照本公司承担负债的公允价值金额，将当期取得的服务计入成本或费用</w:t>
      </w:r>
      <w:r>
        <w:rPr>
          <w:w w:val="100"/>
        </w:rPr>
        <w:t> </w:t>
      </w:r>
      <w:r>
        <w:rPr/>
        <w:t>和相应的负债。在相关负债结算前的每个资产负债表日以及结算日，对负债的公允价值重新计量，其变动计入</w:t>
      </w:r>
      <w:r>
        <w:rPr>
          <w:w w:val="100"/>
        </w:rPr>
        <w:t> </w:t>
      </w:r>
      <w:r>
        <w:rPr/>
        <w:t>当期损益。</w:t>
      </w:r>
    </w:p>
    <w:p>
      <w:pPr>
        <w:spacing w:line="612" w:lineRule="exact" w:before="57"/>
        <w:ind w:left="573" w:right="0" w:hanging="420"/>
        <w:jc w:val="left"/>
        <w:rPr>
          <w:rFonts w:ascii="宋体" w:hAnsi="宋体" w:cs="宋体" w:eastAsia="宋体" w:hint="default"/>
          <w:sz w:val="20"/>
          <w:szCs w:val="20"/>
        </w:rPr>
      </w:pPr>
      <w:bookmarkStart w:name="（5）对于存在修改条款和条件的情况的，本期的修改情况及相关会计处理" w:id="217"/>
      <w:bookmarkEnd w:id="21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）对于存在修改条款和条件的情况的，本期的修改情况及相关会计处理</w:t>
      </w:r>
      <w:r>
        <w:rPr>
          <w:rFonts w:ascii="宋体" w:hAnsi="宋体" w:cs="宋体" w:eastAsia="宋体" w:hint="default"/>
          <w:b/>
          <w:bCs/>
          <w:w w:val="99"/>
          <w:sz w:val="20"/>
          <w:szCs w:val="20"/>
        </w:rPr>
        <w:t> </w:t>
      </w:r>
      <w:r>
        <w:rPr>
          <w:rFonts w:ascii="宋体" w:hAnsi="宋体" w:cs="宋体" w:eastAsia="宋体" w:hint="default"/>
          <w:spacing w:val="-1"/>
          <w:sz w:val="20"/>
          <w:szCs w:val="20"/>
        </w:rPr>
        <w:t>若在等待期内取消了授予的权益工具，本公司对取消所授予的权益性工具作为加速行权处理，将剩余等待</w:t>
      </w:r>
    </w:p>
    <w:p>
      <w:pPr>
        <w:pStyle w:val="Heading5"/>
        <w:spacing w:line="218" w:lineRule="exact" w:before="0"/>
        <w:ind w:right="0"/>
        <w:jc w:val="left"/>
      </w:pPr>
      <w:r>
        <w:rPr/>
        <w:t>期内应确认的金额立即计入当期损益，同时确认资本公积。职工或其他方能够选择满足非可行权条件但在等待</w:t>
      </w:r>
    </w:p>
    <w:p>
      <w:pPr>
        <w:pStyle w:val="Heading5"/>
        <w:spacing w:line="240" w:lineRule="auto" w:before="50"/>
        <w:ind w:right="0"/>
        <w:jc w:val="left"/>
      </w:pPr>
      <w:r>
        <w:rPr/>
        <w:t>期内未满足的，本公司将其作为授予权益工具的取消处理。</w:t>
      </w:r>
    </w:p>
    <w:p>
      <w:pPr>
        <w:spacing w:line="240" w:lineRule="auto" w:before="2"/>
        <w:rPr>
          <w:rFonts w:ascii="宋体" w:hAnsi="宋体" w:cs="宋体" w:eastAsia="宋体" w:hint="default"/>
          <w:sz w:val="26"/>
          <w:szCs w:val="26"/>
        </w:rPr>
      </w:pPr>
    </w:p>
    <w:p>
      <w:pPr>
        <w:pStyle w:val="Heading3"/>
        <w:spacing w:line="240" w:lineRule="auto"/>
        <w:ind w:left="153" w:right="0"/>
        <w:jc w:val="left"/>
        <w:rPr>
          <w:b w:val="0"/>
          <w:bCs w:val="0"/>
        </w:rPr>
      </w:pPr>
      <w:bookmarkStart w:name="22、优先股、永续债等其他金融工具" w:id="218"/>
      <w:bookmarkEnd w:id="218"/>
      <w:r>
        <w:rPr>
          <w:b w:val="0"/>
          <w:bCs w:val="0"/>
        </w:rPr>
      </w:r>
      <w:r>
        <w:rPr>
          <w:rFonts w:ascii="Times New Roman" w:hAnsi="Times New Roman" w:cs="Times New Roman" w:eastAsia="Times New Roman" w:hint="default"/>
        </w:rPr>
        <w:t>22</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3" w:firstLine="420"/>
        <w:jc w:val="left"/>
      </w:pPr>
      <w:r>
        <w:rPr/>
        <w:t>本公司按照金融工具准则的规定，根据所发行优先股、永续债等金融工具的合同条款及其所反映的经济实质而非仅以 法律形式，结合金融负债和权益工具的定义，在初始确认时将该金融工具或其组成部分分类为金融负债或权益工具：</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1）符合下列条件之一，将发行的金融工具分类为金融负债：" w:id="219"/>
      <w:bookmarkEnd w:id="219"/>
      <w:r>
        <w:rPr>
          <w:b w:val="0"/>
          <w:bCs w:val="0"/>
        </w:rPr>
      </w:r>
      <w:r>
        <w:rPr/>
        <w:t>（</w:t>
      </w:r>
      <w:r>
        <w:rPr>
          <w:rFonts w:ascii="Times New Roman" w:hAnsi="Times New Roman" w:cs="Times New Roman" w:eastAsia="Times New Roman" w:hint="default"/>
        </w:rPr>
        <w:t>1</w:t>
      </w:r>
      <w:r>
        <w:rPr/>
        <w:t>）符合下列条件之一，将发行的金融工具分类为金融负债：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4" w:right="0"/>
        <w:jc w:val="left"/>
      </w:pPr>
      <w:r>
        <w:rPr>
          <w:rFonts w:ascii="Times New Roman" w:hAnsi="Times New Roman" w:cs="Times New Roman" w:eastAsia="Times New Roman" w:hint="default"/>
        </w:rPr>
        <w:t>1</w:t>
      </w:r>
      <w:r>
        <w:rPr/>
        <w:t>）向其他方交付现金或其他金融资产的合同义务；</w:t>
      </w:r>
    </w:p>
    <w:p>
      <w:pPr>
        <w:pStyle w:val="BodyText"/>
        <w:spacing w:line="240" w:lineRule="auto" w:before="63"/>
        <w:ind w:left="574" w:right="0"/>
        <w:jc w:val="left"/>
      </w:pPr>
      <w:r>
        <w:rPr>
          <w:rFonts w:ascii="Times New Roman" w:hAnsi="Times New Roman" w:cs="Times New Roman" w:eastAsia="Times New Roman" w:hint="default"/>
        </w:rPr>
        <w:t>2</w:t>
      </w:r>
      <w:r>
        <w:rPr/>
        <w:t>）在潜在不利条件下，与其他方交换金融资产或金融负债的合同义务；</w:t>
      </w:r>
    </w:p>
    <w:p>
      <w:pPr>
        <w:pStyle w:val="BodyText"/>
        <w:spacing w:line="240" w:lineRule="auto" w:before="63"/>
        <w:ind w:left="573" w:right="0"/>
        <w:jc w:val="left"/>
      </w:pPr>
      <w:r>
        <w:rPr>
          <w:rFonts w:ascii="Times New Roman" w:hAnsi="Times New Roman" w:cs="Times New Roman" w:eastAsia="Times New Roman" w:hint="default"/>
          <w:spacing w:val="-3"/>
        </w:rPr>
        <w:t>3</w:t>
      </w:r>
      <w:r>
        <w:rPr>
          <w:spacing w:val="-3"/>
        </w:rPr>
        <w:t>）将来须用或可用企业自身权益工具进行结算的非衍生工具合同，且企业根据该合同将交付可变数量的自身权益工具；</w:t>
      </w:r>
    </w:p>
    <w:p>
      <w:pPr>
        <w:pStyle w:val="BodyText"/>
        <w:spacing w:line="300" w:lineRule="auto" w:before="63"/>
        <w:ind w:right="0" w:firstLine="420"/>
        <w:jc w:val="left"/>
      </w:pPr>
      <w:r>
        <w:rPr>
          <w:rFonts w:ascii="Times New Roman" w:hAnsi="Times New Roman" w:cs="Times New Roman" w:eastAsia="Times New Roman" w:hint="default"/>
          <w:spacing w:val="-2"/>
        </w:rPr>
        <w:t>4</w:t>
      </w:r>
      <w:r>
        <w:rPr>
          <w:spacing w:val="-2"/>
        </w:rPr>
        <w:t>）将来须用或可用企业自身权益工具进行结算的衍生工具合同，但以固定数量的自身权益工具交换固定金额的现金或</w:t>
      </w:r>
      <w:r>
        <w:rPr/>
        <w:t> 其他金融资产的衍生工具合同除外。</w:t>
      </w:r>
    </w:p>
    <w:p>
      <w:pPr>
        <w:spacing w:after="0" w:line="300" w:lineRule="auto"/>
        <w:jc w:val="left"/>
        <w:sectPr>
          <w:footerReference w:type="default" r:id="rId24"/>
          <w:pgSz w:w="11910" w:h="16840"/>
          <w:pgMar w:footer="979" w:header="747" w:top="1060" w:bottom="1160" w:left="980" w:right="0"/>
          <w:pgNumType w:start="101"/>
        </w:sectPr>
      </w:pPr>
    </w:p>
    <w:p>
      <w:pPr>
        <w:spacing w:line="240" w:lineRule="auto" w:before="3"/>
        <w:rPr>
          <w:rFonts w:ascii="宋体" w:hAnsi="宋体" w:cs="宋体" w:eastAsia="宋体" w:hint="default"/>
          <w:sz w:val="25"/>
          <w:szCs w:val="25"/>
        </w:rPr>
      </w:pPr>
    </w:p>
    <w:p>
      <w:pPr>
        <w:pStyle w:val="Heading4"/>
        <w:spacing w:line="240" w:lineRule="auto" w:before="38"/>
        <w:ind w:right="0"/>
        <w:jc w:val="left"/>
        <w:rPr>
          <w:b w:val="0"/>
          <w:bCs w:val="0"/>
        </w:rPr>
      </w:pPr>
      <w:bookmarkStart w:name="（2）同时满足下列条件的，将发行的金融工具分类为权益工具：" w:id="220"/>
      <w:bookmarkEnd w:id="220"/>
      <w:r>
        <w:rPr>
          <w:b w:val="0"/>
          <w:bCs w:val="0"/>
        </w:rPr>
      </w:r>
      <w:r>
        <w:rPr/>
        <w:t>（</w:t>
      </w:r>
      <w:r>
        <w:rPr>
          <w:rFonts w:ascii="Times New Roman" w:hAnsi="Times New Roman" w:cs="Times New Roman" w:eastAsia="Times New Roman" w:hint="default"/>
        </w:rPr>
        <w:t>2</w:t>
      </w:r>
      <w:r>
        <w:rPr/>
        <w:t>）同时满足下列条件的，将发行的金融工具分类为权益工具：</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132" w:firstLine="420"/>
        <w:jc w:val="both"/>
      </w:pPr>
      <w:r>
        <w:rPr>
          <w:rFonts w:ascii="Times New Roman" w:hAnsi="Times New Roman" w:cs="Times New Roman" w:eastAsia="Times New Roman" w:hint="default"/>
          <w:spacing w:val="-2"/>
        </w:rPr>
        <w:t>1</w:t>
      </w:r>
      <w:r>
        <w:rPr>
          <w:spacing w:val="-2"/>
        </w:rPr>
        <w:t>）该金融工具不包括交付现金或其他金融资产给其他方，或在潜在不利条件下与其他方交换金融资产或金融负债的合</w:t>
      </w:r>
      <w:r>
        <w:rPr/>
        <w:t> 同义务；</w:t>
      </w:r>
    </w:p>
    <w:p>
      <w:pPr>
        <w:pStyle w:val="BodyText"/>
        <w:spacing w:line="316" w:lineRule="auto" w:before="32"/>
        <w:ind w:right="1130" w:firstLine="420"/>
        <w:jc w:val="both"/>
      </w:pPr>
      <w:r>
        <w:rPr>
          <w:rFonts w:ascii="宋体" w:hAnsi="宋体" w:cs="宋体" w:eastAsia="宋体" w:hint="default"/>
          <w:spacing w:val="-1"/>
        </w:rPr>
        <w:t>2</w:t>
      </w:r>
      <w:r>
        <w:rPr>
          <w:spacing w:val="-1"/>
        </w:rPr>
        <w:t>）将来须用或可用企业自身权益工具结算该金融工具的，如该金融工具为非衍生工具，不包括交付可变数量的自身权</w:t>
      </w:r>
      <w:r>
        <w:rPr/>
        <w:t> </w:t>
      </w:r>
      <w:r>
        <w:rPr>
          <w:spacing w:val="-2"/>
        </w:rPr>
        <w:t>益工具进行结算的合同义务；如为衍生工具，企业只能通过以固定数量的自身权益工具交换固定金额的现金或其他金融资产</w:t>
      </w:r>
      <w:r>
        <w:rPr>
          <w:spacing w:val="-64"/>
        </w:rPr>
        <w:t> </w:t>
      </w:r>
      <w:r>
        <w:rPr>
          <w:spacing w:val="-64"/>
        </w:rPr>
      </w:r>
      <w:r>
        <w:rPr/>
        <w:t>结算该金融工具。</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3）会计处理方法" w:id="221"/>
      <w:bookmarkEnd w:id="221"/>
      <w:r>
        <w:rPr>
          <w:b w:val="0"/>
          <w:bCs w:val="0"/>
        </w:rPr>
      </w:r>
      <w:r>
        <w:rPr/>
        <w:t>（</w:t>
      </w:r>
      <w:r>
        <w:rPr>
          <w:rFonts w:ascii="Times New Roman" w:hAnsi="Times New Roman" w:cs="Times New Roman" w:eastAsia="Times New Roman" w:hint="default"/>
        </w:rPr>
        <w:t>3</w:t>
      </w:r>
      <w:r>
        <w:rPr/>
        <w:t>）会计处理方法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69" w:firstLine="420"/>
        <w:jc w:val="both"/>
      </w:pPr>
      <w:r>
        <w:rPr/>
        <w:t>对于归类为权益工具的金融工具，其利息支出或股利分配都应当作为发行企业的利润分配，其回购、注销等作为权益 的变动处理，手续费、佣金等交易费用从权益中扣除；</w:t>
      </w:r>
    </w:p>
    <w:p>
      <w:pPr>
        <w:pStyle w:val="BodyText"/>
        <w:spacing w:line="316" w:lineRule="auto" w:before="19"/>
        <w:ind w:right="1170" w:firstLine="420"/>
        <w:jc w:val="both"/>
      </w:pPr>
      <w:r>
        <w:rPr/>
        <w:t>对于归类为金融负债的金融工具，其利息支出或股利分配原则上按照借款费用进行处理，其回购或赎回产生的利得或 损失等计入当期损益，手续费、佣金等交易费用计入所发行工具的初始计量金额。</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3、收入" w:id="222"/>
      <w:bookmarkEnd w:id="222"/>
      <w:r>
        <w:rPr>
          <w:b w:val="0"/>
          <w:bCs w:val="0"/>
        </w:rPr>
      </w:r>
      <w:r>
        <w:rPr>
          <w:rFonts w:ascii="Times New Roman" w:hAnsi="Times New Roman" w:cs="Times New Roman" w:eastAsia="Times New Roman" w:hint="default"/>
        </w:rPr>
        <w:t>23</w:t>
      </w:r>
      <w:r>
        <w:rPr/>
        <w:t>、收入</w:t>
      </w:r>
      <w:r>
        <w:rPr>
          <w:b w:val="0"/>
          <w:bCs w:val="0"/>
        </w:rPr>
      </w:r>
    </w:p>
    <w:p>
      <w:pPr>
        <w:spacing w:line="590" w:lineRule="atLeast" w:before="18"/>
        <w:ind w:left="574" w:right="0" w:hanging="420"/>
        <w:jc w:val="left"/>
        <w:rPr>
          <w:rFonts w:ascii="宋体" w:hAnsi="宋体" w:cs="宋体" w:eastAsia="宋体" w:hint="default"/>
          <w:sz w:val="20"/>
          <w:szCs w:val="20"/>
        </w:rPr>
      </w:pPr>
      <w:bookmarkStart w:name="（1）销售商品收入确认时间的具体判断标准" w:id="223"/>
      <w:bookmarkEnd w:id="22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）销售商品收入确认时间的具体判断标准</w:t>
      </w:r>
      <w:r>
        <w:rPr>
          <w:rFonts w:ascii="宋体" w:hAnsi="宋体" w:cs="宋体" w:eastAsia="宋体" w:hint="default"/>
          <w:b/>
          <w:bCs/>
          <w:w w:val="99"/>
          <w:sz w:val="20"/>
          <w:szCs w:val="20"/>
        </w:rPr>
        <w:t> </w:t>
      </w:r>
      <w:r>
        <w:rPr>
          <w:rFonts w:ascii="宋体" w:hAnsi="宋体" w:cs="宋体" w:eastAsia="宋体" w:hint="default"/>
          <w:spacing w:val="-1"/>
          <w:sz w:val="20"/>
          <w:szCs w:val="20"/>
        </w:rPr>
        <w:t>本公司销售的商品在同时满足下列条件时，按从购货方已收或应收的合同或协议价款的金额确认销售商品</w:t>
      </w:r>
    </w:p>
    <w:p>
      <w:pPr>
        <w:pStyle w:val="Heading5"/>
        <w:spacing w:line="240" w:lineRule="auto" w:before="50"/>
        <w:ind w:left="154" w:right="0"/>
        <w:jc w:val="left"/>
      </w:pPr>
      <w:r>
        <w:rPr/>
        <w:t>收入：</w:t>
      </w:r>
    </w:p>
    <w:p>
      <w:pPr>
        <w:pStyle w:val="Heading5"/>
        <w:spacing w:line="240" w:lineRule="auto" w:before="50"/>
        <w:ind w:left="574" w:right="0"/>
        <w:jc w:val="left"/>
      </w:pPr>
      <w:r>
        <w:rPr>
          <w:rFonts w:ascii="Times New Roman" w:hAnsi="Times New Roman" w:cs="Times New Roman" w:eastAsia="Times New Roman" w:hint="default"/>
        </w:rPr>
        <w:t>1</w:t>
      </w:r>
      <w:r>
        <w:rPr/>
        <w:t>）已将商品所有权上的主要风险和报酬转移给购货方；</w:t>
      </w:r>
    </w:p>
    <w:p>
      <w:pPr>
        <w:pStyle w:val="Heading5"/>
        <w:spacing w:line="240" w:lineRule="auto" w:before="35"/>
        <w:ind w:left="574" w:right="0"/>
        <w:jc w:val="left"/>
      </w:pPr>
      <w:r>
        <w:rPr>
          <w:rFonts w:ascii="Times New Roman" w:hAnsi="Times New Roman" w:cs="Times New Roman" w:eastAsia="Times New Roman" w:hint="default"/>
        </w:rPr>
        <w:t>2</w:t>
      </w:r>
      <w:r>
        <w:rPr/>
        <w:t>）既没有保留通常与所有权相联系的继续管理权，也没有对已售出的商品实施有效控制；</w:t>
      </w:r>
    </w:p>
    <w:p>
      <w:pPr>
        <w:pStyle w:val="Heading5"/>
        <w:spacing w:line="240" w:lineRule="auto" w:before="35"/>
        <w:ind w:left="574" w:right="0"/>
        <w:jc w:val="left"/>
      </w:pPr>
      <w:r>
        <w:rPr>
          <w:rFonts w:ascii="Times New Roman" w:hAnsi="Times New Roman" w:cs="Times New Roman" w:eastAsia="Times New Roman" w:hint="default"/>
        </w:rPr>
        <w:t>3</w:t>
      </w:r>
      <w:r>
        <w:rPr/>
        <w:t>）收入的金额能够可靠地计量；</w:t>
      </w:r>
    </w:p>
    <w:p>
      <w:pPr>
        <w:pStyle w:val="Heading5"/>
        <w:spacing w:line="240" w:lineRule="auto" w:before="35"/>
        <w:ind w:left="574" w:right="0"/>
        <w:jc w:val="left"/>
      </w:pPr>
      <w:r>
        <w:rPr>
          <w:rFonts w:ascii="Times New Roman" w:hAnsi="Times New Roman" w:cs="Times New Roman" w:eastAsia="Times New Roman" w:hint="default"/>
        </w:rPr>
        <w:t>4</w:t>
      </w:r>
      <w:r>
        <w:rPr/>
        <w:t>）相关的经济利益很可能流入企业；</w:t>
      </w:r>
    </w:p>
    <w:p>
      <w:pPr>
        <w:pStyle w:val="Heading5"/>
        <w:spacing w:line="271" w:lineRule="auto" w:before="35"/>
        <w:ind w:left="154" w:right="1131" w:firstLine="420"/>
        <w:jc w:val="both"/>
      </w:pPr>
      <w:r>
        <w:rPr>
          <w:rFonts w:ascii="Times New Roman" w:hAnsi="Times New Roman" w:cs="Times New Roman" w:eastAsia="Times New Roman" w:hint="default"/>
          <w:spacing w:val="-3"/>
        </w:rPr>
        <w:t>5</w:t>
      </w:r>
      <w:r>
        <w:rPr>
          <w:spacing w:val="-3"/>
        </w:rPr>
        <w:t>）相关的已发生或将发生的成本能够可靠地计量。合同或协议价款的收取采用递延方式，实质上具有融资</w:t>
      </w:r>
      <w:r>
        <w:rPr>
          <w:w w:val="100"/>
        </w:rPr>
        <w:t> </w:t>
      </w:r>
      <w:r>
        <w:rPr/>
        <w:t>性质的，按照应收的合同或协议价款的公允价值确定销售商品收入金额。</w:t>
      </w:r>
    </w:p>
    <w:p>
      <w:pPr>
        <w:pStyle w:val="Heading5"/>
        <w:spacing w:line="276" w:lineRule="auto" w:before="24"/>
        <w:ind w:left="154" w:right="1132" w:firstLine="420"/>
        <w:jc w:val="both"/>
      </w:pPr>
      <w:r>
        <w:rPr>
          <w:spacing w:val="-1"/>
        </w:rPr>
        <w:t>本公司经营增值电信业务，包括增值通信服务、企业通信服务、海外互联网综合服务及其他。增值通信服</w:t>
      </w:r>
      <w:r>
        <w:rPr>
          <w:w w:val="100"/>
        </w:rPr>
        <w:t> </w:t>
      </w:r>
      <w:r>
        <w:rPr/>
        <w:t>务包括</w:t>
      </w:r>
      <w:r>
        <w:rPr>
          <w:rFonts w:ascii="Times New Roman" w:hAnsi="Times New Roman" w:cs="Times New Roman" w:eastAsia="Times New Roman" w:hint="default"/>
        </w:rPr>
        <w:t>96446IP</w:t>
      </w:r>
      <w:r>
        <w:rPr/>
        <w:t>长途转售业务、</w:t>
      </w:r>
      <w:r>
        <w:rPr>
          <w:rFonts w:ascii="Times New Roman" w:hAnsi="Times New Roman" w:cs="Times New Roman" w:eastAsia="Times New Roman" w:hint="default"/>
        </w:rPr>
        <w:t>95050</w:t>
      </w:r>
      <w:r>
        <w:rPr/>
        <w:t>多方通话业务、</w:t>
      </w:r>
      <w:r>
        <w:rPr>
          <w:rFonts w:ascii="Times New Roman" w:hAnsi="Times New Roman" w:cs="Times New Roman" w:eastAsia="Times New Roman" w:hint="default"/>
        </w:rPr>
        <w:t>VPN</w:t>
      </w:r>
      <w:r>
        <w:rPr/>
        <w:t>业务；企业通信服务包括个人邮箱、企业邮件、云通</w:t>
      </w:r>
      <w:r>
        <w:rPr>
          <w:w w:val="100"/>
        </w:rPr>
        <w:t> </w:t>
      </w:r>
      <w:r>
        <w:rPr>
          <w:spacing w:val="-3"/>
        </w:rPr>
        <w:t>信、企业会议及相关技术服务；海外互联网综合服务包括网络电话（</w:t>
      </w:r>
      <w:r>
        <w:rPr>
          <w:rFonts w:ascii="Times New Roman" w:hAnsi="Times New Roman" w:cs="Times New Roman" w:eastAsia="Times New Roman" w:hint="default"/>
          <w:spacing w:val="-3"/>
        </w:rPr>
        <w:t>VOIP</w:t>
      </w:r>
      <w:r>
        <w:rPr>
          <w:spacing w:val="-3"/>
        </w:rPr>
        <w:t>）业务、网络电视（</w:t>
      </w:r>
      <w:r>
        <w:rPr>
          <w:rFonts w:ascii="Times New Roman" w:hAnsi="Times New Roman" w:cs="Times New Roman" w:eastAsia="Times New Roman" w:hint="default"/>
          <w:spacing w:val="-3"/>
        </w:rPr>
        <w:t>IPTV</w:t>
      </w:r>
      <w:r>
        <w:rPr>
          <w:spacing w:val="-3"/>
        </w:rPr>
        <w:t>）业务；其</w:t>
      </w:r>
      <w:r>
        <w:rPr>
          <w:spacing w:val="-32"/>
        </w:rPr>
        <w:t> </w:t>
      </w:r>
      <w:r>
        <w:rPr>
          <w:spacing w:val="-32"/>
        </w:rPr>
      </w:r>
      <w:r>
        <w:rPr/>
        <w:t>他包括立体宽带、</w:t>
      </w:r>
      <w:r>
        <w:rPr>
          <w:rFonts w:ascii="Times New Roman" w:hAnsi="Times New Roman" w:cs="Times New Roman" w:eastAsia="Times New Roman" w:hint="default"/>
        </w:rPr>
        <w:t>IDC</w:t>
      </w:r>
      <w:r>
        <w:rPr/>
        <w:t>（服务器托管及专线接入）等；另有让渡资产使用权及商品销售业务。具体如下：</w:t>
      </w:r>
    </w:p>
    <w:p>
      <w:pPr>
        <w:pStyle w:val="Heading5"/>
        <w:spacing w:line="240" w:lineRule="auto" w:before="2"/>
        <w:ind w:left="574" w:right="0"/>
        <w:jc w:val="left"/>
      </w:pPr>
      <w:r>
        <w:rPr/>
        <w:t>①增值通信服务</w:t>
      </w:r>
    </w:p>
    <w:p>
      <w:pPr>
        <w:pStyle w:val="Heading5"/>
        <w:spacing w:line="280" w:lineRule="auto" w:before="50"/>
        <w:ind w:left="154" w:right="1131" w:firstLine="581"/>
        <w:jc w:val="both"/>
      </w:pPr>
      <w:r>
        <w:rPr>
          <w:rFonts w:ascii="Times New Roman" w:hAnsi="Times New Roman" w:cs="Times New Roman" w:eastAsia="Times New Roman" w:hint="default"/>
          <w:spacing w:val="-2"/>
        </w:rPr>
        <w:t>96446IP</w:t>
      </w:r>
      <w:r>
        <w:rPr>
          <w:spacing w:val="-2"/>
        </w:rPr>
        <w:t>长途转售业务系委托合作基础运营商代收话费，采用权责发生制作账务处理。每月终了，公司根</w:t>
      </w:r>
      <w:r>
        <w:rPr>
          <w:w w:val="100"/>
        </w:rPr>
        <w:t> </w:t>
      </w:r>
      <w:r>
        <w:rPr/>
        <w:t>据自身计费系统反映的当期已经发生的业务量，在与合作基础运营商营帐数据核对确认后，根据收款的经验数</w:t>
      </w:r>
      <w:r>
        <w:rPr>
          <w:w w:val="100"/>
        </w:rPr>
        <w:t> </w:t>
      </w:r>
      <w:r>
        <w:rPr/>
        <w:t>据估计回款率，将估计能够回款的金额确认为当期收入，在实际收到合作基础运营商款项时再对已确认收入金</w:t>
      </w:r>
      <w:r>
        <w:rPr>
          <w:w w:val="100"/>
        </w:rPr>
        <w:t> </w:t>
      </w:r>
      <w:r>
        <w:rPr/>
        <w:t>额作相应调整，回款率每半年复核并根据实际情况调整。</w:t>
      </w:r>
    </w:p>
    <w:p>
      <w:pPr>
        <w:pStyle w:val="Heading5"/>
        <w:spacing w:line="283" w:lineRule="auto" w:before="16"/>
        <w:ind w:left="154" w:right="1168" w:firstLine="500"/>
        <w:jc w:val="both"/>
      </w:pPr>
      <w:r>
        <w:rPr>
          <w:rFonts w:ascii="Times New Roman" w:hAnsi="Times New Roman" w:cs="Times New Roman" w:eastAsia="Times New Roman" w:hint="default"/>
          <w:spacing w:val="-1"/>
        </w:rPr>
        <w:t>95050</w:t>
      </w:r>
      <w:r>
        <w:rPr>
          <w:spacing w:val="-1"/>
        </w:rPr>
        <w:t>多方通话业务系委托合作基础运营商代收话费，采用权责发生制作账务处理。每月终了，公司根据</w:t>
      </w:r>
      <w:r>
        <w:rPr>
          <w:w w:val="100"/>
        </w:rPr>
        <w:t> </w:t>
      </w:r>
      <w:r>
        <w:rPr>
          <w:spacing w:val="-1"/>
        </w:rPr>
        <w:t>自身计费系统反映的当期已经发生的业务量，并根据收款的经验数据估计回款率，将估计能够回款的金额确认</w:t>
      </w:r>
      <w:r>
        <w:rPr>
          <w:spacing w:val="-63"/>
        </w:rPr>
        <w:t> </w:t>
      </w:r>
      <w:r>
        <w:rPr>
          <w:spacing w:val="-63"/>
        </w:rPr>
      </w:r>
      <w:r>
        <w:rPr>
          <w:spacing w:val="-1"/>
        </w:rPr>
        <w:t>为当期收入（在部分开展业务的地区，因与合作基础运营商按扣减话务结算成本及其他合作成本后的净额进行</w:t>
      </w:r>
      <w:r>
        <w:rPr>
          <w:spacing w:val="-63"/>
        </w:rPr>
        <w:t> </w:t>
      </w:r>
      <w:r>
        <w:rPr>
          <w:spacing w:val="-63"/>
        </w:rPr>
      </w:r>
      <w:r>
        <w:rPr>
          <w:spacing w:val="-1"/>
        </w:rPr>
        <w:t>结算，故将估计能够回款的金额扣减相应话务结算成本及合作成本后的净额确认为当期收入），在实际收到合</w:t>
      </w:r>
      <w:r>
        <w:rPr>
          <w:spacing w:val="-63"/>
        </w:rPr>
        <w:t> </w:t>
      </w:r>
      <w:r>
        <w:rPr>
          <w:spacing w:val="-63"/>
        </w:rPr>
      </w:r>
      <w:r>
        <w:rPr/>
        <w:t>作基础运营商代收款项时对已确认收入金额作相应调整，回款率每半年复核并根据实际情况调整。</w:t>
      </w:r>
    </w:p>
    <w:p>
      <w:pPr>
        <w:pStyle w:val="Heading5"/>
        <w:spacing w:line="278" w:lineRule="auto" w:before="14"/>
        <w:ind w:left="154" w:right="1130" w:firstLine="500"/>
        <w:jc w:val="both"/>
      </w:pPr>
      <w:r>
        <w:rPr>
          <w:rFonts w:ascii="Times New Roman" w:hAnsi="Times New Roman" w:cs="Times New Roman" w:eastAsia="Times New Roman" w:hint="default"/>
          <w:spacing w:val="-2"/>
        </w:rPr>
        <w:t>VPN</w:t>
      </w:r>
      <w:r>
        <w:rPr>
          <w:spacing w:val="-2"/>
        </w:rPr>
        <w:t>业务：根据与客户签定的合同，其中在开通线路时收取的一次性收费，在工程完工线路开通当月确认</w:t>
      </w:r>
      <w:r>
        <w:rPr>
          <w:w w:val="100"/>
        </w:rPr>
        <w:t> </w:t>
      </w:r>
      <w:r>
        <w:rPr/>
        <w:t>收入；按月使用线路的月租费每月终了，本公司根据自身订单系统反映的当期月租费，经与客户数据核对确认</w:t>
      </w:r>
      <w:r>
        <w:rPr>
          <w:w w:val="100"/>
        </w:rPr>
        <w:t> </w:t>
      </w:r>
      <w:r>
        <w:rPr/>
        <w:t>后结转为当期月租收入。</w:t>
      </w:r>
    </w:p>
    <w:p>
      <w:pPr>
        <w:pStyle w:val="Heading5"/>
        <w:spacing w:line="240" w:lineRule="auto" w:before="18"/>
        <w:ind w:left="574" w:right="0"/>
        <w:jc w:val="left"/>
      </w:pPr>
      <w:r>
        <w:rPr/>
        <w:t>②企业通信服务</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0" w:firstLine="500"/>
        <w:jc w:val="left"/>
      </w:pPr>
      <w:r>
        <w:rPr>
          <w:spacing w:val="-3"/>
        </w:rPr>
        <w:t>企业邮件业务、云通信业务，按年收取服务费，在每月提供服务后按月结转确认收入，其他功能服务费在</w:t>
      </w:r>
      <w:r>
        <w:rPr>
          <w:w w:val="100"/>
        </w:rPr>
        <w:t> </w:t>
      </w:r>
      <w:r>
        <w:rPr/>
        <w:t>每月提供服务后，按实际使用量结转确认收入。</w:t>
      </w:r>
    </w:p>
    <w:p>
      <w:pPr>
        <w:pStyle w:val="Heading5"/>
        <w:spacing w:line="285" w:lineRule="auto"/>
        <w:ind w:right="0" w:firstLine="420"/>
        <w:jc w:val="left"/>
      </w:pPr>
      <w:r>
        <w:rPr>
          <w:spacing w:val="-1"/>
        </w:rPr>
        <w:t>企业会议业务，按月收取固定服务费的，在每月提供企业会议服务后按月结转确认收入；按话务量收取服</w:t>
      </w:r>
      <w:r>
        <w:rPr>
          <w:w w:val="100"/>
        </w:rPr>
        <w:t> </w:t>
      </w:r>
      <w:r>
        <w:rPr/>
        <w:t>务费的，在每月提供企业会议服务后，按实际使用量结转确认收入。</w:t>
      </w:r>
    </w:p>
    <w:p>
      <w:pPr>
        <w:pStyle w:val="Heading5"/>
        <w:tabs>
          <w:tab w:pos="7896" w:val="left" w:leader="none"/>
        </w:tabs>
        <w:spacing w:line="285" w:lineRule="auto"/>
        <w:ind w:left="154" w:right="1228" w:firstLine="500"/>
        <w:jc w:val="left"/>
      </w:pPr>
      <w:r>
        <w:rPr>
          <w:spacing w:val="-1"/>
        </w:rPr>
        <w:t>技术服务，在合同约定的期间内提供相关技术服务，在服务期间分月确认收入。</w:t>
        <w:tab/>
        <w:t>个人邮箱业务，按月</w:t>
      </w:r>
      <w:r>
        <w:rPr>
          <w:w w:val="100"/>
        </w:rPr>
        <w:t> </w:t>
      </w:r>
      <w:r>
        <w:rPr/>
        <w:t>扣减使用费，在实际收到相关款项当月确认为当月收入。</w:t>
      </w:r>
    </w:p>
    <w:p>
      <w:pPr>
        <w:pStyle w:val="Heading5"/>
        <w:spacing w:line="285" w:lineRule="auto"/>
        <w:ind w:left="654" w:right="0" w:hanging="81"/>
        <w:jc w:val="left"/>
      </w:pPr>
      <w:r>
        <w:rPr/>
        <w:t>③海外互联网综合服务</w:t>
      </w:r>
      <w:r>
        <w:rPr>
          <w:w w:val="100"/>
        </w:rPr>
        <w:t> </w:t>
      </w:r>
      <w:r>
        <w:rPr>
          <w:spacing w:val="-1"/>
        </w:rPr>
        <w:t>网络电话（</w:t>
      </w:r>
      <w:r>
        <w:rPr>
          <w:rFonts w:ascii="Times New Roman" w:hAnsi="Times New Roman" w:cs="Times New Roman" w:eastAsia="Times New Roman" w:hint="default"/>
          <w:spacing w:val="-1"/>
        </w:rPr>
        <w:t>VOIP</w:t>
      </w:r>
      <w:r>
        <w:rPr>
          <w:spacing w:val="-1"/>
        </w:rPr>
        <w:t>）服务根据客户付费的方式主要分为两大类型。一种是年付费计划的服务费收入，另一</w:t>
      </w:r>
    </w:p>
    <w:p>
      <w:pPr>
        <w:pStyle w:val="Heading5"/>
        <w:spacing w:line="285" w:lineRule="auto" w:before="0"/>
        <w:ind w:left="574" w:right="0" w:hanging="420"/>
        <w:jc w:val="left"/>
      </w:pPr>
      <w:r>
        <w:rPr/>
        <w:t>种是其他付费计划的服务费收入。</w:t>
      </w:r>
      <w:r>
        <w:rPr>
          <w:w w:val="100"/>
        </w:rPr>
        <w:t> </w:t>
      </w:r>
      <w:r>
        <w:rPr>
          <w:spacing w:val="-1"/>
        </w:rPr>
        <w:t>在年付费计划下，本公司在客户的签单周年日（即第一天提供服务的日期）收取全年服务费，并在</w:t>
      </w:r>
      <w:r>
        <w:rPr>
          <w:rFonts w:ascii="Times New Roman" w:hAnsi="Times New Roman" w:cs="Times New Roman" w:eastAsia="Times New Roman" w:hint="default"/>
          <w:spacing w:val="-1"/>
        </w:rPr>
        <w:t>12</w:t>
      </w:r>
      <w:r>
        <w:rPr>
          <w:spacing w:val="-1"/>
        </w:rPr>
        <w:t>个月</w:t>
      </w:r>
    </w:p>
    <w:p>
      <w:pPr>
        <w:pStyle w:val="Heading5"/>
        <w:spacing w:line="285" w:lineRule="auto" w:before="0"/>
        <w:ind w:left="574" w:right="0" w:hanging="420"/>
        <w:jc w:val="left"/>
      </w:pPr>
      <w:r>
        <w:rPr/>
        <w:t>的服务期限内平均结转收入。</w:t>
      </w:r>
      <w:r>
        <w:rPr>
          <w:w w:val="100"/>
        </w:rPr>
        <w:t> </w:t>
      </w:r>
      <w:r>
        <w:rPr>
          <w:spacing w:val="-1"/>
        </w:rPr>
        <w:t>其他付费计划下，公司按月确认服务费收入。其中又分为月套餐形式和预付费形式两种类型。月套餐形式</w:t>
      </w:r>
    </w:p>
    <w:p>
      <w:pPr>
        <w:pStyle w:val="Heading5"/>
        <w:spacing w:line="285" w:lineRule="auto"/>
        <w:ind w:left="154" w:right="0"/>
        <w:jc w:val="left"/>
      </w:pPr>
      <w:r>
        <w:rPr>
          <w:spacing w:val="-1"/>
        </w:rPr>
        <w:t>下，公司按套餐约定的固定月服务费，在提供服务的当月收款并确认收入。预付费形式下，每月按客户的实际</w:t>
      </w:r>
      <w:r>
        <w:rPr>
          <w:spacing w:val="-63"/>
        </w:rPr>
        <w:t> </w:t>
      </w:r>
      <w:r>
        <w:rPr>
          <w:spacing w:val="-63"/>
        </w:rPr>
      </w:r>
      <w:r>
        <w:rPr/>
        <w:t>使用量确认收入。</w:t>
      </w:r>
    </w:p>
    <w:p>
      <w:pPr>
        <w:pStyle w:val="Heading5"/>
        <w:spacing w:line="285" w:lineRule="auto"/>
        <w:ind w:left="154" w:right="0" w:firstLine="420"/>
        <w:jc w:val="left"/>
      </w:pPr>
      <w:r>
        <w:rPr>
          <w:spacing w:val="-1"/>
        </w:rPr>
        <w:t>本公司向首次使用网络电话的客户收取激活费、设备的配送费用等杂项费用。其中，激活费参考客户的平</w:t>
      </w:r>
      <w:r>
        <w:rPr>
          <w:w w:val="100"/>
        </w:rPr>
        <w:t> </w:t>
      </w:r>
      <w:r>
        <w:rPr/>
        <w:t>均服务期按</w:t>
      </w:r>
      <w:r>
        <w:rPr>
          <w:rFonts w:ascii="Times New Roman" w:hAnsi="Times New Roman" w:cs="Times New Roman" w:eastAsia="Times New Roman" w:hint="default"/>
        </w:rPr>
        <w:t>5</w:t>
      </w:r>
      <w:r>
        <w:rPr/>
        <w:t>年逐月摊销确认收入，设备的配送费用则于发货时一次性确认收入。</w:t>
      </w:r>
    </w:p>
    <w:p>
      <w:pPr>
        <w:pStyle w:val="Heading5"/>
        <w:spacing w:line="271" w:lineRule="auto" w:before="0"/>
        <w:ind w:left="154" w:right="0" w:firstLine="420"/>
        <w:jc w:val="left"/>
      </w:pPr>
      <w:r>
        <w:rPr>
          <w:spacing w:val="-1"/>
        </w:rPr>
        <w:t>此外，当客户呼叫指定的</w:t>
      </w:r>
      <w:r>
        <w:rPr>
          <w:rFonts w:ascii="Times New Roman" w:hAnsi="Times New Roman" w:cs="Times New Roman" w:eastAsia="Times New Roman" w:hint="default"/>
          <w:spacing w:val="-1"/>
        </w:rPr>
        <w:t>29</w:t>
      </w:r>
      <w:r>
        <w:rPr>
          <w:spacing w:val="-1"/>
        </w:rPr>
        <w:t>个国家或地区以外的区域时，本公司将向客户额外收取使用费。公司每个月按</w:t>
      </w:r>
      <w:r>
        <w:rPr>
          <w:w w:val="100"/>
        </w:rPr>
        <w:t> </w:t>
      </w:r>
      <w:r>
        <w:rPr/>
        <w:t>该客户的实际使用量确认收入。</w:t>
      </w:r>
    </w:p>
    <w:p>
      <w:pPr>
        <w:pStyle w:val="Heading5"/>
        <w:spacing w:line="271" w:lineRule="auto" w:before="24"/>
        <w:ind w:left="574" w:right="0"/>
        <w:jc w:val="left"/>
      </w:pPr>
      <w:r>
        <w:rPr/>
        <w:t>网络电视（</w:t>
      </w:r>
      <w:r>
        <w:rPr>
          <w:rFonts w:ascii="Times New Roman" w:hAnsi="Times New Roman" w:cs="Times New Roman" w:eastAsia="Times New Roman" w:hint="default"/>
        </w:rPr>
        <w:t>IPTV</w:t>
      </w:r>
      <w:r>
        <w:rPr/>
        <w:t>）服务为公司按月收取月服务费，在提供服务的当月收款并确认收入。</w:t>
      </w:r>
      <w:r>
        <w:rPr>
          <w:w w:val="100"/>
        </w:rPr>
        <w:t> </w:t>
      </w:r>
      <w:r>
        <w:rPr>
          <w:spacing w:val="-2"/>
        </w:rPr>
        <w:t>公司对网络电视（</w:t>
      </w:r>
      <w:r>
        <w:rPr>
          <w:rFonts w:ascii="Times New Roman" w:hAnsi="Times New Roman" w:cs="Times New Roman" w:eastAsia="Times New Roman" w:hint="default"/>
          <w:spacing w:val="-2"/>
        </w:rPr>
        <w:t>IPTV</w:t>
      </w:r>
      <w:r>
        <w:rPr>
          <w:spacing w:val="-2"/>
        </w:rPr>
        <w:t>）客户收取激活费、服务费，根据公司经营政策，激活费按</w:t>
      </w:r>
      <w:r>
        <w:rPr>
          <w:rFonts w:ascii="Times New Roman" w:hAnsi="Times New Roman" w:cs="Times New Roman" w:eastAsia="Times New Roman" w:hint="default"/>
          <w:spacing w:val="-2"/>
        </w:rPr>
        <w:t>12</w:t>
      </w:r>
      <w:r>
        <w:rPr>
          <w:spacing w:val="-2"/>
        </w:rPr>
        <w:t>个月逐月摊销，服务</w:t>
      </w:r>
    </w:p>
    <w:p>
      <w:pPr>
        <w:pStyle w:val="Heading5"/>
        <w:spacing w:line="240" w:lineRule="auto" w:before="6"/>
        <w:ind w:left="154" w:right="0"/>
        <w:jc w:val="left"/>
      </w:pPr>
      <w:r>
        <w:rPr/>
        <w:t>费按服务期摊销确认收入。</w:t>
      </w:r>
    </w:p>
    <w:p>
      <w:pPr>
        <w:pStyle w:val="Heading5"/>
        <w:spacing w:line="285" w:lineRule="auto" w:before="50"/>
        <w:ind w:left="654" w:right="1118" w:hanging="81"/>
        <w:jc w:val="left"/>
      </w:pPr>
      <w:r>
        <w:rPr/>
        <w:t>④其他业务</w:t>
      </w:r>
      <w:r>
        <w:rPr>
          <w:w w:val="100"/>
        </w:rPr>
        <w:t> </w:t>
      </w:r>
      <w:r>
        <w:rPr>
          <w:spacing w:val="-3"/>
        </w:rPr>
        <w:t>立体宽带业务：按期根据本公司的经管计费系统反映的业务量，根据收款的经验数据估计回款率后确认收</w:t>
      </w:r>
    </w:p>
    <w:p>
      <w:pPr>
        <w:pStyle w:val="Heading5"/>
        <w:spacing w:line="240" w:lineRule="auto"/>
        <w:ind w:left="154" w:right="0"/>
        <w:jc w:val="left"/>
      </w:pPr>
      <w:r>
        <w:rPr/>
        <w:t>入额，在实际收到电信运营商代收款项时作相应调整。</w:t>
      </w:r>
    </w:p>
    <w:p>
      <w:pPr>
        <w:pStyle w:val="Heading5"/>
        <w:spacing w:line="240" w:lineRule="auto" w:before="50"/>
        <w:ind w:left="654" w:right="0"/>
        <w:jc w:val="left"/>
      </w:pPr>
      <w:r>
        <w:rPr>
          <w:rFonts w:ascii="Times New Roman" w:hAnsi="Times New Roman" w:cs="Times New Roman" w:eastAsia="Times New Roman" w:hint="default"/>
        </w:rPr>
        <w:t>IDC</w:t>
      </w:r>
      <w:r>
        <w:rPr/>
        <w:t>（服务器托管及专线接入）业务：在已经提供服务，收到相关款项或获得收款的权利时确认收入。</w:t>
      </w:r>
    </w:p>
    <w:p>
      <w:pPr>
        <w:spacing w:line="590" w:lineRule="atLeast" w:before="23"/>
        <w:ind w:left="574" w:right="0" w:hanging="420"/>
        <w:jc w:val="left"/>
        <w:rPr>
          <w:rFonts w:ascii="宋体" w:hAnsi="宋体" w:cs="宋体" w:eastAsia="宋体" w:hint="default"/>
          <w:sz w:val="20"/>
          <w:szCs w:val="20"/>
        </w:rPr>
      </w:pPr>
      <w:bookmarkStart w:name="（2）确认让渡资产使用权收入的依据" w:id="224"/>
      <w:bookmarkEnd w:id="22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）确认让渡资产使用权收入的依据</w:t>
      </w:r>
      <w:r>
        <w:rPr>
          <w:rFonts w:ascii="宋体" w:hAnsi="宋体" w:cs="宋体" w:eastAsia="宋体" w:hint="default"/>
          <w:b/>
          <w:bCs/>
          <w:w w:val="99"/>
          <w:sz w:val="20"/>
          <w:szCs w:val="20"/>
        </w:rPr>
        <w:t> </w:t>
      </w:r>
      <w:r>
        <w:rPr>
          <w:rFonts w:ascii="宋体" w:hAnsi="宋体" w:cs="宋体" w:eastAsia="宋体" w:hint="default"/>
          <w:spacing w:val="-1"/>
          <w:sz w:val="20"/>
          <w:szCs w:val="20"/>
        </w:rPr>
        <w:t>与交易相关的经济利益很可能流入企业，收入的金额能够可靠地计量时，分别下列情况确定让渡资产使用</w:t>
      </w:r>
    </w:p>
    <w:p>
      <w:pPr>
        <w:pStyle w:val="Heading5"/>
        <w:spacing w:line="240" w:lineRule="auto" w:before="50"/>
        <w:ind w:left="154" w:right="0"/>
        <w:jc w:val="left"/>
      </w:pPr>
      <w:r>
        <w:rPr/>
        <w:t>权收入金额：</w:t>
      </w:r>
    </w:p>
    <w:p>
      <w:pPr>
        <w:pStyle w:val="Heading5"/>
        <w:spacing w:line="240" w:lineRule="auto" w:before="50"/>
        <w:ind w:left="57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5"/>
        <w:spacing w:line="240" w:lineRule="auto" w:before="35"/>
        <w:ind w:left="574"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9"/>
        <w:rPr>
          <w:rFonts w:ascii="宋体" w:hAnsi="宋体" w:cs="宋体" w:eastAsia="宋体" w:hint="default"/>
          <w:sz w:val="25"/>
          <w:szCs w:val="25"/>
        </w:rPr>
      </w:pPr>
    </w:p>
    <w:p>
      <w:pPr>
        <w:pStyle w:val="Heading4"/>
        <w:spacing w:line="240" w:lineRule="auto"/>
        <w:ind w:left="154" w:right="0"/>
        <w:jc w:val="left"/>
        <w:rPr>
          <w:b w:val="0"/>
          <w:bCs w:val="0"/>
        </w:rPr>
      </w:pPr>
      <w:bookmarkStart w:name="（3）提供劳务收入的确认依据和方法" w:id="225"/>
      <w:bookmarkEnd w:id="225"/>
      <w:r>
        <w:rPr>
          <w:b w:val="0"/>
          <w:bCs w:val="0"/>
        </w:rPr>
      </w:r>
      <w:r>
        <w:rPr/>
        <w:t>（</w:t>
      </w:r>
      <w:r>
        <w:rPr>
          <w:rFonts w:ascii="Times New Roman" w:hAnsi="Times New Roman" w:cs="Times New Roman" w:eastAsia="Times New Roman" w:hint="default"/>
        </w:rPr>
        <w:t>3</w:t>
      </w:r>
      <w:r>
        <w:rPr/>
        <w:t>）提供劳务收入的确认依据和方法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4" w:right="0"/>
        <w:jc w:val="left"/>
      </w:pPr>
      <w:r>
        <w:rPr/>
        <w:t>在本公司提供服务后，于收取款项或取得收款的权力时确认收入。</w:t>
      </w:r>
    </w:p>
    <w:p>
      <w:pPr>
        <w:spacing w:line="240" w:lineRule="auto" w:before="0"/>
        <w:rPr>
          <w:rFonts w:ascii="宋体" w:hAnsi="宋体" w:cs="宋体" w:eastAsia="宋体" w:hint="default"/>
          <w:sz w:val="18"/>
          <w:szCs w:val="18"/>
        </w:rPr>
      </w:pPr>
    </w:p>
    <w:p>
      <w:pPr>
        <w:pStyle w:val="Heading4"/>
        <w:spacing w:line="240" w:lineRule="auto" w:before="126"/>
        <w:ind w:left="154" w:right="0"/>
        <w:jc w:val="left"/>
        <w:rPr>
          <w:b w:val="0"/>
          <w:bCs w:val="0"/>
        </w:rPr>
      </w:pPr>
      <w:bookmarkStart w:name="（4）建造合同收入的确认依据和方法" w:id="226"/>
      <w:bookmarkEnd w:id="226"/>
      <w:r>
        <w:rPr>
          <w:b w:val="0"/>
          <w:bCs w:val="0"/>
        </w:rPr>
      </w:r>
      <w:r>
        <w:rPr/>
        <w:t>（</w:t>
      </w:r>
      <w:r>
        <w:rPr>
          <w:rFonts w:ascii="Times New Roman" w:hAnsi="Times New Roman" w:cs="Times New Roman" w:eastAsia="Times New Roman" w:hint="default"/>
        </w:rPr>
        <w:t>4</w:t>
      </w:r>
      <w:r>
        <w:rPr/>
        <w:t>）建造合同收入的确认依据和方法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4、政府补助" w:id="227"/>
      <w:bookmarkEnd w:id="227"/>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left="154" w:right="0"/>
        <w:jc w:val="left"/>
        <w:rPr>
          <w:b w:val="0"/>
          <w:bCs w:val="0"/>
        </w:rPr>
      </w:pPr>
      <w:bookmarkStart w:name="（1）与资产相关的政府补助判断依据及会计处理方法" w:id="228"/>
      <w:bookmarkEnd w:id="22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5"/>
          <w:szCs w:val="25"/>
        </w:rPr>
      </w:pPr>
    </w:p>
    <w:p>
      <w:pPr>
        <w:pStyle w:val="Heading5"/>
        <w:spacing w:line="285" w:lineRule="auto" w:before="0"/>
        <w:ind w:left="573" w:right="0"/>
        <w:jc w:val="left"/>
      </w:pPr>
      <w:r>
        <w:rPr/>
        <w:t>与资产相关的政府补助，是指本公司取得的、用于购建或以其他方式形成长期资产的政府补助；</w:t>
      </w:r>
      <w:r>
        <w:rPr>
          <w:w w:val="100"/>
        </w:rPr>
        <w:t> </w:t>
      </w:r>
      <w:r>
        <w:rPr>
          <w:spacing w:val="-1"/>
        </w:rPr>
        <w:t>与资产相关的政府补助，确认为递延收益，按照所建造或购买的资产使用年限分期计入营业外收入。</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2）与收益相关的政府补助判断依据及会计处理方法" w:id="229"/>
      <w:bookmarkEnd w:id="22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5"/>
          <w:szCs w:val="25"/>
        </w:rPr>
      </w:pPr>
    </w:p>
    <w:p>
      <w:pPr>
        <w:pStyle w:val="Heading5"/>
        <w:spacing w:line="285" w:lineRule="auto" w:before="0"/>
        <w:ind w:left="573" w:right="0"/>
        <w:jc w:val="left"/>
      </w:pPr>
      <w:r>
        <w:rPr/>
        <w:t>与收益相关的政府补助，是指除与资产相关的政府补助之外的政府补助。</w:t>
      </w:r>
      <w:r>
        <w:rPr>
          <w:w w:val="100"/>
        </w:rPr>
        <w:t> </w:t>
      </w:r>
      <w:r>
        <w:rPr>
          <w:spacing w:val="-1"/>
        </w:rPr>
        <w:t>与收益相关的政府补助，用于补偿企业以后期间的相关费用或损失的，确认为递延收益，在确认相关费用</w:t>
      </w:r>
    </w:p>
    <w:p>
      <w:pPr>
        <w:pStyle w:val="Heading5"/>
        <w:spacing w:line="285" w:lineRule="auto"/>
        <w:ind w:left="573" w:right="0" w:hanging="420"/>
        <w:jc w:val="left"/>
      </w:pPr>
      <w:r>
        <w:rPr/>
        <w:t>的期间计入当期营业外收入；用于补偿企业已发生的相关费用或损失的，取得时直接计入当期营业外收入。</w:t>
      </w:r>
      <w:r>
        <w:rPr>
          <w:w w:val="100"/>
        </w:rPr>
        <w:t> </w:t>
      </w:r>
      <w:r>
        <w:rPr>
          <w:spacing w:val="-1"/>
        </w:rPr>
        <w:t>已确认的政府补助需要返还时，存在相关递延收益余额的，冲减相关递延收益账面余额，超出部分计入当</w:t>
      </w:r>
    </w:p>
    <w:p>
      <w:pPr>
        <w:pStyle w:val="Heading5"/>
        <w:spacing w:line="240" w:lineRule="auto"/>
        <w:ind w:right="0"/>
        <w:jc w:val="left"/>
      </w:pPr>
      <w:r>
        <w:rPr/>
        <w:t>期损益；不存在相关递延收益的，直接计入当期损益。</w:t>
      </w:r>
    </w:p>
    <w:p>
      <w:pPr>
        <w:spacing w:line="610" w:lineRule="atLeast" w:before="18"/>
        <w:ind w:left="573" w:right="0" w:hanging="420"/>
        <w:jc w:val="left"/>
        <w:rPr>
          <w:rFonts w:ascii="宋体" w:hAnsi="宋体" w:cs="宋体" w:eastAsia="宋体" w:hint="default"/>
          <w:sz w:val="20"/>
          <w:szCs w:val="20"/>
        </w:rPr>
      </w:pPr>
      <w:bookmarkStart w:name="25、递延所得税资产/递延所得税负债" w:id="230"/>
      <w:bookmarkEnd w:id="230"/>
      <w:r>
        <w:rPr/>
      </w:r>
      <w:r>
        <w:rPr>
          <w:rFonts w:ascii="Times New Roman" w:hAnsi="Times New Roman" w:cs="Times New Roman" w:eastAsia="Times New Roman" w:hint="default"/>
          <w:b/>
          <w:bCs/>
          <w:sz w:val="20"/>
          <w:szCs w:val="20"/>
        </w:rPr>
        <w:t>25</w:t>
      </w:r>
      <w:r>
        <w:rPr>
          <w:rFonts w:ascii="宋体" w:hAnsi="宋体" w:cs="宋体" w:eastAsia="宋体" w:hint="default"/>
          <w:b/>
          <w:bCs/>
          <w:sz w:val="20"/>
          <w:szCs w:val="20"/>
        </w:rPr>
        <w:t>、递延所得税资产</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递延所得税负债</w:t>
      </w:r>
      <w:r>
        <w:rPr>
          <w:rFonts w:ascii="宋体" w:hAnsi="宋体" w:cs="宋体" w:eastAsia="宋体" w:hint="default"/>
          <w:b/>
          <w:bCs/>
          <w:w w:val="99"/>
          <w:sz w:val="20"/>
          <w:szCs w:val="20"/>
        </w:rPr>
        <w:t> </w:t>
      </w:r>
      <w:r>
        <w:rPr>
          <w:rFonts w:ascii="宋体" w:hAnsi="宋体" w:cs="宋体" w:eastAsia="宋体" w:hint="default"/>
          <w:spacing w:val="-1"/>
          <w:sz w:val="20"/>
          <w:szCs w:val="20"/>
        </w:rPr>
        <w:t>递延所得税资产和递延所得税负债根据资产和负债的计税基础与其账面价值的差额</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暂时性差异</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计算确</w:t>
      </w:r>
    </w:p>
    <w:p>
      <w:pPr>
        <w:pStyle w:val="Heading5"/>
        <w:spacing w:line="285" w:lineRule="auto" w:before="35"/>
        <w:ind w:right="1118"/>
        <w:jc w:val="left"/>
      </w:pPr>
      <w:r>
        <w:rPr>
          <w:spacing w:val="-1"/>
        </w:rPr>
        <w:t>认。于资产负债表日，递延所得税资产和递延所得税负债，按照预期收回该资产或清偿该负债期间的适用税率</w:t>
      </w:r>
      <w:r>
        <w:rPr>
          <w:spacing w:val="-63"/>
        </w:rPr>
        <w:t> </w:t>
      </w:r>
      <w:r>
        <w:rPr>
          <w:spacing w:val="-63"/>
        </w:rPr>
      </w:r>
      <w:r>
        <w:rPr/>
        <w:t>计量。</w:t>
      </w:r>
    </w:p>
    <w:p>
      <w:pPr>
        <w:spacing w:line="612" w:lineRule="exact" w:before="57"/>
        <w:ind w:left="573" w:right="0" w:hanging="420"/>
        <w:jc w:val="left"/>
        <w:rPr>
          <w:rFonts w:ascii="宋体" w:hAnsi="宋体" w:cs="宋体" w:eastAsia="宋体" w:hint="default"/>
          <w:sz w:val="20"/>
          <w:szCs w:val="20"/>
        </w:rPr>
      </w:pPr>
      <w:bookmarkStart w:name="（1）确认递延所得税资产的依据" w:id="231"/>
      <w:bookmarkEnd w:id="231"/>
      <w:r>
        <w:rPr/>
      </w:r>
      <w:r>
        <w:rPr>
          <w:rFonts w:ascii="宋体" w:hAnsi="宋体" w:cs="宋体" w:eastAsia="宋体" w:hint="default"/>
          <w:b/>
          <w:bCs/>
          <w:sz w:val="20"/>
          <w:szCs w:val="20"/>
        </w:rPr>
        <w:t>（</w:t>
      </w:r>
      <w:r>
        <w:rPr>
          <w:rFonts w:ascii="宋体" w:hAnsi="宋体" w:cs="宋体" w:eastAsia="宋体" w:hint="default"/>
          <w:b/>
          <w:bCs/>
          <w:sz w:val="20"/>
          <w:szCs w:val="20"/>
        </w:rPr>
        <w:t>1</w:t>
      </w:r>
      <w:r>
        <w:rPr>
          <w:rFonts w:ascii="宋体" w:hAnsi="宋体" w:cs="宋体" w:eastAsia="宋体" w:hint="default"/>
          <w:b/>
          <w:bCs/>
          <w:sz w:val="20"/>
          <w:szCs w:val="20"/>
        </w:rPr>
        <w:t>）确认递延所得税资产的依据</w:t>
      </w:r>
      <w:r>
        <w:rPr>
          <w:rFonts w:ascii="宋体" w:hAnsi="宋体" w:cs="宋体" w:eastAsia="宋体" w:hint="default"/>
          <w:b/>
          <w:bCs/>
          <w:w w:val="99"/>
          <w:sz w:val="20"/>
          <w:szCs w:val="20"/>
        </w:rPr>
        <w:t> </w:t>
      </w:r>
      <w:r>
        <w:rPr>
          <w:rFonts w:ascii="宋体" w:hAnsi="宋体" w:cs="宋体" w:eastAsia="宋体" w:hint="default"/>
          <w:spacing w:val="-1"/>
          <w:sz w:val="20"/>
          <w:szCs w:val="20"/>
        </w:rPr>
        <w:t>本公司以很可能取得用来抵扣可抵扣暂时性差异、能够结转以后年度的可抵扣亏损和税款抵减的应纳税所</w:t>
      </w:r>
    </w:p>
    <w:p>
      <w:pPr>
        <w:pStyle w:val="Heading5"/>
        <w:spacing w:line="218" w:lineRule="exact" w:before="0"/>
        <w:ind w:right="0"/>
        <w:jc w:val="left"/>
      </w:pPr>
      <w:r>
        <w:rPr/>
        <w:t>得额为限，确认由可抵扣暂时性差异产生的递延所得税资产。但是，同时具有下列特征的交易中因资产或负债</w:t>
      </w:r>
    </w:p>
    <w:p>
      <w:pPr>
        <w:pStyle w:val="Heading5"/>
        <w:spacing w:line="271" w:lineRule="auto" w:before="50"/>
        <w:ind w:right="0"/>
        <w:jc w:val="left"/>
      </w:pPr>
      <w:r>
        <w:rPr>
          <w:spacing w:val="-1"/>
        </w:rPr>
        <w:t>的初始确认所产生的递延所得税资产不予确认：（</w:t>
      </w:r>
      <w:r>
        <w:rPr>
          <w:rFonts w:ascii="Times New Roman" w:hAnsi="Times New Roman" w:cs="Times New Roman" w:eastAsia="Times New Roman" w:hint="default"/>
          <w:spacing w:val="-1"/>
        </w:rPr>
        <w:t>1</w:t>
      </w:r>
      <w:r>
        <w:rPr>
          <w:spacing w:val="-1"/>
        </w:rPr>
        <w:t>）该交易不是企业合并；（</w:t>
      </w:r>
      <w:r>
        <w:rPr>
          <w:rFonts w:ascii="Times New Roman" w:hAnsi="Times New Roman" w:cs="Times New Roman" w:eastAsia="Times New Roman" w:hint="default"/>
          <w:spacing w:val="-1"/>
        </w:rPr>
        <w:t>2</w:t>
      </w:r>
      <w:r>
        <w:rPr>
          <w:spacing w:val="-1"/>
        </w:rPr>
        <w:t>）交易发生时既不影响会计利</w:t>
      </w:r>
      <w:r>
        <w:rPr>
          <w:spacing w:val="-63"/>
        </w:rPr>
        <w:t> </w:t>
      </w:r>
      <w:r>
        <w:rPr>
          <w:spacing w:val="-63"/>
        </w:rPr>
      </w:r>
      <w:r>
        <w:rPr/>
        <w:t>润也不影响应纳税所得额或可抵扣亏损。</w:t>
      </w:r>
    </w:p>
    <w:p>
      <w:pPr>
        <w:pStyle w:val="Heading5"/>
        <w:spacing w:line="285" w:lineRule="auto" w:before="24"/>
        <w:ind w:right="0" w:firstLine="420"/>
        <w:jc w:val="left"/>
      </w:pPr>
      <w:r>
        <w:rPr>
          <w:spacing w:val="-1"/>
        </w:rPr>
        <w:t>对于与联营企业投资相关的可抵扣暂时性差异，同时满足下列条件的，确认相应的递延所得税资产：暂时</w:t>
      </w:r>
      <w:r>
        <w:rPr>
          <w:w w:val="100"/>
        </w:rPr>
        <w:t> </w:t>
      </w:r>
      <w:r>
        <w:rPr/>
        <w:t>性差异在可预见的未来很可能转回，且未来很可能获得用来抵扣可抵扣暂时性差异的应纳税所得额。</w:t>
      </w:r>
    </w:p>
    <w:p>
      <w:pPr>
        <w:spacing w:line="612" w:lineRule="exact" w:before="57"/>
        <w:ind w:left="573" w:right="1118" w:hanging="420"/>
        <w:jc w:val="left"/>
        <w:rPr>
          <w:rFonts w:ascii="宋体" w:hAnsi="宋体" w:cs="宋体" w:eastAsia="宋体" w:hint="default"/>
          <w:sz w:val="20"/>
          <w:szCs w:val="20"/>
        </w:rPr>
      </w:pPr>
      <w:bookmarkStart w:name="（2）确认递延所得税负债的依据" w:id="232"/>
      <w:bookmarkEnd w:id="232"/>
      <w:r>
        <w:rPr/>
      </w:r>
      <w:r>
        <w:rPr>
          <w:rFonts w:ascii="宋体" w:hAnsi="宋体" w:cs="宋体" w:eastAsia="宋体" w:hint="default"/>
          <w:b/>
          <w:bCs/>
          <w:sz w:val="20"/>
          <w:szCs w:val="20"/>
        </w:rPr>
        <w:t>（</w:t>
      </w:r>
      <w:r>
        <w:rPr>
          <w:rFonts w:ascii="宋体" w:hAnsi="宋体" w:cs="宋体" w:eastAsia="宋体" w:hint="default"/>
          <w:b/>
          <w:bCs/>
          <w:sz w:val="20"/>
          <w:szCs w:val="20"/>
        </w:rPr>
        <w:t>2</w:t>
      </w:r>
      <w:r>
        <w:rPr>
          <w:rFonts w:ascii="宋体" w:hAnsi="宋体" w:cs="宋体" w:eastAsia="宋体" w:hint="default"/>
          <w:b/>
          <w:bCs/>
          <w:sz w:val="20"/>
          <w:szCs w:val="20"/>
        </w:rPr>
        <w:t>）确认递延所得税负债的依据</w:t>
      </w:r>
      <w:r>
        <w:rPr>
          <w:rFonts w:ascii="宋体" w:hAnsi="宋体" w:cs="宋体" w:eastAsia="宋体" w:hint="default"/>
          <w:b/>
          <w:bCs/>
          <w:w w:val="99"/>
          <w:sz w:val="20"/>
          <w:szCs w:val="20"/>
        </w:rPr>
        <w:t> </w:t>
      </w:r>
      <w:r>
        <w:rPr>
          <w:rFonts w:ascii="宋体" w:hAnsi="宋体" w:cs="宋体" w:eastAsia="宋体" w:hint="default"/>
          <w:spacing w:val="-1"/>
          <w:sz w:val="20"/>
          <w:szCs w:val="20"/>
        </w:rPr>
        <w:t>公司将当期与以前期间应交未交的应纳税暂时性差异确认为递延所得税负债。但不包括：</w:t>
      </w:r>
    </w:p>
    <w:p>
      <w:pPr>
        <w:pStyle w:val="Heading5"/>
        <w:spacing w:line="233" w:lineRule="exact" w:before="0"/>
        <w:ind w:left="573" w:right="0"/>
        <w:jc w:val="left"/>
      </w:pPr>
      <w:r>
        <w:rPr/>
        <w:t>（</w:t>
      </w:r>
      <w:r>
        <w:rPr>
          <w:rFonts w:ascii="Times New Roman" w:hAnsi="Times New Roman" w:cs="Times New Roman" w:eastAsia="Times New Roman" w:hint="default"/>
        </w:rPr>
        <w:t>1</w:t>
      </w:r>
      <w:r>
        <w:rPr/>
        <w:t>）商誉的初始确认所形成的暂时性差异；</w:t>
      </w:r>
    </w:p>
    <w:p>
      <w:pPr>
        <w:pStyle w:val="Heading5"/>
        <w:spacing w:line="271" w:lineRule="auto" w:before="35"/>
        <w:ind w:left="154" w:right="0" w:firstLine="420"/>
        <w:jc w:val="left"/>
      </w:pPr>
      <w:r>
        <w:rPr>
          <w:spacing w:val="-7"/>
        </w:rPr>
        <w:t>（</w:t>
      </w:r>
      <w:r>
        <w:rPr>
          <w:rFonts w:ascii="Times New Roman" w:hAnsi="Times New Roman" w:cs="Times New Roman" w:eastAsia="Times New Roman" w:hint="default"/>
          <w:spacing w:val="-7"/>
        </w:rPr>
        <w:t>2</w:t>
      </w:r>
      <w:r>
        <w:rPr>
          <w:spacing w:val="-7"/>
        </w:rPr>
        <w:t>）非企业合并形成的交易或事项，且该交易或事项发生时既不影响会计利润，也不影响应纳税所得额（或</w:t>
      </w:r>
      <w:r>
        <w:rPr>
          <w:w w:val="100"/>
        </w:rPr>
        <w:t> </w:t>
      </w:r>
      <w:r>
        <w:rPr/>
        <w:t>可抵扣亏损）所形成的暂时性差异；</w:t>
      </w:r>
    </w:p>
    <w:p>
      <w:pPr>
        <w:pStyle w:val="Heading5"/>
        <w:spacing w:line="271" w:lineRule="auto" w:before="24"/>
        <w:ind w:left="154" w:right="0" w:firstLine="420"/>
        <w:jc w:val="left"/>
      </w:pPr>
      <w:r>
        <w:rPr>
          <w:spacing w:val="-3"/>
        </w:rPr>
        <w:t>（</w:t>
      </w:r>
      <w:r>
        <w:rPr>
          <w:rFonts w:ascii="Times New Roman" w:hAnsi="Times New Roman" w:cs="Times New Roman" w:eastAsia="Times New Roman" w:hint="default"/>
          <w:spacing w:val="-3"/>
        </w:rPr>
        <w:t>3</w:t>
      </w:r>
      <w:r>
        <w:rPr>
          <w:spacing w:val="-3"/>
        </w:rPr>
        <w:t>）对于与子公司、联营企业投资相关的应纳税暂时性差异，该暂时性差异转回的时间能够控制并且该暂</w:t>
      </w:r>
      <w:r>
        <w:rPr>
          <w:w w:val="100"/>
        </w:rPr>
        <w:t> </w:t>
      </w:r>
      <w:r>
        <w:rPr/>
        <w:t>时性差异在可预见的未来很可能不会转回。</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bookmarkStart w:name="26、租赁" w:id="233"/>
      <w:bookmarkEnd w:id="233"/>
      <w:r>
        <w:rPr>
          <w:b w:val="0"/>
          <w:bCs w:val="0"/>
        </w:rPr>
      </w:r>
      <w:r>
        <w:rPr>
          <w:rFonts w:ascii="Times New Roman" w:hAnsi="Times New Roman" w:cs="Times New Roman" w:eastAsia="Times New Roman" w:hint="default"/>
        </w:rPr>
        <w:t>26</w:t>
      </w:r>
      <w:r>
        <w:rPr/>
        <w:t>、租赁</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left="154" w:right="0"/>
        <w:jc w:val="left"/>
        <w:rPr>
          <w:b w:val="0"/>
          <w:bCs w:val="0"/>
        </w:rPr>
      </w:pPr>
      <w:bookmarkStart w:name="（1）经营租赁的会计处理方法" w:id="234"/>
      <w:bookmarkEnd w:id="23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26"/>
          <w:szCs w:val="26"/>
        </w:rPr>
      </w:pPr>
    </w:p>
    <w:p>
      <w:pPr>
        <w:pStyle w:val="Heading5"/>
        <w:spacing w:line="271" w:lineRule="auto" w:before="0"/>
        <w:ind w:right="0" w:firstLine="420"/>
        <w:jc w:val="left"/>
      </w:pPr>
      <w:r>
        <w:rPr>
          <w:spacing w:val="-5"/>
        </w:rPr>
        <w:t>（</w:t>
      </w:r>
      <w:r>
        <w:rPr>
          <w:rFonts w:ascii="Times New Roman" w:hAnsi="Times New Roman" w:cs="Times New Roman" w:eastAsia="Times New Roman" w:hint="default"/>
          <w:spacing w:val="-5"/>
        </w:rPr>
        <w:t>1</w:t>
      </w:r>
      <w:r>
        <w:rPr>
          <w:spacing w:val="-5"/>
        </w:rPr>
        <w:t>）公司租入资产所支付的租赁费，在不扣除免租期的整个租赁期内，按直线法进行分摊，计入当期费用。</w:t>
      </w:r>
      <w:r>
        <w:rPr>
          <w:w w:val="100"/>
        </w:rPr>
        <w:t> </w:t>
      </w:r>
      <w:r>
        <w:rPr/>
        <w:t>公司支付的与租赁交易相关的初始直接费用，计入当期费用。</w:t>
      </w:r>
    </w:p>
    <w:p>
      <w:pPr>
        <w:spacing w:after="0" w:line="271"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48" w:firstLine="420"/>
        <w:jc w:val="both"/>
      </w:pPr>
      <w:r>
        <w:rPr>
          <w:spacing w:val="-1"/>
        </w:rPr>
        <w:t>资产出租方承担了应由公司承担的与租赁相关的费用时，公司将该部分费用从租金总额中扣除，按扣除后</w:t>
      </w:r>
      <w:r>
        <w:rPr>
          <w:w w:val="100"/>
        </w:rPr>
        <w:t> </w:t>
      </w:r>
      <w:r>
        <w:rPr/>
        <w:t>的租金费用在租赁期内分摊，计入当期费用。</w:t>
      </w:r>
    </w:p>
    <w:p>
      <w:pPr>
        <w:pStyle w:val="Heading5"/>
        <w:spacing w:line="278" w:lineRule="auto"/>
        <w:ind w:right="1130" w:firstLine="420"/>
        <w:jc w:val="both"/>
      </w:pPr>
      <w:r>
        <w:rPr>
          <w:spacing w:val="-3"/>
        </w:rPr>
        <w:t>（</w:t>
      </w: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）公司出租资产所收取的租赁费，在不扣除免租期的整个租赁期内，按直线法进行分摊，确认为租赁收</w:t>
      </w:r>
      <w:r>
        <w:rPr>
          <w:w w:val="100"/>
        </w:rPr>
        <w:t> </w:t>
      </w:r>
      <w:r>
        <w:rPr/>
        <w:t>入。公司支付的与租赁交易相关的初始直接费用，计入当期费用；如金额较大的，则予以资本化，在整个租赁</w:t>
      </w:r>
      <w:r>
        <w:rPr>
          <w:w w:val="100"/>
        </w:rPr>
        <w:t> </w:t>
      </w:r>
      <w:r>
        <w:rPr/>
        <w:t>期间内按照与租赁收入确认相同的基础分期计入当期收益。</w:t>
      </w:r>
    </w:p>
    <w:p>
      <w:pPr>
        <w:pStyle w:val="Heading5"/>
        <w:spacing w:line="285" w:lineRule="auto" w:before="18"/>
        <w:ind w:right="1148" w:firstLine="420"/>
        <w:jc w:val="both"/>
      </w:pPr>
      <w:r>
        <w:rPr>
          <w:spacing w:val="-1"/>
        </w:rPr>
        <w:t>公司承担了应由承租方承担的与租赁相关的费用时，公司将该部分费用从租金收入总额中扣除，按扣除后</w:t>
      </w:r>
      <w:r>
        <w:rPr>
          <w:w w:val="100"/>
        </w:rPr>
        <w:t> </w:t>
      </w:r>
      <w:r>
        <w:rPr/>
        <w:t>的租金费用在租赁期内分配。</w:t>
      </w:r>
    </w:p>
    <w:p>
      <w:pPr>
        <w:spacing w:line="240" w:lineRule="auto" w:before="2"/>
        <w:rPr>
          <w:rFonts w:ascii="宋体" w:hAnsi="宋体" w:cs="宋体" w:eastAsia="宋体" w:hint="default"/>
          <w:sz w:val="25"/>
          <w:szCs w:val="25"/>
        </w:rPr>
      </w:pPr>
    </w:p>
    <w:p>
      <w:pPr>
        <w:pStyle w:val="Heading6"/>
        <w:spacing w:line="240" w:lineRule="auto"/>
        <w:ind w:right="0"/>
        <w:jc w:val="left"/>
        <w:rPr>
          <w:b w:val="0"/>
          <w:bCs w:val="0"/>
        </w:rPr>
      </w:pPr>
      <w:bookmarkStart w:name="（2）融资租赁的会计处理方法" w:id="235"/>
      <w:bookmarkEnd w:id="23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Heading5"/>
        <w:spacing w:line="271" w:lineRule="auto" w:before="0"/>
        <w:ind w:right="1131" w:firstLine="420"/>
        <w:jc w:val="both"/>
      </w:pPr>
      <w:r>
        <w:rPr>
          <w:spacing w:val="-3"/>
        </w:rPr>
        <w:t>（</w:t>
      </w:r>
      <w:r>
        <w:rPr>
          <w:rFonts w:ascii="Times New Roman" w:hAnsi="Times New Roman" w:cs="Times New Roman" w:eastAsia="Times New Roman" w:hint="default"/>
          <w:spacing w:val="-3"/>
        </w:rPr>
        <w:t>1</w:t>
      </w:r>
      <w:r>
        <w:rPr>
          <w:spacing w:val="-3"/>
        </w:rPr>
        <w:t>）融资租入资产：公司在承租开始日，将租赁资产公允价值与最低租赁付款额现值两者中较低者作为租</w:t>
      </w:r>
      <w:r>
        <w:rPr>
          <w:w w:val="100"/>
        </w:rPr>
        <w:t> </w:t>
      </w:r>
      <w:r>
        <w:rPr/>
        <w:t>入资产的入账价值，将最低租赁付款额作为长期应付款的入账价值，其差额作为未确认的融资费用。</w:t>
      </w:r>
    </w:p>
    <w:p>
      <w:pPr>
        <w:pStyle w:val="Heading5"/>
        <w:spacing w:line="240" w:lineRule="auto" w:before="24"/>
        <w:ind w:left="573" w:right="0"/>
        <w:jc w:val="left"/>
      </w:pPr>
      <w:r>
        <w:rPr/>
        <w:t>公司采用实际利率法对未确认的融资费用，在资产租赁期间内摊销，计入财务费用。</w:t>
      </w:r>
    </w:p>
    <w:p>
      <w:pPr>
        <w:pStyle w:val="Heading5"/>
        <w:spacing w:line="278" w:lineRule="auto" w:before="50"/>
        <w:ind w:right="1130" w:firstLine="420"/>
        <w:jc w:val="both"/>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）融资租出资产：公司在租赁开始日，将应收融资租赁款，未担保余值之和与其现值的差额确认为未实</w:t>
      </w:r>
      <w:r>
        <w:rPr>
          <w:w w:val="100"/>
        </w:rPr>
        <w:t> </w:t>
      </w:r>
      <w:r>
        <w:rPr/>
        <w:t>现融资收益，在将来收到租金的各期间内确认为租赁收入，公司发生的与出租交易相关的初始直接费用，计入</w:t>
      </w:r>
      <w:r>
        <w:rPr>
          <w:w w:val="100"/>
        </w:rPr>
        <w:t> </w:t>
      </w:r>
      <w:r>
        <w:rPr/>
        <w:t>应收融资租赁款的初始计量中，并减少租赁期内确认的收益金额。</w:t>
      </w:r>
    </w:p>
    <w:p>
      <w:pPr>
        <w:spacing w:line="240" w:lineRule="auto" w:before="9"/>
        <w:rPr>
          <w:rFonts w:ascii="宋体" w:hAnsi="宋体" w:cs="宋体" w:eastAsia="宋体" w:hint="default"/>
          <w:sz w:val="23"/>
          <w:szCs w:val="23"/>
        </w:rPr>
      </w:pPr>
    </w:p>
    <w:p>
      <w:pPr>
        <w:pStyle w:val="Heading3"/>
        <w:spacing w:line="240" w:lineRule="auto"/>
        <w:ind w:left="153" w:right="0"/>
        <w:jc w:val="left"/>
        <w:rPr>
          <w:b w:val="0"/>
          <w:bCs w:val="0"/>
        </w:rPr>
      </w:pPr>
      <w:bookmarkStart w:name="27、其他重要的会计政策和会计估计" w:id="236"/>
      <w:bookmarkEnd w:id="236"/>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重要会计政策和会计估计变更" w:id="237"/>
      <w:bookmarkEnd w:id="237"/>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38"/>
      <w:bookmarkEnd w:id="23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80"/>
        <w:gridCol w:w="1701"/>
        <w:gridCol w:w="1489"/>
      </w:tblGrid>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长期股权投资原成本法核算的对被投资单位不具有控制、共同控制或重大影响的 权益性投资重分类至可供出售金融资产科目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董事会批决</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如下述（</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714"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对原外币报表折算差额予以调整，根据列报要求作为其他综合收益项目列报，并 对年初数采用追溯调整法进行调整列报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董事会批决</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如下述（</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根据列报要求将递延收益单独列报，并对年初数采用追溯调整法进行调整列报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董事会批决</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如下述（</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spacing w:line="240" w:lineRule="auto" w:before="10"/>
        <w:rPr>
          <w:rFonts w:ascii="宋体" w:hAnsi="宋体" w:cs="宋体" w:eastAsia="宋体" w:hint="default"/>
          <w:sz w:val="5"/>
          <w:szCs w:val="5"/>
        </w:rPr>
      </w:pPr>
    </w:p>
    <w:p>
      <w:pPr>
        <w:pStyle w:val="Heading5"/>
        <w:spacing w:line="285" w:lineRule="auto" w:before="38"/>
        <w:ind w:left="574" w:right="0"/>
        <w:jc w:val="left"/>
      </w:pPr>
      <w:r>
        <w:rPr/>
        <w:t>会计政策变更说明：</w:t>
      </w:r>
      <w:r>
        <w:rPr>
          <w:w w:val="100"/>
        </w:rPr>
        <w:t> </w:t>
      </w: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日召开第四届董事会第二十六次会议审议通过《关于会计政策变更的议案》，鉴于</w:t>
      </w:r>
    </w:p>
    <w:p>
      <w:pPr>
        <w:pStyle w:val="Heading5"/>
        <w:spacing w:line="278" w:lineRule="auto" w:before="0"/>
        <w:ind w:right="1118"/>
        <w:jc w:val="left"/>
      </w:pPr>
      <w:r>
        <w:rPr>
          <w:spacing w:val="-1"/>
        </w:rPr>
        <w:t>财政部于</w:t>
      </w:r>
      <w:r>
        <w:rPr>
          <w:rFonts w:ascii="Times New Roman" w:hAnsi="Times New Roman" w:cs="Times New Roman" w:eastAsia="Times New Roman" w:hint="default"/>
          <w:spacing w:val="-1"/>
        </w:rPr>
        <w:t>2014</w:t>
      </w:r>
      <w:r>
        <w:rPr>
          <w:spacing w:val="-1"/>
        </w:rPr>
        <w:t>年陆续颁布或修订了一系列企业会计准则，本公司已按要求于</w:t>
      </w:r>
      <w:r>
        <w:rPr>
          <w:rFonts w:ascii="Times New Roman" w:hAnsi="Times New Roman" w:cs="Times New Roman" w:eastAsia="Times New Roman" w:hint="default"/>
          <w:spacing w:val="-1"/>
        </w:rPr>
        <w:t>2014</w:t>
      </w:r>
      <w:r>
        <w:rPr>
          <w:spacing w:val="-1"/>
        </w:rPr>
        <w:t>年度执行新的该等企业会计准</w:t>
      </w:r>
      <w:r>
        <w:rPr>
          <w:spacing w:val="-57"/>
        </w:rPr>
        <w:t> </w:t>
      </w:r>
      <w:r>
        <w:rPr>
          <w:spacing w:val="-57"/>
        </w:rPr>
      </w:r>
      <w:r>
        <w:rPr/>
        <w:t>则，并按照新准则的衔接规定对比较财务报表进行调整。执行新准则对比较财务报表影响说明如下：</w:t>
      </w:r>
      <w:r>
        <w:rPr>
          <w:w w:val="100"/>
        </w:rPr>
        <w:t> </w:t>
      </w:r>
      <w:r>
        <w:rPr>
          <w:rFonts w:ascii="宋体" w:hAnsi="宋体" w:cs="宋体" w:eastAsia="宋体" w:hint="default"/>
        </w:rPr>
        <w:t>1</w:t>
      </w:r>
      <w:r>
        <w:rPr/>
        <w:t>、长期股权投资</w:t>
      </w:r>
    </w:p>
    <w:p>
      <w:pPr>
        <w:pStyle w:val="Heading5"/>
        <w:spacing w:line="278" w:lineRule="auto" w:before="18"/>
        <w:ind w:left="154" w:right="1130" w:firstLine="420"/>
        <w:jc w:val="both"/>
      </w:pPr>
      <w:r>
        <w:rPr>
          <w:spacing w:val="-3"/>
        </w:rPr>
        <w:t>本公司根据新修订的《企业会计准则第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长期股权投资准则》，将原成本法核算的对被投资单位不具有</w:t>
      </w:r>
      <w:r>
        <w:rPr>
          <w:w w:val="100"/>
        </w:rPr>
        <w:t> </w:t>
      </w:r>
      <w:r>
        <w:rPr/>
        <w:t>控制、共同控制或重大影响的权益性投资纳入可供出售金融资产核算，其中：在活跃市场中没有报价、公允价</w:t>
      </w:r>
      <w:r>
        <w:rPr>
          <w:spacing w:val="-65"/>
        </w:rPr>
        <w:t> </w:t>
      </w:r>
      <w:r>
        <w:rPr>
          <w:spacing w:val="-65"/>
        </w:rPr>
      </w:r>
      <w:r>
        <w:rPr/>
        <w:t>值不能可靠计量的权益工具按照成本进行后续计量，其他权益工具按公允价值进行后续计量。上述会计政策变</w:t>
      </w:r>
      <w:r>
        <w:rPr>
          <w:spacing w:val="-61"/>
        </w:rPr>
        <w:t> </w:t>
      </w:r>
      <w:r>
        <w:rPr>
          <w:spacing w:val="-61"/>
        </w:rPr>
      </w:r>
      <w:r>
        <w:rPr/>
        <w:t>更采用追溯调整法，</w:t>
      </w:r>
      <w:r>
        <w:rPr>
          <w:rFonts w:ascii="Times New Roman" w:hAnsi="Times New Roman" w:cs="Times New Roman" w:eastAsia="Times New Roman" w:hint="default"/>
        </w:rPr>
        <w:t>2014</w:t>
      </w:r>
      <w:r>
        <w:rPr/>
        <w:t>年比较财务报表已重新表述：</w:t>
      </w:r>
      <w:r>
        <w:rPr>
          <w:spacing w:val="-19"/>
        </w:rPr>
        <w:t> </w:t>
      </w:r>
      <w:r>
        <w:rPr>
          <w:rFonts w:ascii="Times New Roman" w:hAnsi="Times New Roman" w:cs="Times New Roman" w:eastAsia="Times New Roman" w:hint="default"/>
        </w:rPr>
        <w:t>2013</w:t>
      </w:r>
      <w:r>
        <w:rPr/>
        <w:t>年资产负债表调减长期股权投资金额</w:t>
      </w:r>
      <w:r>
        <w:rPr>
          <w:rFonts w:ascii="Times New Roman" w:hAnsi="Times New Roman" w:cs="Times New Roman" w:eastAsia="Times New Roman" w:hint="default"/>
        </w:rPr>
        <w:t>16,310,800.00</w:t>
      </w:r>
      <w:r>
        <w:rPr>
          <w:rFonts w:ascii="Times New Roman" w:hAnsi="Times New Roman" w:cs="Times New Roman" w:eastAsia="Times New Roman" w:hint="default"/>
          <w:w w:val="100"/>
        </w:rPr>
        <w:t> </w:t>
      </w:r>
      <w:r>
        <w:rPr/>
        <w:t>元，调增可供出售金融资产</w:t>
      </w:r>
      <w:r>
        <w:rPr>
          <w:rFonts w:ascii="Times New Roman" w:hAnsi="Times New Roman" w:cs="Times New Roman" w:eastAsia="Times New Roman" w:hint="default"/>
        </w:rPr>
        <w:t>16,310,800.00</w:t>
      </w:r>
      <w:r>
        <w:rPr/>
        <w:t>元，资产总额无影响。</w:t>
      </w:r>
    </w:p>
    <w:p>
      <w:pPr>
        <w:spacing w:after="0" w:line="278"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pPr>
      <w:r>
        <w:rPr>
          <w:rFonts w:ascii="宋体" w:hAnsi="宋体" w:cs="宋体" w:eastAsia="宋体" w:hint="default"/>
        </w:rPr>
        <w:t>2</w:t>
      </w:r>
      <w:r>
        <w:rPr/>
        <w:t>、财务报表列报准则变动对于合并财务报表的影响</w:t>
      </w:r>
    </w:p>
    <w:p>
      <w:pPr>
        <w:pStyle w:val="Heading5"/>
        <w:spacing w:line="278" w:lineRule="auto" w:before="50"/>
        <w:ind w:right="1130" w:firstLine="420"/>
        <w:jc w:val="both"/>
      </w:pPr>
      <w:r>
        <w:rPr>
          <w:rFonts w:ascii="Times New Roman" w:hAnsi="Times New Roman" w:cs="Times New Roman" w:eastAsia="Times New Roman" w:hint="default"/>
          <w:spacing w:val="-3"/>
        </w:rPr>
        <w:t>1</w:t>
      </w:r>
      <w:r>
        <w:rPr>
          <w:spacing w:val="-3"/>
        </w:rPr>
        <w:t>）本公司根据修订后的《企业会计准则第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财务报表列报》，对原资本公积中归属于其他综合收益的</w:t>
      </w:r>
      <w:r>
        <w:rPr>
          <w:w w:val="100"/>
        </w:rPr>
        <w:t> </w:t>
      </w:r>
      <w:r>
        <w:rPr/>
        <w:t>部分及外币报表折算差额予以调整，根据列报要求作为其他综合收益项目列报，并对年初数采用追溯调整法进</w:t>
      </w:r>
      <w:r>
        <w:rPr>
          <w:w w:val="100"/>
        </w:rPr>
        <w:t> </w:t>
      </w:r>
      <w:r>
        <w:rPr/>
        <w:t>行调整列报，追溯调整影响如下：</w:t>
      </w:r>
    </w:p>
    <w:tbl>
      <w:tblPr>
        <w:tblW w:w="0" w:type="auto"/>
        <w:jc w:val="left"/>
        <w:tblInd w:w="149" w:type="dxa"/>
        <w:tblLayout w:type="fixed"/>
        <w:tblCellMar>
          <w:top w:w="0" w:type="dxa"/>
          <w:left w:w="0" w:type="dxa"/>
          <w:bottom w:w="0" w:type="dxa"/>
          <w:right w:w="0" w:type="dxa"/>
        </w:tblCellMar>
        <w:tblLook w:val="01E0"/>
      </w:tblPr>
      <w:tblGrid>
        <w:gridCol w:w="2386"/>
        <w:gridCol w:w="1868"/>
        <w:gridCol w:w="1843"/>
        <w:gridCol w:w="1702"/>
        <w:gridCol w:w="1842"/>
      </w:tblGrid>
      <w:tr>
        <w:trPr>
          <w:trHeight w:val="342" w:hRule="exact"/>
        </w:trPr>
        <w:tc>
          <w:tcPr>
            <w:tcW w:w="238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2386" w:type="dxa"/>
            <w:vMerge/>
            <w:tcBorders>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2"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-12,390.47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-4,117,000.80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-12,390.47</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-4,117,000.80</w:t>
            </w:r>
          </w:p>
        </w:tc>
      </w:tr>
      <w:tr>
        <w:trPr>
          <w:trHeight w:val="342"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-12,390.47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-12,390.47</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-4,117,000.80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-4,117,000.80</w:t>
            </w:r>
          </w:p>
        </w:tc>
      </w:tr>
    </w:tbl>
    <w:p>
      <w:pPr>
        <w:pStyle w:val="Heading5"/>
        <w:spacing w:line="271" w:lineRule="auto" w:before="18"/>
        <w:ind w:right="0" w:firstLine="420"/>
        <w:jc w:val="left"/>
      </w:pPr>
      <w:r>
        <w:rPr>
          <w:rFonts w:ascii="Times New Roman" w:hAnsi="Times New Roman" w:cs="Times New Roman" w:eastAsia="Times New Roman" w:hint="default"/>
          <w:spacing w:val="-3"/>
        </w:rPr>
        <w:t>2</w:t>
      </w:r>
      <w:r>
        <w:rPr>
          <w:spacing w:val="-3"/>
        </w:rPr>
        <w:t>）本公司根据修订后的《企业会计准则第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财务报表列报》，根据列报要求将递延收益单独列报，该</w:t>
      </w:r>
      <w:r>
        <w:rPr>
          <w:w w:val="100"/>
        </w:rPr>
        <w:t> </w:t>
      </w:r>
      <w:r>
        <w:rPr/>
        <w:t>变更对本公司</w:t>
      </w:r>
      <w:r>
        <w:rPr>
          <w:rFonts w:ascii="Times New Roman" w:hAnsi="Times New Roman" w:cs="Times New Roman" w:eastAsia="Times New Roman" w:hint="default"/>
        </w:rPr>
        <w:t>2013</w:t>
      </w:r>
      <w:r>
        <w:rPr/>
        <w:t>年度财务报表没有影响，不需进行追溯调整。</w:t>
      </w:r>
    </w:p>
    <w:p>
      <w:pPr>
        <w:spacing w:line="240" w:lineRule="auto" w:before="10"/>
        <w:rPr>
          <w:rFonts w:ascii="宋体" w:hAnsi="宋体" w:cs="宋体" w:eastAsia="宋体" w:hint="default"/>
          <w:sz w:val="22"/>
          <w:szCs w:val="22"/>
        </w:rPr>
      </w:pPr>
    </w:p>
    <w:p>
      <w:pPr>
        <w:pStyle w:val="Heading3"/>
        <w:spacing w:line="240" w:lineRule="auto"/>
        <w:ind w:left="153" w:right="0"/>
        <w:jc w:val="left"/>
        <w:rPr>
          <w:b w:val="0"/>
          <w:bCs w:val="0"/>
        </w:rPr>
      </w:pPr>
      <w:bookmarkStart w:name="（2）重要会计估计变更" w:id="239"/>
      <w:bookmarkEnd w:id="23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9、其他" w:id="240"/>
      <w:bookmarkEnd w:id="240"/>
      <w:r>
        <w:rPr>
          <w:b w:val="0"/>
          <w:bCs w:val="0"/>
        </w:rPr>
      </w:r>
      <w:r>
        <w:rPr>
          <w:rFonts w:ascii="Times New Roman" w:hAnsi="Times New Roman" w:cs="Times New Roman" w:eastAsia="Times New Roman" w:hint="default"/>
        </w:rPr>
        <w:t>29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41"/>
      <w:bookmarkEnd w:id="241"/>
      <w:r>
        <w:rPr>
          <w:b w:val="0"/>
          <w:bCs w:val="0"/>
        </w:rPr>
      </w:r>
      <w:r>
        <w:rPr/>
        <w:t>六、税项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42"/>
      <w:bookmarkEnd w:id="24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31"/>
        <w:gridCol w:w="2338"/>
      </w:tblGrid>
      <w:tr>
        <w:trPr>
          <w:trHeight w:val="402" w:hRule="exact"/>
        </w:trPr>
        <w:tc>
          <w:tcPr>
            <w:tcW w:w="7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231"/>
        <w:gridCol w:w="2338"/>
      </w:tblGrid>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北京二六三网络科技有限公司大连分公司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北京二六三网络科技有限公司上海分公司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北京二六三网络科技有限公司珠海分公司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上海二六三通信有限公司北京通信技术分公司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上海二六三通信有限公司广州分公司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二六三增值通信香港有限公司</w:t>
            </w: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5"/>
                <w:sz w:val="18"/>
                <w:szCs w:val="18"/>
              </w:rPr>
              <w:t>Value </w:t>
            </w:r>
            <w:r>
              <w:rPr>
                <w:rFonts w:ascii="Times New Roman" w:hAnsi="Times New Roman" w:cs="Times New Roman" w:eastAsia="Times New Roman" w:hint="default"/>
                <w:sz w:val="18"/>
                <w:szCs w:val="18"/>
              </w:rPr>
              <w:t>Added Communication Hong Kong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Co.,Limited)</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爱涛网络电视香港有限公司（</w:t>
            </w:r>
            <w:r>
              <w:rPr>
                <w:rFonts w:ascii="Times New Roman" w:hAnsi="Times New Roman" w:cs="Times New Roman" w:eastAsia="Times New Roman" w:hint="default"/>
                <w:sz w:val="18"/>
                <w:szCs w:val="18"/>
              </w:rPr>
              <w:t>iTalkTV Hongkong</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28"/>
                <w:sz w:val="18"/>
              </w:rPr>
              <w:t> </w:t>
            </w:r>
            <w:r>
              <w:rPr>
                <w:rFonts w:ascii="Times New Roman"/>
                <w:sz w:val="18"/>
              </w:rPr>
              <w:t>INC.</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Digital Technology Marketing and Information,</w:t>
            </w:r>
            <w:r>
              <w:rPr>
                <w:rFonts w:ascii="Times New Roman"/>
                <w:spacing w:val="-29"/>
                <w:sz w:val="18"/>
              </w:rPr>
              <w:t> </w:t>
            </w:r>
            <w:r>
              <w:rPr>
                <w:rFonts w:ascii="Times New Roman"/>
                <w:sz w:val="18"/>
              </w:rPr>
              <w:t>Inc.</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二六三软件技术（北京）有限公司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1"/>
                <w:sz w:val="18"/>
              </w:rPr>
              <w:t> </w:t>
            </w:r>
            <w:r>
              <w:rPr>
                <w:rFonts w:ascii="Times New Roman"/>
                <w:sz w:val="18"/>
              </w:rPr>
              <w:t>Corporation</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43"/>
      <w:bookmarkEnd w:id="24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5"/>
          <w:szCs w:val="25"/>
        </w:rPr>
      </w:pPr>
    </w:p>
    <w:p>
      <w:pPr>
        <w:pStyle w:val="Heading5"/>
        <w:spacing w:line="285" w:lineRule="auto" w:before="0"/>
        <w:ind w:left="154" w:right="1131" w:firstLine="42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日，本公司换领了北京市科学技术委员会、北京市财政局、北京市国家税务局、北京市</w:t>
      </w:r>
      <w:r>
        <w:rPr>
          <w:w w:val="100"/>
        </w:rPr>
        <w:t> </w:t>
      </w:r>
      <w:r>
        <w:rPr/>
        <w:t>地方税务局共同核发的编号为</w:t>
      </w:r>
      <w:r>
        <w:rPr>
          <w:rFonts w:ascii="宋体" w:hAnsi="宋体" w:cs="宋体" w:eastAsia="宋体" w:hint="default"/>
        </w:rPr>
        <w:t>GR201411001953</w:t>
      </w:r>
      <w:r>
        <w:rPr/>
        <w:t>的高新技术企业证书，证书有效期三年。根据企业所得税法的相</w:t>
      </w:r>
      <w:r>
        <w:rPr>
          <w:w w:val="100"/>
        </w:rPr>
        <w:t> </w:t>
      </w:r>
      <w:r>
        <w:rPr/>
        <w:t>关优惠政策的规定，本公司属国家需要重点扶持的高新技术企业，减按</w:t>
      </w:r>
      <w:r>
        <w:rPr>
          <w:rFonts w:ascii="宋体" w:hAnsi="宋体" w:cs="宋体" w:eastAsia="宋体" w:hint="default"/>
        </w:rPr>
        <w:t>15%</w:t>
      </w:r>
      <w:r>
        <w:rPr/>
        <w:t>的税率缴纳企业所得税。</w:t>
      </w:r>
    </w:p>
    <w:p>
      <w:pPr>
        <w:pStyle w:val="Heading5"/>
        <w:spacing w:line="285" w:lineRule="auto"/>
        <w:ind w:left="154" w:right="1148" w:firstLine="420"/>
        <w:jc w:val="both"/>
      </w:pPr>
      <w:r>
        <w:rPr>
          <w:spacing w:val="-1"/>
        </w:rPr>
        <w:t>根据所得税法规定，跨省市总分机构所得税统一执行“统一计算、分级管理、就地预缴、汇总清算、财政</w:t>
      </w:r>
      <w:r>
        <w:rPr>
          <w:w w:val="100"/>
        </w:rPr>
        <w:t> </w:t>
      </w:r>
      <w:r>
        <w:rPr/>
        <w:t>调库”的征收管理办法，本公司所得税中部分所得税由各个分公司在当地预缴。</w:t>
      </w:r>
    </w:p>
    <w:p>
      <w:pPr>
        <w:pStyle w:val="Heading5"/>
        <w:spacing w:line="285" w:lineRule="auto"/>
        <w:ind w:left="154" w:right="1131" w:firstLine="420"/>
        <w:jc w:val="left"/>
      </w:pPr>
      <w:r>
        <w:rPr>
          <w:spacing w:val="-3"/>
        </w:rPr>
        <w:t>（</w:t>
      </w:r>
      <w:r>
        <w:rPr>
          <w:rFonts w:ascii="宋体" w:hAnsi="宋体" w:cs="宋体" w:eastAsia="宋体" w:hint="default"/>
          <w:spacing w:val="-3"/>
        </w:rPr>
        <w:t>2</w:t>
      </w:r>
      <w:r>
        <w:rPr>
          <w:spacing w:val="-3"/>
        </w:rPr>
        <w:t>）经北京市经济和信息化委员会认定：北京二六三企业通信有限公司符合《鼓励软件产业和集成电路产</w:t>
      </w:r>
      <w:r>
        <w:rPr>
          <w:w w:val="100"/>
        </w:rPr>
        <w:t> </w:t>
      </w:r>
      <w:r>
        <w:rPr/>
        <w:t>业发展的若干政策》和《软件企业认定标准及管理办法》（试行）的有关规定，被认定为软件企业。</w:t>
      </w:r>
      <w:r>
        <w:rPr>
          <w:rFonts w:ascii="宋体" w:hAnsi="宋体" w:cs="宋体" w:eastAsia="宋体" w:hint="default"/>
        </w:rPr>
        <w:t>2013</w:t>
      </w:r>
      <w:r>
        <w:rPr/>
        <w:t>年</w:t>
      </w:r>
      <w:r>
        <w:rPr>
          <w:rFonts w:ascii="宋体" w:hAnsi="宋体" w:cs="宋体" w:eastAsia="宋体" w:hint="default"/>
        </w:rPr>
        <w:t>5</w:t>
      </w:r>
      <w:r>
        <w:rPr>
          <w:rFonts w:ascii="宋体" w:hAnsi="宋体" w:cs="宋体" w:eastAsia="宋体" w:hint="default"/>
          <w:w w:val="100"/>
        </w:rPr>
        <w:t> </w:t>
      </w:r>
      <w:r>
        <w:rPr/>
        <w:t>月</w:t>
      </w:r>
      <w:r>
        <w:rPr>
          <w:rFonts w:ascii="宋体" w:hAnsi="宋体" w:cs="宋体" w:eastAsia="宋体" w:hint="default"/>
        </w:rPr>
        <w:t>17</w:t>
      </w:r>
      <w:r>
        <w:rPr/>
        <w:t>日，北京二六三企业通信有限公司获取了核发的编号为京</w:t>
      </w:r>
      <w:r>
        <w:rPr>
          <w:rFonts w:ascii="宋体" w:hAnsi="宋体" w:cs="宋体" w:eastAsia="宋体" w:hint="default"/>
        </w:rPr>
        <w:t>R-2013-0136</w:t>
      </w:r>
      <w:r>
        <w:rPr/>
        <w:t>的软件企业认定证书。</w:t>
      </w:r>
    </w:p>
    <w:p>
      <w:pPr>
        <w:pStyle w:val="Heading5"/>
        <w:spacing w:line="285" w:lineRule="auto"/>
        <w:ind w:right="1147" w:firstLine="420"/>
        <w:jc w:val="both"/>
      </w:pPr>
      <w:r>
        <w:rPr>
          <w:spacing w:val="-1"/>
        </w:rPr>
        <w:t>根据国发</w:t>
      </w:r>
      <w:r>
        <w:rPr>
          <w:rFonts w:ascii="宋体" w:hAnsi="宋体" w:cs="宋体" w:eastAsia="宋体" w:hint="default"/>
          <w:spacing w:val="-1"/>
        </w:rPr>
        <w:t>[2000]18</w:t>
      </w:r>
      <w:r>
        <w:rPr>
          <w:spacing w:val="-1"/>
        </w:rPr>
        <w:t>号《鼓励软件产业和集成电路产业发展的若干政策》第六条“在我国境内设立的软件企</w:t>
      </w:r>
      <w:r>
        <w:rPr>
          <w:w w:val="100"/>
        </w:rPr>
        <w:t> </w:t>
      </w:r>
      <w:r>
        <w:rPr>
          <w:spacing w:val="-1"/>
        </w:rPr>
        <w:t>业可享受企业所得税优惠政策。新创办软件企业经认定后，自获利年度起，享受企业所得税</w:t>
      </w:r>
      <w:r>
        <w:rPr>
          <w:rFonts w:ascii="宋体" w:hAnsi="宋体" w:cs="宋体" w:eastAsia="宋体" w:hint="default"/>
          <w:spacing w:val="-1"/>
        </w:rPr>
        <w:t>"</w:t>
      </w:r>
      <w:r>
        <w:rPr>
          <w:spacing w:val="-1"/>
        </w:rPr>
        <w:t>两免三减半</w:t>
      </w:r>
      <w:r>
        <w:rPr>
          <w:rFonts w:ascii="宋体" w:hAnsi="宋体" w:cs="宋体" w:eastAsia="宋体" w:hint="default"/>
          <w:spacing w:val="-1"/>
        </w:rPr>
        <w:t>"</w:t>
      </w:r>
      <w:r>
        <w:rPr>
          <w:spacing w:val="-1"/>
        </w:rPr>
        <w:t>的优</w:t>
      </w:r>
      <w:r>
        <w:rPr>
          <w:spacing w:val="-64"/>
        </w:rPr>
        <w:t> </w:t>
      </w:r>
      <w:r>
        <w:rPr/>
        <w:t>惠政策。”</w:t>
      </w:r>
      <w:r>
        <w:rPr>
          <w:spacing w:val="-7"/>
        </w:rPr>
        <w:t> </w:t>
      </w:r>
      <w:r>
        <w:rPr/>
        <w:t>北京二六三企业通信有限公司及其分公司</w:t>
      </w:r>
      <w:r>
        <w:rPr>
          <w:rFonts w:ascii="宋体" w:hAnsi="宋体" w:cs="宋体" w:eastAsia="宋体" w:hint="default"/>
        </w:rPr>
        <w:t>2014</w:t>
      </w:r>
      <w:r>
        <w:rPr/>
        <w:t>年度减半征收企业所得税。</w:t>
      </w:r>
    </w:p>
    <w:p>
      <w:pPr>
        <w:pStyle w:val="Heading5"/>
        <w:spacing w:line="285" w:lineRule="auto"/>
        <w:ind w:right="1129" w:firstLine="420"/>
        <w:jc w:val="both"/>
      </w:pPr>
      <w:r>
        <w:rPr>
          <w:spacing w:val="-3"/>
        </w:rPr>
        <w:t>（</w:t>
      </w:r>
      <w:r>
        <w:rPr>
          <w:rFonts w:ascii="宋体" w:hAnsi="宋体" w:cs="宋体" w:eastAsia="宋体" w:hint="default"/>
          <w:spacing w:val="-3"/>
        </w:rPr>
        <w:t>3</w:t>
      </w:r>
      <w:r>
        <w:rPr>
          <w:spacing w:val="-3"/>
        </w:rPr>
        <w:t>）经上海市经济和信息化委员会认定：上海通信公司符合《鼓励软件产业和集成电路产业发展的若干政</w:t>
      </w:r>
      <w:r>
        <w:rPr>
          <w:w w:val="100"/>
        </w:rPr>
        <w:t> </w:t>
      </w:r>
      <w:r>
        <w:rPr>
          <w:spacing w:val="-2"/>
        </w:rPr>
        <w:t>策》和《软件企业认定标准及管理办法》（试行）的有关规定，被认定为软件企业。</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日，上海二六</w:t>
      </w:r>
      <w:r>
        <w:rPr>
          <w:spacing w:val="-73"/>
        </w:rPr>
        <w:t> </w:t>
      </w:r>
      <w:r>
        <w:rPr>
          <w:spacing w:val="-73"/>
        </w:rPr>
      </w:r>
      <w:r>
        <w:rPr/>
        <w:t>三通信有限公司获取了核发的编号为沪</w:t>
      </w:r>
      <w:r>
        <w:rPr>
          <w:rFonts w:ascii="宋体" w:hAnsi="宋体" w:cs="宋体" w:eastAsia="宋体" w:hint="default"/>
        </w:rPr>
        <w:t>R-2013-0331</w:t>
      </w:r>
      <w:r>
        <w:rPr/>
        <w:t>的软件企业认定证书。</w:t>
      </w:r>
    </w:p>
    <w:p>
      <w:pPr>
        <w:pStyle w:val="Heading5"/>
        <w:spacing w:line="285" w:lineRule="auto"/>
        <w:ind w:left="154" w:right="1068" w:firstLine="420"/>
        <w:jc w:val="both"/>
      </w:pP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日，上海通信公司领取了上海市科学技术委员会、上海市财政局、上海市国家税务局、上海</w:t>
      </w:r>
      <w:r>
        <w:rPr>
          <w:w w:val="100"/>
        </w:rPr>
        <w:t> </w:t>
      </w:r>
      <w:r>
        <w:rPr/>
        <w:t>市地方税务局联合颁发证书编号为</w:t>
      </w:r>
      <w:r>
        <w:rPr>
          <w:rFonts w:ascii="宋体" w:hAnsi="宋体" w:cs="宋体" w:eastAsia="宋体" w:hint="default"/>
        </w:rPr>
        <w:t>GR201431001448</w:t>
      </w:r>
      <w:r>
        <w:rPr/>
        <w:t>的《高新技术企业证书》，证书有效期三年。根据新企业所</w:t>
      </w:r>
      <w:r>
        <w:rPr>
          <w:w w:val="100"/>
        </w:rPr>
        <w:t> </w:t>
      </w:r>
      <w:r>
        <w:rPr>
          <w:spacing w:val="-1"/>
        </w:rPr>
        <w:t>得税法的相关优惠政策的规定，该公司属国家需要重点扶持的高新技术企业，减按</w:t>
      </w:r>
      <w:r>
        <w:rPr>
          <w:rFonts w:ascii="宋体" w:hAnsi="宋体" w:cs="宋体" w:eastAsia="宋体" w:hint="default"/>
          <w:spacing w:val="-1"/>
        </w:rPr>
        <w:t>15%</w:t>
      </w:r>
      <w:r>
        <w:rPr>
          <w:spacing w:val="-1"/>
        </w:rPr>
        <w:t>的税率征收企业所得税。</w:t>
      </w:r>
    </w:p>
    <w:p>
      <w:pPr>
        <w:pStyle w:val="Heading5"/>
        <w:spacing w:line="285" w:lineRule="auto"/>
        <w:ind w:right="0" w:firstLine="420"/>
        <w:jc w:val="left"/>
      </w:pPr>
      <w:r>
        <w:rPr>
          <w:rFonts w:ascii="宋体" w:hAnsi="宋体" w:cs="宋体" w:eastAsia="宋体" w:hint="default"/>
          <w:spacing w:val="-4"/>
          <w:w w:val="100"/>
        </w:rPr>
        <w:t>2014</w:t>
      </w:r>
      <w:r>
        <w:rPr>
          <w:spacing w:val="-4"/>
          <w:w w:val="100"/>
        </w:rPr>
        <w:t>年</w:t>
      </w:r>
      <w:r>
        <w:rPr>
          <w:rFonts w:ascii="宋体" w:hAnsi="宋体" w:cs="宋体" w:eastAsia="宋体" w:hint="default"/>
          <w:spacing w:val="-4"/>
          <w:w w:val="100"/>
        </w:rPr>
        <w:t>1</w:t>
      </w:r>
      <w:r>
        <w:rPr>
          <w:spacing w:val="-4"/>
          <w:w w:val="100"/>
        </w:rPr>
        <w:t>月</w:t>
      </w:r>
      <w:r>
        <w:rPr>
          <w:rFonts w:ascii="宋体" w:hAnsi="宋体" w:cs="宋体" w:eastAsia="宋体" w:hint="default"/>
          <w:spacing w:val="-4"/>
          <w:w w:val="100"/>
        </w:rPr>
        <w:t>21</w:t>
      </w:r>
      <w:r>
        <w:rPr>
          <w:spacing w:val="-4"/>
          <w:w w:val="100"/>
        </w:rPr>
        <w:t>日，经上海市虹口区国家税务局以沪虹税受</w:t>
      </w:r>
      <w:r>
        <w:rPr>
          <w:rFonts w:ascii="宋体" w:hAnsi="宋体" w:cs="宋体" w:eastAsia="宋体" w:hint="default"/>
          <w:spacing w:val="-4"/>
          <w:w w:val="100"/>
        </w:rPr>
        <w:t>1401001205</w:t>
      </w:r>
      <w:r>
        <w:rPr>
          <w:spacing w:val="-4"/>
          <w:w w:val="100"/>
        </w:rPr>
        <w:t>“企业所得税优惠事先备案结果通知书”</w:t>
      </w:r>
      <w:r>
        <w:rPr>
          <w:w w:val="100"/>
        </w:rPr>
        <w:t> </w:t>
      </w:r>
      <w:r>
        <w:rPr>
          <w:spacing w:val="-5"/>
          <w:w w:val="100"/>
        </w:rPr>
        <w:t>批准，上海通信公司新办软件生产企业、集成电路设计企业免征企业所得税的执行期自</w:t>
      </w:r>
      <w:r>
        <w:rPr>
          <w:rFonts w:ascii="宋体" w:hAnsi="宋体" w:cs="宋体" w:eastAsia="宋体" w:hint="default"/>
          <w:spacing w:val="-5"/>
          <w:w w:val="100"/>
        </w:rPr>
        <w:t>2013</w:t>
      </w:r>
      <w:r>
        <w:rPr>
          <w:spacing w:val="-5"/>
          <w:w w:val="100"/>
        </w:rPr>
        <w:t>年</w:t>
      </w:r>
      <w:r>
        <w:rPr>
          <w:rFonts w:ascii="宋体" w:hAnsi="宋体" w:cs="宋体" w:eastAsia="宋体" w:hint="default"/>
          <w:spacing w:val="-5"/>
          <w:w w:val="100"/>
        </w:rPr>
        <w:t>1</w:t>
      </w:r>
      <w:r>
        <w:rPr>
          <w:rFonts w:ascii="宋体" w:hAnsi="宋体" w:cs="宋体" w:eastAsia="宋体" w:hint="default"/>
          <w:w w:val="100"/>
        </w:rPr>
        <w:t> </w:t>
      </w:r>
      <w:r>
        <w:rPr>
          <w:spacing w:val="-10"/>
          <w:w w:val="100"/>
        </w:rPr>
        <w:t>月</w:t>
      </w:r>
      <w:r>
        <w:rPr>
          <w:rFonts w:ascii="宋体" w:hAnsi="宋体" w:cs="宋体" w:eastAsia="宋体" w:hint="default"/>
          <w:spacing w:val="-10"/>
          <w:w w:val="100"/>
        </w:rPr>
        <w:t>1</w:t>
      </w:r>
      <w:r>
        <w:rPr>
          <w:spacing w:val="-10"/>
          <w:w w:val="100"/>
        </w:rPr>
        <w:t>日起，到</w:t>
      </w:r>
      <w:r>
        <w:rPr>
          <w:rFonts w:ascii="宋体" w:hAnsi="宋体" w:cs="宋体" w:eastAsia="宋体" w:hint="default"/>
          <w:spacing w:val="-10"/>
          <w:w w:val="100"/>
        </w:rPr>
        <w:t>2014</w:t>
      </w:r>
      <w:r>
        <w:rPr>
          <w:rFonts w:ascii="宋体" w:hAnsi="宋体" w:cs="宋体" w:eastAsia="宋体" w:hint="default"/>
          <w:spacing w:val="-74"/>
          <w:w w:val="100"/>
        </w:rPr>
        <w:t> </w:t>
      </w:r>
      <w:r>
        <w:rPr/>
        <w:t>年</w:t>
      </w:r>
      <w:r>
        <w:rPr>
          <w:rFonts w:ascii="宋体" w:hAnsi="宋体" w:cs="宋体" w:eastAsia="宋体" w:hint="default"/>
        </w:rPr>
        <w:t>12</w:t>
      </w:r>
      <w:r>
        <w:rPr/>
        <w:t>月</w:t>
      </w:r>
      <w:r>
        <w:rPr>
          <w:rFonts w:ascii="宋体" w:hAnsi="宋体" w:cs="宋体" w:eastAsia="宋体" w:hint="default"/>
        </w:rPr>
        <w:t>31</w:t>
      </w:r>
      <w:r>
        <w:rPr/>
        <w:t>日止；减半征收企业所得税的执行期自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日止。上海通信公司及其分</w:t>
      </w:r>
      <w:r>
        <w:rPr>
          <w:w w:val="100"/>
        </w:rPr>
        <w:t> </w:t>
      </w:r>
      <w:r>
        <w:rPr/>
        <w:t>公司</w:t>
      </w:r>
      <w:r>
        <w:rPr>
          <w:rFonts w:ascii="宋体" w:hAnsi="宋体" w:cs="宋体" w:eastAsia="宋体" w:hint="default"/>
        </w:rPr>
        <w:t>2014</w:t>
      </w:r>
      <w:r>
        <w:rPr/>
        <w:t>年度免征企业所得税。</w:t>
      </w:r>
    </w:p>
    <w:p>
      <w:pPr>
        <w:pStyle w:val="Heading5"/>
        <w:spacing w:line="240" w:lineRule="auto"/>
        <w:ind w:left="573" w:right="0"/>
        <w:jc w:val="left"/>
      </w:pPr>
      <w:r>
        <w:rPr/>
        <w:t>（</w:t>
      </w:r>
      <w:r>
        <w:rPr>
          <w:rFonts w:ascii="宋体" w:hAnsi="宋体" w:cs="宋体" w:eastAsia="宋体" w:hint="default"/>
        </w:rPr>
        <w:t>4</w:t>
      </w:r>
      <w:r>
        <w:rPr/>
        <w:t>）依《香港法例》第</w:t>
      </w:r>
      <w:r>
        <w:rPr>
          <w:rFonts w:ascii="宋体" w:hAnsi="宋体" w:cs="宋体" w:eastAsia="宋体" w:hint="default"/>
        </w:rPr>
        <w:t>112</w:t>
      </w:r>
      <w:r>
        <w:rPr/>
        <w:t>章“税务条例”，本公司之间接子公司二六三增值通信香港有限公司、爱涛网</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pPr>
      <w:r>
        <w:rPr/>
        <w:t>络电视香港有限公司、二六三香港控股有限公司适用</w:t>
      </w:r>
      <w:r>
        <w:rPr>
          <w:rFonts w:ascii="宋体" w:hAnsi="宋体" w:cs="宋体" w:eastAsia="宋体" w:hint="default"/>
        </w:rPr>
        <w:t>16.5%</w:t>
      </w:r>
      <w:r>
        <w:rPr/>
        <w:t>企业所得税率。</w:t>
      </w:r>
    </w:p>
    <w:p>
      <w:pPr>
        <w:pStyle w:val="Heading5"/>
        <w:spacing w:line="285" w:lineRule="auto" w:before="50"/>
        <w:ind w:right="1129" w:firstLine="420"/>
        <w:jc w:val="both"/>
      </w:pPr>
      <w:r>
        <w:rPr>
          <w:spacing w:val="-3"/>
        </w:rPr>
        <w:t>（</w:t>
      </w:r>
      <w:r>
        <w:rPr>
          <w:rFonts w:ascii="宋体" w:hAnsi="宋体" w:cs="宋体" w:eastAsia="宋体" w:hint="default"/>
          <w:spacing w:val="-3"/>
        </w:rPr>
        <w:t>5</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日，经北京市科学技术委员会、财政局、国家税务局、地方税务局批准，北京首都在线</w:t>
      </w:r>
      <w:r>
        <w:rPr>
          <w:w w:val="100"/>
        </w:rPr>
        <w:t> </w:t>
      </w:r>
      <w:r>
        <w:rPr>
          <w:spacing w:val="-2"/>
        </w:rPr>
        <w:t>网络技术有限公司被认定为高新技术企业</w:t>
      </w:r>
      <w:r>
        <w:rPr>
          <w:rFonts w:ascii="宋体" w:hAnsi="宋体" w:cs="宋体" w:eastAsia="宋体" w:hint="default"/>
          <w:spacing w:val="-2"/>
        </w:rPr>
        <w:t>,</w:t>
      </w:r>
      <w:r>
        <w:rPr>
          <w:spacing w:val="-2"/>
        </w:rPr>
        <w:t>证书编号：</w:t>
      </w:r>
      <w:r>
        <w:rPr>
          <w:rFonts w:ascii="宋体" w:hAnsi="宋体" w:cs="宋体" w:eastAsia="宋体" w:hint="default"/>
          <w:spacing w:val="-2"/>
        </w:rPr>
        <w:t>GF201211001040</w:t>
      </w:r>
      <w:r>
        <w:rPr>
          <w:spacing w:val="-2"/>
        </w:rPr>
        <w:t>。根据高新技术企业认定和税收优惠的相</w:t>
      </w:r>
      <w:r>
        <w:rPr>
          <w:spacing w:val="-62"/>
        </w:rPr>
        <w:t> </w:t>
      </w:r>
      <w:r>
        <w:rPr>
          <w:spacing w:val="-62"/>
        </w:rPr>
      </w:r>
      <w:r>
        <w:rPr/>
        <w:t>关政策，</w:t>
      </w:r>
      <w:r>
        <w:rPr>
          <w:rFonts w:ascii="宋体" w:hAnsi="宋体" w:cs="宋体" w:eastAsia="宋体" w:hint="default"/>
        </w:rPr>
        <w:t>2014</w:t>
      </w:r>
      <w:r>
        <w:rPr/>
        <w:t>年度北京首都在线网络技术有限公司按</w:t>
      </w:r>
      <w:r>
        <w:rPr>
          <w:rFonts w:ascii="宋体" w:hAnsi="宋体" w:cs="宋体" w:eastAsia="宋体" w:hint="default"/>
        </w:rPr>
        <w:t>15%</w:t>
      </w:r>
      <w:r>
        <w:rPr/>
        <w:t>的税率计缴企业所得税。</w:t>
      </w:r>
    </w:p>
    <w:p>
      <w:pPr>
        <w:pStyle w:val="Heading5"/>
        <w:spacing w:line="240" w:lineRule="auto"/>
        <w:ind w:left="573" w:right="0"/>
        <w:jc w:val="left"/>
      </w:pPr>
      <w:r>
        <w:rPr/>
        <w:t>（</w:t>
      </w:r>
      <w:r>
        <w:rPr>
          <w:rFonts w:ascii="宋体" w:hAnsi="宋体" w:cs="宋体" w:eastAsia="宋体" w:hint="default"/>
        </w:rPr>
        <w:t>6</w:t>
      </w:r>
      <w:r>
        <w:rPr/>
        <w:t>）美国联邦所得税和州所得税（特许权税）：</w:t>
      </w:r>
    </w:p>
    <w:p>
      <w:pPr>
        <w:spacing w:line="240" w:lineRule="auto" w:before="3"/>
        <w:rPr>
          <w:rFonts w:ascii="宋体" w:hAnsi="宋体" w:cs="宋体" w:eastAsia="宋体" w:hint="default"/>
          <w:sz w:val="14"/>
          <w:szCs w:val="14"/>
        </w:rPr>
      </w:pPr>
    </w:p>
    <w:p>
      <w:pPr>
        <w:pStyle w:val="BodyText"/>
        <w:spacing w:line="240" w:lineRule="auto"/>
        <w:ind w:left="677" w:right="0"/>
        <w:jc w:val="left"/>
      </w:pPr>
      <w:r>
        <w:rPr/>
        <w:t>①联邦所得税率</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71"/>
        <w:gridCol w:w="2514"/>
        <w:gridCol w:w="2145"/>
      </w:tblGrid>
      <w:tr>
        <w:trPr>
          <w:trHeight w:val="342" w:hRule="exact"/>
        </w:trPr>
        <w:tc>
          <w:tcPr>
            <w:tcW w:w="6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77" w:right="0"/>
              <w:jc w:val="left"/>
              <w:rPr>
                <w:rFonts w:ascii="宋体" w:hAnsi="宋体" w:cs="宋体" w:eastAsia="宋体" w:hint="default"/>
                <w:sz w:val="18"/>
                <w:szCs w:val="18"/>
              </w:rPr>
            </w:pPr>
            <w:r>
              <w:rPr>
                <w:rFonts w:ascii="宋体" w:hAnsi="宋体" w:cs="宋体" w:eastAsia="宋体" w:hint="default"/>
                <w:sz w:val="18"/>
                <w:szCs w:val="18"/>
              </w:rPr>
              <w:t>应纳税所得额（含税级距，单位：美元）</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6"/>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tabs>
                <w:tab w:pos="1746" w:val="left" w:leader="none"/>
              </w:tabs>
              <w:spacing w:line="240" w:lineRule="auto" w:before="61"/>
              <w:ind w:right="184"/>
              <w:jc w:val="right"/>
              <w:rPr>
                <w:rFonts w:ascii="Times New Roman" w:hAnsi="Times New Roman" w:cs="Times New Roman" w:eastAsia="Times New Roman" w:hint="default"/>
                <w:sz w:val="18"/>
                <w:szCs w:val="18"/>
              </w:rPr>
            </w:pPr>
            <w:r>
              <w:rPr>
                <w:rFonts w:ascii="Times New Roman"/>
                <w:sz w:val="18"/>
              </w:rPr>
              <w:t>$</w:t>
              <w:tab/>
              <w:t>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61"/>
              <w:ind w:right="183"/>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50,000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w w:val="95"/>
                <w:sz w:val="18"/>
              </w:rPr>
              <w:t>15%</w:t>
            </w:r>
            <w:r>
              <w:rPr>
                <w:rFonts w:ascii="Times New Roman"/>
                <w:sz w:val="18"/>
              </w:rPr>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50,000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0"/>
              <w:jc w:val="right"/>
              <w:rPr>
                <w:rFonts w:ascii="Times New Roman" w:hAnsi="Times New Roman" w:cs="Times New Roman" w:eastAsia="Times New Roman" w:hint="default"/>
                <w:sz w:val="18"/>
                <w:szCs w:val="18"/>
              </w:rPr>
            </w:pPr>
            <w:r>
              <w:rPr>
                <w:rFonts w:ascii="Times New Roman"/>
                <w:sz w:val="18"/>
              </w:rPr>
              <w:t>75,000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w w:val="95"/>
                <w:sz w:val="18"/>
              </w:rPr>
              <w:t>25%</w:t>
            </w:r>
            <w:r>
              <w:rPr>
                <w:rFonts w:ascii="Times New Roman"/>
                <w:sz w:val="18"/>
              </w:rPr>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75,000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0"/>
              <w:jc w:val="right"/>
              <w:rPr>
                <w:rFonts w:ascii="Times New Roman" w:hAnsi="Times New Roman" w:cs="Times New Roman" w:eastAsia="Times New Roman" w:hint="default"/>
                <w:sz w:val="18"/>
                <w:szCs w:val="18"/>
              </w:rPr>
            </w:pPr>
            <w:r>
              <w:rPr>
                <w:rFonts w:ascii="Times New Roman"/>
                <w:sz w:val="18"/>
              </w:rPr>
              <w:t>100,000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w w:val="95"/>
                <w:sz w:val="18"/>
              </w:rPr>
              <w:t>34%</w:t>
            </w:r>
            <w:r>
              <w:rPr>
                <w:rFonts w:ascii="Times New Roman"/>
                <w:sz w:val="18"/>
              </w:rPr>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100,000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0"/>
              <w:jc w:val="right"/>
              <w:rPr>
                <w:rFonts w:ascii="Times New Roman" w:hAnsi="Times New Roman" w:cs="Times New Roman" w:eastAsia="Times New Roman" w:hint="default"/>
                <w:sz w:val="18"/>
                <w:szCs w:val="18"/>
              </w:rPr>
            </w:pPr>
            <w:r>
              <w:rPr>
                <w:rFonts w:ascii="Times New Roman"/>
                <w:sz w:val="18"/>
              </w:rPr>
              <w:t>335,000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w w:val="95"/>
                <w:sz w:val="18"/>
              </w:rPr>
              <w:t>39%</w:t>
            </w:r>
            <w:r>
              <w:rPr>
                <w:rFonts w:ascii="Times New Roman"/>
                <w:sz w:val="18"/>
              </w:rPr>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335,000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0"/>
              <w:jc w:val="right"/>
              <w:rPr>
                <w:rFonts w:ascii="Times New Roman" w:hAnsi="Times New Roman" w:cs="Times New Roman" w:eastAsia="Times New Roman" w:hint="default"/>
                <w:sz w:val="18"/>
                <w:szCs w:val="18"/>
              </w:rPr>
            </w:pPr>
            <w:r>
              <w:rPr>
                <w:rFonts w:ascii="Times New Roman"/>
                <w:sz w:val="18"/>
              </w:rPr>
              <w:t>10,000,000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w w:val="95"/>
                <w:sz w:val="18"/>
              </w:rPr>
              <w:t>34%</w:t>
            </w:r>
            <w:r>
              <w:rPr>
                <w:rFonts w:ascii="Times New Roman"/>
                <w:sz w:val="18"/>
              </w:rPr>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10,000,000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0"/>
              <w:jc w:val="right"/>
              <w:rPr>
                <w:rFonts w:ascii="Times New Roman" w:hAnsi="Times New Roman" w:cs="Times New Roman" w:eastAsia="Times New Roman" w:hint="default"/>
                <w:sz w:val="18"/>
                <w:szCs w:val="18"/>
              </w:rPr>
            </w:pPr>
            <w:r>
              <w:rPr>
                <w:rFonts w:ascii="Times New Roman"/>
                <w:sz w:val="18"/>
              </w:rPr>
              <w:t>15,000,000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w w:val="95"/>
                <w:sz w:val="18"/>
              </w:rPr>
              <w:t>35%</w:t>
            </w:r>
            <w:r>
              <w:rPr>
                <w:rFonts w:ascii="Times New Roman"/>
                <w:sz w:val="18"/>
              </w:rPr>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15,000,000</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0"/>
              <w:jc w:val="right"/>
              <w:rPr>
                <w:rFonts w:ascii="Times New Roman" w:hAnsi="Times New Roman" w:cs="Times New Roman" w:eastAsia="Times New Roman" w:hint="default"/>
                <w:sz w:val="18"/>
                <w:szCs w:val="18"/>
              </w:rPr>
            </w:pPr>
            <w:r>
              <w:rPr>
                <w:rFonts w:ascii="Times New Roman"/>
                <w:sz w:val="18"/>
              </w:rPr>
              <w:t>18,333,333</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w w:val="95"/>
                <w:sz w:val="18"/>
              </w:rPr>
              <w:t>38%</w:t>
            </w:r>
            <w:r>
              <w:rPr>
                <w:rFonts w:ascii="Times New Roman"/>
                <w:sz w:val="18"/>
              </w:rPr>
            </w:r>
          </w:p>
        </w:tc>
      </w:tr>
      <w:tr>
        <w:trPr>
          <w:trHeight w:val="342" w:hRule="exact"/>
        </w:trPr>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18,333,333</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pacing w:val="-1"/>
                <w:sz w:val="18"/>
              </w:rPr>
              <w:t>..........</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35%</w:t>
            </w:r>
          </w:p>
        </w:tc>
      </w:tr>
    </w:tbl>
    <w:p>
      <w:pPr>
        <w:spacing w:line="240" w:lineRule="auto" w:before="10"/>
        <w:rPr>
          <w:rFonts w:ascii="宋体" w:hAnsi="宋体" w:cs="宋体" w:eastAsia="宋体" w:hint="default"/>
          <w:sz w:val="5"/>
          <w:szCs w:val="5"/>
        </w:rPr>
      </w:pPr>
    </w:p>
    <w:p>
      <w:pPr>
        <w:pStyle w:val="Heading5"/>
        <w:spacing w:line="285" w:lineRule="auto" w:before="38"/>
        <w:ind w:left="259" w:right="1129" w:firstLine="420"/>
        <w:jc w:val="both"/>
      </w:pPr>
      <w:r>
        <w:rPr/>
        <w:t>美国联邦所得税纳税申报表要求同时计算两种类型的所得税：常规所得税</w:t>
      </w:r>
      <w:r>
        <w:rPr>
          <w:rFonts w:ascii="宋体" w:hAnsi="宋体" w:cs="宋体" w:eastAsia="宋体" w:hint="default"/>
        </w:rPr>
        <w:t>(REGULAR</w:t>
      </w:r>
      <w:r>
        <w:rPr>
          <w:rFonts w:ascii="宋体" w:hAnsi="宋体" w:cs="宋体" w:eastAsia="宋体" w:hint="default"/>
          <w:spacing w:val="-48"/>
        </w:rPr>
        <w:t> </w:t>
      </w:r>
      <w:r>
        <w:rPr>
          <w:rFonts w:ascii="宋体" w:hAnsi="宋体" w:cs="宋体" w:eastAsia="宋体" w:hint="default"/>
        </w:rPr>
        <w:t>INCOME</w:t>
      </w:r>
      <w:r>
        <w:rPr>
          <w:rFonts w:ascii="宋体" w:hAnsi="宋体" w:cs="宋体" w:eastAsia="宋体" w:hint="default"/>
          <w:spacing w:val="-48"/>
        </w:rPr>
        <w:t> </w:t>
      </w:r>
      <w:r>
        <w:rPr>
          <w:rFonts w:ascii="宋体" w:hAnsi="宋体" w:cs="宋体" w:eastAsia="宋体" w:hint="default"/>
        </w:rPr>
        <w:t>TAX)</w:t>
      </w:r>
      <w:r>
        <w:rPr/>
        <w:t>和替代性</w:t>
      </w:r>
      <w:r>
        <w:rPr>
          <w:w w:val="100"/>
        </w:rPr>
        <w:t> </w:t>
      </w:r>
      <w:r>
        <w:rPr/>
        <w:t>最低税</w:t>
      </w:r>
      <w:r>
        <w:rPr>
          <w:rFonts w:ascii="宋体" w:hAnsi="宋体" w:cs="宋体" w:eastAsia="宋体" w:hint="default"/>
        </w:rPr>
        <w:t>(ALTERNATIVE MINIMUM</w:t>
      </w:r>
      <w:r>
        <w:rPr>
          <w:rFonts w:ascii="宋体" w:hAnsi="宋体" w:cs="宋体" w:eastAsia="宋体" w:hint="default"/>
          <w:spacing w:val="-78"/>
        </w:rPr>
        <w:t> </w:t>
      </w:r>
      <w:r>
        <w:rPr>
          <w:rFonts w:ascii="宋体" w:hAnsi="宋体" w:cs="宋体" w:eastAsia="宋体" w:hint="default"/>
        </w:rPr>
        <w:t>TAX)</w:t>
      </w:r>
      <w:r>
        <w:rPr/>
        <w:t>。常规企业所得税为上表所列的累进税率；替代性最低税税率为</w:t>
      </w:r>
      <w:r>
        <w:rPr>
          <w:rFonts w:ascii="宋体" w:hAnsi="宋体" w:cs="宋体" w:eastAsia="宋体" w:hint="default"/>
        </w:rPr>
        <w:t>20%</w:t>
      </w:r>
      <w:r>
        <w:rPr/>
        <w:t>，按常</w:t>
      </w:r>
      <w:r>
        <w:rPr>
          <w:w w:val="100"/>
        </w:rPr>
        <w:t> </w:t>
      </w:r>
      <w:r>
        <w:rPr>
          <w:spacing w:val="-2"/>
        </w:rPr>
        <w:t>规企业所得税和替代性最低税孰高缴纳。以前年度缴纳的替代性最低税可以抵减当年的常规企业所得税，但以</w:t>
      </w:r>
      <w:r>
        <w:rPr>
          <w:spacing w:val="-81"/>
        </w:rPr>
        <w:t> </w:t>
      </w:r>
      <w:r>
        <w:rPr>
          <w:spacing w:val="-81"/>
        </w:rPr>
      </w:r>
      <w:r>
        <w:rPr/>
        <w:t>不使抵减后的当年常规企业所得税低于当年替代性最低税为限。</w:t>
      </w:r>
    </w:p>
    <w:p>
      <w:pPr>
        <w:pStyle w:val="Heading5"/>
        <w:spacing w:line="240" w:lineRule="auto"/>
        <w:ind w:left="495" w:right="2857"/>
        <w:jc w:val="center"/>
      </w:pPr>
      <w:r>
        <w:rPr/>
        <w:t>最低税负的相关税务规定：弥补亏损前应纳税所得额的</w:t>
      </w:r>
      <w:r>
        <w:rPr>
          <w:rFonts w:ascii="宋体" w:hAnsi="宋体" w:cs="宋体" w:eastAsia="宋体" w:hint="default"/>
        </w:rPr>
        <w:t>10%</w:t>
      </w:r>
      <w:r>
        <w:rPr/>
        <w:t>须按</w:t>
      </w:r>
      <w:r>
        <w:rPr>
          <w:rFonts w:ascii="宋体" w:hAnsi="宋体" w:cs="宋体" w:eastAsia="宋体" w:hint="default"/>
        </w:rPr>
        <w:t>20%</w:t>
      </w:r>
      <w:r>
        <w:rPr/>
        <w:t>税率计提缴纳。</w:t>
      </w:r>
    </w:p>
    <w:p>
      <w:pPr>
        <w:pStyle w:val="Heading5"/>
        <w:spacing w:line="285" w:lineRule="auto" w:before="50"/>
        <w:ind w:left="574" w:right="0"/>
        <w:jc w:val="left"/>
      </w:pPr>
      <w:r>
        <w:rPr/>
        <w:t>②州所得税</w:t>
      </w:r>
      <w:r>
        <w:rPr>
          <w:rFonts w:ascii="宋体" w:hAnsi="宋体" w:cs="宋体" w:eastAsia="宋体" w:hint="default"/>
        </w:rPr>
        <w:t>/</w:t>
      </w:r>
      <w:r>
        <w:rPr/>
        <w:t>特许权税（</w:t>
      </w:r>
      <w:r>
        <w:rPr>
          <w:rFonts w:ascii="宋体" w:hAnsi="宋体" w:cs="宋体" w:eastAsia="宋体" w:hint="default"/>
        </w:rPr>
        <w:t>state corporate income tax or franchise</w:t>
      </w:r>
      <w:r>
        <w:rPr>
          <w:rFonts w:ascii="宋体" w:hAnsi="宋体" w:cs="宋体" w:eastAsia="宋体" w:hint="default"/>
          <w:spacing w:val="-3"/>
        </w:rPr>
        <w:t> </w:t>
      </w:r>
      <w:r>
        <w:rPr>
          <w:rFonts w:ascii="宋体" w:hAnsi="宋体" w:cs="宋体" w:eastAsia="宋体" w:hint="default"/>
        </w:rPr>
        <w:t>tax</w:t>
      </w:r>
      <w:r>
        <w:rPr/>
        <w:t>）率：</w:t>
      </w:r>
      <w:r>
        <w:rPr>
          <w:w w:val="100"/>
        </w:rPr>
        <w:t> </w:t>
      </w:r>
      <w:r>
        <w:rPr>
          <w:spacing w:val="-1"/>
        </w:rPr>
        <w:t>美国除联邦企业所得税外，很多州针对与该州有税务关联的企业（如在该州有财产、雇员、管理人员等）</w:t>
      </w:r>
    </w:p>
    <w:p>
      <w:pPr>
        <w:pStyle w:val="Heading5"/>
        <w:spacing w:line="285" w:lineRule="auto"/>
        <w:ind w:left="154" w:right="1168"/>
        <w:jc w:val="both"/>
      </w:pPr>
      <w:r>
        <w:rPr>
          <w:spacing w:val="-1"/>
        </w:rPr>
        <w:t>征收州所得税或特许权税。与所得税略有差异，特许权税的税基通常不基于净利而着重于净值。一般来说，所</w:t>
      </w:r>
      <w:r>
        <w:rPr>
          <w:spacing w:val="-63"/>
        </w:rPr>
        <w:t> </w:t>
      </w:r>
      <w:r>
        <w:rPr>
          <w:spacing w:val="-63"/>
        </w:rPr>
      </w:r>
      <w:r>
        <w:rPr/>
        <w:t>得税负高的州特许权税负则低。报告期内</w:t>
      </w:r>
      <w:r>
        <w:rPr>
          <w:rFonts w:ascii="宋体" w:hAnsi="宋体" w:cs="宋体" w:eastAsia="宋体" w:hint="default"/>
        </w:rPr>
        <w:t>ITALK GLOBAL COMMUNICATIONS,</w:t>
      </w:r>
      <w:r>
        <w:rPr>
          <w:rFonts w:ascii="宋体" w:hAnsi="宋体" w:cs="宋体" w:eastAsia="宋体" w:hint="default"/>
          <w:spacing w:val="-9"/>
        </w:rPr>
        <w:t> </w:t>
      </w:r>
      <w:r>
        <w:rPr>
          <w:rFonts w:ascii="宋体" w:hAnsi="宋体" w:cs="宋体" w:eastAsia="宋体" w:hint="default"/>
        </w:rPr>
        <w:t>INC.</w:t>
      </w:r>
      <w:r>
        <w:rPr/>
        <w:t>在如下四个州有所得税</w:t>
      </w:r>
      <w:r>
        <w:rPr>
          <w:rFonts w:ascii="宋体" w:hAnsi="宋体" w:cs="宋体" w:eastAsia="宋体" w:hint="default"/>
        </w:rPr>
        <w:t>/</w:t>
      </w:r>
      <w:r>
        <w:rPr/>
        <w:t>特许权</w:t>
      </w:r>
      <w:r>
        <w:rPr>
          <w:w w:val="100"/>
        </w:rPr>
        <w:t> </w:t>
      </w:r>
      <w:r>
        <w:rPr/>
        <w:t>税的纳税义务：</w:t>
      </w:r>
    </w:p>
    <w:p>
      <w:pPr>
        <w:pStyle w:val="Heading5"/>
        <w:spacing w:line="285" w:lineRule="auto"/>
        <w:ind w:left="154" w:right="0" w:firstLine="420"/>
        <w:jc w:val="left"/>
      </w:pPr>
      <w:r>
        <w:rPr>
          <w:spacing w:val="-3"/>
        </w:rPr>
        <w:t>德克萨斯州：没有企业所得税，但针对收入超过</w:t>
      </w:r>
      <w:r>
        <w:rPr>
          <w:rFonts w:ascii="宋体" w:hAnsi="宋体" w:cs="宋体" w:eastAsia="宋体" w:hint="default"/>
          <w:spacing w:val="-3"/>
        </w:rPr>
        <w:t>100</w:t>
      </w:r>
      <w:r>
        <w:rPr>
          <w:spacing w:val="-3"/>
        </w:rPr>
        <w:t>万美元的企业其在州内所获应税收入征收特许权税。特</w:t>
      </w:r>
      <w:r>
        <w:rPr>
          <w:w w:val="100"/>
        </w:rPr>
        <w:t> </w:t>
      </w:r>
      <w:r>
        <w:rPr/>
        <w:t>许权税率为累进制，但最大税率不超过</w:t>
      </w:r>
      <w:r>
        <w:rPr>
          <w:rFonts w:ascii="宋体" w:hAnsi="宋体" w:cs="宋体" w:eastAsia="宋体" w:hint="default"/>
        </w:rPr>
        <w:t>1% </w:t>
      </w:r>
      <w:r>
        <w:rPr/>
        <w:t>。</w:t>
      </w:r>
      <w:r>
        <w:rPr>
          <w:rFonts w:ascii="宋体" w:hAnsi="宋体" w:cs="宋体" w:eastAsia="宋体" w:hint="default"/>
        </w:rPr>
        <w:t>ITALK GLOBAL COMMUNICATIONS,</w:t>
      </w:r>
      <w:r>
        <w:rPr>
          <w:rFonts w:ascii="宋体" w:hAnsi="宋体" w:cs="宋体" w:eastAsia="宋体" w:hint="default"/>
          <w:spacing w:val="-10"/>
        </w:rPr>
        <w:t> </w:t>
      </w:r>
      <w:r>
        <w:rPr>
          <w:rFonts w:ascii="宋体" w:hAnsi="宋体" w:cs="宋体" w:eastAsia="宋体" w:hint="default"/>
        </w:rPr>
        <w:t>INC.</w:t>
      </w:r>
      <w:r>
        <w:rPr/>
        <w:t>报告期内适用税率为</w:t>
      </w:r>
      <w:r>
        <w:rPr>
          <w:rFonts w:ascii="宋体" w:hAnsi="宋体" w:cs="宋体" w:eastAsia="宋体" w:hint="default"/>
        </w:rPr>
        <w:t>1%</w:t>
      </w:r>
      <w:r>
        <w:rPr/>
        <w:t>。</w:t>
      </w:r>
    </w:p>
    <w:p>
      <w:pPr>
        <w:pStyle w:val="Heading5"/>
        <w:spacing w:line="285" w:lineRule="auto"/>
        <w:ind w:right="1141" w:firstLine="420"/>
        <w:jc w:val="left"/>
      </w:pPr>
      <w:r>
        <w:rPr/>
        <w:t>加利福尼亚州：在应纳所得税额不低于最小特许权税额的情况下，企业所得税税率为</w:t>
      </w:r>
      <w:r>
        <w:rPr>
          <w:spacing w:val="-8"/>
        </w:rPr>
        <w:t> </w:t>
      </w:r>
      <w:r>
        <w:rPr>
          <w:rFonts w:ascii="宋体" w:hAnsi="宋体" w:cs="宋体" w:eastAsia="宋体" w:hint="default"/>
        </w:rPr>
        <w:t>8.84%</w:t>
      </w:r>
      <w:r>
        <w:rPr/>
        <w:t>（税基为州内</w:t>
      </w:r>
      <w:r>
        <w:rPr>
          <w:w w:val="100"/>
        </w:rPr>
        <w:t> </w:t>
      </w:r>
      <w:r>
        <w:rPr/>
        <w:t>所获应税净利或按指定方法分配计算的州内所获应税净利）。</w:t>
      </w:r>
    </w:p>
    <w:p>
      <w:pPr>
        <w:pStyle w:val="Heading5"/>
        <w:spacing w:line="285" w:lineRule="auto"/>
        <w:ind w:left="574" w:right="0"/>
        <w:jc w:val="left"/>
      </w:pPr>
      <w:r>
        <w:rPr>
          <w:spacing w:val="-1"/>
        </w:rPr>
        <w:t>马里兰州：企业所得税率为</w:t>
      </w:r>
      <w:r>
        <w:rPr>
          <w:rFonts w:ascii="宋体" w:hAnsi="宋体" w:cs="宋体" w:eastAsia="宋体" w:hint="default"/>
          <w:spacing w:val="-1"/>
        </w:rPr>
        <w:t>8.25%</w:t>
      </w:r>
      <w:r>
        <w:rPr>
          <w:spacing w:val="-1"/>
        </w:rPr>
        <w:t>（税基为按指定方法分配计算的州内所获应税净利）。</w:t>
      </w:r>
      <w:r>
        <w:rPr>
          <w:spacing w:val="-66"/>
        </w:rPr>
        <w:t> </w:t>
      </w:r>
      <w:r>
        <w:rPr>
          <w:spacing w:val="-66"/>
        </w:rPr>
      </w:r>
      <w:r>
        <w:rPr/>
        <w:t>维吉尼亚州：企业所得税率为</w:t>
      </w:r>
      <w:r>
        <w:rPr>
          <w:rFonts w:ascii="宋体" w:hAnsi="宋体" w:cs="宋体" w:eastAsia="宋体" w:hint="default"/>
        </w:rPr>
        <w:t>6%</w:t>
      </w:r>
      <w:r>
        <w:rPr/>
        <w:t>（税基为按指定方法分配计算的州内所获应税净利）。</w:t>
      </w:r>
    </w:p>
    <w:p>
      <w:pPr>
        <w:pStyle w:val="Heading5"/>
        <w:spacing w:line="285" w:lineRule="auto"/>
        <w:ind w:right="1129" w:firstLine="420"/>
        <w:jc w:val="left"/>
      </w:pPr>
      <w:r>
        <w:rPr/>
        <w:t>（</w:t>
      </w:r>
      <w:r>
        <w:rPr>
          <w:rFonts w:ascii="宋体" w:hAnsi="宋体" w:cs="宋体" w:eastAsia="宋体" w:hint="default"/>
        </w:rPr>
        <w:t>7</w:t>
      </w:r>
      <w:r>
        <w:rPr/>
        <w:t>）新加坡企业所得税税率为</w:t>
      </w:r>
      <w:r>
        <w:rPr>
          <w:rFonts w:ascii="宋体" w:hAnsi="宋体" w:cs="宋体" w:eastAsia="宋体" w:hint="default"/>
        </w:rPr>
        <w:t>17%</w:t>
      </w:r>
      <w:r>
        <w:rPr/>
        <w:t>，</w:t>
      </w:r>
      <w:r>
        <w:rPr>
          <w:rFonts w:ascii="宋体" w:hAnsi="宋体" w:cs="宋体" w:eastAsia="宋体" w:hint="default"/>
        </w:rPr>
        <w:t>iTalkBB</w:t>
      </w:r>
      <w:r>
        <w:rPr>
          <w:rFonts w:ascii="宋体" w:hAnsi="宋体" w:cs="宋体" w:eastAsia="宋体" w:hint="default"/>
          <w:spacing w:val="-32"/>
        </w:rPr>
        <w:t> </w:t>
      </w:r>
      <w:r>
        <w:rPr>
          <w:rFonts w:ascii="宋体" w:hAnsi="宋体" w:cs="宋体" w:eastAsia="宋体" w:hint="default"/>
        </w:rPr>
        <w:t>Singapore</w:t>
      </w:r>
      <w:r>
        <w:rPr>
          <w:rFonts w:ascii="宋体" w:hAnsi="宋体" w:cs="宋体" w:eastAsia="宋体" w:hint="default"/>
          <w:spacing w:val="-31"/>
        </w:rPr>
        <w:t> </w:t>
      </w:r>
      <w:r>
        <w:rPr>
          <w:rFonts w:ascii="宋体" w:hAnsi="宋体" w:cs="宋体" w:eastAsia="宋体" w:hint="default"/>
        </w:rPr>
        <w:t>Pte,</w:t>
      </w:r>
      <w:r>
        <w:rPr>
          <w:rFonts w:ascii="宋体" w:hAnsi="宋体" w:cs="宋体" w:eastAsia="宋体" w:hint="default"/>
          <w:spacing w:val="-33"/>
        </w:rPr>
        <w:t> </w:t>
      </w:r>
      <w:r>
        <w:rPr>
          <w:rFonts w:ascii="宋体" w:hAnsi="宋体" w:cs="宋体" w:eastAsia="宋体" w:hint="default"/>
        </w:rPr>
        <w:t>Ltd.</w:t>
      </w:r>
      <w:r>
        <w:rPr/>
        <w:t>处于累计亏损状态，不存在所得税纳税</w:t>
      </w:r>
      <w:r>
        <w:rPr>
          <w:w w:val="100"/>
        </w:rPr>
        <w:t> </w:t>
      </w:r>
      <w:r>
        <w:rPr/>
        <w:t>义务。</w:t>
      </w:r>
    </w:p>
    <w:p>
      <w:pPr>
        <w:pStyle w:val="Heading5"/>
        <w:spacing w:line="240" w:lineRule="auto"/>
        <w:ind w:left="573" w:right="0"/>
        <w:jc w:val="left"/>
      </w:pPr>
      <w:r>
        <w:rPr/>
        <w:t>（</w:t>
      </w:r>
      <w:r>
        <w:rPr>
          <w:rFonts w:ascii="宋体" w:hAnsi="宋体" w:cs="宋体" w:eastAsia="宋体" w:hint="default"/>
        </w:rPr>
        <w:t>8</w:t>
      </w:r>
      <w:r>
        <w:rPr/>
        <w:t>）</w:t>
      </w:r>
      <w:r>
        <w:rPr>
          <w:rFonts w:ascii="宋体" w:hAnsi="宋体" w:cs="宋体" w:eastAsia="宋体" w:hint="default"/>
        </w:rPr>
        <w:t>iTalkBB Canada</w:t>
      </w:r>
      <w:r>
        <w:rPr>
          <w:rFonts w:ascii="宋体" w:hAnsi="宋体" w:cs="宋体" w:eastAsia="宋体" w:hint="default"/>
          <w:spacing w:val="-11"/>
        </w:rPr>
        <w:t> </w:t>
      </w:r>
      <w:r>
        <w:rPr>
          <w:rFonts w:ascii="宋体" w:hAnsi="宋体" w:cs="宋体" w:eastAsia="宋体" w:hint="default"/>
        </w:rPr>
        <w:t>Inc.</w:t>
      </w:r>
      <w:r>
        <w:rPr/>
        <w:t>为在加拿大安大略省注册的公司，应缴纳所得税情况如下：</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213"/>
        <w:gridCol w:w="4156"/>
      </w:tblGrid>
      <w:tr>
        <w:trPr>
          <w:trHeight w:val="3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4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873" w:right="0"/>
              <w:jc w:val="left"/>
              <w:rPr>
                <w:rFonts w:ascii="宋体" w:hAnsi="宋体" w:cs="宋体" w:eastAsia="宋体" w:hint="default"/>
                <w:sz w:val="20"/>
                <w:szCs w:val="20"/>
              </w:rPr>
            </w:pPr>
            <w:r>
              <w:rPr>
                <w:rFonts w:ascii="宋体" w:hAnsi="宋体" w:cs="宋体" w:eastAsia="宋体" w:hint="default"/>
                <w:sz w:val="20"/>
                <w:szCs w:val="20"/>
              </w:rPr>
              <w:t>税率</w:t>
            </w:r>
          </w:p>
        </w:tc>
      </w:tr>
      <w:tr>
        <w:trPr>
          <w:trHeight w:val="342"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联邦所得税</w:t>
            </w:r>
          </w:p>
        </w:tc>
        <w:tc>
          <w:tcPr>
            <w:tcW w:w="4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22" w:right="0"/>
              <w:jc w:val="left"/>
              <w:rPr>
                <w:rFonts w:ascii="宋体" w:hAnsi="宋体" w:cs="宋体" w:eastAsia="宋体" w:hint="default"/>
                <w:sz w:val="20"/>
                <w:szCs w:val="20"/>
              </w:rPr>
            </w:pPr>
            <w:r>
              <w:rPr>
                <w:rFonts w:ascii="宋体"/>
                <w:sz w:val="20"/>
              </w:rPr>
              <w:t>15%</w:t>
            </w:r>
          </w:p>
        </w:tc>
      </w:tr>
      <w:tr>
        <w:trPr>
          <w:trHeight w:val="34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安大略省所得税</w:t>
            </w:r>
          </w:p>
        </w:tc>
        <w:tc>
          <w:tcPr>
            <w:tcW w:w="4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22" w:right="0"/>
              <w:jc w:val="left"/>
              <w:rPr>
                <w:rFonts w:ascii="宋体" w:hAnsi="宋体" w:cs="宋体" w:eastAsia="宋体" w:hint="default"/>
                <w:sz w:val="20"/>
                <w:szCs w:val="20"/>
              </w:rPr>
            </w:pPr>
            <w:r>
              <w:rPr>
                <w:rFonts w:ascii="宋体"/>
                <w:sz w:val="20"/>
              </w:rPr>
              <w:t>11%</w:t>
            </w:r>
          </w:p>
        </w:tc>
      </w:tr>
    </w:tbl>
    <w:p>
      <w:pPr>
        <w:pStyle w:val="Heading5"/>
        <w:spacing w:line="285" w:lineRule="auto" w:before="0"/>
        <w:ind w:left="154" w:right="1024" w:firstLine="420"/>
        <w:jc w:val="left"/>
      </w:pPr>
      <w:r>
        <w:rPr/>
        <w:t>（</w:t>
      </w:r>
      <w:r>
        <w:rPr>
          <w:rFonts w:ascii="宋体" w:hAnsi="宋体" w:cs="宋体" w:eastAsia="宋体" w:hint="default"/>
        </w:rPr>
        <w:t>9</w:t>
      </w:r>
      <w:r>
        <w:rPr/>
        <w:t>）</w:t>
      </w:r>
      <w:r>
        <w:rPr>
          <w:rFonts w:ascii="宋体" w:hAnsi="宋体" w:cs="宋体" w:eastAsia="宋体" w:hint="default"/>
        </w:rPr>
        <w:t>United</w:t>
      </w:r>
      <w:r>
        <w:rPr>
          <w:rFonts w:ascii="宋体" w:hAnsi="宋体" w:cs="宋体" w:eastAsia="宋体" w:hint="default"/>
          <w:spacing w:val="-64"/>
        </w:rPr>
        <w:t> </w:t>
      </w:r>
      <w:r>
        <w:rPr>
          <w:rFonts w:ascii="宋体" w:hAnsi="宋体" w:cs="宋体" w:eastAsia="宋体" w:hint="default"/>
        </w:rPr>
        <w:t>Wise</w:t>
      </w:r>
      <w:r>
        <w:rPr>
          <w:rFonts w:ascii="宋体" w:hAnsi="宋体" w:cs="宋体" w:eastAsia="宋体" w:hint="default"/>
          <w:spacing w:val="-64"/>
        </w:rPr>
        <w:t> </w:t>
      </w:r>
      <w:r>
        <w:rPr>
          <w:rFonts w:ascii="宋体" w:hAnsi="宋体" w:cs="宋体" w:eastAsia="宋体" w:hint="default"/>
        </w:rPr>
        <w:t>Services</w:t>
      </w:r>
      <w:r>
        <w:rPr>
          <w:rFonts w:ascii="宋体" w:hAnsi="宋体" w:cs="宋体" w:eastAsia="宋体" w:hint="default"/>
          <w:spacing w:val="-64"/>
        </w:rPr>
        <w:t> </w:t>
      </w:r>
      <w:r>
        <w:rPr>
          <w:rFonts w:ascii="宋体" w:hAnsi="宋体" w:cs="宋体" w:eastAsia="宋体" w:hint="default"/>
        </w:rPr>
        <w:t>Limited</w:t>
      </w:r>
      <w:r>
        <w:rPr/>
        <w:t>：系设立在英属维尔京群岛的公司，依据英属维尔京群岛商业公司法，</w:t>
      </w:r>
      <w:r>
        <w:rPr>
          <w:w w:val="100"/>
        </w:rPr>
        <w:t> </w:t>
      </w:r>
      <w:r>
        <w:rPr/>
        <w:t>离岸公司不需向政府缴纳任何税项。</w:t>
      </w:r>
    </w:p>
    <w:p>
      <w:pPr>
        <w:spacing w:after="0" w:line="285"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其他" w:id="244"/>
      <w:bookmarkEnd w:id="244"/>
      <w:r>
        <w:rPr>
          <w:b w:val="0"/>
          <w:bCs w:val="0"/>
        </w:rPr>
      </w: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right="1147" w:firstLine="420"/>
        <w:jc w:val="both"/>
      </w:pPr>
      <w:r>
        <w:rPr/>
        <w:t>（</w:t>
      </w:r>
      <w:r>
        <w:rPr>
          <w:rFonts w:ascii="宋体" w:hAnsi="宋体" w:cs="宋体" w:eastAsia="宋体" w:hint="default"/>
        </w:rPr>
        <w:t>1</w:t>
      </w:r>
      <w:r>
        <w:rPr/>
        <w:t>）根据财政部、国家税务总局财税</w:t>
      </w:r>
      <w:r>
        <w:rPr>
          <w:rFonts w:ascii="宋体" w:hAnsi="宋体" w:cs="宋体" w:eastAsia="宋体" w:hint="default"/>
        </w:rPr>
        <w:t>[2014]43</w:t>
      </w:r>
      <w:r>
        <w:rPr/>
        <w:t>号</w:t>
      </w:r>
      <w:r>
        <w:rPr>
          <w:spacing w:val="-10"/>
        </w:rPr>
        <w:t> </w:t>
      </w:r>
      <w:r>
        <w:rPr/>
        <w:t>“关于将电信业纳入营业税改征增值税试点的通知”文</w:t>
      </w:r>
      <w:r>
        <w:rPr>
          <w:w w:val="100"/>
        </w:rPr>
        <w:t> </w:t>
      </w:r>
      <w:r>
        <w:rPr/>
        <w:t>的有关政策规定，自</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w:t>
      </w:r>
      <w:r>
        <w:rPr/>
        <w:t>日起，本公司所属子公司提供增值电信服务按</w:t>
      </w:r>
      <w:r>
        <w:rPr>
          <w:rFonts w:ascii="宋体" w:hAnsi="宋体" w:cs="宋体" w:eastAsia="宋体" w:hint="default"/>
        </w:rPr>
        <w:t>6%</w:t>
      </w:r>
      <w:r>
        <w:rPr/>
        <w:t>征收增值税。</w:t>
      </w:r>
    </w:p>
    <w:p>
      <w:pPr>
        <w:pStyle w:val="Heading5"/>
        <w:spacing w:line="285" w:lineRule="auto"/>
        <w:ind w:left="573" w:right="0"/>
        <w:jc w:val="left"/>
        <w:rPr>
          <w:rFonts w:ascii="宋体" w:hAnsi="宋体" w:cs="宋体" w:eastAsia="宋体" w:hint="default"/>
        </w:rPr>
      </w:pPr>
      <w:r>
        <w:rPr/>
        <w:t>本公司所属子公司属现代服务业的技术开发、技术服务业务按</w:t>
      </w:r>
      <w:r>
        <w:rPr>
          <w:rFonts w:ascii="宋体" w:hAnsi="宋体" w:cs="宋体" w:eastAsia="宋体" w:hint="default"/>
        </w:rPr>
        <w:t>6%</w:t>
      </w:r>
      <w:r>
        <w:rPr/>
        <w:t>征收增值税。</w:t>
      </w:r>
      <w:r>
        <w:rPr>
          <w:w w:val="100"/>
        </w:rPr>
        <w:t> </w:t>
      </w:r>
      <w:r>
        <w:rPr>
          <w:spacing w:val="-1"/>
        </w:rPr>
        <w:t>本公司销售使用过的</w:t>
      </w:r>
      <w:r>
        <w:rPr>
          <w:rFonts w:ascii="宋体" w:hAnsi="宋体" w:cs="宋体" w:eastAsia="宋体" w:hint="default"/>
          <w:spacing w:val="-1"/>
        </w:rPr>
        <w:t>2009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日以后购进的固定资产，按照</w:t>
      </w:r>
      <w:r>
        <w:rPr>
          <w:rFonts w:ascii="宋体" w:hAnsi="宋体" w:cs="宋体" w:eastAsia="宋体" w:hint="default"/>
          <w:spacing w:val="-1"/>
        </w:rPr>
        <w:t>17%</w:t>
      </w:r>
      <w:r>
        <w:rPr>
          <w:spacing w:val="-1"/>
        </w:rPr>
        <w:t>申报纳税；销售使用过的</w:t>
      </w:r>
      <w:r>
        <w:rPr>
          <w:rFonts w:ascii="宋体" w:hAnsi="宋体" w:cs="宋体" w:eastAsia="宋体" w:hint="default"/>
          <w:spacing w:val="-1"/>
        </w:rPr>
        <w:t>2008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p>
    <w:p>
      <w:pPr>
        <w:pStyle w:val="Heading5"/>
        <w:spacing w:line="285" w:lineRule="auto"/>
        <w:ind w:left="574" w:right="0" w:hanging="420"/>
        <w:jc w:val="left"/>
      </w:pPr>
      <w:r>
        <w:rPr/>
        <w:t>日以前购进的固定资产，按照</w:t>
      </w:r>
      <w:r>
        <w:rPr>
          <w:rFonts w:ascii="宋体" w:hAnsi="宋体" w:cs="宋体" w:eastAsia="宋体" w:hint="default"/>
        </w:rPr>
        <w:t>4%</w:t>
      </w:r>
      <w:r>
        <w:rPr/>
        <w:t>征收率减半申报纳税；</w:t>
      </w:r>
      <w:r>
        <w:rPr>
          <w:w w:val="100"/>
        </w:rPr>
        <w:t> </w:t>
      </w:r>
      <w:r>
        <w:rPr>
          <w:spacing w:val="-1"/>
        </w:rPr>
        <w:t>根据国家税务总局</w:t>
      </w:r>
      <w:r>
        <w:rPr>
          <w:rFonts w:ascii="宋体" w:hAnsi="宋体" w:cs="宋体" w:eastAsia="宋体" w:hint="default"/>
          <w:spacing w:val="-1"/>
        </w:rPr>
        <w:t>2014</w:t>
      </w:r>
      <w:r>
        <w:rPr>
          <w:spacing w:val="-1"/>
        </w:rPr>
        <w:t>年第</w:t>
      </w:r>
      <w:r>
        <w:rPr>
          <w:rFonts w:ascii="宋体" w:hAnsi="宋体" w:cs="宋体" w:eastAsia="宋体" w:hint="default"/>
          <w:spacing w:val="-1"/>
        </w:rPr>
        <w:t>49</w:t>
      </w:r>
      <w:r>
        <w:rPr>
          <w:spacing w:val="-1"/>
        </w:rPr>
        <w:t>号“营业税改征增值税跨境应税服务增值税免税管理办法（试行）”文的有</w:t>
      </w:r>
    </w:p>
    <w:p>
      <w:pPr>
        <w:pStyle w:val="Heading5"/>
        <w:spacing w:line="285" w:lineRule="auto"/>
        <w:ind w:right="0"/>
        <w:jc w:val="left"/>
      </w:pPr>
      <w:r>
        <w:rPr>
          <w:spacing w:val="-1"/>
        </w:rPr>
        <w:t>关政策规定，自</w:t>
      </w: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日，网络科技公司、软件技术公司、首都在线公司向境外单位提</w:t>
      </w:r>
      <w:r>
        <w:rPr>
          <w:spacing w:val="-57"/>
        </w:rPr>
        <w:t> </w:t>
      </w:r>
      <w:r>
        <w:rPr>
          <w:spacing w:val="-57"/>
        </w:rPr>
      </w:r>
      <w:r>
        <w:rPr/>
        <w:t>供技术转让服务免征增值税。</w:t>
      </w:r>
    </w:p>
    <w:p>
      <w:pPr>
        <w:pStyle w:val="Heading5"/>
        <w:spacing w:line="285" w:lineRule="auto"/>
        <w:ind w:right="1132" w:firstLine="420"/>
        <w:jc w:val="both"/>
      </w:pPr>
      <w:r>
        <w:rPr>
          <w:spacing w:val="-3"/>
        </w:rPr>
        <w:t>（</w:t>
      </w:r>
      <w:r>
        <w:rPr>
          <w:rFonts w:ascii="宋体" w:hAnsi="宋体" w:cs="宋体" w:eastAsia="宋体" w:hint="default"/>
          <w:spacing w:val="-3"/>
        </w:rPr>
        <w:t>2</w:t>
      </w:r>
      <w:r>
        <w:rPr>
          <w:spacing w:val="-3"/>
        </w:rPr>
        <w:t>）本公司除部分服务收入按</w:t>
      </w:r>
      <w:r>
        <w:rPr>
          <w:rFonts w:ascii="宋体" w:hAnsi="宋体" w:cs="宋体" w:eastAsia="宋体" w:hint="default"/>
          <w:spacing w:val="-3"/>
        </w:rPr>
        <w:t>5%</w:t>
      </w:r>
      <w:r>
        <w:rPr>
          <w:spacing w:val="-3"/>
        </w:rPr>
        <w:t>计缴营业税外，企业通信服务、增值通信服务等主要业务收入均按</w:t>
      </w:r>
      <w:r>
        <w:rPr>
          <w:rFonts w:ascii="宋体" w:hAnsi="宋体" w:cs="宋体" w:eastAsia="宋体" w:hint="default"/>
          <w:spacing w:val="-3"/>
        </w:rPr>
        <w:t>3%</w:t>
      </w:r>
      <w:r>
        <w:rPr>
          <w:spacing w:val="-3"/>
        </w:rPr>
        <w:t>税率</w:t>
      </w:r>
      <w:r>
        <w:rPr>
          <w:spacing w:val="-2"/>
          <w:w w:val="100"/>
        </w:rPr>
        <w:t> </w:t>
      </w:r>
      <w:r>
        <w:rPr/>
        <w:t>计缴营业税。</w:t>
      </w:r>
    </w:p>
    <w:p>
      <w:pPr>
        <w:pStyle w:val="Heading5"/>
        <w:spacing w:line="285" w:lineRule="auto"/>
        <w:ind w:left="154" w:right="1131" w:firstLine="420"/>
        <w:jc w:val="both"/>
      </w:pPr>
      <w:r>
        <w:rPr>
          <w:spacing w:val="-1"/>
        </w:rPr>
        <w:t>根据财政部、国家税务总局财税（</w:t>
      </w:r>
      <w:r>
        <w:rPr>
          <w:rFonts w:ascii="宋体" w:hAnsi="宋体" w:cs="宋体" w:eastAsia="宋体" w:hint="default"/>
          <w:spacing w:val="-1"/>
        </w:rPr>
        <w:t>2003</w:t>
      </w:r>
      <w:r>
        <w:rPr>
          <w:spacing w:val="-1"/>
        </w:rPr>
        <w:t>）</w:t>
      </w:r>
      <w:r>
        <w:rPr>
          <w:rFonts w:ascii="宋体" w:hAnsi="宋体" w:cs="宋体" w:eastAsia="宋体" w:hint="default"/>
          <w:spacing w:val="-1"/>
        </w:rPr>
        <w:t>16</w:t>
      </w:r>
      <w:r>
        <w:rPr>
          <w:spacing w:val="-1"/>
        </w:rPr>
        <w:t>号“关于营业税若干政策问题的通知”文的有关政策规定，本</w:t>
      </w:r>
      <w:r>
        <w:rPr>
          <w:w w:val="100"/>
        </w:rPr>
        <w:t> </w:t>
      </w:r>
      <w:r>
        <w:rPr/>
        <w:t>公司及下属公司与运营商合作的</w:t>
      </w:r>
      <w:r>
        <w:rPr>
          <w:rFonts w:ascii="宋体" w:hAnsi="宋体" w:cs="宋体" w:eastAsia="宋体" w:hint="default"/>
        </w:rPr>
        <w:t>96446</w:t>
      </w:r>
      <w:r>
        <w:rPr/>
        <w:t>、</w:t>
      </w:r>
      <w:r>
        <w:rPr>
          <w:rFonts w:ascii="宋体" w:hAnsi="宋体" w:cs="宋体" w:eastAsia="宋体" w:hint="default"/>
        </w:rPr>
        <w:t>95050</w:t>
      </w:r>
      <w:r>
        <w:rPr/>
        <w:t>等业务，以及按照合作协议需要支付给合作方合作费用的增值电</w:t>
      </w:r>
      <w:r>
        <w:rPr>
          <w:w w:val="100"/>
        </w:rPr>
        <w:t> </w:t>
      </w:r>
      <w:r>
        <w:rPr>
          <w:spacing w:val="-2"/>
        </w:rPr>
        <w:t>信业务，以全部收入减去支付给合作方价款后的余额为纳税营业额。如</w:t>
      </w:r>
      <w:r>
        <w:rPr>
          <w:rFonts w:ascii="宋体" w:hAnsi="宋体" w:cs="宋体" w:eastAsia="宋体" w:hint="default"/>
          <w:spacing w:val="-2"/>
        </w:rPr>
        <w:t>(1)</w:t>
      </w:r>
      <w:r>
        <w:rPr>
          <w:spacing w:val="-2"/>
        </w:rPr>
        <w:t>所述，自试点实施之日起，本公司及</w:t>
      </w:r>
      <w:r>
        <w:rPr>
          <w:spacing w:val="-73"/>
        </w:rPr>
        <w:t> </w:t>
      </w:r>
      <w:r>
        <w:rPr>
          <w:spacing w:val="-73"/>
        </w:rPr>
      </w:r>
      <w:r>
        <w:rPr/>
        <w:t>所属子公司属增值电信服务、现代服务业的技术开发、技术服务业务改按</w:t>
      </w:r>
      <w:r>
        <w:rPr>
          <w:rFonts w:ascii="宋体" w:hAnsi="宋体" w:cs="宋体" w:eastAsia="宋体" w:hint="default"/>
        </w:rPr>
        <w:t>6%</w:t>
      </w:r>
      <w:r>
        <w:rPr/>
        <w:t>征收增值税。</w:t>
      </w:r>
    </w:p>
    <w:p>
      <w:pPr>
        <w:pStyle w:val="Heading5"/>
        <w:spacing w:line="240" w:lineRule="auto"/>
        <w:ind w:left="574" w:right="0"/>
        <w:jc w:val="left"/>
      </w:pPr>
      <w:r>
        <w:rPr/>
        <w:t>（</w:t>
      </w:r>
      <w:r>
        <w:rPr>
          <w:rFonts w:ascii="宋体" w:hAnsi="宋体" w:cs="宋体" w:eastAsia="宋体" w:hint="default"/>
        </w:rPr>
        <w:t>3</w:t>
      </w:r>
      <w:r>
        <w:rPr/>
        <w:t>）美国销售税</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163"/>
        <w:gridCol w:w="2091"/>
        <w:gridCol w:w="2268"/>
        <w:gridCol w:w="2552"/>
      </w:tblGrid>
      <w:tr>
        <w:trPr>
          <w:trHeight w:val="34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76" w:right="0"/>
              <w:jc w:val="left"/>
              <w:rPr>
                <w:rFonts w:ascii="宋体" w:hAnsi="宋体" w:cs="宋体" w:eastAsia="宋体" w:hint="default"/>
                <w:sz w:val="20"/>
                <w:szCs w:val="20"/>
              </w:rPr>
            </w:pPr>
            <w:r>
              <w:rPr>
                <w:rFonts w:ascii="宋体" w:hAnsi="宋体" w:cs="宋体" w:eastAsia="宋体" w:hint="default"/>
                <w:sz w:val="20"/>
                <w:szCs w:val="20"/>
              </w:rPr>
              <w:t>税目</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州名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纳税（费）基础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税（费）率</w:t>
            </w:r>
          </w:p>
        </w:tc>
      </w:tr>
      <w:tr>
        <w:trPr>
          <w:trHeight w:val="34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21" w:right="0"/>
              <w:jc w:val="left"/>
              <w:rPr>
                <w:rFonts w:ascii="宋体" w:hAnsi="宋体" w:cs="宋体" w:eastAsia="宋体" w:hint="default"/>
                <w:sz w:val="20"/>
                <w:szCs w:val="20"/>
              </w:rPr>
            </w:pPr>
            <w:r>
              <w:rPr>
                <w:rFonts w:ascii="宋体" w:hAnsi="宋体" w:cs="宋体" w:eastAsia="宋体" w:hint="default"/>
                <w:sz w:val="20"/>
                <w:szCs w:val="20"/>
              </w:rPr>
              <w:t>销售税</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Texas</w:t>
            </w:r>
            <w:r>
              <w:rPr>
                <w:rFonts w:ascii="宋体" w:hAnsi="宋体" w:cs="宋体" w:eastAsia="宋体" w:hint="default"/>
                <w:sz w:val="20"/>
                <w:szCs w:val="20"/>
              </w:rPr>
              <w:t>德克萨斯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z w:val="20"/>
                <w:szCs w:val="20"/>
              </w:rPr>
              <w:t>服务收入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sz w:val="20"/>
              </w:rPr>
              <w:t>8.25%</w:t>
            </w:r>
          </w:p>
        </w:tc>
      </w:tr>
      <w:tr>
        <w:trPr>
          <w:trHeight w:val="34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27" w:right="0"/>
              <w:jc w:val="left"/>
              <w:rPr>
                <w:rFonts w:ascii="宋体" w:hAnsi="宋体" w:cs="宋体" w:eastAsia="宋体" w:hint="default"/>
                <w:sz w:val="20"/>
                <w:szCs w:val="20"/>
              </w:rPr>
            </w:pPr>
            <w:r>
              <w:rPr>
                <w:rFonts w:ascii="宋体" w:hAnsi="宋体" w:cs="宋体" w:eastAsia="宋体" w:hint="default"/>
                <w:sz w:val="20"/>
                <w:szCs w:val="20"/>
              </w:rPr>
              <w:t>销售税</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Virginia</w:t>
            </w:r>
            <w:r>
              <w:rPr>
                <w:rFonts w:ascii="宋体" w:hAnsi="宋体" w:cs="宋体" w:eastAsia="宋体" w:hint="default"/>
                <w:spacing w:val="-1"/>
                <w:sz w:val="20"/>
                <w:szCs w:val="20"/>
              </w:rPr>
              <w:t> </w:t>
            </w:r>
            <w:r>
              <w:rPr>
                <w:rFonts w:ascii="宋体" w:hAnsi="宋体" w:cs="宋体" w:eastAsia="宋体" w:hint="default"/>
                <w:sz w:val="20"/>
                <w:szCs w:val="20"/>
              </w:rPr>
              <w:t>弗吉尼亚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z w:val="20"/>
                <w:szCs w:val="20"/>
              </w:rPr>
              <w:t>服务收入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sz w:val="20"/>
              </w:rPr>
              <w:t>5%</w:t>
            </w:r>
          </w:p>
        </w:tc>
      </w:tr>
    </w:tbl>
    <w:p>
      <w:pPr>
        <w:pStyle w:val="Heading5"/>
        <w:spacing w:line="285" w:lineRule="auto" w:before="0"/>
        <w:ind w:left="154" w:right="0" w:firstLine="420"/>
        <w:jc w:val="left"/>
      </w:pPr>
      <w:r>
        <w:rPr>
          <w:spacing w:val="-3"/>
        </w:rPr>
        <w:t>美国税法规定，如果公司在某个州以实体方式（</w:t>
      </w:r>
      <w:r>
        <w:rPr>
          <w:rFonts w:ascii="宋体" w:hAnsi="宋体" w:cs="宋体" w:eastAsia="宋体" w:hint="default"/>
          <w:spacing w:val="-3"/>
        </w:rPr>
        <w:t>physical</w:t>
      </w:r>
      <w:r>
        <w:rPr>
          <w:rFonts w:ascii="宋体" w:hAnsi="宋体" w:cs="宋体" w:eastAsia="宋体" w:hint="default"/>
          <w:spacing w:val="-17"/>
        </w:rPr>
        <w:t> </w:t>
      </w:r>
      <w:r>
        <w:rPr>
          <w:rFonts w:ascii="宋体" w:hAnsi="宋体" w:cs="宋体" w:eastAsia="宋体" w:hint="default"/>
          <w:spacing w:val="-4"/>
        </w:rPr>
        <w:t>presence</w:t>
      </w:r>
      <w:r>
        <w:rPr>
          <w:spacing w:val="-4"/>
        </w:rPr>
        <w:t>，如在该州有财产、雇员、管理人员等）</w:t>
      </w:r>
      <w:r>
        <w:rPr>
          <w:w w:val="100"/>
        </w:rPr>
        <w:t> </w:t>
      </w:r>
      <w:r>
        <w:rPr/>
        <w:t>经营，则必须在该州向消费者收取并缴纳销售税。</w:t>
      </w:r>
    </w:p>
    <w:p>
      <w:pPr>
        <w:pStyle w:val="Heading5"/>
        <w:spacing w:line="240" w:lineRule="auto"/>
        <w:ind w:left="354" w:right="0"/>
        <w:jc w:val="left"/>
      </w:pPr>
      <w:r>
        <w:rPr/>
        <w:t>（</w:t>
      </w:r>
      <w:r>
        <w:rPr>
          <w:rFonts w:ascii="宋体" w:hAnsi="宋体" w:cs="宋体" w:eastAsia="宋体" w:hint="default"/>
        </w:rPr>
        <w:t>4</w:t>
      </w:r>
      <w:r>
        <w:rPr/>
        <w:t>）加拿大销售税</w:t>
      </w:r>
    </w:p>
    <w:p>
      <w:pPr>
        <w:pStyle w:val="Heading5"/>
        <w:spacing w:line="285" w:lineRule="auto" w:before="50"/>
        <w:ind w:right="1124" w:firstLine="315"/>
        <w:jc w:val="left"/>
      </w:pPr>
      <w:r>
        <w:rPr>
          <w:rFonts w:ascii="宋体" w:hAnsi="宋体" w:cs="宋体" w:eastAsia="宋体" w:hint="default"/>
        </w:rPr>
        <w:t>iTalkBB</w:t>
      </w:r>
      <w:r>
        <w:rPr>
          <w:rFonts w:ascii="宋体" w:hAnsi="宋体" w:cs="宋体" w:eastAsia="宋体" w:hint="default"/>
          <w:spacing w:val="-43"/>
        </w:rPr>
        <w:t> </w:t>
      </w:r>
      <w:r>
        <w:rPr>
          <w:rFonts w:ascii="宋体" w:hAnsi="宋体" w:cs="宋体" w:eastAsia="宋体" w:hint="default"/>
        </w:rPr>
        <w:t>Canada</w:t>
      </w:r>
      <w:r>
        <w:rPr>
          <w:rFonts w:ascii="宋体" w:hAnsi="宋体" w:cs="宋体" w:eastAsia="宋体" w:hint="default"/>
          <w:spacing w:val="-43"/>
        </w:rPr>
        <w:t> </w:t>
      </w:r>
      <w:r>
        <w:rPr>
          <w:rFonts w:ascii="宋体" w:hAnsi="宋体" w:cs="宋体" w:eastAsia="宋体" w:hint="default"/>
        </w:rPr>
        <w:t>Inc.</w:t>
      </w:r>
      <w:r>
        <w:rPr/>
        <w:t>为在加拿大安大略省注册的公司，就符合应税条件的商品销售及服务征收</w:t>
      </w:r>
      <w:r>
        <w:rPr>
          <w:rFonts w:ascii="宋体" w:hAnsi="宋体" w:cs="宋体" w:eastAsia="宋体" w:hint="default"/>
        </w:rPr>
        <w:t>13%</w:t>
      </w:r>
      <w:r>
        <w:rPr/>
        <w:t>的销售税</w:t>
      </w:r>
      <w:r>
        <w:rPr>
          <w:w w:val="100"/>
        </w:rPr>
        <w:t> </w:t>
      </w:r>
      <w:r>
        <w:rPr>
          <w:rFonts w:ascii="宋体" w:hAnsi="宋体" w:cs="宋体" w:eastAsia="宋体" w:hint="default"/>
        </w:rPr>
        <w:t>(GST)</w:t>
      </w:r>
      <w:r>
        <w:rPr/>
        <w:t>，同时可抵减购买商品、接受劳务的销售税</w:t>
      </w:r>
      <w:r>
        <w:rPr>
          <w:rFonts w:ascii="宋体" w:hAnsi="宋体" w:cs="宋体" w:eastAsia="宋体" w:hint="default"/>
        </w:rPr>
        <w:t>(GST)</w:t>
      </w:r>
      <w:r>
        <w:rPr/>
        <w:t>，按抵减后余额上缴。</w:t>
      </w:r>
    </w:p>
    <w:p>
      <w:pPr>
        <w:pStyle w:val="Heading5"/>
        <w:spacing w:line="240" w:lineRule="auto"/>
        <w:ind w:left="354" w:right="0"/>
        <w:jc w:val="left"/>
      </w:pPr>
      <w:r>
        <w:rPr/>
        <w:t>（</w:t>
      </w:r>
      <w:r>
        <w:rPr>
          <w:rFonts w:ascii="宋体" w:hAnsi="宋体" w:cs="宋体" w:eastAsia="宋体" w:hint="default"/>
        </w:rPr>
        <w:t>5</w:t>
      </w:r>
      <w:r>
        <w:rPr/>
        <w:t>）新加坡销售税</w:t>
      </w:r>
    </w:p>
    <w:p>
      <w:pPr>
        <w:pStyle w:val="Heading5"/>
        <w:spacing w:line="285" w:lineRule="auto" w:before="50"/>
        <w:ind w:right="1045" w:firstLine="420"/>
        <w:jc w:val="left"/>
      </w:pPr>
      <w:r>
        <w:rPr>
          <w:rFonts w:ascii="宋体" w:hAnsi="宋体" w:cs="宋体" w:eastAsia="宋体" w:hint="default"/>
        </w:rPr>
        <w:t>iTalkBB Singapore Pte, Ltd.</w:t>
      </w:r>
      <w:r>
        <w:rPr>
          <w:rFonts w:ascii="宋体" w:hAnsi="宋体" w:cs="宋体" w:eastAsia="宋体" w:hint="default"/>
          <w:spacing w:val="-12"/>
        </w:rPr>
        <w:t> </w:t>
      </w:r>
      <w:r>
        <w:rPr/>
        <w:t>就其在新加坡境内符合应税条件的商品销售及服务征收</w:t>
      </w:r>
      <w:r>
        <w:rPr>
          <w:rFonts w:ascii="宋体" w:hAnsi="宋体" w:cs="宋体" w:eastAsia="宋体" w:hint="default"/>
        </w:rPr>
        <w:t>7%</w:t>
      </w:r>
      <w:r>
        <w:rPr/>
        <w:t>的销售税</w:t>
      </w:r>
      <w:r>
        <w:rPr>
          <w:rFonts w:ascii="宋体" w:hAnsi="宋体" w:cs="宋体" w:eastAsia="宋体" w:hint="default"/>
        </w:rPr>
        <w:t>(GST)</w:t>
      </w:r>
      <w:r>
        <w:rPr/>
        <w:t>，</w:t>
      </w:r>
      <w:r>
        <w:rPr>
          <w:w w:val="100"/>
        </w:rPr>
        <w:t> </w:t>
      </w:r>
      <w:r>
        <w:rPr>
          <w:spacing w:val="-2"/>
        </w:rPr>
        <w:t>同时可抵减在新加坡境内购买商品、接受劳务的销售税</w:t>
      </w:r>
      <w:r>
        <w:rPr>
          <w:rFonts w:ascii="宋体" w:hAnsi="宋体" w:cs="宋体" w:eastAsia="宋体" w:hint="default"/>
          <w:spacing w:val="-2"/>
        </w:rPr>
        <w:t>(GST)</w:t>
      </w:r>
      <w:r>
        <w:rPr>
          <w:spacing w:val="-2"/>
        </w:rPr>
        <w:t>，按抵减后余额上缴，如抵减有余可从政府取得税</w:t>
      </w:r>
      <w:r>
        <w:rPr>
          <w:spacing w:val="-74"/>
        </w:rPr>
        <w:t> </w:t>
      </w:r>
      <w:r>
        <w:rPr>
          <w:spacing w:val="-74"/>
        </w:rPr>
      </w:r>
      <w:r>
        <w:rPr/>
        <w:t>费返还。</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245"/>
      <w:bookmarkEnd w:id="24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46"/>
      <w:bookmarkEnd w:id="24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331,494.22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191,025.40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509,419,297.25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291,338,987.15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542,594.68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325,806.00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510,293,386.15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291,855,818.55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125,339,243.94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94,821,839.43</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74" w:right="2277"/>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日止，本公司银行存款结余中有结构性存款</w:t>
      </w:r>
      <w:r>
        <w:rPr>
          <w:rFonts w:ascii="Times New Roman" w:hAnsi="Times New Roman" w:cs="Times New Roman" w:eastAsia="Times New Roman" w:hint="default"/>
        </w:rPr>
        <w:t>31,700</w:t>
      </w:r>
      <w:r>
        <w:rPr/>
        <w:t>万元，期限分别为</w:t>
      </w:r>
      <w:r>
        <w:rPr>
          <w:rFonts w:ascii="Times New Roman" w:hAnsi="Times New Roman" w:cs="Times New Roman" w:eastAsia="Times New Roman" w:hint="default"/>
        </w:rPr>
        <w:t>3</w:t>
      </w:r>
      <w:r>
        <w:rPr/>
        <w:t>个月、</w:t>
      </w:r>
      <w:r>
        <w:rPr>
          <w:rFonts w:ascii="Times New Roman" w:hAnsi="Times New Roman" w:cs="Times New Roman" w:eastAsia="Times New Roman" w:hint="default"/>
        </w:rPr>
        <w:t>6</w:t>
      </w:r>
      <w:r>
        <w:rPr/>
        <w:t>个月。 其中受限制的货币资金明细如下：</w:t>
      </w:r>
    </w:p>
    <w:tbl>
      <w:tblPr>
        <w:tblW w:w="0" w:type="auto"/>
        <w:jc w:val="left"/>
        <w:tblInd w:w="149" w:type="dxa"/>
        <w:tblLayout w:type="fixed"/>
        <w:tblCellMar>
          <w:top w:w="0" w:type="dxa"/>
          <w:left w:w="0" w:type="dxa"/>
          <w:bottom w:w="0" w:type="dxa"/>
          <w:right w:w="0" w:type="dxa"/>
        </w:tblCellMar>
        <w:tblLook w:val="01E0"/>
      </w:tblPr>
      <w:tblGrid>
        <w:gridCol w:w="3652"/>
        <w:gridCol w:w="2440"/>
        <w:gridCol w:w="2438"/>
      </w:tblGrid>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用于担保的存款</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542,594.68</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325,806.00</w:t>
            </w:r>
          </w:p>
        </w:tc>
      </w:tr>
      <w:tr>
        <w:trPr>
          <w:trHeight w:val="34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542,594.68</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325,806.00</w:t>
            </w:r>
          </w:p>
        </w:tc>
      </w:tr>
    </w:tbl>
    <w:p>
      <w:pPr>
        <w:spacing w:line="240" w:lineRule="auto" w:before="2"/>
        <w:rPr>
          <w:rFonts w:ascii="宋体" w:hAnsi="宋体" w:cs="宋体" w:eastAsia="宋体" w:hint="default"/>
          <w:sz w:val="8"/>
          <w:szCs w:val="8"/>
        </w:rPr>
      </w:pPr>
    </w:p>
    <w:p>
      <w:pPr>
        <w:pStyle w:val="BodyText"/>
        <w:spacing w:line="240" w:lineRule="auto" w:before="44"/>
        <w:ind w:left="574" w:right="0"/>
        <w:jc w:val="left"/>
      </w:pPr>
      <w:r>
        <w:rPr/>
        <w:t>货币资金余额年末较年初增加</w:t>
      </w:r>
      <w:r>
        <w:rPr>
          <w:rFonts w:ascii="Times New Roman" w:hAnsi="Times New Roman" w:cs="Times New Roman" w:eastAsia="Times New Roman" w:hint="default"/>
        </w:rPr>
        <w:t>74.84%</w:t>
      </w:r>
      <w:r>
        <w:rPr/>
        <w:t>，主要系本公司本期保本固定收益类理财产品到期收回所致。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以公允价值计量且其变动计入当期损益的金融资产" w:id="247"/>
      <w:bookmarkEnd w:id="24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应收账款" w:id="248"/>
      <w:bookmarkEnd w:id="248"/>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49"/>
      <w:bookmarkEnd w:id="24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49,504,1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1,055,56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48,448,63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44,799,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498.73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912,261.6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43,887,237.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49,504,1</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99.81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1,055,56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2.13%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48,448,63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1.14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44,799,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498.73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912,261.6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43,887,237.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48,446,901.95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968,937.92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48,446,901.95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968,937.92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956,523.62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47,826.18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57,912.75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42,861.48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21,430.74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42,861.48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21,430.74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49,504,199.81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1,055,568.67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bl>
    <w:p>
      <w:pPr>
        <w:pStyle w:val="BodyText"/>
        <w:spacing w:line="360" w:lineRule="auto" w:before="51"/>
        <w:ind w:right="3013"/>
        <w:jc w:val="left"/>
      </w:pPr>
      <w:r>
        <w:rPr/>
        <w:t>确定该组合依据的说明： 对提供增值电信业务等服务及销售货款、备用金等其他应收款采用账龄分析法组合计提坏帐准备。 组合中，采用余额百分比法计提坏账准备的应收账款：</w:t>
      </w:r>
    </w:p>
    <w:p>
      <w:pPr>
        <w:pStyle w:val="BodyText"/>
        <w:spacing w:line="338" w:lineRule="auto" w:before="2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250"/>
      <w:bookmarkEnd w:id="2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597,890.36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51"/>
      <w:bookmarkEnd w:id="25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448,084.73</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252"/>
      <w:bookmarkEnd w:id="25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510"/>
        <w:gridCol w:w="1560"/>
        <w:gridCol w:w="2426"/>
        <w:gridCol w:w="2294"/>
      </w:tblGrid>
      <w:tr>
        <w:trPr>
          <w:trHeight w:val="42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4" w:right="0"/>
              <w:jc w:val="left"/>
              <w:rPr>
                <w:rFonts w:ascii="宋体" w:hAnsi="宋体" w:cs="宋体" w:eastAsia="宋体" w:hint="default"/>
                <w:sz w:val="18"/>
                <w:szCs w:val="18"/>
              </w:rPr>
            </w:pPr>
            <w:r>
              <w:rPr>
                <w:rFonts w:ascii="宋体" w:hAnsi="宋体" w:cs="宋体" w:eastAsia="宋体" w:hint="default"/>
                <w:sz w:val="18"/>
                <w:szCs w:val="18"/>
              </w:rPr>
              <w:t>占应收账款期末余额的比例</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9,378,365.18</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18.94%</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187,567.30</w:t>
            </w:r>
          </w:p>
        </w:tc>
      </w:tr>
      <w:tr>
        <w:trPr>
          <w:trHeight w:val="42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2,994,311.45</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6.05%</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59,886.23</w:t>
            </w:r>
          </w:p>
        </w:tc>
      </w:tr>
      <w:tr>
        <w:trPr>
          <w:trHeight w:val="42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2,049,007.91</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4.14%</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40,980.16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510"/>
        <w:gridCol w:w="1560"/>
        <w:gridCol w:w="2426"/>
        <w:gridCol w:w="2294"/>
      </w:tblGrid>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1,707,228.18</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3.45%</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34,144.56</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1,619,002.91</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3.27%</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32,380.06</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17,747,915.63</w:t>
            </w:r>
          </w:p>
        </w:tc>
        <w:tc>
          <w:tcPr>
            <w:tcW w:w="2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35.85%</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354,958.31</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right="0"/>
        <w:jc w:val="left"/>
        <w:rPr>
          <w:b w:val="0"/>
          <w:bCs w:val="0"/>
        </w:rPr>
      </w:pPr>
      <w:bookmarkStart w:name="4、预付款项" w:id="253"/>
      <w:bookmarkEnd w:id="253"/>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54"/>
      <w:bookmarkEnd w:id="25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34,470,201.82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19,895,340.60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233,882.28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702,560.44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558,135.21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30,484.50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13,357.59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52,939.20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35,275,576.90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20,681,324.74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吊的预付款情况" w:id="255"/>
      <w:bookmarkEnd w:id="25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92"/>
        <w:gridCol w:w="1370"/>
        <w:gridCol w:w="2108"/>
        <w:gridCol w:w="876"/>
        <w:gridCol w:w="2010"/>
      </w:tblGrid>
      <w:tr>
        <w:trPr>
          <w:trHeight w:val="426"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 w:right="0"/>
              <w:jc w:val="left"/>
              <w:rPr>
                <w:rFonts w:ascii="宋体" w:hAnsi="宋体" w:cs="宋体" w:eastAsia="宋体" w:hint="default"/>
                <w:sz w:val="18"/>
                <w:szCs w:val="18"/>
              </w:rPr>
            </w:pPr>
            <w:r>
              <w:rPr>
                <w:rFonts w:ascii="宋体" w:hAnsi="宋体" w:cs="宋体" w:eastAsia="宋体" w:hint="default"/>
                <w:sz w:val="18"/>
                <w:szCs w:val="18"/>
              </w:rPr>
              <w:t>占预付账款总额的比例</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18,530,000.00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52.53%</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未完成股权变更手续</w:t>
            </w:r>
          </w:p>
        </w:tc>
      </w:tr>
      <w:tr>
        <w:trPr>
          <w:trHeight w:val="427"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3,811,041.02</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10.80%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427"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1,529,078.07</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4.33%</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设备尚未到货</w:t>
            </w:r>
          </w:p>
        </w:tc>
      </w:tr>
      <w:tr>
        <w:trPr>
          <w:trHeight w:val="427"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448,113.22</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1.27%</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427"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438,345.69</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1.24%</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427"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24,756,578.00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70.17%</w:t>
            </w:r>
          </w:p>
        </w:tc>
        <w:tc>
          <w:tcPr>
            <w:tcW w:w="876" w:type="dxa"/>
            <w:tcBorders>
              <w:top w:val="single" w:sz="6" w:space="0" w:color="000000"/>
              <w:left w:val="single" w:sz="6" w:space="0" w:color="000000"/>
              <w:bottom w:val="single" w:sz="6" w:space="0" w:color="000000"/>
              <w:right w:val="single" w:sz="6" w:space="0" w:color="000000"/>
            </w:tcBorders>
          </w:tcPr>
          <w:p>
            <w:pPr/>
          </w:p>
        </w:tc>
        <w:tc>
          <w:tcPr>
            <w:tcW w:w="201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left="154" w:right="0"/>
        <w:jc w:val="left"/>
      </w:pPr>
      <w:r>
        <w:rPr/>
        <w:t>其他说明：</w:t>
      </w:r>
    </w:p>
    <w:p>
      <w:pPr>
        <w:pStyle w:val="BodyText"/>
        <w:spacing w:line="300" w:lineRule="auto" w:before="116"/>
        <w:ind w:left="154" w:right="1130" w:firstLine="420"/>
        <w:jc w:val="both"/>
      </w:pPr>
      <w:r>
        <w:rPr>
          <w:spacing w:val="-1"/>
        </w:rPr>
        <w:t>期末余额比期初余额增加</w:t>
      </w:r>
      <w:r>
        <w:rPr>
          <w:rFonts w:ascii="Times New Roman" w:hAnsi="Times New Roman" w:cs="Times New Roman" w:eastAsia="Times New Roman" w:hint="default"/>
          <w:spacing w:val="-1"/>
        </w:rPr>
        <w:t>70.57%</w:t>
      </w:r>
      <w:r>
        <w:rPr>
          <w:spacing w:val="-1"/>
        </w:rPr>
        <w:t>，主要系本公司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月以货币资金</w:t>
      </w:r>
      <w:r>
        <w:rPr>
          <w:rFonts w:ascii="Times New Roman" w:hAnsi="Times New Roman" w:cs="Times New Roman" w:eastAsia="Times New Roman" w:hint="default"/>
          <w:spacing w:val="-1"/>
        </w:rPr>
        <w:t>1,853</w:t>
      </w:r>
      <w:r>
        <w:rPr>
          <w:spacing w:val="-1"/>
        </w:rPr>
        <w:t>万元对展动科技（北京）有限公司增加投</w:t>
      </w:r>
      <w:r>
        <w:rPr/>
        <w:t> </w:t>
      </w:r>
      <w:r>
        <w:rPr>
          <w:spacing w:val="-2"/>
        </w:rPr>
        <w:t>资，截至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日，展动科技（北京）有限公司增资事项的相关审批手续正在办理中，尚未完成工商变更手续，本公</w:t>
      </w:r>
      <w:r>
        <w:rPr>
          <w:spacing w:val="-60"/>
        </w:rPr>
        <w:t> </w:t>
      </w:r>
      <w:r>
        <w:rPr>
          <w:spacing w:val="-60"/>
        </w:rPr>
      </w:r>
      <w:r>
        <w:rPr/>
        <w:t>司期末将该投资款在预付账款中核算。</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应收利息" w:id="256"/>
      <w:bookmarkEnd w:id="256"/>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利息分类" w:id="257"/>
      <w:bookmarkEnd w:id="25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1,189,315.07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152,312.33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1,189,315.07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152,312.33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应收款" w:id="258"/>
      <w:bookmarkEnd w:id="25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9"/>
      <w:bookmarkEnd w:id="25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15,338,5</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62.19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425,247.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14,913,31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4,499,3</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96.74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4,302,090.4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15,338,5</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62.19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425,247.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14,913,31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4,499,3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197,306.2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4,302,090.4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4,850,798.60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97,015.95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4,850,798.60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97,015.95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4,876,098.60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98,280.95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bl>
    <w:p>
      <w:pPr>
        <w:pStyle w:val="BodyText"/>
        <w:spacing w:line="360" w:lineRule="auto" w:before="51"/>
        <w:ind w:right="3013"/>
        <w:jc w:val="left"/>
      </w:pPr>
      <w:r>
        <w:rPr/>
        <w:t>确定该组合依据的说明： 对提供增值电信业务等服务及销售货款、备用金等其他应收款采用账龄分析法组合计提坏帐准备。 组合中，采用余额百分比法计提坏账准备的其他应收款：</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6,538,562.85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130,771.24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3,923,900.74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196,195.04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10,462,463.59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326,966.28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612"/>
        <w:jc w:val="left"/>
      </w:pPr>
      <w:r>
        <w:rPr/>
        <w:t>确定该组合依据的说明： 对保证金、押金采用余额百分比法计提坏账准备 组合中，采用其他方法计提坏账准备的其他应收款：</w:t>
      </w:r>
    </w:p>
    <w:p>
      <w:pPr>
        <w:pStyle w:val="BodyText"/>
        <w:spacing w:line="240" w:lineRule="auto" w:before="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60"/>
      <w:bookmarkEnd w:id="26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227,940.97</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61"/>
      <w:bookmarkEnd w:id="26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262"/>
      <w:bookmarkEnd w:id="26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10,462,463.57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3,029,883.20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180,426.52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394,311.76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4,048,267.72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35,774.44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309,945.85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1,024,143.18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337,458.53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15,284.16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15,338,562.19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4,499,396.74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按欠款方归集的期末余额前五吊的其他应收款情况" w:id="263"/>
      <w:bookmarkEnd w:id="26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股权处置款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703,176.12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35,158.81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640,292.16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32,014.61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355,525.86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17,776.29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11,698,994.14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284,949.71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存货" w:id="264"/>
      <w:bookmarkEnd w:id="264"/>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65"/>
      <w:bookmarkEnd w:id="26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4,605,229.52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4,605,229.52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9,999,705.04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9,999,705.04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233,040.23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233,040.23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404,470.97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404,470.97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4,838,269.75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4,838,269.75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10,404,176.01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10,404,176.01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流动资产" w:id="266"/>
      <w:bookmarkEnd w:id="266"/>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保本固定收益类理财产品成本投资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214,792,470.13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1,035,629.95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4,651,546.30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1,035,629.95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219,444,016.43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9、可供出售金融资产" w:id="267"/>
      <w:bookmarkEnd w:id="267"/>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68"/>
      <w:bookmarkEnd w:id="26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16,310,800.00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16,310,800.00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16,310,800.00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16,310,800.00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16,310,800.00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16,310,800.00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69"/>
      <w:bookmarkEnd w:id="26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9"/>
        <w:gridCol w:w="1916"/>
        <w:gridCol w:w="1915"/>
        <w:gridCol w:w="1914"/>
        <w:gridCol w:w="1915"/>
      </w:tblGrid>
      <w:tr>
        <w:trPr>
          <w:trHeight w:val="161" w:hRule="exact"/>
        </w:trPr>
        <w:tc>
          <w:tcPr>
            <w:tcW w:w="19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412"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9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20,232,469.12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30,321,339.81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20,232,469.12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30,321,339.81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长期股权投资" w:id="270"/>
      <w:bookmarkEnd w:id="270"/>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易美云</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29,088,20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-2,618,78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26,469,42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北京和丰 信科技有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4,725,741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-993,221.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3,732,520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北京企飞 力网络科 技有限公 司</w:t>
            </w:r>
            <w:r>
              <w:rPr>
                <w:rFonts w:ascii="Times New Roman" w:hAnsi="Times New Roman" w:cs="Times New Roman" w:eastAsia="Times New Roman" w:hint="default"/>
                <w:sz w:val="18"/>
                <w:szCs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-1,033.46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1,998,966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55"/>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43"/>
                <w:sz w:val="18"/>
              </w:rPr>
              <w:t> </w:t>
            </w:r>
            <w:r>
              <w:rPr>
                <w:rFonts w:ascii="Times New Roman"/>
                <w:spacing w:val="-43"/>
                <w:sz w:val="18"/>
              </w:rPr>
            </w:r>
            <w:r>
              <w:rPr>
                <w:rFonts w:ascii="Times New Roman"/>
                <w:sz w:val="18"/>
              </w:rPr>
              <w:t>Media, 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4,192,648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-1,731,22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19,476.77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2,480,902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北京羽乐 创新科技 有限公司</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3,225,846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-3,370,40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-1,553,00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1,697,569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41,232,44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-3,370,40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-6,897,27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1,717,046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34,681,81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41,232,44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-3,370,40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-6,897,27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1,717,046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34,681,81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0" w:lineRule="auto" w:before="116"/>
        <w:ind w:left="154" w:right="111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月，本公司之子公司企业通信公司与北京企飞力网络科技有限公司及其股东签订投资协议，向该公司投资 </w:t>
      </w:r>
      <w:r>
        <w:rPr>
          <w:rFonts w:ascii="Times New Roman" w:hAnsi="Times New Roman" w:cs="Times New Roman" w:eastAsia="Times New Roman" w:hint="default"/>
        </w:rPr>
        <w:t>200.00</w:t>
      </w:r>
      <w:r>
        <w:rPr/>
        <w:t>万元，持有其</w:t>
      </w:r>
      <w:r>
        <w:rPr>
          <w:rFonts w:ascii="Times New Roman" w:hAnsi="Times New Roman" w:cs="Times New Roman" w:eastAsia="Times New Roman" w:hint="default"/>
        </w:rPr>
        <w:t>10%</w:t>
      </w:r>
      <w:r>
        <w:rPr/>
        <w:t>的股权，同时企业通信公司向北京企飞力网络科技有限公司委派董事</w:t>
      </w:r>
      <w:r>
        <w:rPr>
          <w:rFonts w:ascii="Times New Roman" w:hAnsi="Times New Roman" w:cs="Times New Roman" w:eastAsia="Times New Roman" w:hint="default"/>
        </w:rPr>
        <w:t>1</w:t>
      </w:r>
      <w:r>
        <w:rPr/>
        <w:t>名，并约定对其财务和经营 政策有参与决策的权力。</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日，北京企飞力网络科技有限公司完成股东变更的工商登记变更手续。</w:t>
      </w:r>
    </w:p>
    <w:p>
      <w:pPr>
        <w:pStyle w:val="BodyText"/>
        <w:spacing w:line="300" w:lineRule="auto" w:before="133"/>
        <w:ind w:right="112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日，北京羽乐创新科技有限公司通过股东会决议，同意引进新股东增资及对员工进行股权激励，注册 资本由</w:t>
      </w:r>
      <w:r>
        <w:rPr>
          <w:rFonts w:ascii="Times New Roman" w:hAnsi="Times New Roman" w:cs="Times New Roman" w:eastAsia="Times New Roman" w:hint="default"/>
        </w:rPr>
        <w:t>150</w:t>
      </w:r>
      <w:r>
        <w:rPr/>
        <w:t>万元变更为</w:t>
      </w:r>
      <w:r>
        <w:rPr>
          <w:rFonts w:ascii="Times New Roman" w:hAnsi="Times New Roman" w:cs="Times New Roman" w:eastAsia="Times New Roman" w:hint="default"/>
        </w:rPr>
        <w:t>176.13</w:t>
      </w:r>
      <w:r>
        <w:rPr/>
        <w:t>万元；本公司持有其股权比例由</w:t>
      </w:r>
      <w:r>
        <w:rPr>
          <w:rFonts w:ascii="Times New Roman" w:hAnsi="Times New Roman" w:cs="Times New Roman" w:eastAsia="Times New Roman" w:hint="default"/>
        </w:rPr>
        <w:t>33.33%</w:t>
      </w:r>
      <w:r>
        <w:rPr/>
        <w:t>变更为</w:t>
      </w:r>
      <w:r>
        <w:rPr>
          <w:rFonts w:ascii="Times New Roman" w:hAnsi="Times New Roman" w:cs="Times New Roman" w:eastAsia="Times New Roman" w:hint="default"/>
        </w:rPr>
        <w:t>23.35%</w:t>
      </w:r>
      <w:r>
        <w:rPr/>
        <w:t>，北京羽乐创新科技有限公司于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6</w:t>
      </w:r>
      <w:r>
        <w:rPr/>
        <w:t>日完成工商变更手续。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月，本公司将对北京羽乐创新科技有限公司的投资转让给其他自然人股东，该股权转让 事项公司于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日完成工商了变更手续。</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1、固定资产" w:id="271"/>
      <w:bookmarkEnd w:id="271"/>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2"/>
      <w:bookmarkEnd w:id="27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41"/>
        <w:gridCol w:w="1713"/>
        <w:gridCol w:w="1417"/>
        <w:gridCol w:w="1560"/>
        <w:gridCol w:w="1134"/>
        <w:gridCol w:w="1276"/>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37,880,682.94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165,349,614.66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4,078,430.54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9,208,814.78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216,517,542.92</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1,085,016.00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23,500,495.45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629,852.31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679,249.16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25,894,612.92</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13" w:type="dxa"/>
            <w:tcBorders>
              <w:top w:val="single" w:sz="4" w:space="0" w:color="000000"/>
              <w:left w:val="single" w:sz="10"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19,292,242.85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629,852.31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751,495.88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20,673,591.04</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71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1,085,016.00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4,127,670.94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5,212,686.94</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）汇率变动的影响</w:t>
            </w:r>
          </w:p>
        </w:tc>
        <w:tc>
          <w:tcPr>
            <w:tcW w:w="171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80,581.66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-72,246.72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8,334.94</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26,153.87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2,106,467.92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981,910.00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350,786.19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3,465,317.98</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26,153.87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2,106,467.92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981,910.00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350,786.19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3,465,317.98</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38,939,545.07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186,743,642.19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3,726,372.85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9,537,277.75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238,946,837.86</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7,808,042.44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112,051,717.88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3,305,783.18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4,866,572.67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128,032,116.17</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1,661,356.88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19,763,329.18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137,906.84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1,539,042.15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23,101,635.05</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1,661,356.88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19,720,897.88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137,906.84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1,531,486.04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23,051,647.64</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71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42,431.30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7,556.11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49,987.41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2,013,054.66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620,459.40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296,976.45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2,930,490.51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2,013,054.66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620,459.40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296,976.45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2,930,490.51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9,469,399.32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129,801,992.40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2,823,230.62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6,108,638.37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148,203,260.71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51,911.54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51,911.54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1"/>
        <w:gridCol w:w="1713"/>
        <w:gridCol w:w="1417"/>
        <w:gridCol w:w="1560"/>
        <w:gridCol w:w="1134"/>
        <w:gridCol w:w="1276"/>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16,661.80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16,661.80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16,661.80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16,661.80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35,249.74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35,249.74</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29,470,145.75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56,906,400.05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903,142.23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3,428,639.38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90,708,327.41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30,072,640.50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53,245,985.24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772,647.36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4,342,242.11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88,433,515.21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73"/>
      <w:bookmarkEnd w:id="27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1,174,991.50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1,139,741.76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35,249.74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无" w:id="274"/>
      <w:bookmarkEnd w:id="274"/>
      <w:r>
        <w:rPr>
          <w:b w:val="0"/>
          <w:bCs w:val="0"/>
        </w:rPr>
      </w:r>
      <w:r>
        <w:rPr/>
        <w:t>（</w:t>
      </w:r>
      <w:r>
        <w:rPr>
          <w:rFonts w:ascii="Times New Roman" w:hAnsi="Times New Roman" w:cs="Times New Roman" w:eastAsia="Times New Roman" w:hint="default"/>
        </w:rPr>
        <w:t>3</w:t>
      </w:r>
      <w:r>
        <w:rPr/>
        <w:t>）通过融资租赁租入的固定资产情况：无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无" w:id="275"/>
      <w:bookmarkEnd w:id="275"/>
      <w:r>
        <w:rPr>
          <w:b w:val="0"/>
          <w:bCs w:val="0"/>
        </w:rPr>
      </w:r>
      <w:r>
        <w:rPr/>
        <w:t>（</w:t>
      </w:r>
      <w:r>
        <w:rPr>
          <w:rFonts w:ascii="Times New Roman" w:hAnsi="Times New Roman" w:cs="Times New Roman" w:eastAsia="Times New Roman" w:hint="default"/>
        </w:rPr>
        <w:t>4</w:t>
      </w:r>
      <w:r>
        <w:rPr/>
        <w:t>）通过经营租赁租出的固定资产：无</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未办妥产权证书的固定资产情况" w:id="276"/>
      <w:bookmarkEnd w:id="27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  </w:t>
            </w:r>
            <w:r>
              <w:rPr>
                <w:rFonts w:ascii="宋体" w:hAnsi="宋体" w:cs="宋体" w:eastAsia="宋体" w:hint="default"/>
                <w:sz w:val="18"/>
                <w:szCs w:val="18"/>
              </w:rPr>
              <w:t>呼叫中心及研发生产用房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17,945,547.30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手续尚未完成。</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在建工程" w:id="277"/>
      <w:bookmarkEnd w:id="277"/>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8"/>
      <w:bookmarkEnd w:id="278"/>
      <w:r>
        <w:rPr>
          <w:b w:val="0"/>
          <w:bCs w:val="0"/>
        </w:rPr>
      </w:r>
      <w:r>
        <w:rPr/>
        <w:t>（</w:t>
      </w:r>
      <w:r>
        <w:rPr>
          <w:rFonts w:ascii="Times New Roman" w:hAnsi="Times New Roman" w:cs="Times New Roman" w:eastAsia="Times New Roman" w:hint="default"/>
        </w:rPr>
        <w:t>1</w:t>
      </w:r>
      <w:r>
        <w:rPr/>
        <w:t>）在建工程情况</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28"/>
        <w:gridCol w:w="916"/>
        <w:gridCol w:w="916"/>
        <w:gridCol w:w="917"/>
        <w:gridCol w:w="1182"/>
        <w:gridCol w:w="916"/>
        <w:gridCol w:w="1182"/>
      </w:tblGrid>
      <w:tr>
        <w:trPr>
          <w:trHeight w:val="402" w:hRule="exact"/>
        </w:trPr>
        <w:tc>
          <w:tcPr>
            <w:tcW w:w="3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628" w:type="dxa"/>
            <w:vMerge/>
            <w:tcBorders>
              <w:left w:val="single" w:sz="4" w:space="0" w:color="000000"/>
              <w:bottom w:val="single" w:sz="4" w:space="0" w:color="000000"/>
              <w:right w:val="single" w:sz="4" w:space="0" w:color="000000"/>
            </w:tcBorders>
            <w:shd w:val="clear" w:color="auto" w:fill="D2D2D2"/>
          </w:tcPr>
          <w:p>
            <w:pP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呼叫中心及研发生产用房建设工程</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Times New Roman" w:hAnsi="Times New Roman" w:cs="Times New Roman" w:eastAsia="Times New Roman" w:hint="default"/>
                <w:sz w:val="18"/>
                <w:szCs w:val="18"/>
              </w:rPr>
            </w:pPr>
            <w:r>
              <w:rPr>
                <w:rFonts w:ascii="Times New Roman"/>
                <w:sz w:val="18"/>
              </w:rPr>
              <w:t>1,085,016.00</w:t>
            </w:r>
          </w:p>
        </w:tc>
        <w:tc>
          <w:tcPr>
            <w:tcW w:w="9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Times New Roman" w:hAnsi="Times New Roman" w:cs="Times New Roman" w:eastAsia="Times New Roman" w:hint="default"/>
                <w:sz w:val="18"/>
                <w:szCs w:val="18"/>
              </w:rPr>
            </w:pPr>
            <w:r>
              <w:rPr>
                <w:rFonts w:ascii="Times New Roman"/>
                <w:sz w:val="18"/>
              </w:rPr>
              <w:t>1,085,016.00</w:t>
            </w:r>
          </w:p>
        </w:tc>
      </w:tr>
      <w:tr>
        <w:trPr>
          <w:trHeight w:val="402"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企业会议平台建设工程</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Times New Roman" w:hAnsi="Times New Roman" w:cs="Times New Roman" w:eastAsia="Times New Roman" w:hint="default"/>
                <w:sz w:val="18"/>
                <w:szCs w:val="18"/>
              </w:rPr>
            </w:pPr>
            <w:r>
              <w:rPr>
                <w:rFonts w:ascii="Times New Roman"/>
                <w:sz w:val="18"/>
              </w:rPr>
              <w:t>3,419,883.17</w:t>
            </w:r>
          </w:p>
        </w:tc>
        <w:tc>
          <w:tcPr>
            <w:tcW w:w="9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Times New Roman" w:hAnsi="Times New Roman" w:cs="Times New Roman" w:eastAsia="Times New Roman" w:hint="default"/>
                <w:sz w:val="18"/>
                <w:szCs w:val="18"/>
              </w:rPr>
            </w:pPr>
            <w:r>
              <w:rPr>
                <w:rFonts w:ascii="Times New Roman"/>
                <w:sz w:val="18"/>
              </w:rPr>
              <w:t>3,419,883.17</w:t>
            </w:r>
          </w:p>
        </w:tc>
      </w:tr>
      <w:tr>
        <w:trPr>
          <w:trHeight w:val="403" w:hRule="exact"/>
        </w:trPr>
        <w:tc>
          <w:tcPr>
            <w:tcW w:w="3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Times New Roman" w:hAnsi="Times New Roman" w:cs="Times New Roman" w:eastAsia="Times New Roman" w:hint="default"/>
                <w:sz w:val="18"/>
                <w:szCs w:val="18"/>
              </w:rPr>
            </w:pPr>
            <w:r>
              <w:rPr>
                <w:rFonts w:ascii="Times New Roman"/>
                <w:sz w:val="18"/>
              </w:rPr>
              <w:t>4,504,899.17</w:t>
            </w:r>
          </w:p>
        </w:tc>
        <w:tc>
          <w:tcPr>
            <w:tcW w:w="9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Times New Roman" w:hAnsi="Times New Roman" w:cs="Times New Roman" w:eastAsia="Times New Roman" w:hint="default"/>
                <w:sz w:val="18"/>
                <w:szCs w:val="18"/>
              </w:rPr>
            </w:pPr>
            <w:r>
              <w:rPr>
                <w:rFonts w:ascii="Times New Roman"/>
                <w:sz w:val="18"/>
              </w:rPr>
              <w:t>4,504,899.17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9"/>
      <w:bookmarkEnd w:id="27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02"/>
        <w:gridCol w:w="1091"/>
        <w:gridCol w:w="1001"/>
        <w:gridCol w:w="933"/>
        <w:gridCol w:w="1211"/>
        <w:gridCol w:w="546"/>
        <w:gridCol w:w="472"/>
        <w:gridCol w:w="679"/>
        <w:gridCol w:w="369"/>
        <w:gridCol w:w="590"/>
        <w:gridCol w:w="859"/>
        <w:gridCol w:w="546"/>
        <w:gridCol w:w="368"/>
      </w:tblGrid>
      <w:tr>
        <w:trPr>
          <w:trHeight w:val="1650" w:hRule="exact"/>
        </w:trPr>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82" w:right="99"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7" w:right="86"/>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3" w:right="65"/>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9" w:right="89"/>
              <w:jc w:val="both"/>
              <w:rPr>
                <w:rFonts w:ascii="宋体" w:hAnsi="宋体" w:cs="宋体" w:eastAsia="宋体" w:hint="default"/>
                <w:sz w:val="18"/>
                <w:szCs w:val="18"/>
              </w:rPr>
            </w:pPr>
            <w:r>
              <w:rPr>
                <w:rFonts w:ascii="宋体" w:hAnsi="宋体" w:cs="宋体" w:eastAsia="宋体" w:hint="default"/>
                <w:sz w:val="18"/>
                <w:szCs w:val="18"/>
              </w:rPr>
              <w:t>工 程 进 度</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9" w:right="109"/>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7" w:right="8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338"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9"/>
              <w:jc w:val="both"/>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 心及研发生 产用房建设 工程</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25,620,000.00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1,085,016.00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1,085,016.00</w:t>
            </w:r>
          </w:p>
        </w:tc>
        <w:tc>
          <w:tcPr>
            <w:tcW w:w="546"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募 股 资 金</w:t>
            </w:r>
          </w:p>
        </w:tc>
      </w:tr>
      <w:tr>
        <w:trPr>
          <w:trHeight w:val="714" w:hRule="exact"/>
        </w:trPr>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企业会议平 台建设工程</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4,200,000.00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3,419,883.17</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707,787.77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4,127,670.94</w:t>
            </w:r>
          </w:p>
        </w:tc>
        <w:tc>
          <w:tcPr>
            <w:tcW w:w="546"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402" w:hRule="exact"/>
        </w:trPr>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29,820,000.00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4,504,899.17</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707,787.77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5,212,686.94</w:t>
            </w:r>
          </w:p>
        </w:tc>
        <w:tc>
          <w:tcPr>
            <w:tcW w:w="546"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无形资产" w:id="280"/>
      <w:bookmarkEnd w:id="280"/>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3,429,840.84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13,309,651.11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16,739,491.95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6,862,213.75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6,862,213.75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1,224,822.86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1,224,822.86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5,609,757.90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5,609,757.90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）汇率变动影响</w:t>
            </w:r>
          </w:p>
        </w:tc>
        <w:tc>
          <w:tcPr>
            <w:tcW w:w="140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27,632.99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27,632.99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3,429,840.84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20,171,864.86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23,601,705.70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833,135.36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9,935,417.08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10,768,552.44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72,975.36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1,956,137.01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2,029,112.37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72,975.36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1,929,143.64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2,002,119.00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40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26,993.37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26,384.50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906,110.72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11,891,554.09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12,797,664.81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2,523,730.12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8,280,310.77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10,804,040.89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2,596,705.48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3,374,234.03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5,970,939.51</w:t>
            </w:r>
          </w:p>
        </w:tc>
      </w:tr>
    </w:tbl>
    <w:p>
      <w:pPr>
        <w:pStyle w:val="Heading5"/>
        <w:spacing w:line="240" w:lineRule="auto" w:before="35"/>
        <w:ind w:left="154" w:right="0"/>
        <w:jc w:val="left"/>
      </w:pPr>
      <w:r>
        <w:rPr/>
        <w:t>本期末通过公司内部研发形成的无形资产占无形资产余额的比例</w:t>
      </w:r>
      <w:r>
        <w:rPr>
          <w:spacing w:val="-57"/>
        </w:rPr>
        <w:t> </w:t>
      </w:r>
      <w:r>
        <w:rPr>
          <w:rFonts w:ascii="Times New Roman" w:hAnsi="Times New Roman" w:cs="Times New Roman" w:eastAsia="Times New Roman" w:hint="default"/>
        </w:rPr>
        <w:t>37.49%</w:t>
      </w:r>
      <w:r>
        <w:rPr/>
        <w:t>。</w:t>
      </w:r>
    </w:p>
    <w:p>
      <w:pPr>
        <w:spacing w:line="240" w:lineRule="auto" w:before="12"/>
        <w:rPr>
          <w:rFonts w:ascii="宋体" w:hAnsi="宋体" w:cs="宋体" w:eastAsia="宋体" w:hint="default"/>
          <w:sz w:val="24"/>
          <w:szCs w:val="24"/>
        </w:rPr>
      </w:pPr>
    </w:p>
    <w:p>
      <w:pPr>
        <w:pStyle w:val="Heading3"/>
        <w:spacing w:line="240" w:lineRule="auto"/>
        <w:ind w:left="153" w:right="0"/>
        <w:jc w:val="left"/>
        <w:rPr>
          <w:b w:val="0"/>
          <w:bCs w:val="0"/>
        </w:rPr>
      </w:pPr>
      <w:bookmarkStart w:name="14、开发支出" w:id="282"/>
      <w:bookmarkEnd w:id="282"/>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10"/>
        <w:gridCol w:w="1001"/>
        <w:gridCol w:w="1137"/>
        <w:gridCol w:w="599"/>
        <w:gridCol w:w="1418"/>
        <w:gridCol w:w="1275"/>
        <w:gridCol w:w="568"/>
        <w:gridCol w:w="1134"/>
      </w:tblGrid>
      <w:tr>
        <w:trPr>
          <w:trHeight w:val="402" w:hRule="exact"/>
        </w:trPr>
        <w:tc>
          <w:tcPr>
            <w:tcW w:w="25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510"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2" w:right="90" w:hanging="451"/>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客户回访工作优化项目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819,715.70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1,571,895.92</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2,391,611.62</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 SIM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研发项目</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265,299.15</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265,299.15</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 new HS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研发项目</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278,870.55</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278,870.55</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坐席中心质量控制系统</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218,101.25</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612,007.09</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830,108.34</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iTalkBB</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手机应用终端开发项目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2,481,044.32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2,033,306.09</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4,514,350.41</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网络电视多网络内容分发系统</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815,670.87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1,419,132.82</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2,234,803.69</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网络电视内容生产系统</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584,562.83</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700,739.17</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1,285,302.00</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客户端系统项目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STB 2.0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811,960.14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2,467,675.78</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3,279,635.92</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onet </w:t>
            </w:r>
            <w:r>
              <w:rPr>
                <w:rFonts w:ascii="宋体" w:hAnsi="宋体" w:cs="宋体" w:eastAsia="宋体" w:hint="default"/>
                <w:sz w:val="18"/>
                <w:szCs w:val="18"/>
              </w:rPr>
              <w:t>平台开发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管理系统</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89,292.00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63,791.43</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153,083.43</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企业管理软件项目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991,398.00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1,318,205.64</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2,309,603.64</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7,211,745.11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10,730,923.64</w:t>
            </w:r>
          </w:p>
        </w:tc>
        <w:tc>
          <w:tcPr>
            <w:tcW w:w="5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553,083.43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5,609,757.90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11,779,827.42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商誉" w:id="283"/>
      <w:bookmarkEnd w:id="283"/>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57"/>
        <w:gridCol w:w="1181"/>
        <w:gridCol w:w="1450"/>
        <w:gridCol w:w="851"/>
        <w:gridCol w:w="851"/>
        <w:gridCol w:w="1134"/>
        <w:gridCol w:w="1417"/>
      </w:tblGrid>
      <w:tr>
        <w:trPr>
          <w:trHeight w:val="402" w:hRule="exact"/>
        </w:trPr>
        <w:tc>
          <w:tcPr>
            <w:tcW w:w="2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5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34,635,570.72</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及相关经营推广公司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639,994,902.51</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639,994,902.</w:t>
            </w:r>
            <w:r>
              <w:rPr>
                <w:rFonts w:ascii="Times New Roman"/>
                <w:spacing w:val="-1"/>
                <w:sz w:val="18"/>
              </w:rPr>
              <w:t> </w:t>
            </w: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57"/>
        <w:gridCol w:w="1181"/>
        <w:gridCol w:w="1450"/>
        <w:gridCol w:w="851"/>
        <w:gridCol w:w="851"/>
        <w:gridCol w:w="1134"/>
        <w:gridCol w:w="1417"/>
      </w:tblGrid>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93,137,524.28</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93,137,524.</w:t>
            </w:r>
            <w:r>
              <w:rPr>
                <w:rFonts w:ascii="Times New Roman"/>
                <w:spacing w:val="-1"/>
                <w:sz w:val="18"/>
              </w:rPr>
              <w:t> </w:t>
            </w:r>
            <w:r>
              <w:rPr>
                <w:rFonts w:ascii="Times New Roman"/>
                <w:sz w:val="18"/>
              </w:rPr>
              <w:t>28</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767,767,997.51</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767,767,997.51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长期待摊费用" w:id="285"/>
      <w:bookmarkEnd w:id="285"/>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51" w:type="dxa"/>
        <w:tblLayout w:type="fixed"/>
        <w:tblCellMar>
          <w:top w:w="0" w:type="dxa"/>
          <w:left w:w="0" w:type="dxa"/>
          <w:bottom w:w="0" w:type="dxa"/>
          <w:right w:w="0" w:type="dxa"/>
        </w:tblCellMar>
        <w:tblLook w:val="01E0"/>
      </w:tblPr>
      <w:tblGrid>
        <w:gridCol w:w="2429"/>
        <w:gridCol w:w="1486"/>
        <w:gridCol w:w="1484"/>
        <w:gridCol w:w="1486"/>
        <w:gridCol w:w="1484"/>
        <w:gridCol w:w="1486"/>
      </w:tblGrid>
      <w:tr>
        <w:trPr>
          <w:trHeight w:val="379" w:hRule="exact"/>
        </w:trPr>
        <w:tc>
          <w:tcPr>
            <w:tcW w:w="24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449" w:val="left" w:leader="none"/>
              </w:tabs>
              <w:spacing w:line="240" w:lineRule="auto" w:before="38"/>
              <w:ind w:right="893"/>
              <w:jc w:val="right"/>
              <w:rPr>
                <w:rFonts w:ascii="宋体" w:hAnsi="宋体" w:cs="宋体" w:eastAsia="宋体" w:hint="default"/>
                <w:sz w:val="18"/>
                <w:szCs w:val="18"/>
              </w:rPr>
            </w:pPr>
            <w:r>
              <w:rPr>
                <w:rFonts w:ascii="宋体" w:hAnsi="宋体" w:cs="宋体" w:eastAsia="宋体" w:hint="default"/>
                <w:color w:val="0D0D0D"/>
                <w:sz w:val="18"/>
                <w:szCs w:val="18"/>
              </w:rPr>
              <w:t>项</w:t>
              <w:tab/>
              <w:t>目</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376" w:right="0"/>
              <w:jc w:val="left"/>
              <w:rPr>
                <w:rFonts w:ascii="宋体" w:hAnsi="宋体" w:cs="宋体" w:eastAsia="宋体" w:hint="default"/>
                <w:sz w:val="18"/>
                <w:szCs w:val="18"/>
              </w:rPr>
            </w:pPr>
            <w:r>
              <w:rPr>
                <w:rFonts w:ascii="宋体" w:hAnsi="宋体" w:cs="宋体" w:eastAsia="宋体" w:hint="default"/>
                <w:color w:val="0D0D0D"/>
                <w:sz w:val="18"/>
                <w:szCs w:val="18"/>
              </w:rPr>
              <w:t>期初余额</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286" w:right="0"/>
              <w:jc w:val="left"/>
              <w:rPr>
                <w:rFonts w:ascii="宋体" w:hAnsi="宋体" w:cs="宋体" w:eastAsia="宋体" w:hint="default"/>
                <w:sz w:val="18"/>
                <w:szCs w:val="18"/>
              </w:rPr>
            </w:pPr>
            <w:r>
              <w:rPr>
                <w:rFonts w:ascii="宋体" w:hAnsi="宋体" w:cs="宋体" w:eastAsia="宋体" w:hint="default"/>
                <w:color w:val="0D0D0D"/>
                <w:sz w:val="18"/>
                <w:szCs w:val="18"/>
              </w:rPr>
              <w:t>本期增加额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286" w:right="0"/>
              <w:jc w:val="left"/>
              <w:rPr>
                <w:rFonts w:ascii="宋体" w:hAnsi="宋体" w:cs="宋体" w:eastAsia="宋体" w:hint="default"/>
                <w:sz w:val="18"/>
                <w:szCs w:val="18"/>
              </w:rPr>
            </w:pPr>
            <w:r>
              <w:rPr>
                <w:rFonts w:ascii="宋体" w:hAnsi="宋体" w:cs="宋体" w:eastAsia="宋体" w:hint="default"/>
                <w:color w:val="0D0D0D"/>
                <w:sz w:val="18"/>
                <w:szCs w:val="18"/>
              </w:rPr>
              <w:t>本期摊销额</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286" w:right="0"/>
              <w:jc w:val="left"/>
              <w:rPr>
                <w:rFonts w:ascii="宋体" w:hAnsi="宋体" w:cs="宋体" w:eastAsia="宋体" w:hint="default"/>
                <w:sz w:val="18"/>
                <w:szCs w:val="18"/>
              </w:rPr>
            </w:pPr>
            <w:r>
              <w:rPr>
                <w:rFonts w:ascii="宋体" w:hAnsi="宋体" w:cs="宋体" w:eastAsia="宋体" w:hint="default"/>
                <w:color w:val="0D0D0D"/>
                <w:sz w:val="18"/>
                <w:szCs w:val="18"/>
              </w:rPr>
              <w:t>其他减少额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left="376" w:right="0"/>
              <w:jc w:val="left"/>
              <w:rPr>
                <w:rFonts w:ascii="宋体" w:hAnsi="宋体" w:cs="宋体" w:eastAsia="宋体" w:hint="default"/>
                <w:sz w:val="18"/>
                <w:szCs w:val="18"/>
              </w:rPr>
            </w:pPr>
            <w:r>
              <w:rPr>
                <w:rFonts w:ascii="宋体" w:hAnsi="宋体" w:cs="宋体" w:eastAsia="宋体" w:hint="default"/>
                <w:color w:val="0D0D0D"/>
                <w:sz w:val="18"/>
                <w:szCs w:val="18"/>
              </w:rPr>
              <w:t>期末余额</w:t>
            </w:r>
            <w:r>
              <w:rPr>
                <w:rFonts w:ascii="宋体" w:hAnsi="宋体" w:cs="宋体" w:eastAsia="宋体" w:hint="default"/>
                <w:sz w:val="18"/>
                <w:szCs w:val="18"/>
              </w:rPr>
            </w:r>
          </w:p>
        </w:tc>
      </w:tr>
      <w:tr>
        <w:trPr>
          <w:trHeight w:val="378"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74"/>
              <w:jc w:val="right"/>
              <w:rPr>
                <w:rFonts w:ascii="宋体" w:hAnsi="宋体" w:cs="宋体" w:eastAsia="宋体" w:hint="default"/>
                <w:sz w:val="18"/>
                <w:szCs w:val="18"/>
              </w:rPr>
            </w:pPr>
            <w:r>
              <w:rPr>
                <w:rFonts w:ascii="宋体" w:hAnsi="宋体" w:cs="宋体" w:eastAsia="宋体" w:hint="default"/>
                <w:color w:val="0D0D0D"/>
                <w:sz w:val="18"/>
                <w:szCs w:val="18"/>
              </w:rPr>
              <w:t>机房及办公楼装修</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3,095,620.06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1,799,740.29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2,345,990.49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2,549,369.86</w:t>
            </w:r>
          </w:p>
        </w:tc>
      </w:tr>
      <w:tr>
        <w:trPr>
          <w:trHeight w:val="379"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29"/>
              <w:jc w:val="right"/>
              <w:rPr>
                <w:rFonts w:ascii="宋体" w:hAnsi="宋体" w:cs="宋体" w:eastAsia="宋体" w:hint="default"/>
                <w:sz w:val="18"/>
                <w:szCs w:val="18"/>
              </w:rPr>
            </w:pPr>
            <w:r>
              <w:rPr>
                <w:rFonts w:ascii="宋体" w:hAnsi="宋体" w:cs="宋体" w:eastAsia="宋体" w:hint="default"/>
                <w:color w:val="0D0D0D"/>
                <w:sz w:val="18"/>
                <w:szCs w:val="18"/>
              </w:rPr>
              <w:t>VOIP</w:t>
            </w:r>
            <w:r>
              <w:rPr>
                <w:rFonts w:ascii="宋体" w:hAnsi="宋体" w:cs="宋体" w:eastAsia="宋体" w:hint="default"/>
                <w:color w:val="0D0D0D"/>
                <w:spacing w:val="-46"/>
                <w:sz w:val="18"/>
                <w:szCs w:val="18"/>
              </w:rPr>
              <w:t> </w:t>
            </w:r>
            <w:r>
              <w:rPr>
                <w:rFonts w:ascii="宋体" w:hAnsi="宋体" w:cs="宋体" w:eastAsia="宋体" w:hint="default"/>
                <w:color w:val="0D0D0D"/>
                <w:sz w:val="18"/>
                <w:szCs w:val="18"/>
              </w:rPr>
              <w:t>用户获取费用</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31,656,995.39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7,972,441.95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11,506,786.97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28,122,650.37</w:t>
            </w:r>
          </w:p>
        </w:tc>
      </w:tr>
      <w:tr>
        <w:trPr>
          <w:trHeight w:val="379"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29"/>
              <w:jc w:val="right"/>
              <w:rPr>
                <w:rFonts w:ascii="宋体" w:hAnsi="宋体" w:cs="宋体" w:eastAsia="宋体" w:hint="default"/>
                <w:sz w:val="18"/>
                <w:szCs w:val="18"/>
              </w:rPr>
            </w:pPr>
            <w:r>
              <w:rPr>
                <w:rFonts w:ascii="宋体" w:hAnsi="宋体" w:cs="宋体" w:eastAsia="宋体" w:hint="default"/>
                <w:color w:val="0D0D0D"/>
                <w:sz w:val="18"/>
                <w:szCs w:val="18"/>
              </w:rPr>
              <w:t>IPTV</w:t>
            </w:r>
            <w:r>
              <w:rPr>
                <w:rFonts w:ascii="宋体" w:hAnsi="宋体" w:cs="宋体" w:eastAsia="宋体" w:hint="default"/>
                <w:color w:val="0D0D0D"/>
                <w:spacing w:val="-46"/>
                <w:sz w:val="18"/>
                <w:szCs w:val="18"/>
              </w:rPr>
              <w:t> </w:t>
            </w:r>
            <w:r>
              <w:rPr>
                <w:rFonts w:ascii="宋体" w:hAnsi="宋体" w:cs="宋体" w:eastAsia="宋体" w:hint="default"/>
                <w:color w:val="0D0D0D"/>
                <w:sz w:val="18"/>
                <w:szCs w:val="18"/>
              </w:rPr>
              <w:t>用户获取费用</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29,394,102.77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12,339,098.68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9,181,420.58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pacing w:val="-1"/>
                <w:sz w:val="18"/>
              </w:rPr>
              <w:t>32,551,780.87</w:t>
            </w:r>
          </w:p>
        </w:tc>
      </w:tr>
      <w:tr>
        <w:trPr>
          <w:trHeight w:val="379"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29"/>
              <w:jc w:val="right"/>
              <w:rPr>
                <w:rFonts w:ascii="宋体" w:hAnsi="宋体" w:cs="宋体" w:eastAsia="宋体" w:hint="default"/>
                <w:sz w:val="18"/>
                <w:szCs w:val="18"/>
              </w:rPr>
            </w:pPr>
            <w:r>
              <w:rPr>
                <w:rFonts w:ascii="宋体" w:hAnsi="宋体" w:cs="宋体" w:eastAsia="宋体" w:hint="default"/>
                <w:color w:val="0D0D0D"/>
                <w:sz w:val="18"/>
                <w:szCs w:val="18"/>
              </w:rPr>
              <w:t>onet</w:t>
            </w:r>
            <w:r>
              <w:rPr>
                <w:rFonts w:ascii="宋体" w:hAnsi="宋体" w:cs="宋体" w:eastAsia="宋体" w:hint="default"/>
                <w:color w:val="0D0D0D"/>
                <w:spacing w:val="-46"/>
                <w:sz w:val="18"/>
                <w:szCs w:val="18"/>
              </w:rPr>
              <w:t> </w:t>
            </w:r>
            <w:r>
              <w:rPr>
                <w:rFonts w:ascii="宋体" w:hAnsi="宋体" w:cs="宋体" w:eastAsia="宋体" w:hint="default"/>
                <w:color w:val="0D0D0D"/>
                <w:sz w:val="18"/>
                <w:szCs w:val="18"/>
              </w:rPr>
              <w:t>软件系统平台</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z w:val="18"/>
              </w:rPr>
              <w:t>500,000.00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z w:val="18"/>
              </w:rPr>
              <w:t>27,777.77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8"/>
                <w:szCs w:val="18"/>
              </w:rPr>
            </w:pPr>
            <w:r>
              <w:rPr>
                <w:rFonts w:ascii="Times New Roman"/>
                <w:sz w:val="18"/>
              </w:rPr>
              <w:t>472,222.23</w:t>
            </w:r>
          </w:p>
        </w:tc>
      </w:tr>
      <w:tr>
        <w:trPr>
          <w:trHeight w:val="379" w:hRule="exact"/>
        </w:trPr>
        <w:tc>
          <w:tcPr>
            <w:tcW w:w="24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color w:val="0D0D0D"/>
                <w:sz w:val="18"/>
                <w:szCs w:val="18"/>
              </w:rPr>
              <w:t>合计</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64,146,718.22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22,611,280.92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23,061,975.81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63,696,023.33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递延所得税资产/递延所得税负债" w:id="286"/>
      <w:bookmarkEnd w:id="286"/>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87"/>
      <w:bookmarkEnd w:id="28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188,772.67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120,872.47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18,130.87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20,922,787.03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4,316,861.50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14,700,325.11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2,356,212.79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716,250.00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26,841,559.70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5,057,791.45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14,821,197.58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2,374,343.66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8"/>
      <w:bookmarkEnd w:id="28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应收利息和理财收益</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844,782.46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126,717.37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844,782.46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126,717.37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89"/>
      <w:bookmarkEnd w:id="28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5,057,791.45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2,374,343.66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126,717.37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0"/>
      <w:bookmarkEnd w:id="29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2"/>
        <w:gridCol w:w="205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*1</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36,092,852.40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12,403,104.61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北京首都在线网络技术有限公司 可抵扣亏损 </w:t>
            </w:r>
            <w:r>
              <w:rPr>
                <w:rFonts w:ascii="Times New Roman" w:hAnsi="Times New Roman" w:cs="Times New Roman" w:eastAsia="Times New Roman" w:hint="default"/>
                <w:sz w:val="18"/>
                <w:szCs w:val="18"/>
              </w:rPr>
              <w:t>*2</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24,989,712.85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爱涛信科国际通信技术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 可抵扣亏损</w:t>
            </w:r>
            <w:r>
              <w:rPr>
                <w:rFonts w:ascii="Times New Roman" w:hAnsi="Times New Roman" w:cs="Times New Roman" w:eastAsia="Times New Roman" w:hint="default"/>
                <w:sz w:val="18"/>
                <w:szCs w:val="18"/>
              </w:rPr>
              <w:t>*3</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1,937,232.51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江苏爱拓网络科技有限公司 可抵扣亏损 </w:t>
            </w:r>
            <w:r>
              <w:rPr>
                <w:rFonts w:ascii="Times New Roman" w:hAnsi="Times New Roman" w:cs="Times New Roman" w:eastAsia="Times New Roman" w:hint="default"/>
                <w:sz w:val="18"/>
                <w:szCs w:val="18"/>
              </w:rPr>
              <w:t>*3</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17,004,414.94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-36,092,852.40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-56,334,464.91</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left="154" w:right="1152" w:firstLine="420"/>
        <w:jc w:val="left"/>
      </w:pPr>
      <w:r>
        <w:rPr>
          <w:rFonts w:ascii="Times New Roman" w:hAnsi="Times New Roman" w:cs="Times New Roman" w:eastAsia="Times New Roman" w:hint="default"/>
        </w:rPr>
        <w:t>*1</w:t>
      </w:r>
      <w:r>
        <w:rPr/>
        <w:t>依本公司经营策略，相关生产经营业务已转至各全资子公司，预计未来几年不会产生可抵补的应纳税所得额，因此 不再确认可抵扣亏损对递延所得税资产的影响。</w:t>
      </w:r>
    </w:p>
    <w:p>
      <w:pPr>
        <w:pStyle w:val="BodyText"/>
        <w:spacing w:line="240" w:lineRule="auto" w:before="15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首都在线公司自</w:t>
      </w:r>
      <w:r>
        <w:rPr>
          <w:rFonts w:ascii="Times New Roman" w:hAnsi="Times New Roman" w:cs="Times New Roman" w:eastAsia="Times New Roman" w:hint="default"/>
        </w:rPr>
        <w:t>2014</w:t>
      </w:r>
      <w:r>
        <w:rPr/>
        <w:t>年度起扭亏为盈，对其可抵扣亏损结余予以确认递延所得税资产。</w:t>
      </w:r>
    </w:p>
    <w:p>
      <w:pPr>
        <w:spacing w:line="240" w:lineRule="auto" w:before="13"/>
        <w:rPr>
          <w:rFonts w:ascii="宋体" w:hAnsi="宋体" w:cs="宋体" w:eastAsia="宋体" w:hint="default"/>
          <w:sz w:val="13"/>
          <w:szCs w:val="13"/>
        </w:rPr>
      </w:pPr>
    </w:p>
    <w:p>
      <w:pPr>
        <w:pStyle w:val="BodyText"/>
        <w:spacing w:line="300" w:lineRule="auto"/>
        <w:ind w:right="0" w:firstLine="420"/>
        <w:jc w:val="left"/>
      </w:pPr>
      <w:r>
        <w:rPr>
          <w:rFonts w:ascii="Times New Roman" w:hAnsi="Times New Roman" w:cs="Times New Roman" w:eastAsia="Times New Roman" w:hint="default"/>
          <w:spacing w:val="-2"/>
        </w:rPr>
        <w:t>*3</w:t>
      </w:r>
      <w:r>
        <w:rPr>
          <w:spacing w:val="-2"/>
        </w:rPr>
        <w:t>依本公司经营策略，本公司已注销爱涛信科国际通信技术</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有限公司、江苏爱拓网络科技有限公司，因此不再确</w:t>
      </w:r>
      <w:r>
        <w:rPr/>
        <w:t> 认上述两家公司可抵扣亏损对递延所得税资产的影响。</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5）未确认递延所得税资产的可抵扣亏损将于以下年度到期" w:id="291"/>
      <w:bookmarkEnd w:id="29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-194,606.81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-3,854,774.71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-6,836,253.35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-17,458,465.25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-12,403,104.61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-27,990,364.79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-23,689,747.79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-36,092,852.40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-56,334,464.91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应付账款" w:id="292"/>
      <w:bookmarkEnd w:id="292"/>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93"/>
      <w:bookmarkEnd w:id="29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应付带宽、运营费用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21,830,227.41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20,510,528.44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3,885,357.69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2,911,121.46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应付市场费用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1,027,309.48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667,412.35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139,998.00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3,092,992.48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1,281,516.55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2,721,171.49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28,164,409.13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29,903,226.22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北京昌园建筑工程有限责任公司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未到期的工程质保金。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预收款项" w:id="295"/>
      <w:bookmarkEnd w:id="295"/>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171,017,750.10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157,831,786.97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171,017,750.10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157,831,786.97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应付职工薪酬" w:id="297"/>
      <w:bookmarkEnd w:id="297"/>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8"/>
      <w:bookmarkEnd w:id="29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713"/>
        <w:gridCol w:w="1702"/>
        <w:gridCol w:w="1701"/>
        <w:gridCol w:w="1632"/>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30,378,143.70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178,677,113.52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188,704,929.51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20,350,327.71</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1,288,283.17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18,884,924.21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18,889,511.16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1,283,696.22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271,505.00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1,283,966.45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1,555,471.45</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31,937,931.87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198,846,004.18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209,149,912.12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21,634,023.93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9"/>
      <w:bookmarkEnd w:id="29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24"/>
        <w:gridCol w:w="1177"/>
        <w:gridCol w:w="1277"/>
        <w:gridCol w:w="1276"/>
        <w:gridCol w:w="1276"/>
      </w:tblGrid>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1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28,917,207.37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158,298,906.29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167,562,398.12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19,653,715.54</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177" w:type="dxa"/>
            <w:tcBorders>
              <w:top w:val="single" w:sz="4" w:space="0" w:color="000000"/>
              <w:left w:val="single" w:sz="10"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1,319,511.98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1,319,511.98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47"/>
        <w:gridCol w:w="1165"/>
        <w:gridCol w:w="1277"/>
        <w:gridCol w:w="1276"/>
        <w:gridCol w:w="1276"/>
      </w:tblGrid>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562,306.52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9,941,002.70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9,872,369.76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630,939.46</w:t>
            </w: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499,129.70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8,835,340.14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8,771,022.64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563,447.20</w:t>
            </w: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30,728.37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506,798.76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505,070.68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32,456.45</w:t>
            </w: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32,448.45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598,863.80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596,276.44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35,035.81</w:t>
            </w: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54,145.00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8,608,793.80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8,601,108.80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61,830.00</w:t>
            </w: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135,064.87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131,431.62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3,633.25</w:t>
            </w: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、其他：除辞退福利外其他因解除劳动关系给予的补偿等</w:t>
            </w:r>
          </w:p>
        </w:tc>
        <w:tc>
          <w:tcPr>
            <w:tcW w:w="11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、其他短期薪酬</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844,484.81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373,833.88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1,218,109.23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209.46</w:t>
            </w:r>
          </w:p>
        </w:tc>
      </w:tr>
      <w:tr>
        <w:trPr>
          <w:trHeight w:val="402"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30,378,143.70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178,677,113.52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188,704,929.51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20,350,327.71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00"/>
      <w:bookmarkEnd w:id="30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17,702,808.42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17,675,945.59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1,231,046.77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84,099.23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1,182,115.79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1,213,565.57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52,649.45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1,288,283.17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18,884,924.21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18,889,511.16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1,283,696.22</w:t>
            </w:r>
          </w:p>
        </w:tc>
      </w:tr>
    </w:tbl>
    <w:p>
      <w:pPr>
        <w:pStyle w:val="BodyText"/>
        <w:spacing w:line="240" w:lineRule="auto" w:before="51"/>
        <w:ind w:left="154" w:right="0"/>
        <w:jc w:val="left"/>
      </w:pPr>
      <w:r>
        <w:rPr/>
        <w:t>其他说明：</w:t>
      </w:r>
    </w:p>
    <w:p>
      <w:pPr>
        <w:pStyle w:val="BodyText"/>
        <w:spacing w:line="415" w:lineRule="auto" w:before="116"/>
        <w:ind w:left="558" w:right="3313" w:firstLine="15"/>
        <w:jc w:val="left"/>
      </w:pPr>
      <w:r>
        <w:rPr/>
        <w:t>期末应付职工薪酬主要系</w:t>
      </w:r>
      <w:r>
        <w:rPr>
          <w:rFonts w:ascii="Times New Roman" w:hAnsi="Times New Roman" w:cs="Times New Roman" w:eastAsia="Times New Roman" w:hint="default"/>
        </w:rPr>
        <w:t>12</w:t>
      </w:r>
      <w:r>
        <w:rPr/>
        <w:t>月工资及年终奖，无属于拖欠性质的金额。 应付职工薪酬余额期末较期初减少</w:t>
      </w:r>
      <w:r>
        <w:rPr>
          <w:rFonts w:ascii="Times New Roman" w:hAnsi="Times New Roman" w:cs="Times New Roman" w:eastAsia="Times New Roman" w:hint="default"/>
        </w:rPr>
        <w:t>32.26%</w:t>
      </w:r>
      <w:r>
        <w:rPr/>
        <w:t>，主要系本公司计提本年奖金较上年减少所致。</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1、应交税费" w:id="301"/>
      <w:bookmarkEnd w:id="301"/>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197,214.28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-3,734,908.05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13,630.15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758,848.43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3,035,929.37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328,464.70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862,248.91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718,938.60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19,810.38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42,212.31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34,685.02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1,034,722.90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-18,258.45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-21,489.01</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-480,896.33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-1,443,531.23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17,070.49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4,686,352.63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-3,299,708.74</w:t>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15"/>
          <w:szCs w:val="15"/>
        </w:rPr>
      </w:pPr>
    </w:p>
    <w:p>
      <w:pPr>
        <w:pStyle w:val="BodyText"/>
        <w:spacing w:line="300" w:lineRule="auto"/>
        <w:ind w:right="1131" w:firstLine="420"/>
        <w:jc w:val="both"/>
      </w:pPr>
      <w:r>
        <w:rPr>
          <w:spacing w:val="-2"/>
        </w:rPr>
        <w:t>应交税费余额期末比期初变动较大，主要系（</w:t>
      </w:r>
      <w:r>
        <w:rPr>
          <w:rFonts w:ascii="Times New Roman" w:hAnsi="Times New Roman" w:cs="Times New Roman" w:eastAsia="Times New Roman" w:hint="default"/>
          <w:spacing w:val="-2"/>
        </w:rPr>
        <w:t>1</w:t>
      </w:r>
      <w:r>
        <w:rPr>
          <w:spacing w:val="-2"/>
        </w:rPr>
        <w:t>）如附注六、税项（一）所述，本公司本期境内分、子公司营业税改征</w:t>
      </w:r>
      <w:r>
        <w:rPr/>
        <w:t> 增值税；（</w:t>
      </w:r>
      <w:r>
        <w:rPr>
          <w:rFonts w:ascii="Times New Roman" w:hAnsi="Times New Roman" w:cs="Times New Roman" w:eastAsia="Times New Roman" w:hint="default"/>
        </w:rPr>
        <w:t>2</w:t>
      </w:r>
      <w:r>
        <w:rPr/>
        <w:t>）本公司下属子公司北京二六三企业通信有限公司软件企业免税优惠期结束，进入纳税期开始缴纳企业所得税 等所致。</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2、其他应付款" w:id="302"/>
      <w:bookmarkEnd w:id="302"/>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03"/>
      <w:bookmarkEnd w:id="30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25,927,642.36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52,221,543.66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3,751,818.56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1,493,633.52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1,337,459.96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964,856.93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1,213,183.21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470,617.11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456,134.47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1,694,969.45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2,915,278.69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34,147,364.37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58,299,773.55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04"/>
      <w:bookmarkEnd w:id="30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黄明生、朱力等</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25,927,642.36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股权转让款尚未付款。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25,927,642.36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240" w:lineRule="auto" w:before="116"/>
        <w:ind w:left="574" w:right="0"/>
        <w:jc w:val="left"/>
      </w:pPr>
      <w:r>
        <w:rPr/>
        <w:t>其他应付款余额期末比期初下降</w:t>
      </w:r>
      <w:r>
        <w:rPr>
          <w:rFonts w:ascii="Times New Roman" w:hAnsi="Times New Roman" w:cs="Times New Roman" w:eastAsia="Times New Roman" w:hint="default"/>
        </w:rPr>
        <w:t>41.43%</w:t>
      </w:r>
      <w:r>
        <w:rPr/>
        <w:t>，本公司本期支付了部分首都在线、上海翰平原股东股权转让款所致。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3、递延收益" w:id="305"/>
      <w:bookmarkEnd w:id="305"/>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64"/>
        <w:gridCol w:w="1097"/>
        <w:gridCol w:w="1402"/>
        <w:gridCol w:w="1086"/>
        <w:gridCol w:w="1400"/>
        <w:gridCol w:w="3606"/>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67,984.33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7,662,015.67</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收到的与资产相关的政府补助。</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67,984.33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7,662,015.67</w:t>
            </w:r>
          </w:p>
        </w:tc>
        <w:tc>
          <w:tcPr>
            <w:tcW w:w="3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2"/>
        <w:gridCol w:w="850"/>
        <w:gridCol w:w="1276"/>
        <w:gridCol w:w="1277"/>
        <w:gridCol w:w="700"/>
        <w:gridCol w:w="1001"/>
        <w:gridCol w:w="1302"/>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2"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4" w:right="75"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5" w:right="79"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5,730,000.00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“移动数据虚拟专用网服务平台”项目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67,984.33</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1,932,015.67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67,984.33</w:t>
            </w:r>
          </w:p>
        </w:tc>
        <w:tc>
          <w:tcPr>
            <w:tcW w:w="70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7,662,015.67</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both"/>
      </w:pPr>
      <w:r>
        <w:rPr/>
        <w:t>其他说明：</w:t>
      </w:r>
    </w:p>
    <w:p>
      <w:pPr>
        <w:pStyle w:val="BodyText"/>
        <w:spacing w:line="300" w:lineRule="auto" w:before="116"/>
        <w:ind w:left="574" w:right="111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263</w:t>
      </w:r>
      <w:r>
        <w:rPr/>
        <w:t>云通信”项目 </w:t>
      </w:r>
      <w:r>
        <w:rPr>
          <w:spacing w:val="-1"/>
        </w:rPr>
        <w:t>根据北京市财政局关于下达</w:t>
      </w:r>
      <w:r>
        <w:rPr>
          <w:rFonts w:ascii="Times New Roman" w:hAnsi="Times New Roman" w:cs="Times New Roman" w:eastAsia="Times New Roman" w:hint="default"/>
          <w:spacing w:val="-1"/>
        </w:rPr>
        <w:t>2013</w:t>
      </w:r>
      <w:r>
        <w:rPr>
          <w:spacing w:val="-1"/>
        </w:rPr>
        <w:t>年中关村现代服务业试点项目财政补助资金预算的函，本公司</w:t>
      </w:r>
      <w:r>
        <w:rPr>
          <w:rFonts w:ascii="Times New Roman" w:hAnsi="Times New Roman" w:cs="Times New Roman" w:eastAsia="Times New Roman" w:hint="default"/>
          <w:spacing w:val="-1"/>
        </w:rPr>
        <w:t>2014</w:t>
      </w:r>
      <w:r>
        <w:rPr>
          <w:spacing w:val="-1"/>
        </w:rPr>
        <w:t>年收到</w:t>
      </w:r>
      <w:r>
        <w:rPr>
          <w:rFonts w:ascii="Times New Roman" w:hAnsi="Times New Roman" w:cs="Times New Roman" w:eastAsia="Times New Roman" w:hint="default"/>
          <w:spacing w:val="-1"/>
        </w:rPr>
        <w:t>573</w:t>
      </w:r>
      <w:r>
        <w:rPr>
          <w:spacing w:val="-1"/>
        </w:rPr>
        <w:t>万元的拨</w:t>
      </w:r>
    </w:p>
    <w:p>
      <w:pPr>
        <w:pStyle w:val="BodyText"/>
        <w:spacing w:line="240" w:lineRule="auto" w:before="13"/>
        <w:ind w:right="0"/>
        <w:jc w:val="both"/>
      </w:pPr>
      <w:r>
        <w:rPr/>
        <w:t>款补助。该拨款专项用于</w:t>
      </w:r>
      <w:r>
        <w:rPr>
          <w:rFonts w:ascii="Times New Roman" w:hAnsi="Times New Roman" w:cs="Times New Roman" w:eastAsia="Times New Roman" w:hint="default"/>
        </w:rPr>
        <w:t>“263</w:t>
      </w:r>
      <w:r>
        <w:rPr/>
        <w:t>云通信</w:t>
      </w:r>
      <w:r>
        <w:rPr>
          <w:rFonts w:ascii="Times New Roman" w:hAnsi="Times New Roman" w:cs="Times New Roman" w:eastAsia="Times New Roman" w:hint="default"/>
        </w:rPr>
        <w:t>”</w:t>
      </w:r>
      <w:r>
        <w:rPr/>
        <w:t>企业通信云服务平台的建设与推广，截至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日，该项目还在开发过程中。</w:t>
      </w:r>
    </w:p>
    <w:p>
      <w:pPr>
        <w:pStyle w:val="BodyText"/>
        <w:spacing w:line="430" w:lineRule="atLeast" w:before="2"/>
        <w:ind w:left="574" w:right="1132"/>
        <w:jc w:val="left"/>
      </w:pPr>
      <w:r>
        <w:rPr/>
        <w:t>（</w:t>
      </w:r>
      <w:r>
        <w:rPr>
          <w:rFonts w:ascii="Times New Roman" w:hAnsi="Times New Roman" w:cs="Times New Roman" w:eastAsia="Times New Roman" w:hint="default"/>
        </w:rPr>
        <w:t>2</w:t>
      </w:r>
      <w:r>
        <w:rPr/>
        <w:t>）“移动数据虚拟专用网络服务平台”项目 </w:t>
      </w:r>
      <w:r>
        <w:rPr>
          <w:spacing w:val="-1"/>
        </w:rPr>
        <w:t>根据沪发改服务</w:t>
      </w:r>
      <w:r>
        <w:rPr>
          <w:rFonts w:ascii="Times New Roman" w:hAnsi="Times New Roman" w:cs="Times New Roman" w:eastAsia="Times New Roman" w:hint="default"/>
          <w:spacing w:val="-1"/>
        </w:rPr>
        <w:t>[2014]8</w:t>
      </w:r>
      <w:r>
        <w:rPr>
          <w:spacing w:val="-1"/>
        </w:rPr>
        <w:t>号《关于下达</w:t>
      </w:r>
      <w:r>
        <w:rPr>
          <w:rFonts w:ascii="Times New Roman" w:hAnsi="Times New Roman" w:cs="Times New Roman" w:eastAsia="Times New Roman" w:hint="default"/>
          <w:spacing w:val="-1"/>
        </w:rPr>
        <w:t>2014</w:t>
      </w:r>
      <w:r>
        <w:rPr>
          <w:spacing w:val="-1"/>
        </w:rPr>
        <w:t>年第一批上海市服务业发展引导资金计划的通知》，以及</w:t>
      </w:r>
      <w:r>
        <w:rPr>
          <w:rFonts w:ascii="Times New Roman" w:hAnsi="Times New Roman" w:cs="Times New Roman" w:eastAsia="Times New Roman" w:hint="default"/>
          <w:spacing w:val="-1"/>
        </w:rPr>
        <w:t>2014-09</w:t>
      </w:r>
      <w:r>
        <w:rPr>
          <w:spacing w:val="-1"/>
        </w:rPr>
        <w:t>《虹口区服</w:t>
      </w:r>
    </w:p>
    <w:p>
      <w:pPr>
        <w:pStyle w:val="BodyText"/>
        <w:spacing w:line="300" w:lineRule="auto" w:before="63"/>
        <w:ind w:right="1130"/>
        <w:jc w:val="both"/>
      </w:pPr>
      <w:r>
        <w:rPr/>
        <w:t>务业发展引导资金扶持项目协议书》的规定：上海市虹口区发展和改革委员会、上海市财政局分别拨付</w:t>
      </w:r>
      <w:r>
        <w:rPr>
          <w:rFonts w:ascii="Times New Roman" w:hAnsi="Times New Roman" w:cs="Times New Roman" w:eastAsia="Times New Roman" w:hint="default"/>
        </w:rPr>
        <w:t>200</w:t>
      </w:r>
      <w:r>
        <w:rPr/>
        <w:t>万元用于子公司 </w:t>
      </w:r>
      <w:r>
        <w:rPr>
          <w:spacing w:val="-2"/>
        </w:rPr>
        <w:t>上海通信公司的</w:t>
      </w:r>
      <w:r>
        <w:rPr>
          <w:rFonts w:ascii="Times New Roman" w:hAnsi="Times New Roman" w:cs="Times New Roman" w:eastAsia="Times New Roman" w:hint="default"/>
          <w:spacing w:val="-2"/>
        </w:rPr>
        <w:t>“</w:t>
      </w:r>
      <w:r>
        <w:rPr>
          <w:spacing w:val="-2"/>
        </w:rPr>
        <w:t>移动数据虚拟专用网络服务平台</w:t>
      </w:r>
      <w:r>
        <w:rPr>
          <w:rFonts w:ascii="Times New Roman" w:hAnsi="Times New Roman" w:cs="Times New Roman" w:eastAsia="Times New Roman" w:hint="default"/>
          <w:spacing w:val="-2"/>
        </w:rPr>
        <w:t>”</w:t>
      </w:r>
      <w:r>
        <w:rPr>
          <w:spacing w:val="-2"/>
        </w:rPr>
        <w:t>项目的建设。本年度上海通信公司共收到</w:t>
      </w:r>
      <w:r>
        <w:rPr>
          <w:rFonts w:ascii="Times New Roman" w:hAnsi="Times New Roman" w:cs="Times New Roman" w:eastAsia="Times New Roman" w:hint="default"/>
          <w:spacing w:val="-2"/>
        </w:rPr>
        <w:t>360</w:t>
      </w:r>
      <w:r>
        <w:rPr>
          <w:spacing w:val="-2"/>
        </w:rPr>
        <w:t>万元补助款：其中</w:t>
      </w:r>
      <w:r>
        <w:rPr>
          <w:rFonts w:ascii="Times New Roman" w:hAnsi="Times New Roman" w:cs="Times New Roman" w:eastAsia="Times New Roman" w:hint="default"/>
          <w:spacing w:val="-2"/>
        </w:rPr>
        <w:t>160</w:t>
      </w:r>
      <w:r>
        <w:rPr>
          <w:spacing w:val="-2"/>
        </w:rPr>
        <w:t>万元用</w:t>
      </w:r>
      <w:r>
        <w:rPr>
          <w:spacing w:val="-39"/>
        </w:rPr>
        <w:t> </w:t>
      </w:r>
      <w:r>
        <w:rPr/>
        <w:t>于补偿已发生的相关费用，上海通信公司已计入本期营业外收入；</w:t>
      </w:r>
      <w:r>
        <w:rPr>
          <w:rFonts w:ascii="Times New Roman" w:hAnsi="Times New Roman" w:cs="Times New Roman" w:eastAsia="Times New Roman" w:hint="default"/>
        </w:rPr>
        <w:t>200</w:t>
      </w:r>
      <w:r>
        <w:rPr/>
        <w:t>万元用于设备的购买，按照所购买的资产使用年限分 期计入营业外收入。</w:t>
      </w:r>
    </w:p>
    <w:p>
      <w:pPr>
        <w:spacing w:line="240" w:lineRule="auto" w:before="6"/>
        <w:rPr>
          <w:rFonts w:ascii="宋体" w:hAnsi="宋体" w:cs="宋体" w:eastAsia="宋体" w:hint="default"/>
          <w:sz w:val="23"/>
          <w:szCs w:val="23"/>
        </w:rPr>
      </w:pPr>
    </w:p>
    <w:p>
      <w:pPr>
        <w:pStyle w:val="Heading3"/>
        <w:spacing w:line="240" w:lineRule="auto"/>
        <w:ind w:left="153" w:right="0"/>
        <w:jc w:val="both"/>
        <w:rPr>
          <w:b w:val="0"/>
          <w:bCs w:val="0"/>
        </w:rPr>
      </w:pPr>
      <w:bookmarkStart w:name="24、股本" w:id="306"/>
      <w:bookmarkEnd w:id="306"/>
      <w:r>
        <w:rPr>
          <w:b w:val="0"/>
          <w:bCs w:val="0"/>
        </w:rPr>
      </w:r>
      <w:r>
        <w:rPr>
          <w:rFonts w:ascii="Times New Roman" w:hAnsi="Times New Roman" w:cs="Times New Roman" w:eastAsia="Times New Roman" w:hint="default"/>
        </w:rPr>
        <w:t>24</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240,000,000.00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1,227,000.00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241,266,802.00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242,493,802.00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482,493,802.00</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74" w:right="0"/>
        <w:jc w:val="left"/>
      </w:pPr>
      <w:r>
        <w:rPr/>
        <w:t>股本变动情况说明：详见附注三、公司基本情况所述。</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资本公积" w:id="307"/>
      <w:bookmarkEnd w:id="307"/>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573,574,111.32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11,052,590.04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241,266,802.00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343,359,899.36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4,028,586.34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2,499,170.19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6,527,756.53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577,602,697.66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13,551,760.23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241,266,802.00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349,887,655.89</w:t>
            </w:r>
          </w:p>
        </w:tc>
      </w:tr>
    </w:tbl>
    <w:p>
      <w:pPr>
        <w:pStyle w:val="BodyText"/>
        <w:spacing w:line="240" w:lineRule="auto" w:before="51"/>
        <w:ind w:left="154" w:right="0"/>
        <w:jc w:val="left"/>
      </w:pPr>
      <w:r>
        <w:rPr/>
        <w:t>其他说明，包括本期增减变动情况、变动原因说明：</w:t>
      </w:r>
    </w:p>
    <w:p>
      <w:pPr>
        <w:spacing w:line="240" w:lineRule="auto" w:before="12"/>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1</w:t>
      </w:r>
      <w:r>
        <w:rPr/>
        <w:t>）股本溢价</w:t>
      </w:r>
    </w:p>
    <w:p>
      <w:pPr>
        <w:spacing w:line="240" w:lineRule="auto" w:before="0"/>
        <w:rPr>
          <w:rFonts w:ascii="宋体" w:hAnsi="宋体" w:cs="宋体" w:eastAsia="宋体" w:hint="default"/>
          <w:sz w:val="14"/>
          <w:szCs w:val="14"/>
        </w:rPr>
      </w:pPr>
    </w:p>
    <w:p>
      <w:pPr>
        <w:pStyle w:val="BodyText"/>
        <w:spacing w:line="300" w:lineRule="auto"/>
        <w:ind w:right="1169"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日，本公司</w:t>
      </w:r>
      <w:r>
        <w:rPr>
          <w:rFonts w:ascii="Times New Roman" w:hAnsi="Times New Roman" w:cs="Times New Roman" w:eastAsia="Times New Roman" w:hint="default"/>
        </w:rPr>
        <w:t>2013</w:t>
      </w:r>
      <w:r>
        <w:rPr/>
        <w:t>年度股东大会决议批准，以截止到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日的总股本</w:t>
      </w:r>
      <w:r>
        <w:rPr>
          <w:rFonts w:ascii="Times New Roman" w:hAnsi="Times New Roman" w:cs="Times New Roman" w:eastAsia="Times New Roman" w:hint="default"/>
        </w:rPr>
        <w:t>241,227,000</w:t>
      </w:r>
      <w:r>
        <w:rPr/>
        <w:t>股为基数，以资 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10.001650</w:t>
      </w:r>
      <w:r>
        <w:rPr>
          <w:rFonts w:ascii="Times New Roman" w:hAnsi="Times New Roman" w:cs="Times New Roman" w:eastAsia="Times New Roman" w:hint="default"/>
          <w:spacing w:val="6"/>
        </w:rPr>
        <w:t> </w:t>
      </w:r>
      <w:r>
        <w:rPr/>
        <w:t>股，共计转增注册资本</w:t>
      </w:r>
      <w:r>
        <w:rPr>
          <w:rFonts w:ascii="Times New Roman" w:hAnsi="Times New Roman" w:cs="Times New Roman" w:eastAsia="Times New Roman" w:hint="default"/>
        </w:rPr>
        <w:t>241,266,802.00</w:t>
      </w:r>
      <w:r>
        <w:rPr/>
        <w:t>元。</w:t>
      </w:r>
    </w:p>
    <w:p>
      <w:pPr>
        <w:pStyle w:val="BodyText"/>
        <w:spacing w:line="300" w:lineRule="auto" w:before="13"/>
        <w:ind w:right="1093" w:firstLine="420"/>
        <w:jc w:val="both"/>
      </w:pPr>
      <w:r>
        <w:rPr>
          <w:rFonts w:ascii="Times New Roman" w:hAnsi="Times New Roman" w:cs="Times New Roman" w:eastAsia="Times New Roman" w:hint="default"/>
          <w:spacing w:val="-2"/>
        </w:rPr>
        <w:t>2</w:t>
      </w:r>
      <w:r>
        <w:rPr>
          <w:spacing w:val="-2"/>
        </w:rPr>
        <w:t>）如附注三、公司基本情况所述，</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日，经证监会上市一部函</w:t>
      </w:r>
      <w:r>
        <w:rPr>
          <w:rFonts w:ascii="Times New Roman" w:hAnsi="Times New Roman" w:cs="Times New Roman" w:eastAsia="Times New Roman" w:hint="default"/>
          <w:spacing w:val="-2"/>
        </w:rPr>
        <w:t>[2013]999</w:t>
      </w:r>
      <w:r>
        <w:rPr>
          <w:spacing w:val="-2"/>
        </w:rPr>
        <w:t>号文批准，及</w:t>
      </w:r>
      <w:r>
        <w:rPr>
          <w:rFonts w:ascii="Times New Roman" w:hAnsi="Times New Roman" w:cs="Times New Roman" w:eastAsia="Times New Roman" w:hint="default"/>
          <w:spacing w:val="-2"/>
        </w:rPr>
        <w:t>2014</w:t>
      </w:r>
      <w:r>
        <w:rPr>
          <w:spacing w:val="-2"/>
        </w:rPr>
        <w:t>年第一次临时股</w:t>
      </w:r>
      <w:r>
        <w:rPr/>
        <w:t> 东大会决议向本公司员工授予限制性股票。截至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日止，实际授予人数为</w:t>
      </w:r>
      <w:r>
        <w:rPr>
          <w:rFonts w:ascii="Times New Roman" w:hAnsi="Times New Roman" w:cs="Times New Roman" w:eastAsia="Times New Roman" w:hint="default"/>
        </w:rPr>
        <w:t>90</w:t>
      </w:r>
      <w:r>
        <w:rPr/>
        <w:t>人，实际授予数量为</w:t>
      </w:r>
      <w:r>
        <w:rPr>
          <w:rFonts w:ascii="Times New Roman" w:hAnsi="Times New Roman" w:cs="Times New Roman" w:eastAsia="Times New Roman" w:hint="default"/>
        </w:rPr>
        <w:t>1,267,000.00</w:t>
      </w:r>
      <w:r>
        <w:rPr/>
        <w:t>股， 每股面值</w:t>
      </w:r>
      <w:r>
        <w:rPr>
          <w:rFonts w:ascii="Times New Roman" w:hAnsi="Times New Roman" w:cs="Times New Roman" w:eastAsia="Times New Roman" w:hint="default"/>
        </w:rPr>
        <w:t>1</w:t>
      </w:r>
      <w:r>
        <w:rPr/>
        <w:t>元，每股价格</w:t>
      </w:r>
      <w:r>
        <w:rPr>
          <w:rFonts w:ascii="Times New Roman" w:hAnsi="Times New Roman" w:cs="Times New Roman" w:eastAsia="Times New Roman" w:hint="default"/>
        </w:rPr>
        <w:t>10.89</w:t>
      </w:r>
      <w:r>
        <w:rPr/>
        <w:t>元，增加注册资本人民币</w:t>
      </w:r>
      <w:r>
        <w:rPr>
          <w:rFonts w:ascii="Times New Roman" w:hAnsi="Times New Roman" w:cs="Times New Roman" w:eastAsia="Times New Roman" w:hint="default"/>
        </w:rPr>
        <w:t>1,267,000.00</w:t>
      </w:r>
      <w:r>
        <w:rPr/>
        <w:t>元，增加资本公司股本溢价人民币</w:t>
      </w:r>
      <w:r>
        <w:rPr>
          <w:rFonts w:ascii="Times New Roman" w:hAnsi="Times New Roman" w:cs="Times New Roman" w:eastAsia="Times New Roman" w:hint="default"/>
        </w:rPr>
        <w:t>12,530,630.00</w:t>
      </w:r>
      <w:r>
        <w:rPr/>
        <w:t>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420"/>
        <w:jc w:val="both"/>
      </w:pP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月回购原股权激励对象已持有但尚未解锁的限制性股票</w:t>
      </w:r>
      <w:r>
        <w:rPr>
          <w:rFonts w:ascii="Times New Roman" w:hAnsi="Times New Roman" w:cs="Times New Roman" w:eastAsia="Times New Roman" w:hint="default"/>
          <w:spacing w:val="-1"/>
        </w:rPr>
        <w:t>40,000</w:t>
      </w:r>
      <w:r>
        <w:rPr>
          <w:spacing w:val="-1"/>
        </w:rPr>
        <w:t>股，此次每股回购价格为</w:t>
      </w:r>
      <w:r>
        <w:rPr>
          <w:rFonts w:ascii="Times New Roman" w:hAnsi="Times New Roman" w:cs="Times New Roman" w:eastAsia="Times New Roman" w:hint="default"/>
          <w:spacing w:val="-1"/>
        </w:rPr>
        <w:t>10.89</w:t>
      </w:r>
      <w:r>
        <w:rPr>
          <w:spacing w:val="-1"/>
        </w:rPr>
        <w:t>元，回购</w:t>
      </w:r>
      <w:r>
        <w:rPr/>
        <w:t> 款合计为</w:t>
      </w:r>
      <w:r>
        <w:rPr>
          <w:rFonts w:ascii="Times New Roman" w:hAnsi="Times New Roman" w:cs="Times New Roman" w:eastAsia="Times New Roman" w:hint="default"/>
        </w:rPr>
        <w:t>435,600.00</w:t>
      </w:r>
      <w:r>
        <w:rPr/>
        <w:t>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月回购原股权激励对象已持有但尚未解锁的限制性股票</w:t>
      </w:r>
      <w:r>
        <w:rPr>
          <w:rFonts w:ascii="Times New Roman" w:hAnsi="Times New Roman" w:cs="Times New Roman" w:eastAsia="Times New Roman" w:hint="default"/>
        </w:rPr>
        <w:t>255,020</w:t>
      </w:r>
      <w:r>
        <w:rPr/>
        <w:t>股，由于此次回购在</w:t>
      </w:r>
      <w:r>
        <w:rPr>
          <w:rFonts w:ascii="Times New Roman" w:hAnsi="Times New Roman" w:cs="Times New Roman" w:eastAsia="Times New Roman" w:hint="default"/>
        </w:rPr>
        <w:t>2013 </w:t>
      </w:r>
      <w:r>
        <w:rPr/>
        <w:t>年度利润分配之后发生，因此考虑利润分配影响，此次每股回购价格为</w:t>
      </w:r>
      <w:r>
        <w:rPr>
          <w:rFonts w:ascii="Times New Roman" w:hAnsi="Times New Roman" w:cs="Times New Roman" w:eastAsia="Times New Roman" w:hint="default"/>
        </w:rPr>
        <w:t>5.244</w:t>
      </w:r>
      <w:r>
        <w:rPr/>
        <w:t>元，回购款合计为</w:t>
      </w:r>
      <w:r>
        <w:rPr>
          <w:rFonts w:ascii="Times New Roman" w:hAnsi="Times New Roman" w:cs="Times New Roman" w:eastAsia="Times New Roman" w:hint="default"/>
        </w:rPr>
        <w:t>1,337,459.96</w:t>
      </w:r>
      <w:r>
        <w:rPr>
          <w:rFonts w:ascii="Times New Roman" w:hAnsi="Times New Roman" w:cs="Times New Roman" w:eastAsia="Times New Roman" w:hint="default"/>
          <w:spacing w:val="-14"/>
        </w:rPr>
        <w:t> </w:t>
      </w:r>
      <w:r>
        <w:rPr>
          <w:spacing w:val="-3"/>
        </w:rPr>
        <w:t>元；上述两次回</w:t>
      </w:r>
      <w:r>
        <w:rPr/>
        <w:t> 购共计减少资本公积</w:t>
      </w:r>
      <w:r>
        <w:rPr>
          <w:rFonts w:ascii="Times New Roman" w:hAnsi="Times New Roman" w:cs="Times New Roman" w:eastAsia="Times New Roman" w:hint="default"/>
        </w:rPr>
        <w:t>1,478,039.96</w:t>
      </w:r>
      <w:r>
        <w:rPr>
          <w:rFonts w:ascii="Times New Roman" w:hAnsi="Times New Roman" w:cs="Times New Roman" w:eastAsia="Times New Roman" w:hint="default"/>
          <w:spacing w:val="26"/>
        </w:rPr>
        <w:t> </w:t>
      </w:r>
      <w:r>
        <w:rPr/>
        <w:t>元。</w:t>
      </w:r>
    </w:p>
    <w:p>
      <w:pPr>
        <w:pStyle w:val="BodyText"/>
        <w:spacing w:line="300" w:lineRule="auto" w:before="13"/>
        <w:ind w:left="574" w:right="1152"/>
        <w:jc w:val="left"/>
      </w:pPr>
      <w:r>
        <w:rPr/>
        <w:t>（</w:t>
      </w:r>
      <w:r>
        <w:rPr>
          <w:rFonts w:ascii="Times New Roman" w:hAnsi="Times New Roman" w:cs="Times New Roman" w:eastAsia="Times New Roman" w:hint="default"/>
        </w:rPr>
        <w:t>2</w:t>
      </w:r>
      <w:r>
        <w:rPr/>
        <w:t>）其他资本公积 截至资产负债表日，本公司依据预计可行权权益工具的数量，对本期实施的限制性股票激励计划计提以权益结算的股</w:t>
      </w:r>
    </w:p>
    <w:p>
      <w:pPr>
        <w:pStyle w:val="BodyText"/>
        <w:spacing w:line="240" w:lineRule="auto" w:before="31"/>
        <w:ind w:left="154" w:right="0"/>
        <w:jc w:val="left"/>
      </w:pPr>
      <w:r>
        <w:rPr/>
        <w:t>份支付确认的费用总额为</w:t>
      </w:r>
      <w:r>
        <w:rPr>
          <w:rFonts w:ascii="Times New Roman" w:hAnsi="Times New Roman" w:cs="Times New Roman" w:eastAsia="Times New Roman" w:hint="default"/>
        </w:rPr>
        <w:t>2,499,170.19</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6、库存股" w:id="308"/>
      <w:bookmarkEnd w:id="308"/>
      <w:r>
        <w:rPr>
          <w:b w:val="0"/>
          <w:bCs w:val="0"/>
        </w:rPr>
      </w:r>
      <w:r>
        <w:rPr>
          <w:rFonts w:ascii="Times New Roman" w:hAnsi="Times New Roman" w:cs="Times New Roman" w:eastAsia="Times New Roman" w:hint="default"/>
        </w:rPr>
        <w:t>26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255,020.00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255,020.00</w:t>
            </w:r>
          </w:p>
        </w:tc>
      </w:tr>
    </w:tbl>
    <w:p>
      <w:pPr>
        <w:pStyle w:val="BodyText"/>
        <w:spacing w:line="240" w:lineRule="auto" w:before="51"/>
        <w:ind w:left="154" w:right="0"/>
        <w:jc w:val="left"/>
      </w:pPr>
      <w:r>
        <w:rPr/>
        <w:t>其他说明，包括本期增减变动情况、变动原因说明：</w:t>
      </w:r>
    </w:p>
    <w:p>
      <w:pPr>
        <w:spacing w:line="240" w:lineRule="auto" w:before="12"/>
        <w:rPr>
          <w:rFonts w:ascii="宋体" w:hAnsi="宋体" w:cs="宋体" w:eastAsia="宋体" w:hint="default"/>
          <w:sz w:val="14"/>
          <w:szCs w:val="14"/>
        </w:rPr>
      </w:pPr>
    </w:p>
    <w:p>
      <w:pPr>
        <w:pStyle w:val="BodyText"/>
        <w:spacing w:line="316" w:lineRule="auto"/>
        <w:ind w:left="574" w:right="1152"/>
        <w:jc w:val="left"/>
      </w:pPr>
      <w:r>
        <w:rPr/>
        <w:t>库存股情况说明： 如附注三、公司基本情况所述，本公司根据《</w:t>
      </w:r>
      <w:r>
        <w:rPr>
          <w:rFonts w:ascii="Times New Roman" w:hAnsi="Times New Roman" w:cs="Times New Roman" w:eastAsia="Times New Roman" w:hint="default"/>
        </w:rPr>
        <w:t>2013</w:t>
      </w:r>
      <w:r>
        <w:rPr/>
        <w:t>年限制性股票激励计划（草案修订稿）》、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2015</w:t>
      </w:r>
      <w:r>
        <w:rPr/>
        <w:t>年第</w:t>
      </w:r>
    </w:p>
    <w:p>
      <w:pPr>
        <w:pStyle w:val="BodyText"/>
        <w:spacing w:line="300" w:lineRule="auto"/>
        <w:ind w:right="1118"/>
        <w:jc w:val="left"/>
      </w:pPr>
      <w:r>
        <w:rPr>
          <w:spacing w:val="-2"/>
        </w:rPr>
        <w:t>一次临时股东大会决议和修改后章程的规定，本公司申请减少注册资本人民币</w:t>
      </w:r>
      <w:r>
        <w:rPr>
          <w:rFonts w:ascii="Times New Roman" w:hAnsi="Times New Roman" w:cs="Times New Roman" w:eastAsia="Times New Roman" w:hint="default"/>
          <w:spacing w:val="-2"/>
        </w:rPr>
        <w:t>255,020.00</w:t>
      </w:r>
      <w:r>
        <w:rPr>
          <w:spacing w:val="-2"/>
        </w:rPr>
        <w:t>元。并于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日完成了工商</w:t>
      </w:r>
      <w:r>
        <w:rPr>
          <w:spacing w:val="-48"/>
        </w:rPr>
        <w:t> </w:t>
      </w:r>
      <w:r>
        <w:rPr/>
        <w:t>变更登记。</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7、其他综合收益" w:id="309"/>
      <w:bookmarkEnd w:id="309"/>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288"/>
        <w:gridCol w:w="1133"/>
        <w:gridCol w:w="1240"/>
        <w:gridCol w:w="784"/>
        <w:gridCol w:w="1256"/>
        <w:gridCol w:w="902"/>
        <w:gridCol w:w="1091"/>
      </w:tblGrid>
      <w:tr>
        <w:trPr>
          <w:trHeight w:val="397"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53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74" w:right="20" w:hanging="52"/>
              <w:jc w:val="both"/>
              <w:rPr>
                <w:rFonts w:ascii="宋体" w:hAnsi="宋体" w:cs="宋体" w:eastAsia="宋体" w:hint="default"/>
                <w:sz w:val="18"/>
                <w:szCs w:val="18"/>
              </w:rPr>
            </w:pPr>
            <w:r>
              <w:rPr>
                <w:rFonts w:ascii="宋体" w:hAnsi="宋体" w:cs="宋体" w:eastAsia="宋体" w:hint="default"/>
                <w:spacing w:val="-11"/>
                <w:sz w:val="18"/>
                <w:szCs w:val="18"/>
              </w:rPr>
              <w:t>减：前期计入其</w:t>
            </w:r>
            <w:r>
              <w:rPr>
                <w:rFonts w:ascii="宋体" w:hAnsi="宋体" w:cs="宋体" w:eastAsia="宋体" w:hint="default"/>
                <w:sz w:val="18"/>
                <w:szCs w:val="18"/>
              </w:rPr>
              <w:t> 他综合收益当 期转入损益</w:t>
            </w: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85"/>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7"/>
              <w:ind w:left="201" w:right="111"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40" w:type="dxa"/>
            <w:vMerge/>
            <w:tcBorders>
              <w:left w:val="single" w:sz="4" w:space="0" w:color="000000"/>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16" w:right="25"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42" w:right="81"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902" w:type="dxa"/>
            <w:vMerge/>
            <w:tcBorders>
              <w:left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40" w:type="dxa"/>
            <w:vMerge/>
            <w:tcBorders>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0"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5"/>
                <w:sz w:val="18"/>
                <w:szCs w:val="18"/>
              </w:rPr>
              <w:t>二、以后将重分类进损益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的其他综合收益</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-4,117,000.80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27,051,891.87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27,051,891.87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22,934,891.07</w:t>
            </w: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9"/>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价值变动损益</w:t>
            </w:r>
          </w:p>
        </w:tc>
        <w:tc>
          <w:tcPr>
            <w:tcW w:w="1288" w:type="dxa"/>
            <w:tcBorders>
              <w:top w:val="single" w:sz="4" w:space="0" w:color="000000"/>
              <w:left w:val="single" w:sz="9"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30,321,339.81</w:t>
            </w:r>
          </w:p>
        </w:tc>
        <w:tc>
          <w:tcPr>
            <w:tcW w:w="124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30,321,339.81</w:t>
            </w:r>
          </w:p>
        </w:tc>
        <w:tc>
          <w:tcPr>
            <w:tcW w:w="9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30,321,339.81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49" w:right="0"/>
              <w:jc w:val="left"/>
              <w:rPr>
                <w:rFonts w:ascii="Times New Roman" w:hAnsi="Times New Roman" w:cs="Times New Roman" w:eastAsia="Times New Roman" w:hint="default"/>
                <w:sz w:val="18"/>
                <w:szCs w:val="18"/>
              </w:rPr>
            </w:pPr>
            <w:r>
              <w:rPr>
                <w:rFonts w:ascii="Times New Roman"/>
                <w:sz w:val="18"/>
              </w:rPr>
              <w:t>-4,117,000.80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-3,269,447.94</w:t>
            </w:r>
          </w:p>
        </w:tc>
        <w:tc>
          <w:tcPr>
            <w:tcW w:w="124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-3,269,447.94</w:t>
            </w:r>
          </w:p>
        </w:tc>
        <w:tc>
          <w:tcPr>
            <w:tcW w:w="9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-7,386,448.74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49" w:right="0"/>
              <w:jc w:val="left"/>
              <w:rPr>
                <w:rFonts w:ascii="Times New Roman" w:hAnsi="Times New Roman" w:cs="Times New Roman" w:eastAsia="Times New Roman" w:hint="default"/>
                <w:sz w:val="18"/>
                <w:szCs w:val="18"/>
              </w:rPr>
            </w:pPr>
            <w:r>
              <w:rPr>
                <w:rFonts w:ascii="Times New Roman"/>
                <w:sz w:val="18"/>
              </w:rPr>
              <w:t>-4,117,000.80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27,051,891.87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27,051,891.87</w:t>
            </w:r>
          </w:p>
        </w:tc>
        <w:tc>
          <w:tcPr>
            <w:tcW w:w="90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22,934,891.07</w:t>
            </w: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8、盈余公积" w:id="310"/>
      <w:bookmarkEnd w:id="310"/>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68,370,156.03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2" w:right="0"/>
              <w:jc w:val="left"/>
              <w:rPr>
                <w:rFonts w:ascii="Times New Roman" w:hAnsi="Times New Roman" w:cs="Times New Roman" w:eastAsia="Times New Roman" w:hint="default"/>
                <w:sz w:val="18"/>
                <w:szCs w:val="18"/>
              </w:rPr>
            </w:pPr>
            <w:r>
              <w:rPr>
                <w:rFonts w:ascii="Times New Roman"/>
                <w:sz w:val="18"/>
              </w:rPr>
              <w:t>7,110,462.81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75,480,618.84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68,370,156.03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7,110,462.81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75,480,618.84</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未分配利润" w:id="311"/>
      <w:bookmarkEnd w:id="311"/>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443,444,799.44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382,917,535.76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443,444,799.44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382,917,535.76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146,198,768.96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137,791,122.41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7,110,462.81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5,263,858.73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96,506,800.00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487,689,887.64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443,444,799.44</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54"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0、营业收入和营业成本" w:id="312"/>
      <w:bookmarkEnd w:id="312"/>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684,897,755.79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215,592,158.39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715,974,866.79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254,648,796.64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684,897,755.79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215,592,158.39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715,974,866.79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254,648,796.64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营业税金及附加" w:id="313"/>
      <w:bookmarkEnd w:id="313"/>
      <w:r>
        <w:rPr>
          <w:b w:val="0"/>
          <w:bCs w:val="0"/>
        </w:rPr>
      </w:r>
      <w:r>
        <w:rPr>
          <w:rFonts w:ascii="Times New Roman" w:hAnsi="Times New Roman" w:cs="Times New Roman" w:eastAsia="Times New Roman" w:hint="default"/>
        </w:rPr>
        <w:t>31</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7,295,617.72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9,401,050.78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418,843.44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518,643.90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469,280.46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426,869.48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7,613,764.09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2,173,718.87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29,461.52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51,032.03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15,826,967.23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12,571,315.06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销售费用" w:id="314"/>
      <w:bookmarkEnd w:id="314"/>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76,694,822.72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74,883,177.81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35,328,068.25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38,049,365.46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8,198,225.02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6,471,755.14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2,864,894.80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2,627,339.40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1,064,040.54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753,898.85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1,286,200.59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3,776,872.78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3,060,882.34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2,338,852.33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4,005,458.39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2,982,096.47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132,502,592.65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131,883,358.24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管理费用" w:id="315"/>
      <w:bookmarkEnd w:id="315"/>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75,894,423.76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75,028,076.37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65,889,797.98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73,596,350.81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12,024,588.69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9,930,628.02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咨询审计费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9,767,073.08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12,200,081.14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4,992,268.82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4,414,865.93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2,449,042.97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3,197,247.67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2,983,475.63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2,859,861.53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1,061,752.67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1,465,698.66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2,790,286.77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3,489,026.13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2,499,170.19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5,559,699.21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5,675,247.97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185,911,579.77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191,857,084.23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财务费用" w:id="316"/>
      <w:bookmarkEnd w:id="316"/>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14,260,251.66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3,908,682.53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3,365,084.44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-1,754,411.44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211,185.41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242,381.81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-10,683,981.81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-1,911,889.28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资产减值损失" w:id="317"/>
      <w:bookmarkEnd w:id="317"/>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825,946.07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-590,313.38</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825,946.07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-590,313.38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投资收益" w:id="318"/>
      <w:bookmarkEnd w:id="318"/>
      <w:r>
        <w:rPr>
          <w:b w:val="0"/>
          <w:bCs w:val="0"/>
        </w:rPr>
      </w:r>
      <w:r>
        <w:rPr>
          <w:rFonts w:ascii="Times New Roman" w:hAnsi="Times New Roman" w:cs="Times New Roman" w:eastAsia="Times New Roman" w:hint="default"/>
        </w:rPr>
        <w:t>36</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-6,897,274.53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-3,905,667.31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2,327,162.65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1,199,191.30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10,404,264.11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436,438.46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524,420.00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清算子公司外币报表折算差异形成的损益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2,583,907.74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298,919.40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-350,574.38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7,321,936.20</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74" w:right="0"/>
        <w:jc w:val="left"/>
      </w:pPr>
      <w:r>
        <w:rPr/>
        <w:t>投资收益发生额本期较上期减少较多，主要系本公司本期减少理财类产品投资，理财收益下降所致。</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37、营业外收入" w:id="319"/>
      <w:bookmarkEnd w:id="319"/>
      <w:r>
        <w:rPr>
          <w:b w:val="0"/>
          <w:bCs w:val="0"/>
        </w:rPr>
      </w:r>
      <w:r>
        <w:rPr>
          <w:rFonts w:ascii="Times New Roman" w:hAnsi="Times New Roman" w:cs="Times New Roman" w:eastAsia="Times New Roman" w:hint="default"/>
        </w:rPr>
        <w:t>37</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365,461.10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4,591,065.38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365,461.10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365,461.10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365,461.10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4,574,556.00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10,865,402.33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3,609,306.00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10,865,402.33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无法支付货款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240,508.48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216,954.13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240,508.48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320,677.37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413,871.81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320,677.37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151,972.22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147,008.12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151,972.22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11,944,021.50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8,978,205.44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13,876,037.17</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1702"/>
        <w:gridCol w:w="1222"/>
        <w:gridCol w:w="2392"/>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4"/>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离岸业务奖励资金  </w:t>
            </w:r>
            <w:r>
              <w:rPr>
                <w:rFonts w:ascii="Times New Roman" w:hAnsi="Times New Roman" w:cs="Times New Roman" w:eastAsia="Times New Roman" w:hint="default"/>
                <w:sz w:val="18"/>
                <w:szCs w:val="18"/>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移动数据虚拟专用网络服务平台  </w:t>
            </w:r>
            <w:r>
              <w:rPr>
                <w:rFonts w:ascii="Times New Roman" w:hAnsi="Times New Roman" w:cs="Times New Roman" w:eastAsia="Times New Roman" w:hint="default"/>
                <w:sz w:val="18"/>
                <w:szCs w:val="18"/>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出口业务贴息资金  </w:t>
            </w:r>
            <w:r>
              <w:rPr>
                <w:rFonts w:ascii="Times New Roman" w:hAnsi="Times New Roman" w:cs="Times New Roman" w:eastAsia="Times New Roman" w:hint="default"/>
                <w:sz w:val="18"/>
                <w:szCs w:val="18"/>
              </w:rPr>
              <w:t>*3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年中关村国际化发展专项资金</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昌平产业转型升级专项资金  </w:t>
            </w:r>
            <w:r>
              <w:rPr>
                <w:rFonts w:ascii="Times New Roman" w:hAnsi="Times New Roman" w:cs="Times New Roman" w:eastAsia="Times New Roman" w:hint="default"/>
                <w:sz w:val="18"/>
                <w:szCs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产业转型专项资金拨款</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呼叫中心大楼项目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骨干服务外包企业租房、购房和建房补贴款 </w:t>
            </w:r>
            <w:r>
              <w:rPr>
                <w:rFonts w:ascii="Times New Roman" w:hAnsi="Times New Roman" w:cs="Times New Roman" w:eastAsia="Times New Roman" w:hint="default"/>
                <w:sz w:val="18"/>
                <w:szCs w:val="18"/>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509,500.00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年中央对外投资合作专项资金</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508,621.00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突出贡献奖励资金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房屋补贴款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144,506.00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企业会议服务系统平台研究与应用项目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科技支撑计划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多特征智能反垃圾企业邮件系统产业平台</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科技创新资金第二号码客户端项目拨款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年中关村国际化发展专项资金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收虹口区财政局转方式调结构资金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收虹口科委高新技术政府支持金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北京经济和信息化委员会专项资金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北京市商务委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年服务外包发展专项资金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企业扶持基金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实习人员及教育经费补贴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1,527,281.33</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10,865,402.33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3,609,306.00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00" w:lineRule="auto" w:before="115"/>
        <w:ind w:right="1129"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离岸业务奖励资金</w:t>
      </w:r>
      <w:r>
        <w:rPr>
          <w:rFonts w:ascii="Times New Roman" w:hAnsi="Times New Roman" w:cs="Times New Roman" w:eastAsia="Times New Roman" w:hint="default"/>
        </w:rPr>
        <w:t>”</w:t>
      </w:r>
      <w:r>
        <w:rPr/>
        <w:t>系本公司</w:t>
      </w:r>
      <w:r>
        <w:rPr>
          <w:rFonts w:ascii="Times New Roman" w:hAnsi="Times New Roman" w:cs="Times New Roman" w:eastAsia="Times New Roman" w:hint="default"/>
        </w:rPr>
        <w:t>2013</w:t>
      </w:r>
      <w:r>
        <w:rPr/>
        <w:t>年度离岸服务外包收入符合北京市服务外包配套资金管理办法的相关规定，由北 京市商务委员会于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日拨付</w:t>
      </w:r>
      <w:r>
        <w:rPr>
          <w:rFonts w:ascii="Times New Roman" w:hAnsi="Times New Roman" w:cs="Times New Roman" w:eastAsia="Times New Roman" w:hint="default"/>
        </w:rPr>
        <w:t>3,000,000.00</w:t>
      </w:r>
      <w:r>
        <w:rPr/>
        <w:t>元奖励款，于取得时确认为营业外收入。</w:t>
      </w:r>
    </w:p>
    <w:p>
      <w:pPr>
        <w:pStyle w:val="BodyText"/>
        <w:spacing w:line="240" w:lineRule="auto" w:before="13"/>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移动数据虚拟专用网络服务</w:t>
      </w:r>
      <w:r>
        <w:rPr>
          <w:rFonts w:ascii="Times New Roman" w:hAnsi="Times New Roman" w:cs="Times New Roman" w:eastAsia="Times New Roman" w:hint="default"/>
        </w:rPr>
        <w:t>5E73</w:t>
      </w:r>
      <w:r>
        <w:rPr/>
        <w:t>台</w:t>
      </w:r>
      <w:r>
        <w:rPr>
          <w:rFonts w:ascii="Times New Roman" w:hAnsi="Times New Roman" w:cs="Times New Roman" w:eastAsia="Times New Roman" w:hint="default"/>
        </w:rPr>
        <w:t>”</w:t>
      </w:r>
      <w:r>
        <w:rPr/>
        <w:t>系上海市服务业发展引导资金项目，详见附注六注释</w:t>
      </w:r>
      <w:r>
        <w:rPr>
          <w:rFonts w:ascii="Times New Roman" w:hAnsi="Times New Roman" w:cs="Times New Roman" w:eastAsia="Times New Roman" w:hint="default"/>
        </w:rPr>
        <w:t>50</w:t>
      </w:r>
      <w:r>
        <w:rPr/>
        <w:t>（二）所述。</w:t>
      </w:r>
    </w:p>
    <w:p>
      <w:pPr>
        <w:pStyle w:val="BodyText"/>
        <w:spacing w:line="240" w:lineRule="auto" w:before="63"/>
        <w:ind w:left="574"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日，本公司收到北京市商务委员会拨付的出口技术贴息资金</w:t>
      </w:r>
      <w:r>
        <w:rPr>
          <w:rFonts w:ascii="Times New Roman" w:hAnsi="Times New Roman" w:cs="Times New Roman" w:eastAsia="Times New Roman" w:hint="default"/>
        </w:rPr>
        <w:t>132</w:t>
      </w:r>
      <w:r>
        <w:rPr/>
        <w:t>万元，于取得时确认为营业外收入。</w:t>
      </w:r>
    </w:p>
    <w:p>
      <w:pPr>
        <w:pStyle w:val="BodyText"/>
        <w:spacing w:line="240" w:lineRule="auto" w:before="63"/>
        <w:ind w:left="574"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34"/>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日，本公司收到北京中关村协会论坛拨付的</w:t>
      </w:r>
      <w:r>
        <w:rPr>
          <w:rFonts w:ascii="Times New Roman" w:hAnsi="Times New Roman" w:cs="Times New Roman" w:eastAsia="Times New Roman" w:hint="default"/>
        </w:rPr>
        <w:t>2013</w:t>
      </w:r>
      <w:r>
        <w:rPr/>
        <w:t>年中关村国际化发展专项资金</w:t>
      </w:r>
      <w:r>
        <w:rPr>
          <w:rFonts w:ascii="Times New Roman" w:hAnsi="Times New Roman" w:cs="Times New Roman" w:eastAsia="Times New Roman" w:hint="default"/>
        </w:rPr>
        <w:t>100</w:t>
      </w:r>
      <w:r>
        <w:rPr/>
        <w:t>万元，于取得时确认</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为营业外收入。</w:t>
      </w:r>
    </w:p>
    <w:p>
      <w:pPr>
        <w:pStyle w:val="BodyText"/>
        <w:spacing w:line="300" w:lineRule="auto" w:before="76"/>
        <w:ind w:right="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月，本公司共收到北京市昌平区经济和信息化委员会拨付的昌平产业转型升级专项资金</w:t>
      </w:r>
      <w:r>
        <w:rPr>
          <w:rFonts w:ascii="Times New Roman" w:hAnsi="Times New Roman" w:cs="Times New Roman" w:eastAsia="Times New Roman" w:hint="default"/>
        </w:rPr>
        <w:t>140</w:t>
      </w:r>
      <w:r>
        <w:rPr/>
        <w:t>万元，于取得 时确认为营业外收入。</w:t>
      </w:r>
    </w:p>
    <w:p>
      <w:pPr>
        <w:pStyle w:val="BodyText"/>
        <w:spacing w:line="300" w:lineRule="auto" w:before="31"/>
        <w:ind w:right="0"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日，本公司收到北京市商务委员会拨付的北京市骨干服务外包企业租房、购房和建房补贴款 </w:t>
      </w:r>
      <w:r>
        <w:rPr>
          <w:rFonts w:ascii="Times New Roman" w:hAnsi="Times New Roman" w:cs="Times New Roman" w:eastAsia="Times New Roman" w:hint="default"/>
        </w:rPr>
        <w:t>509,500.00</w:t>
      </w:r>
      <w:r>
        <w:rPr/>
        <w:t>元，于取得时确认为营业外收入。</w:t>
      </w:r>
    </w:p>
    <w:p>
      <w:pPr>
        <w:pStyle w:val="BodyText"/>
        <w:spacing w:line="300" w:lineRule="auto" w:before="13"/>
        <w:ind w:right="0"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日，本公司收到北京市商务委员会拨付的</w:t>
      </w:r>
      <w:r>
        <w:rPr>
          <w:rFonts w:ascii="Times New Roman" w:hAnsi="Times New Roman" w:cs="Times New Roman" w:eastAsia="Times New Roman" w:hint="default"/>
        </w:rPr>
        <w:t>2013</w:t>
      </w:r>
      <w:r>
        <w:rPr/>
        <w:t>年中央对外投资合作专项资金</w:t>
      </w:r>
      <w:r>
        <w:rPr>
          <w:rFonts w:ascii="Times New Roman" w:hAnsi="Times New Roman" w:cs="Times New Roman" w:eastAsia="Times New Roman" w:hint="default"/>
        </w:rPr>
        <w:t>508,621.00</w:t>
      </w:r>
      <w:r>
        <w:rPr/>
        <w:t>元，于取得时 确认为营业外收入。</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38、营业外支出" w:id="320"/>
      <w:bookmarkEnd w:id="320"/>
      <w:r>
        <w:rPr>
          <w:b w:val="0"/>
          <w:bCs w:val="0"/>
        </w:rPr>
      </w:r>
      <w:r>
        <w:rPr>
          <w:rFonts w:ascii="Times New Roman" w:hAnsi="Times New Roman" w:cs="Times New Roman" w:eastAsia="Times New Roman" w:hint="default"/>
        </w:rPr>
        <w:t>38</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218,296.29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644,782.07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218,296.29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218,296.29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644,782.07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218,296.29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47,567.18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47,567.18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175,830.24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175,830.24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职工遣散费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3,954,243.79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47,563.92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131,414.16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47,563.92</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441,690.45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4,762,440.02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441,690.45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所得税费用" w:id="321"/>
      <w:bookmarkEnd w:id="321"/>
      <w:r>
        <w:rPr>
          <w:b w:val="0"/>
          <w:bCs w:val="0"/>
        </w:rPr>
      </w:r>
      <w:r>
        <w:rPr>
          <w:rFonts w:ascii="Times New Roman" w:hAnsi="Times New Roman" w:cs="Times New Roman" w:eastAsia="Times New Roman" w:hint="default"/>
        </w:rPr>
        <w:t>39</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22"/>
      <w:bookmarkEnd w:id="32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11,012,590.24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1,066,547.05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-2,800,691.09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-218,398.97</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8,211,899.15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848,148.08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23"/>
      <w:bookmarkEnd w:id="32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357"/>
        <w:gridCol w:w="3201"/>
      </w:tblGrid>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156,074,250.16</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23,411,137.52</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-20,344,064.65</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-34,057.19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80"/>
        <w:gridCol w:w="3189"/>
      </w:tblGrid>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476,180.56</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3,688,405.13</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-4,399,630.08</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5,413,927.86</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8,211,899.15</w:t>
            </w:r>
          </w:p>
        </w:tc>
      </w:tr>
    </w:tbl>
    <w:p>
      <w:pPr>
        <w:spacing w:line="240" w:lineRule="auto" w:before="2"/>
        <w:rPr>
          <w:rFonts w:ascii="宋体" w:hAnsi="宋体" w:cs="宋体" w:eastAsia="宋体" w:hint="default"/>
          <w:sz w:val="19"/>
          <w:szCs w:val="19"/>
        </w:rPr>
      </w:pPr>
    </w:p>
    <w:p>
      <w:pPr>
        <w:spacing w:line="547" w:lineRule="auto" w:before="35"/>
        <w:ind w:left="154" w:right="8855" w:firstLine="0"/>
        <w:jc w:val="left"/>
        <w:rPr>
          <w:rFonts w:ascii="宋体" w:hAnsi="宋体" w:cs="宋体" w:eastAsia="宋体" w:hint="default"/>
          <w:sz w:val="21"/>
          <w:szCs w:val="21"/>
        </w:rPr>
      </w:pPr>
      <w:bookmarkStart w:name="40、其他综合收益" w:id="324"/>
      <w:bookmarkEnd w:id="324"/>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pacing w:val="-18"/>
          <w:sz w:val="18"/>
          <w:szCs w:val="18"/>
        </w:rPr>
        <w:t>详见附注七、</w:t>
      </w:r>
      <w:r>
        <w:rPr>
          <w:rFonts w:ascii="Times New Roman" w:hAnsi="Times New Roman" w:cs="Times New Roman" w:eastAsia="Times New Roman" w:hint="default"/>
          <w:spacing w:val="-18"/>
          <w:sz w:val="18"/>
          <w:szCs w:val="18"/>
        </w:rPr>
        <w:t>27</w:t>
      </w:r>
      <w:r>
        <w:rPr>
          <w:rFonts w:ascii="宋体" w:hAnsi="宋体" w:cs="宋体" w:eastAsia="宋体" w:hint="default"/>
          <w:spacing w:val="-18"/>
          <w:sz w:val="18"/>
          <w:szCs w:val="18"/>
        </w:rPr>
        <w:t>、。</w:t>
      </w:r>
      <w:r>
        <w:rPr>
          <w:rFonts w:ascii="宋体" w:hAnsi="宋体" w:cs="宋体" w:eastAsia="宋体" w:hint="default"/>
          <w:spacing w:val="-90"/>
          <w:sz w:val="18"/>
          <w:szCs w:val="18"/>
        </w:rPr>
        <w:t> </w:t>
      </w:r>
      <w:bookmarkStart w:name="41、现金流量表项目" w:id="325"/>
      <w:bookmarkEnd w:id="325"/>
      <w:r>
        <w:rPr>
          <w:rFonts w:ascii="宋体" w:hAnsi="宋体" w:cs="宋体" w:eastAsia="宋体" w:hint="default"/>
          <w:spacing w:val="-90"/>
          <w:sz w:val="18"/>
          <w:szCs w:val="18"/>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left="153" w:right="0"/>
        <w:jc w:val="left"/>
        <w:rPr>
          <w:b w:val="0"/>
          <w:bCs w:val="0"/>
        </w:rPr>
      </w:pPr>
      <w:bookmarkStart w:name="（1）收到的其他与经营活动有关的现金" w:id="326"/>
      <w:bookmarkEnd w:id="32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87"/>
        <w:gridCol w:w="3118"/>
        <w:gridCol w:w="2765"/>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18,527,418.00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2,999,006.00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13,223,248.92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4,889,032.90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3,297,881.06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9,530,121.25</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保证金及押金、备用金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1,203,442.52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1,484,185.83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税务返还个人所得税手续费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320,677.37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413,871.81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34,416.59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758,081.59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36,607,084.46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20,074,299.38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27"/>
      <w:bookmarkEnd w:id="32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70"/>
        <w:gridCol w:w="2411"/>
        <w:gridCol w:w="3189"/>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27,924,725.97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27,362,326.41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24,514,574.32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40,929,365.46</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房租物业及水电暖费</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20,907,513.24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21,513,383.59</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中介机构及法务专项费用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8,753,002.38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13,153,369.69</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6,688,781.30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1,997,446.40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单位或个人往来</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6,675,741.10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2,492,751.61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1,888,612.78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2,323,884.39</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97,352,951.09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109,772,527.55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收到的其他与投资活动有关的现金" w:id="328"/>
      <w:bookmarkEnd w:id="32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225,520,000.00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225,520,000.00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4812"/>
        <w:jc w:val="left"/>
      </w:pPr>
      <w:r>
        <w:rPr/>
        <w:t>收到的其他与投资活动有关的现金说明： 本公司上年度购买的保本固定收益理财产品到期，赎回投资</w:t>
      </w:r>
      <w:r>
        <w:rPr>
          <w:rFonts w:ascii="Times New Roman" w:hAnsi="Times New Roman" w:cs="Times New Roman" w:eastAsia="Times New Roman" w:hint="default"/>
        </w:rPr>
        <w:t>22,552.00</w:t>
      </w:r>
      <w:r>
        <w:rPr/>
        <w:t>万元。</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4）支付的其他与投资活动有关的现金" w:id="329"/>
      <w:bookmarkEnd w:id="32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225,520,000.00</w:t>
            </w:r>
          </w:p>
        </w:tc>
      </w:tr>
    </w:tbl>
    <w:p>
      <w:pPr>
        <w:pStyle w:val="BodyText"/>
        <w:spacing w:line="357" w:lineRule="auto" w:before="51"/>
        <w:ind w:left="154" w:right="6252"/>
        <w:jc w:val="left"/>
      </w:pPr>
      <w:r>
        <w:rPr/>
        <w:t>支付的其他与投资活动有关的现金说明： 本公司为购买可随时赎回型理财产品而发生的相关支出。</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支付的其他与筹资活动有关的现金" w:id="330"/>
      <w:bookmarkEnd w:id="330"/>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股权激励授予限制性股票的回购款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435,600.00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74" w:right="0" w:hanging="420"/>
        <w:jc w:val="left"/>
      </w:pPr>
      <w:r>
        <w:rPr/>
        <w:t>支付的其他与筹资活动有关的现金说明： </w:t>
      </w:r>
      <w:r>
        <w:rPr>
          <w:spacing w:val="-1"/>
        </w:rPr>
        <w:t>如附注七、注释</w:t>
      </w:r>
      <w:r>
        <w:rPr>
          <w:rFonts w:ascii="Times New Roman" w:hAnsi="Times New Roman" w:cs="Times New Roman" w:eastAsia="Times New Roman" w:hint="default"/>
          <w:spacing w:val="-1"/>
        </w:rPr>
        <w:t>25</w:t>
      </w:r>
      <w:r>
        <w:rPr>
          <w:spacing w:val="-1"/>
        </w:rPr>
        <w:t>所述，本公司于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月回购原股权激励对象已持有但尚未解锁的限制性股票</w:t>
      </w:r>
      <w:r>
        <w:rPr>
          <w:rFonts w:ascii="Times New Roman" w:hAnsi="Times New Roman" w:cs="Times New Roman" w:eastAsia="Times New Roman" w:hint="default"/>
          <w:spacing w:val="-1"/>
        </w:rPr>
        <w:t>40,000</w:t>
      </w:r>
      <w:r>
        <w:rPr>
          <w:spacing w:val="-1"/>
        </w:rPr>
        <w:t>股，每股回购</w:t>
      </w:r>
    </w:p>
    <w:p>
      <w:pPr>
        <w:pStyle w:val="BodyText"/>
        <w:spacing w:line="214" w:lineRule="exact"/>
        <w:ind w:right="0"/>
        <w:jc w:val="left"/>
      </w:pPr>
      <w:r>
        <w:rPr/>
        <w:t>价格为</w:t>
      </w:r>
      <w:r>
        <w:rPr>
          <w:rFonts w:ascii="Times New Roman" w:hAnsi="Times New Roman" w:cs="Times New Roman" w:eastAsia="Times New Roman" w:hint="default"/>
        </w:rPr>
        <w:t>10.89</w:t>
      </w:r>
      <w:r>
        <w:rPr/>
        <w:t>元，回购款合计为</w:t>
      </w:r>
      <w:r>
        <w:rPr>
          <w:rFonts w:ascii="Times New Roman" w:hAnsi="Times New Roman" w:cs="Times New Roman" w:eastAsia="Times New Roman" w:hint="default"/>
        </w:rPr>
        <w:t>435,600.00</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42、现金流量表补充资料" w:id="331"/>
      <w:bookmarkEnd w:id="331"/>
      <w:r>
        <w:rPr>
          <w:b w:val="0"/>
          <w:bCs w:val="0"/>
        </w:rPr>
      </w:r>
      <w:r>
        <w:rPr>
          <w:rFonts w:ascii="Times New Roman" w:hAnsi="Times New Roman" w:cs="Times New Roman" w:eastAsia="Times New Roman" w:hint="default"/>
        </w:rPr>
        <w:t>42</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32"/>
      <w:bookmarkEnd w:id="33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90"/>
        <w:gridCol w:w="1998"/>
        <w:gridCol w:w="1770"/>
      </w:tblGrid>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147,862,351.01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138,206,068.82</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825,946.07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-590,313.38</w:t>
            </w:r>
            <w:r>
              <w:rPr>
                <w:rFonts w:ascii="Times New Roman"/>
                <w:sz w:val="18"/>
              </w:rPr>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23,051,647.64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20,451,990.11</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2,002,119.00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1,994,206.00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790"/>
        <w:gridCol w:w="1998"/>
        <w:gridCol w:w="1770"/>
      </w:tblGrid>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23,061,975.81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20,477,066.39</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-147,164.81</w:t>
            </w:r>
            <w:r>
              <w:rPr>
                <w:rFonts w:ascii="Times New Roman"/>
                <w:sz w:val="18"/>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-3,946,283.31</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350,574.38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-7,321,936.20</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-2,683,447.79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-108,359.49</w:t>
            </w:r>
            <w:r>
              <w:rPr>
                <w:rFonts w:ascii="Times New Roman"/>
                <w:sz w:val="18"/>
              </w:rPr>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-126,717.37</w:t>
            </w:r>
            <w:r>
              <w:rPr>
                <w:rFonts w:ascii="Times New Roman"/>
                <w:sz w:val="18"/>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-43,182.04</w:t>
            </w:r>
            <w:r>
              <w:rPr>
                <w:rFonts w:ascii="Times New Roman"/>
                <w:sz w:val="18"/>
              </w:rPr>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5,565,906.26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3,610,261.31</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-29,690,033.96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21,965,930.01</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30,793,502.68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-18,280,522.50</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200,866,658.92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176,414,925.72</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509,750,791.47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291,530,012.55</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291,530,012.55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542,503,531.08</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218,220,778.92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-250,973,518.53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33"/>
      <w:bookmarkEnd w:id="33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4193"/>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28,470,654.47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本期支付的翰平并购尾款</w:t>
            </w:r>
          </w:p>
        </w:tc>
        <w:tc>
          <w:tcPr>
            <w:tcW w:w="4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17,032,296.80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本期支付首都在线第三笔并购款</w:t>
            </w:r>
          </w:p>
        </w:tc>
        <w:tc>
          <w:tcPr>
            <w:tcW w:w="4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11,438,357.67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28,470,654.47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34"/>
      <w:bookmarkEnd w:id="334"/>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509,750,791.47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291,530,012.55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331,494.22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191,025.40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509,419,297.25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291,338,987.15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509,750,791.47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291,530,012.55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3、所有权或使用权受到限制的资产" w:id="335"/>
      <w:bookmarkEnd w:id="335"/>
      <w:r>
        <w:rPr>
          <w:b w:val="0"/>
          <w:bCs w:val="0"/>
        </w:rPr>
      </w:r>
      <w:r>
        <w:rPr>
          <w:rFonts w:ascii="Times New Roman" w:hAnsi="Times New Roman" w:cs="Times New Roman" w:eastAsia="Times New Roman" w:hint="default"/>
        </w:rPr>
        <w:t>43</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430"/>
        <w:gridCol w:w="5882"/>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301,044.00</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iTalkBB Australia</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公司用银行存款向供应商提供的保证金。</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241,550.68</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iTalkBB Australia</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公司租赁房屋，用银行存款向房屋出租方提供的保证金。</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542,594.68</w:t>
            </w:r>
          </w:p>
        </w:tc>
        <w:tc>
          <w:tcPr>
            <w:tcW w:w="5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4、外币货币性项目" w:id="336"/>
      <w:bookmarkEnd w:id="336"/>
      <w:r>
        <w:rPr>
          <w:b w:val="0"/>
          <w:bCs w:val="0"/>
        </w:rPr>
      </w:r>
      <w:r>
        <w:rPr>
          <w:rFonts w:ascii="Times New Roman" w:hAnsi="Times New Roman" w:cs="Times New Roman" w:eastAsia="Times New Roman" w:hint="default"/>
        </w:rPr>
        <w:t>44</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37"/>
      <w:bookmarkEnd w:id="33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125,339,243.94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19,485,596.71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119,232,366.27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19,876.19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15,680.33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557,224.63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2,939,638.54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407,330.93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2,043,742.21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238,774.16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1,107,816.59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9,107,030.77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980,981.76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6,002,627.38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498,499.04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2,629,831.69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68,404.49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343,212.69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27,692.85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128,483.74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2,875.27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1,806,345.85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201,542.58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1,233,239.05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69,767.02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368,055.91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12,080.06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60,610.49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31,132.08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144,440.40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10,356,948.98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991,170.11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6,064,969.91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345,659.48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1,823,526.59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478,328.21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2,399,963.96</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14,761.73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68,488.52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3,678,706.57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560,707.78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3,430,970.92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23,697.71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118,900.89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27,365.75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126,966.13</w:t>
            </w:r>
          </w:p>
        </w:tc>
      </w:tr>
    </w:tbl>
    <w:p>
      <w:pPr>
        <w:pStyle w:val="BodyText"/>
        <w:spacing w:line="240" w:lineRule="auto" w:before="51"/>
        <w:ind w:left="154" w:right="0"/>
        <w:jc w:val="left"/>
      </w:pPr>
      <w:r>
        <w:rPr/>
        <w:t>其他说明：</w:t>
      </w:r>
    </w:p>
    <w:p>
      <w:pPr>
        <w:pStyle w:val="BodyText"/>
        <w:spacing w:line="240" w:lineRule="auto" w:before="116"/>
        <w:ind w:left="574" w:right="0"/>
        <w:jc w:val="left"/>
      </w:pPr>
      <w:r>
        <w:rPr/>
        <w:t>本公司重要的境外经营实体为</w:t>
      </w:r>
      <w:r>
        <w:rPr>
          <w:rFonts w:ascii="Times New Roman" w:hAnsi="Times New Roman" w:cs="Times New Roman" w:eastAsia="Times New Roman" w:hint="default"/>
        </w:rPr>
        <w:t>ITALK</w:t>
      </w:r>
      <w:r>
        <w:rPr>
          <w:rFonts w:ascii="Times New Roman" w:hAnsi="Times New Roman" w:cs="Times New Roman" w:eastAsia="Times New Roman" w:hint="default"/>
          <w:spacing w:val="-1"/>
        </w:rPr>
        <w:t> </w:t>
      </w:r>
      <w:r>
        <w:rPr>
          <w:rFonts w:ascii="Times New Roman" w:hAnsi="Times New Roman" w:cs="Times New Roman" w:eastAsia="Times New Roman" w:hint="default"/>
        </w:rPr>
        <w:t>GLOBAL</w:t>
      </w:r>
      <w:r>
        <w:rPr/>
        <w:t>公司，其经营地为美国，记账本位币为美元。</w:t>
      </w:r>
    </w:p>
    <w:p>
      <w:pPr>
        <w:spacing w:line="240" w:lineRule="auto" w:before="11"/>
        <w:rPr>
          <w:rFonts w:ascii="宋体" w:hAnsi="宋体" w:cs="宋体" w:eastAsia="宋体" w:hint="default"/>
          <w:sz w:val="25"/>
          <w:szCs w:val="25"/>
        </w:rPr>
      </w:pPr>
    </w:p>
    <w:p>
      <w:pPr>
        <w:pStyle w:val="Heading3"/>
        <w:spacing w:line="259" w:lineRule="auto"/>
        <w:ind w:left="153" w:right="0"/>
        <w:jc w:val="left"/>
        <w:rPr>
          <w:b w:val="0"/>
          <w:bCs w:val="0"/>
        </w:rPr>
      </w:pPr>
      <w:bookmarkStart w:name="（2）境外经营实体说明，包括对于重要的境外经营实体，应披露其境外主要经营地、记账" w:id="338"/>
      <w:bookmarkEnd w:id="33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3" w:right="8584" w:firstLine="0"/>
        <w:jc w:val="left"/>
        <w:rPr>
          <w:rFonts w:ascii="宋体" w:hAnsi="宋体" w:cs="宋体" w:eastAsia="宋体" w:hint="default"/>
          <w:sz w:val="21"/>
          <w:szCs w:val="21"/>
        </w:rPr>
      </w:pPr>
      <w:bookmarkStart w:name="45、其他" w:id="339"/>
      <w:bookmarkEnd w:id="33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40"/>
      <w:bookmarkEnd w:id="34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处置子公司" w:id="341"/>
      <w:bookmarkEnd w:id="34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240" w:lineRule="auto" w:before="108"/>
        <w:ind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其他原因的合并范围变动" w:id="342"/>
      <w:bookmarkEnd w:id="342"/>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5"/>
        <w:rPr>
          <w:rFonts w:ascii="宋体" w:hAnsi="宋体" w:cs="宋体" w:eastAsia="宋体" w:hint="default"/>
          <w:b/>
          <w:bCs/>
          <w:sz w:val="25"/>
          <w:szCs w:val="25"/>
        </w:rPr>
      </w:pPr>
    </w:p>
    <w:p>
      <w:pPr>
        <w:pStyle w:val="Heading5"/>
        <w:spacing w:line="240" w:lineRule="auto" w:before="0"/>
        <w:ind w:right="0"/>
        <w:jc w:val="left"/>
      </w:pPr>
      <w:r>
        <w:rPr/>
        <w:t>说明其他原因导致的合并范围变动（如，新设子公司、清算子公司等）及其相关情况：</w:t>
      </w:r>
    </w:p>
    <w:p>
      <w:pPr>
        <w:pStyle w:val="Heading5"/>
        <w:spacing w:line="285" w:lineRule="auto" w:before="90"/>
        <w:ind w:left="574" w:right="7845" w:hanging="420"/>
        <w:jc w:val="left"/>
      </w:pPr>
      <w:r>
        <w:rPr/>
        <w:t>（</w:t>
      </w:r>
      <w:r>
        <w:rPr>
          <w:rFonts w:ascii="宋体" w:hAnsi="宋体" w:cs="宋体" w:eastAsia="宋体" w:hint="default"/>
        </w:rPr>
        <w:t>1</w:t>
      </w:r>
      <w:r>
        <w:rPr/>
        <w:t>）本期新设立子公司</w:t>
      </w:r>
      <w:r>
        <w:rPr>
          <w:w w:val="100"/>
        </w:rPr>
        <w:t> </w:t>
      </w:r>
      <w:r>
        <w:rPr>
          <w:rFonts w:ascii="宋体" w:hAnsi="宋体" w:cs="宋体" w:eastAsia="宋体" w:hint="default"/>
          <w:spacing w:val="-1"/>
        </w:rPr>
        <w:t>1</w:t>
      </w:r>
      <w:r>
        <w:rPr>
          <w:spacing w:val="-1"/>
        </w:rPr>
        <w:t>）新设二六三香港控股公司</w:t>
      </w:r>
    </w:p>
    <w:p>
      <w:pPr>
        <w:pStyle w:val="Heading5"/>
        <w:spacing w:line="285" w:lineRule="auto"/>
        <w:ind w:right="0" w:firstLine="420"/>
        <w:jc w:val="left"/>
      </w:pPr>
      <w:r>
        <w:rPr>
          <w:spacing w:val="-1"/>
        </w:rPr>
        <w:t>二六三香港控股公司系由本公司出资</w:t>
      </w:r>
      <w:r>
        <w:rPr>
          <w:rFonts w:ascii="宋体" w:hAnsi="宋体" w:cs="宋体" w:eastAsia="宋体" w:hint="default"/>
          <w:spacing w:val="-1"/>
        </w:rPr>
        <w:t>70</w:t>
      </w:r>
      <w:r>
        <w:rPr>
          <w:spacing w:val="-1"/>
        </w:rPr>
        <w:t>万美元在香港设立的公司，并于</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10</w:t>
      </w:r>
      <w:r>
        <w:rPr>
          <w:spacing w:val="-1"/>
        </w:rPr>
        <w:t>日取得公司注册证明</w:t>
      </w:r>
      <w:r>
        <w:rPr>
          <w:w w:val="100"/>
        </w:rPr>
        <w:t> </w:t>
      </w:r>
      <w:r>
        <w:rPr/>
        <w:t>书，注册号：</w:t>
      </w:r>
      <w:r>
        <w:rPr>
          <w:rFonts w:ascii="宋体" w:hAnsi="宋体" w:cs="宋体" w:eastAsia="宋体" w:hint="default"/>
        </w:rPr>
        <w:t>2118891</w:t>
      </w:r>
      <w:r>
        <w:rPr/>
        <w:t>，注册资本</w:t>
      </w:r>
      <w:r>
        <w:rPr>
          <w:rFonts w:ascii="宋体" w:hAnsi="宋体" w:cs="宋体" w:eastAsia="宋体" w:hint="default"/>
        </w:rPr>
        <w:t>10</w:t>
      </w:r>
      <w:r>
        <w:rPr/>
        <w:t>万美元，法定代表人：杨平勇。</w:t>
      </w:r>
    </w:p>
    <w:p>
      <w:pPr>
        <w:pStyle w:val="Heading5"/>
        <w:spacing w:line="285" w:lineRule="auto"/>
        <w:ind w:left="573" w:right="1143"/>
        <w:jc w:val="left"/>
      </w:pPr>
      <w:r>
        <w:rPr>
          <w:rFonts w:ascii="宋体" w:hAnsi="宋体" w:cs="宋体" w:eastAsia="宋体" w:hint="default"/>
        </w:rPr>
        <w:t>2</w:t>
      </w:r>
      <w:r>
        <w:rPr/>
        <w:t>）新设</w:t>
      </w:r>
      <w:r>
        <w:rPr>
          <w:rFonts w:ascii="宋体" w:hAnsi="宋体" w:cs="宋体" w:eastAsia="宋体" w:hint="default"/>
        </w:rPr>
        <w:t>United</w:t>
      </w:r>
      <w:r>
        <w:rPr>
          <w:rFonts w:ascii="宋体" w:hAnsi="宋体" w:cs="宋体" w:eastAsia="宋体" w:hint="default"/>
          <w:spacing w:val="-1"/>
        </w:rPr>
        <w:t> </w:t>
      </w:r>
      <w:r>
        <w:rPr>
          <w:rFonts w:ascii="宋体" w:hAnsi="宋体" w:cs="宋体" w:eastAsia="宋体" w:hint="default"/>
        </w:rPr>
        <w:t>Wise</w:t>
      </w:r>
      <w:r>
        <w:rPr/>
        <w:t>公司</w:t>
      </w:r>
      <w:r>
        <w:rPr>
          <w:spacing w:val="-2"/>
          <w:w w:val="100"/>
        </w:rPr>
        <w:t> </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18</w:t>
      </w:r>
      <w:r>
        <w:rPr/>
        <w:t>日，二六三香港控股公司董事决定，出资</w:t>
      </w:r>
      <w:r>
        <w:rPr>
          <w:rFonts w:ascii="宋体" w:hAnsi="宋体" w:cs="宋体" w:eastAsia="宋体" w:hint="default"/>
        </w:rPr>
        <w:t>65.10</w:t>
      </w:r>
      <w:r>
        <w:rPr/>
        <w:t>万美元在英属维尔京群岛设立</w:t>
      </w:r>
      <w:r>
        <w:rPr>
          <w:rFonts w:ascii="宋体" w:hAnsi="宋体" w:cs="宋体" w:eastAsia="宋体" w:hint="default"/>
        </w:rPr>
        <w:t>United</w:t>
      </w:r>
      <w:r>
        <w:rPr>
          <w:rFonts w:ascii="宋体" w:hAnsi="宋体" w:cs="宋体" w:eastAsia="宋体" w:hint="default"/>
          <w:spacing w:val="-10"/>
        </w:rPr>
        <w:t> </w:t>
      </w:r>
      <w:r>
        <w:rPr>
          <w:rFonts w:ascii="宋体" w:hAnsi="宋体" w:cs="宋体" w:eastAsia="宋体" w:hint="default"/>
        </w:rPr>
        <w:t>Wise</w:t>
      </w:r>
      <w:r>
        <w:rPr/>
        <w:t>公</w:t>
      </w:r>
    </w:p>
    <w:p>
      <w:pPr>
        <w:pStyle w:val="Heading5"/>
        <w:spacing w:line="285" w:lineRule="auto"/>
        <w:ind w:right="1164"/>
        <w:jc w:val="left"/>
      </w:pPr>
      <w:r>
        <w:rPr/>
        <w:t>司。</w:t>
      </w:r>
      <w:r>
        <w:rPr>
          <w:rFonts w:ascii="宋体" w:hAnsi="宋体" w:cs="宋体" w:eastAsia="宋体" w:hint="default"/>
        </w:rPr>
        <w:t>United</w:t>
      </w:r>
      <w:r>
        <w:rPr>
          <w:rFonts w:ascii="宋体" w:hAnsi="宋体" w:cs="宋体" w:eastAsia="宋体" w:hint="default"/>
          <w:spacing w:val="-11"/>
        </w:rPr>
        <w:t> </w:t>
      </w:r>
      <w:r>
        <w:rPr>
          <w:rFonts w:ascii="宋体" w:hAnsi="宋体" w:cs="宋体" w:eastAsia="宋体" w:hint="default"/>
        </w:rPr>
        <w:t>Wise</w:t>
      </w:r>
      <w:r>
        <w:rPr/>
        <w:t>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28</w:t>
      </w:r>
      <w:r>
        <w:rPr/>
        <w:t>日取得商业登记证，注册号：</w:t>
      </w:r>
      <w:r>
        <w:rPr>
          <w:rFonts w:ascii="宋体" w:hAnsi="宋体" w:cs="宋体" w:eastAsia="宋体" w:hint="default"/>
        </w:rPr>
        <w:t>1831700</w:t>
      </w:r>
      <w:r>
        <w:rPr/>
        <w:t>，注册资本</w:t>
      </w:r>
      <w:r>
        <w:rPr>
          <w:rFonts w:ascii="宋体" w:hAnsi="宋体" w:cs="宋体" w:eastAsia="宋体" w:hint="default"/>
        </w:rPr>
        <w:t>5</w:t>
      </w:r>
      <w:r>
        <w:rPr/>
        <w:t>万美元，法定代表人：</w:t>
      </w:r>
      <w:r>
        <w:rPr>
          <w:w w:val="100"/>
        </w:rPr>
        <w:t> </w:t>
      </w:r>
      <w:r>
        <w:rPr/>
        <w:t>杨平勇。</w:t>
      </w:r>
    </w:p>
    <w:p>
      <w:pPr>
        <w:pStyle w:val="Heading5"/>
        <w:spacing w:line="285" w:lineRule="auto"/>
        <w:ind w:left="554" w:right="0" w:firstLine="19"/>
        <w:jc w:val="left"/>
        <w:rPr>
          <w:rFonts w:ascii="宋体" w:hAnsi="宋体" w:cs="宋体" w:eastAsia="宋体" w:hint="default"/>
        </w:rPr>
      </w:pPr>
      <w:r>
        <w:rPr>
          <w:rFonts w:ascii="宋体" w:hAnsi="宋体" w:cs="宋体" w:eastAsia="宋体" w:hint="default"/>
        </w:rPr>
        <w:t>3</w:t>
      </w:r>
      <w:r>
        <w:rPr/>
        <w:t>）新设</w:t>
      </w:r>
      <w:r>
        <w:rPr>
          <w:rFonts w:ascii="宋体" w:hAnsi="宋体" w:cs="宋体" w:eastAsia="宋体" w:hint="default"/>
        </w:rPr>
        <w:t>iTalk Mobile</w:t>
      </w:r>
      <w:r>
        <w:rPr>
          <w:rFonts w:ascii="宋体" w:hAnsi="宋体" w:cs="宋体" w:eastAsia="宋体" w:hint="default"/>
          <w:spacing w:val="-1"/>
        </w:rPr>
        <w:t> </w:t>
      </w:r>
      <w:r>
        <w:rPr>
          <w:rFonts w:ascii="宋体" w:hAnsi="宋体" w:cs="宋体" w:eastAsia="宋体" w:hint="default"/>
        </w:rPr>
        <w:t>Corporation</w:t>
      </w:r>
      <w:r>
        <w:rPr>
          <w:rFonts w:ascii="宋体" w:hAnsi="宋体" w:cs="宋体" w:eastAsia="宋体" w:hint="default"/>
          <w:w w:val="100"/>
        </w:rPr>
        <w:t> </w:t>
      </w:r>
      <w:r>
        <w:rPr>
          <w:rFonts w:ascii="宋体" w:hAnsi="宋体" w:cs="宋体" w:eastAsia="宋体" w:hint="default"/>
          <w:spacing w:val="-4"/>
          <w:w w:val="100"/>
        </w:rPr>
        <w:t>2014</w:t>
      </w:r>
      <w:r>
        <w:rPr>
          <w:spacing w:val="-4"/>
          <w:w w:val="100"/>
        </w:rPr>
        <w:t>年</w:t>
      </w:r>
      <w:r>
        <w:rPr>
          <w:rFonts w:ascii="宋体" w:hAnsi="宋体" w:cs="宋体" w:eastAsia="宋体" w:hint="default"/>
          <w:spacing w:val="-4"/>
          <w:w w:val="100"/>
        </w:rPr>
        <w:t>9</w:t>
      </w:r>
      <w:r>
        <w:rPr>
          <w:spacing w:val="-4"/>
          <w:w w:val="100"/>
        </w:rPr>
        <w:t>月</w:t>
      </w:r>
      <w:r>
        <w:rPr>
          <w:rFonts w:ascii="宋体" w:hAnsi="宋体" w:cs="宋体" w:eastAsia="宋体" w:hint="default"/>
          <w:spacing w:val="-4"/>
          <w:w w:val="100"/>
        </w:rPr>
        <w:t>16</w:t>
      </w:r>
      <w:r>
        <w:rPr>
          <w:spacing w:val="-4"/>
          <w:w w:val="100"/>
        </w:rPr>
        <w:t>日，本公司第四届董事会第二十三次会议决议，拟由网络科技公司在美国设立全资子公司</w:t>
      </w:r>
      <w:r>
        <w:rPr>
          <w:rFonts w:ascii="宋体" w:hAnsi="宋体" w:cs="宋体" w:eastAsia="宋体" w:hint="default"/>
          <w:spacing w:val="-4"/>
          <w:w w:val="100"/>
        </w:rPr>
        <w:t>iTalk</w:t>
      </w:r>
    </w:p>
    <w:p>
      <w:pPr>
        <w:pStyle w:val="Heading5"/>
        <w:spacing w:line="285" w:lineRule="auto"/>
        <w:ind w:right="1130"/>
        <w:jc w:val="both"/>
      </w:pPr>
      <w:r>
        <w:rPr>
          <w:rFonts w:ascii="宋体" w:hAnsi="宋体" w:cs="宋体" w:eastAsia="宋体" w:hint="default"/>
        </w:rPr>
        <w:t>Mobile</w:t>
      </w:r>
      <w:r>
        <w:rPr>
          <w:rFonts w:ascii="宋体" w:hAnsi="宋体" w:cs="宋体" w:eastAsia="宋体" w:hint="default"/>
          <w:spacing w:val="-43"/>
        </w:rPr>
        <w:t> </w:t>
      </w:r>
      <w:r>
        <w:rPr>
          <w:rFonts w:ascii="宋体" w:hAnsi="宋体" w:cs="宋体" w:eastAsia="宋体" w:hint="default"/>
          <w:spacing w:val="-4"/>
        </w:rPr>
        <w:t>Corporation</w:t>
      </w:r>
      <w:r>
        <w:rPr>
          <w:spacing w:val="-4"/>
        </w:rPr>
        <w:t>，该公司主要从事海外移动虚拟网络运营业务，总投资额</w:t>
      </w:r>
      <w:r>
        <w:rPr>
          <w:rFonts w:ascii="宋体" w:hAnsi="宋体" w:cs="宋体" w:eastAsia="宋体" w:hint="default"/>
          <w:spacing w:val="-4"/>
        </w:rPr>
        <w:t>5</w:t>
      </w:r>
      <w:r>
        <w:rPr>
          <w:spacing w:val="-4"/>
        </w:rPr>
        <w:t>万美元；</w:t>
      </w:r>
      <w:r>
        <w:rPr>
          <w:rFonts w:ascii="宋体" w:hAnsi="宋体" w:cs="宋体" w:eastAsia="宋体" w:hint="default"/>
          <w:spacing w:val="-4"/>
        </w:rPr>
        <w:t>2014</w:t>
      </w:r>
      <w:r>
        <w:rPr>
          <w:spacing w:val="-4"/>
        </w:rPr>
        <w:t>年</w:t>
      </w:r>
      <w:r>
        <w:rPr>
          <w:rFonts w:ascii="宋体" w:hAnsi="宋体" w:cs="宋体" w:eastAsia="宋体" w:hint="default"/>
          <w:spacing w:val="-4"/>
        </w:rPr>
        <w:t>10</w:t>
      </w:r>
      <w:r>
        <w:rPr>
          <w:rFonts w:ascii="宋体" w:hAnsi="宋体" w:cs="宋体" w:eastAsia="宋体" w:hint="default"/>
          <w:spacing w:val="16"/>
        </w:rPr>
        <w:t> </w:t>
      </w:r>
      <w:r>
        <w:rPr>
          <w:spacing w:val="-6"/>
        </w:rPr>
        <w:t>月</w:t>
      </w:r>
      <w:r>
        <w:rPr>
          <w:rFonts w:ascii="宋体" w:hAnsi="宋体" w:cs="宋体" w:eastAsia="宋体" w:hint="default"/>
          <w:spacing w:val="-6"/>
        </w:rPr>
        <w:t>16</w:t>
      </w:r>
      <w:r>
        <w:rPr>
          <w:spacing w:val="-6"/>
        </w:rPr>
        <w:t>日，</w:t>
      </w:r>
      <w:r>
        <w:rPr>
          <w:rFonts w:ascii="宋体" w:hAnsi="宋体" w:cs="宋体" w:eastAsia="宋体" w:hint="default"/>
          <w:spacing w:val="-6"/>
        </w:rPr>
        <w:t>iTalk</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Mobile</w:t>
      </w:r>
      <w:r>
        <w:rPr>
          <w:rFonts w:ascii="宋体" w:hAnsi="宋体" w:cs="宋体" w:eastAsia="宋体" w:hint="default"/>
          <w:spacing w:val="-7"/>
        </w:rPr>
        <w:t> </w:t>
      </w:r>
      <w:r>
        <w:rPr>
          <w:rFonts w:ascii="宋体" w:hAnsi="宋体" w:cs="宋体" w:eastAsia="宋体" w:hint="default"/>
        </w:rPr>
        <w:t>Corporation</w:t>
      </w:r>
      <w:r>
        <w:rPr/>
        <w:t>取得公司登记证，注册资本</w:t>
      </w:r>
      <w:r>
        <w:rPr>
          <w:rFonts w:ascii="宋体" w:hAnsi="宋体" w:cs="宋体" w:eastAsia="宋体" w:hint="default"/>
        </w:rPr>
        <w:t>1,000.00</w:t>
      </w:r>
      <w:r>
        <w:rPr/>
        <w:t>美元，截至财务报告日止，投资款尚未支付。网络科</w:t>
      </w:r>
      <w:r>
        <w:rPr>
          <w:w w:val="100"/>
        </w:rPr>
        <w:t> </w:t>
      </w:r>
      <w:r>
        <w:rPr/>
        <w:t>技公司于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19</w:t>
      </w:r>
      <w:r>
        <w:rPr/>
        <w:t>日取得境外投资证第</w:t>
      </w:r>
      <w:r>
        <w:rPr>
          <w:rFonts w:ascii="宋体" w:hAnsi="宋体" w:cs="宋体" w:eastAsia="宋体" w:hint="default"/>
        </w:rPr>
        <w:t>N1100201400146</w:t>
      </w:r>
      <w:r>
        <w:rPr/>
        <w:t>号《企业境外投资证书》，</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24</w:t>
      </w:r>
      <w:r>
        <w:rPr/>
        <w:t>日北京市</w:t>
      </w:r>
      <w:r>
        <w:rPr>
          <w:w w:val="100"/>
        </w:rPr>
        <w:t> </w:t>
      </w:r>
      <w:r>
        <w:rPr/>
        <w:t>发展和改革委员会以京发改</w:t>
      </w:r>
      <w:r>
        <w:rPr>
          <w:rFonts w:ascii="宋体" w:hAnsi="宋体" w:cs="宋体" w:eastAsia="宋体" w:hint="default"/>
        </w:rPr>
        <w:t>[2014]2746</w:t>
      </w:r>
      <w:r>
        <w:rPr/>
        <w:t>号“关于北京二六三网络科技有限公司在美国投资设立全资子公司项目</w:t>
      </w:r>
      <w:r>
        <w:rPr>
          <w:w w:val="100"/>
        </w:rPr>
        <w:t> </w:t>
      </w:r>
      <w:r>
        <w:rPr/>
        <w:t>备案的通知”予以批准。</w:t>
      </w:r>
    </w:p>
    <w:p>
      <w:pPr>
        <w:spacing w:after="0" w:line="285"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left="580" w:right="8426" w:hanging="426"/>
        <w:jc w:val="left"/>
      </w:pPr>
      <w:r>
        <w:rPr/>
        <w:t>（</w:t>
      </w:r>
      <w:r>
        <w:rPr>
          <w:rFonts w:ascii="宋体" w:hAnsi="宋体" w:cs="宋体" w:eastAsia="宋体" w:hint="default"/>
        </w:rPr>
        <w:t>2</w:t>
      </w:r>
      <w:r>
        <w:rPr/>
        <w:t>）清算子公司</w:t>
      </w:r>
      <w:r>
        <w:rPr>
          <w:w w:val="100"/>
        </w:rPr>
        <w:t> </w:t>
      </w:r>
      <w:r>
        <w:rPr>
          <w:rFonts w:ascii="宋体" w:hAnsi="宋体" w:cs="宋体" w:eastAsia="宋体" w:hint="default"/>
        </w:rPr>
        <w:t>1</w:t>
      </w:r>
      <w:r>
        <w:rPr/>
        <w:t>）清算上海翰平公司</w:t>
      </w:r>
    </w:p>
    <w:p>
      <w:pPr>
        <w:pStyle w:val="Heading5"/>
        <w:spacing w:line="285" w:lineRule="auto"/>
        <w:ind w:right="1118" w:firstLine="420"/>
        <w:jc w:val="left"/>
      </w:pP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12</w:t>
      </w:r>
      <w:r>
        <w:rPr>
          <w:spacing w:val="-1"/>
        </w:rPr>
        <w:t>日，上海通信公司股东会决议注销上海翰平公司，</w:t>
      </w:r>
      <w:r>
        <w:rPr>
          <w:rFonts w:ascii="宋体" w:hAnsi="宋体" w:cs="宋体" w:eastAsia="宋体" w:hint="default"/>
          <w:spacing w:val="-1"/>
        </w:rPr>
        <w:t>2014</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31</w:t>
      </w:r>
      <w:r>
        <w:rPr>
          <w:spacing w:val="-1"/>
        </w:rPr>
        <w:t>日上海翰平公司注销的各项手</w:t>
      </w:r>
      <w:r>
        <w:rPr>
          <w:w w:val="100"/>
        </w:rPr>
        <w:t> </w:t>
      </w:r>
      <w:r>
        <w:rPr/>
        <w:t>续均已完成。</w:t>
      </w:r>
    </w:p>
    <w:p>
      <w:pPr>
        <w:pStyle w:val="Heading5"/>
        <w:spacing w:line="240" w:lineRule="auto"/>
        <w:ind w:left="580" w:right="0"/>
        <w:jc w:val="left"/>
      </w:pPr>
      <w:r>
        <w:rPr>
          <w:rFonts w:ascii="宋体" w:hAnsi="宋体" w:cs="宋体" w:eastAsia="宋体" w:hint="default"/>
        </w:rPr>
        <w:t>2</w:t>
      </w:r>
      <w:r>
        <w:rPr/>
        <w:t>）清算江苏爱拓公司</w:t>
      </w:r>
    </w:p>
    <w:p>
      <w:pPr>
        <w:pStyle w:val="Heading5"/>
        <w:spacing w:line="285" w:lineRule="auto" w:before="50"/>
        <w:ind w:left="154" w:right="1128" w:firstLine="420"/>
        <w:jc w:val="left"/>
      </w:pP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31</w:t>
      </w:r>
      <w:r>
        <w:rPr>
          <w:spacing w:val="-3"/>
        </w:rPr>
        <w:t>日，</w:t>
      </w:r>
      <w:r>
        <w:rPr>
          <w:rFonts w:ascii="宋体" w:hAnsi="宋体" w:cs="宋体" w:eastAsia="宋体" w:hint="default"/>
          <w:spacing w:val="-3"/>
        </w:rPr>
        <w:t>ITALK</w:t>
      </w:r>
      <w:r>
        <w:rPr>
          <w:rFonts w:ascii="宋体" w:hAnsi="宋体" w:cs="宋体" w:eastAsia="宋体" w:hint="default"/>
          <w:spacing w:val="-48"/>
        </w:rPr>
        <w:t> </w:t>
      </w:r>
      <w:r>
        <w:rPr>
          <w:rFonts w:ascii="宋体" w:hAnsi="宋体" w:cs="宋体" w:eastAsia="宋体" w:hint="default"/>
        </w:rPr>
        <w:t>GLOBAL</w:t>
      </w:r>
      <w:r>
        <w:rPr/>
        <w:t>公司股东会决定注销江苏爱拓公司及其江苏爱拓网络科技有限公司大连分公</w:t>
      </w:r>
      <w:r>
        <w:rPr>
          <w:w w:val="100"/>
        </w:rPr>
        <w:t> </w:t>
      </w:r>
      <w:r>
        <w:rPr/>
        <w:t>司、江苏爱拓网络科技有限公司珠海分公司两个分公司，</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3</w:t>
      </w:r>
      <w:r>
        <w:rPr/>
        <w:t>日，江苏爱拓完成各项注销手续。</w:t>
      </w:r>
    </w:p>
    <w:p>
      <w:pPr>
        <w:pStyle w:val="Heading5"/>
        <w:spacing w:line="240" w:lineRule="auto"/>
        <w:ind w:left="580" w:right="0"/>
        <w:jc w:val="left"/>
      </w:pPr>
      <w:r>
        <w:rPr>
          <w:rFonts w:ascii="宋体" w:hAnsi="宋体" w:cs="宋体" w:eastAsia="宋体" w:hint="default"/>
        </w:rPr>
        <w:t>3</w:t>
      </w:r>
      <w:r>
        <w:rPr/>
        <w:t>）清算北京爱涛公司</w:t>
      </w:r>
    </w:p>
    <w:p>
      <w:pPr>
        <w:pStyle w:val="Heading5"/>
        <w:spacing w:line="285" w:lineRule="auto" w:before="50"/>
        <w:ind w:left="154" w:right="0" w:firstLine="420"/>
        <w:jc w:val="left"/>
      </w:pP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ITALK</w:t>
      </w:r>
      <w:r>
        <w:rPr>
          <w:rFonts w:ascii="宋体" w:hAnsi="宋体" w:cs="宋体" w:eastAsia="宋体" w:hint="default"/>
          <w:spacing w:val="-30"/>
        </w:rPr>
        <w:t> </w:t>
      </w:r>
      <w:r>
        <w:rPr>
          <w:rFonts w:ascii="宋体" w:hAnsi="宋体" w:cs="宋体" w:eastAsia="宋体" w:hint="default"/>
          <w:spacing w:val="-1"/>
        </w:rPr>
        <w:t>GLOBAL</w:t>
      </w:r>
      <w:r>
        <w:rPr>
          <w:spacing w:val="-1"/>
        </w:rPr>
        <w:t>公司股东会决定注销爱涛信科国际通信技术</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有限公司，</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12</w:t>
      </w:r>
      <w:r>
        <w:rPr>
          <w:rFonts w:ascii="宋体" w:hAnsi="宋体" w:cs="宋体" w:eastAsia="宋体" w:hint="default"/>
          <w:spacing w:val="-1"/>
          <w:w w:val="100"/>
        </w:rPr>
        <w:t> </w:t>
      </w:r>
      <w:r>
        <w:rPr/>
        <w:t>日，北京爱涛完成各项注销手续。</w:t>
      </w:r>
    </w:p>
    <w:p>
      <w:pPr>
        <w:spacing w:line="240" w:lineRule="auto" w:before="6"/>
        <w:rPr>
          <w:rFonts w:ascii="宋体" w:hAnsi="宋体" w:cs="宋体" w:eastAsia="宋体" w:hint="default"/>
          <w:sz w:val="21"/>
          <w:szCs w:val="21"/>
        </w:rPr>
      </w:pPr>
    </w:p>
    <w:p>
      <w:pPr>
        <w:pStyle w:val="Heading2"/>
        <w:spacing w:line="240" w:lineRule="auto"/>
        <w:ind w:left="154" w:right="0"/>
        <w:jc w:val="left"/>
        <w:rPr>
          <w:b w:val="0"/>
          <w:bCs w:val="0"/>
        </w:rPr>
      </w:pPr>
      <w:bookmarkStart w:name="九、在其他主体中的权益" w:id="343"/>
      <w:bookmarkEnd w:id="34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44"/>
      <w:bookmarkEnd w:id="34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45"/>
      <w:bookmarkEnd w:id="34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850"/>
        <w:gridCol w:w="1418"/>
        <w:gridCol w:w="1134"/>
        <w:gridCol w:w="709"/>
        <w:gridCol w:w="850"/>
        <w:gridCol w:w="924"/>
      </w:tblGrid>
      <w:tr>
        <w:trPr>
          <w:trHeight w:val="402"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30" w:right="59"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增值通信、</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VPN</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2"/>
              <w:ind w:left="22" w:right="263"/>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二六三增值通信香港有限公司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5"/>
                <w:sz w:val="18"/>
                <w:szCs w:val="18"/>
              </w:rPr>
              <w:t>Value </w:t>
            </w:r>
            <w:r>
              <w:rPr>
                <w:rFonts w:ascii="Times New Roman" w:hAnsi="Times New Roman" w:cs="Times New Roman" w:eastAsia="Times New Roman" w:hint="default"/>
                <w:sz w:val="18"/>
                <w:szCs w:val="18"/>
              </w:rPr>
              <w:t>Added Communication Hong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z w:val="18"/>
                <w:szCs w:val="18"/>
              </w:rPr>
              <w:t> Co.,Limited)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VPN</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w:t>
            </w:r>
            <w:r>
              <w:rPr>
                <w:rFonts w:ascii="Times New Roman" w:hAnsi="Times New Roman" w:cs="Times New Roman" w:eastAsia="Times New Roman" w:hint="default"/>
                <w:sz w:val="18"/>
                <w:szCs w:val="18"/>
              </w:rPr>
              <w:t>IPTV</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二六三软件技术（北京）有限公司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28"/>
                <w:sz w:val="18"/>
              </w:rPr>
              <w:t> </w:t>
            </w:r>
            <w:r>
              <w:rPr>
                <w:rFonts w:ascii="Times New Roman"/>
                <w:sz w:val="18"/>
              </w:rPr>
              <w:t>INC.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VOIP</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6"/>
                <w:sz w:val="18"/>
              </w:rPr>
              <w:t> </w:t>
            </w:r>
            <w:r>
              <w:rPr>
                <w:rFonts w:ascii="Times New Roman"/>
                <w:sz w:val="18"/>
              </w:rPr>
              <w:t>Inc.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 广</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30"/>
                <w:sz w:val="18"/>
              </w:rPr>
              <w:t> </w:t>
            </w:r>
            <w:r>
              <w:rPr>
                <w:rFonts w:ascii="Times New Roman"/>
                <w:sz w:val="18"/>
              </w:rPr>
              <w:t>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 广</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16"/>
              <w:jc w:val="left"/>
              <w:rPr>
                <w:rFonts w:ascii="Times New Roman" w:hAnsi="Times New Roman" w:cs="Times New Roman" w:eastAsia="Times New Roman" w:hint="default"/>
                <w:sz w:val="18"/>
                <w:szCs w:val="18"/>
              </w:rPr>
            </w:pPr>
            <w:r>
              <w:rPr>
                <w:rFonts w:ascii="Times New Roman"/>
                <w:sz w:val="18"/>
              </w:rPr>
              <w:t>Digital Technology Marketing and</w:t>
            </w:r>
            <w:r>
              <w:rPr>
                <w:rFonts w:ascii="Times New Roman"/>
                <w:spacing w:val="-24"/>
                <w:sz w:val="18"/>
              </w:rPr>
              <w:t> </w:t>
            </w:r>
            <w:r>
              <w:rPr>
                <w:rFonts w:ascii="Times New Roman"/>
                <w:sz w:val="18"/>
              </w:rPr>
              <w:t>Information,</w:t>
            </w:r>
            <w:r>
              <w:rPr>
                <w:rFonts w:ascii="Times New Roman"/>
                <w:w w:val="99"/>
                <w:sz w:val="18"/>
              </w:rPr>
              <w:t> </w:t>
            </w:r>
            <w:r>
              <w:rPr>
                <w:rFonts w:ascii="Times New Roman"/>
                <w:sz w:val="18"/>
              </w:rPr>
              <w:t>Inc.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 广</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VOIP</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102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1"/>
                <w:sz w:val="18"/>
              </w:rPr>
              <w:t> </w:t>
            </w:r>
            <w:r>
              <w:rPr>
                <w:rFonts w:ascii="Times New Roman"/>
                <w:sz w:val="18"/>
              </w:rPr>
              <w:t>Corporation</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海外移动虚 拟网络运营 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687"/>
        <w:gridCol w:w="850"/>
        <w:gridCol w:w="1418"/>
        <w:gridCol w:w="1134"/>
        <w:gridCol w:w="709"/>
        <w:gridCol w:w="850"/>
        <w:gridCol w:w="924"/>
      </w:tblGrid>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8"/>
              <w:jc w:val="left"/>
              <w:rPr>
                <w:rFonts w:ascii="宋体" w:hAnsi="宋体" w:cs="宋体" w:eastAsia="宋体" w:hint="default"/>
                <w:sz w:val="18"/>
                <w:szCs w:val="18"/>
              </w:rPr>
            </w:pPr>
            <w:r>
              <w:rPr>
                <w:rFonts w:ascii="宋体" w:hAnsi="宋体" w:cs="宋体" w:eastAsia="宋体" w:hint="default"/>
                <w:spacing w:val="-2"/>
                <w:sz w:val="18"/>
                <w:szCs w:val="18"/>
              </w:rPr>
              <w:t>爱涛网络电视香港有限公司（英文名：</w:t>
            </w:r>
            <w:r>
              <w:rPr>
                <w:rFonts w:ascii="Times New Roman" w:hAnsi="Times New Roman" w:cs="Times New Roman" w:eastAsia="Times New Roman" w:hint="default"/>
                <w:spacing w:val="-2"/>
                <w:sz w:val="18"/>
                <w:szCs w:val="18"/>
              </w:rPr>
              <w:t>iTalkTV</w:t>
            </w:r>
            <w:r>
              <w:rPr>
                <w:rFonts w:ascii="Times New Roman" w:hAnsi="Times New Roman" w:cs="Times New Roman" w:eastAsia="Times New Roman" w:hint="default"/>
                <w:sz w:val="18"/>
                <w:szCs w:val="18"/>
              </w:rPr>
              <w:t> Hongkong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IPTV</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非同一控 制下收购</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二六三香港控股有限公司（英文名：</w:t>
            </w:r>
            <w:r>
              <w:rPr>
                <w:rFonts w:ascii="Times New Roman" w:hAnsi="Times New Roman" w:cs="Times New Roman" w:eastAsia="Times New Roman" w:hint="default"/>
                <w:sz w:val="18"/>
                <w:szCs w:val="18"/>
              </w:rPr>
              <w:t>NET263 Holdings Limited</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CORP</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United Wise Services</w:t>
            </w:r>
            <w:r>
              <w:rPr>
                <w:rFonts w:ascii="Times New Roman"/>
                <w:spacing w:val="-16"/>
                <w:sz w:val="18"/>
              </w:rPr>
              <w:t> </w:t>
            </w:r>
            <w:r>
              <w:rPr>
                <w:rFonts w:ascii="Times New Roman"/>
                <w:sz w:val="18"/>
              </w:rPr>
              <w:t>Limited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CORP</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1"/>
        <w:ind w:left="154" w:right="6972"/>
        <w:jc w:val="left"/>
      </w:pPr>
      <w:r>
        <w:rPr/>
        <w:t>在子公司的持股比例不同于表决权比例的说明： 不适用。</w:t>
      </w:r>
    </w:p>
    <w:p>
      <w:pPr>
        <w:pStyle w:val="BodyText"/>
        <w:spacing w:line="357" w:lineRule="auto" w:before="29"/>
        <w:ind w:left="154" w:right="2832"/>
        <w:jc w:val="left"/>
      </w:pPr>
      <w:r>
        <w:rPr/>
        <w:t>持有半数或以下表决权但仍控制被投资单位、以及持有半数以上表决权但不控制被投资单位的依据： 不适用。</w:t>
      </w:r>
    </w:p>
    <w:p>
      <w:pPr>
        <w:pStyle w:val="BodyText"/>
        <w:spacing w:line="357" w:lineRule="auto" w:before="29"/>
        <w:ind w:left="154" w:right="6432"/>
        <w:jc w:val="left"/>
      </w:pPr>
      <w:r>
        <w:rPr/>
        <w:t>对于纳入合并范围的重要的结构化主体，控制的依据： 不适用。</w:t>
      </w:r>
    </w:p>
    <w:p>
      <w:pPr>
        <w:pStyle w:val="BodyText"/>
        <w:spacing w:line="357" w:lineRule="auto" w:before="29"/>
        <w:ind w:left="154" w:right="7692"/>
        <w:jc w:val="left"/>
      </w:pPr>
      <w:r>
        <w:rPr/>
        <w:t>确定公司是代理人还是委托人的依据： 不适用。</w:t>
      </w:r>
    </w:p>
    <w:p>
      <w:pPr>
        <w:pStyle w:val="BodyText"/>
        <w:spacing w:line="357" w:lineRule="auto" w:before="29"/>
        <w:ind w:left="154" w:right="9852"/>
        <w:jc w:val="left"/>
      </w:pPr>
      <w:r>
        <w:rPr/>
        <w:t>其他说明： 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无" w:id="346"/>
      <w:bookmarkEnd w:id="346"/>
      <w:r>
        <w:rPr>
          <w:b w:val="0"/>
          <w:bCs w:val="0"/>
        </w:rPr>
      </w:r>
      <w:r>
        <w:rPr>
          <w:rFonts w:ascii="Times New Roman" w:hAnsi="Times New Roman" w:cs="Times New Roman" w:eastAsia="Times New Roman" w:hint="default"/>
        </w:rPr>
        <w:t>2</w:t>
      </w:r>
      <w:r>
        <w:rPr/>
        <w:t>、在子公司的所有者权益份额发生变化且仍控制子公司的交易：无</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在合营安排或联营企业中的权益" w:id="347"/>
      <w:bookmarkEnd w:id="34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无" w:id="348"/>
      <w:bookmarkEnd w:id="348"/>
      <w:r>
        <w:rPr>
          <w:b w:val="0"/>
          <w:bCs w:val="0"/>
        </w:rPr>
      </w:r>
      <w:r>
        <w:rPr/>
        <w:t>（</w:t>
      </w:r>
      <w:r>
        <w:rPr>
          <w:rFonts w:ascii="宋体" w:hAnsi="宋体" w:cs="宋体" w:eastAsia="宋体" w:hint="default"/>
        </w:rPr>
        <w:t>1</w:t>
      </w:r>
      <w:r>
        <w:rPr/>
        <w:t>）重要的合营企业或联营企业</w:t>
      </w:r>
      <w:r>
        <w:rPr>
          <w:rFonts w:ascii="宋体" w:hAnsi="宋体" w:cs="宋体" w:eastAsia="宋体" w:hint="default"/>
        </w:rPr>
        <w:t>:</w:t>
      </w:r>
      <w:r>
        <w:rPr/>
        <w:t>无</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0"/>
        <w:jc w:val="left"/>
        <w:rPr>
          <w:b w:val="0"/>
          <w:bCs w:val="0"/>
        </w:rPr>
      </w:pPr>
      <w:bookmarkStart w:name="（2）上重要的合营企业和联营企业的汇总财务信息" w:id="349"/>
      <w:bookmarkEnd w:id="349"/>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947"/>
        <w:gridCol w:w="2425"/>
        <w:gridCol w:w="3186"/>
      </w:tblGrid>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联营企业投资账面价值合计</w:t>
            </w:r>
          </w:p>
        </w:tc>
        <w:tc>
          <w:tcPr>
            <w:tcW w:w="2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34,681,810.41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41,232,445.52</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-6,897,274.53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-3,905,667.31</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-6,897,274.53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-3,905,667.31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与金融工具相关的风险" w:id="350"/>
      <w:bookmarkEnd w:id="350"/>
      <w:r>
        <w:rPr>
          <w:b w:val="0"/>
          <w:bCs w:val="0"/>
        </w:rPr>
      </w:r>
      <w:r>
        <w:rPr/>
        <w:t>十、与金融工具相关的风险</w:t>
      </w:r>
      <w:r>
        <w:rPr>
          <w:b w:val="0"/>
          <w:bCs w:val="0"/>
        </w:rPr>
      </w:r>
    </w:p>
    <w:p>
      <w:pPr>
        <w:spacing w:line="240" w:lineRule="auto" w:before="4"/>
        <w:rPr>
          <w:rFonts w:ascii="宋体" w:hAnsi="宋体" w:cs="宋体" w:eastAsia="宋体" w:hint="default"/>
          <w:b/>
          <w:bCs/>
          <w:sz w:val="25"/>
          <w:szCs w:val="25"/>
        </w:rPr>
      </w:pPr>
    </w:p>
    <w:p>
      <w:pPr>
        <w:pStyle w:val="Heading5"/>
        <w:spacing w:line="285" w:lineRule="auto" w:before="0"/>
        <w:ind w:right="0" w:firstLine="420"/>
        <w:jc w:val="left"/>
      </w:pPr>
      <w:r>
        <w:rPr>
          <w:spacing w:val="-3"/>
        </w:rPr>
        <w:t>本公司的经营活动会面临各种金融风险：信用风险、流动风险和市场风险（主要为外汇风险和利率风险）。</w:t>
      </w:r>
      <w:r>
        <w:rPr>
          <w:w w:val="100"/>
        </w:rPr>
        <w:t> </w:t>
      </w:r>
      <w:r>
        <w:rPr/>
        <w:t>本公司整体的风险管理计划针对金融市场的不可预见性，力求减少对本公司财务业绩的潜在不利影响。</w:t>
      </w:r>
    </w:p>
    <w:p>
      <w:pPr>
        <w:pStyle w:val="Heading5"/>
        <w:spacing w:line="285" w:lineRule="auto"/>
        <w:ind w:left="573" w:right="1118" w:hanging="420"/>
        <w:jc w:val="left"/>
      </w:pPr>
      <w:r>
        <w:rPr>
          <w:rFonts w:ascii="宋体" w:hAnsi="宋体" w:cs="宋体" w:eastAsia="宋体" w:hint="default"/>
          <w:b/>
          <w:bCs/>
        </w:rPr>
        <w:t>（一）信用风险</w:t>
      </w:r>
      <w:r>
        <w:rPr>
          <w:rFonts w:ascii="宋体" w:hAnsi="宋体" w:cs="宋体" w:eastAsia="宋体" w:hint="default"/>
          <w:b/>
          <w:bCs/>
          <w:w w:val="99"/>
        </w:rPr>
        <w:t> </w:t>
      </w:r>
      <w:r>
        <w:rPr>
          <w:spacing w:val="-1"/>
        </w:rPr>
        <w:t>本公司的信用风险主要来自货币资金、应收账款、其他应收款、以公允价值计量且其变动计入当期损益的</w:t>
      </w:r>
    </w:p>
    <w:p>
      <w:pPr>
        <w:spacing w:after="0" w:line="285"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left="573" w:right="0" w:hanging="420"/>
        <w:jc w:val="left"/>
      </w:pPr>
      <w:r>
        <w:rPr/>
        <w:t>金融资产和可供出售金融资产等。管理层已制定适当的信用政策，并且不断监察这些信用风险的敞口。</w:t>
      </w:r>
      <w:r>
        <w:rPr>
          <w:w w:val="100"/>
        </w:rPr>
        <w:t> </w:t>
      </w:r>
      <w:r>
        <w:rPr>
          <w:spacing w:val="-1"/>
        </w:rPr>
        <w:t>本公司持有的货币资金，主要存放于商业银行等金融机构，管理层认为这些商业银行具备较高信誉和资产</w:t>
      </w:r>
    </w:p>
    <w:p>
      <w:pPr>
        <w:pStyle w:val="Heading5"/>
        <w:spacing w:line="285" w:lineRule="auto"/>
        <w:ind w:left="573" w:right="0" w:hanging="420"/>
        <w:jc w:val="left"/>
      </w:pPr>
      <w:r>
        <w:rPr/>
        <w:t>状况，存在较低的信用风险。本公司采取限额政策以规避对任何金融机构的信贷风险。</w:t>
      </w:r>
      <w:r>
        <w:rPr>
          <w:w w:val="100"/>
        </w:rPr>
        <w:t> </w:t>
      </w:r>
      <w:r>
        <w:rPr>
          <w:spacing w:val="-1"/>
        </w:rPr>
        <w:t>对于应收账款、其他应收款，本公司设定相关政策以控制信用风险敞口。本公司基于对客户的财务状况、</w:t>
      </w:r>
    </w:p>
    <w:p>
      <w:pPr>
        <w:pStyle w:val="Heading5"/>
        <w:spacing w:line="285" w:lineRule="auto"/>
        <w:ind w:right="0"/>
        <w:jc w:val="left"/>
      </w:pPr>
      <w:r>
        <w:rPr>
          <w:spacing w:val="-2"/>
        </w:rPr>
        <w:t>从第三方获取担保的可能性、信用记录及其它因素诸如目前市场状况等评估客户的信用资质并设置相应信用期。</w:t>
      </w:r>
      <w:r>
        <w:rPr>
          <w:spacing w:val="-78"/>
        </w:rPr>
        <w:t> </w:t>
      </w:r>
      <w:r>
        <w:rPr>
          <w:spacing w:val="-78"/>
        </w:rPr>
      </w:r>
      <w:r>
        <w:rPr/>
        <w:t>本公司会定期对客户信用记录进行监控，对于信用记录不良的客户，本公司会采用书面催款、缩短信用期或取</w:t>
      </w:r>
      <w:r>
        <w:rPr>
          <w:w w:val="100"/>
        </w:rPr>
        <w:t> </w:t>
      </w:r>
      <w:r>
        <w:rPr/>
        <w:t>消信用期等方式，以确保本公司的整体信用风险在可控的范围内。</w:t>
      </w:r>
    </w:p>
    <w:p>
      <w:pPr>
        <w:pStyle w:val="Heading5"/>
        <w:spacing w:line="271" w:lineRule="auto"/>
        <w:ind w:left="574" w:right="1323"/>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日，本公司的前五大客户的应收款占本公司应收款项总额</w:t>
      </w:r>
      <w:r>
        <w:rPr>
          <w:rFonts w:ascii="Times New Roman" w:hAnsi="Times New Roman" w:cs="Times New Roman" w:eastAsia="Times New Roman" w:hint="default"/>
        </w:rPr>
        <w:t>35.85%</w:t>
      </w:r>
      <w:r>
        <w:rPr>
          <w:rFonts w:ascii="Times New Roman" w:hAnsi="Times New Roman" w:cs="Times New Roman" w:eastAsia="Times New Roman" w:hint="default"/>
          <w:spacing w:val="-7"/>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44.79%)</w:t>
      </w:r>
      <w:r>
        <w:rPr/>
        <w:t>。</w:t>
      </w:r>
      <w:r>
        <w:rPr>
          <w:w w:val="100"/>
        </w:rPr>
        <w:t> </w:t>
      </w:r>
      <w:r>
        <w:rPr/>
        <w:t>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的账面金额。</w:t>
      </w:r>
    </w:p>
    <w:p>
      <w:pPr>
        <w:pStyle w:val="Heading6"/>
        <w:spacing w:line="240" w:lineRule="auto" w:before="142"/>
        <w:ind w:left="154" w:right="0"/>
        <w:jc w:val="left"/>
        <w:rPr>
          <w:b w:val="0"/>
          <w:bCs w:val="0"/>
        </w:rPr>
      </w:pPr>
      <w:r>
        <w:rPr/>
        <w:t>（二）流动性风险</w:t>
      </w:r>
      <w:r>
        <w:rPr>
          <w:b w:val="0"/>
          <w:bCs w:val="0"/>
        </w:rPr>
      </w:r>
    </w:p>
    <w:p>
      <w:pPr>
        <w:pStyle w:val="Heading5"/>
        <w:spacing w:line="240" w:lineRule="auto" w:before="60"/>
        <w:ind w:left="574" w:right="0"/>
        <w:jc w:val="left"/>
      </w:pP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w:t>
      </w:r>
    </w:p>
    <w:p>
      <w:pPr>
        <w:pStyle w:val="Heading5"/>
        <w:spacing w:line="240" w:lineRule="auto" w:before="35"/>
        <w:ind w:left="154" w:right="0"/>
        <w:jc w:val="left"/>
      </w:pPr>
      <w:r>
        <w:rPr/>
        <w:t>险。</w:t>
      </w:r>
    </w:p>
    <w:p>
      <w:pPr>
        <w:pStyle w:val="Heading5"/>
        <w:spacing w:line="285" w:lineRule="auto" w:before="50"/>
        <w:ind w:left="574" w:right="0"/>
        <w:jc w:val="left"/>
      </w:pPr>
      <w:r>
        <w:rPr/>
        <w:t>本公司财务管理部持续监控公司短期和长期的资金需求，以确保维持充裕的现金储备。</w:t>
      </w:r>
      <w:r>
        <w:rPr>
          <w:w w:val="100"/>
        </w:rPr>
        <w:t> </w:t>
      </w: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日，本公司各项金融资产及金融负债以未折现的合同现金流量按到期日列示如下：</w:t>
      </w:r>
    </w:p>
    <w:tbl>
      <w:tblPr>
        <w:tblW w:w="0" w:type="auto"/>
        <w:jc w:val="left"/>
        <w:tblInd w:w="149" w:type="dxa"/>
        <w:tblLayout w:type="fixed"/>
        <w:tblCellMar>
          <w:top w:w="0" w:type="dxa"/>
          <w:left w:w="0" w:type="dxa"/>
          <w:bottom w:w="0" w:type="dxa"/>
          <w:right w:w="0" w:type="dxa"/>
        </w:tblCellMar>
        <w:tblLook w:val="01E0"/>
      </w:tblPr>
      <w:tblGrid>
        <w:gridCol w:w="1826"/>
        <w:gridCol w:w="1547"/>
        <w:gridCol w:w="1546"/>
        <w:gridCol w:w="1547"/>
        <w:gridCol w:w="932"/>
        <w:gridCol w:w="925"/>
        <w:gridCol w:w="986"/>
      </w:tblGrid>
      <w:tr>
        <w:trPr>
          <w:trHeight w:val="342" w:hRule="exact"/>
        </w:trPr>
        <w:tc>
          <w:tcPr>
            <w:tcW w:w="182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826" w:type="dxa"/>
            <w:vMerge/>
            <w:tcBorders>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8"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贷币资金</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510,293,386.15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510,293,386.15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7" w:right="0"/>
              <w:jc w:val="left"/>
              <w:rPr>
                <w:rFonts w:ascii="Times New Roman" w:hAnsi="Times New Roman" w:cs="Times New Roman" w:eastAsia="Times New Roman" w:hint="default"/>
                <w:sz w:val="18"/>
                <w:szCs w:val="18"/>
              </w:rPr>
            </w:pPr>
            <w:r>
              <w:rPr>
                <w:rFonts w:ascii="Times New Roman"/>
                <w:sz w:val="18"/>
              </w:rPr>
              <w:t>510,293,386.15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66"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9"/>
              <w:jc w:val="both"/>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资产</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34,500,000.00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34,500,000.00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34,500,000.00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48,448,631.14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49,504,199.81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49,504,199.81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14,913,314.96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15,338,562.20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15,338,562.20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50,553,808.93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50,553,808.93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50,553,808.93</w:t>
            </w:r>
          </w:p>
        </w:tc>
        <w:tc>
          <w:tcPr>
            <w:tcW w:w="93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658,709,141.18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660,189,957.09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7" w:right="0"/>
              <w:jc w:val="left"/>
              <w:rPr>
                <w:rFonts w:ascii="Times New Roman" w:hAnsi="Times New Roman" w:cs="Times New Roman" w:eastAsia="Times New Roman" w:hint="default"/>
                <w:sz w:val="18"/>
                <w:szCs w:val="18"/>
              </w:rPr>
            </w:pPr>
            <w:r>
              <w:rPr>
                <w:rFonts w:ascii="Times New Roman"/>
                <w:sz w:val="18"/>
              </w:rPr>
              <w:t>660,189,957.09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28,164,409.13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28,164,409.13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28,164,409.13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34,147,364.37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34,147,364.37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34,147,364.37</w:t>
            </w:r>
          </w:p>
        </w:tc>
        <w:tc>
          <w:tcPr>
            <w:tcW w:w="93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62,311,773.50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62,311,773.50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7" w:right="0"/>
              <w:jc w:val="left"/>
              <w:rPr>
                <w:rFonts w:ascii="Times New Roman" w:hAnsi="Times New Roman" w:cs="Times New Roman" w:eastAsia="Times New Roman" w:hint="default"/>
                <w:sz w:val="18"/>
                <w:szCs w:val="18"/>
              </w:rPr>
            </w:pPr>
            <w:r>
              <w:rPr>
                <w:rFonts w:ascii="Times New Roman"/>
                <w:sz w:val="18"/>
              </w:rPr>
              <w:t>62,311,773.50</w:t>
            </w:r>
          </w:p>
        </w:tc>
        <w:tc>
          <w:tcPr>
            <w:tcW w:w="93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left="574" w:right="0"/>
        <w:jc w:val="left"/>
      </w:pPr>
      <w:r>
        <w:rPr/>
        <w:t>续：</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44"/>
        <w:gridCol w:w="1559"/>
        <w:gridCol w:w="1560"/>
        <w:gridCol w:w="1559"/>
        <w:gridCol w:w="768"/>
        <w:gridCol w:w="954"/>
        <w:gridCol w:w="1114"/>
      </w:tblGrid>
      <w:tr>
        <w:trPr>
          <w:trHeight w:val="344"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4" w:hRule="exact"/>
        </w:trPr>
        <w:tc>
          <w:tcPr>
            <w:tcW w:w="1844"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贷币资金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291,855,818.55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291,855,818.55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291,855,818.55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6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7"/>
              <w:jc w:val="both"/>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11,420,000.00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11,420,000.00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11,420,000.00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43,887,237.12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44,799,498.73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44,799,498.73</w:t>
            </w:r>
          </w:p>
        </w:tc>
        <w:tc>
          <w:tcPr>
            <w:tcW w:w="76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4,302,090.48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4,499,396.74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4,499,396.74</w:t>
            </w:r>
          </w:p>
        </w:tc>
        <w:tc>
          <w:tcPr>
            <w:tcW w:w="76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16,310,800.00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16,310,800.00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16,310,800.00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367,775,946.15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368,885,514.02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368,885,514.02</w:t>
            </w:r>
          </w:p>
        </w:tc>
        <w:tc>
          <w:tcPr>
            <w:tcW w:w="76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29,903,226.22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29,903,226.22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29,903,226.22</w:t>
            </w:r>
          </w:p>
        </w:tc>
        <w:tc>
          <w:tcPr>
            <w:tcW w:w="76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58,299,773.55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58,299,773.55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58,299,773.55</w:t>
            </w:r>
          </w:p>
        </w:tc>
        <w:tc>
          <w:tcPr>
            <w:tcW w:w="76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88,202,999.77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88,202,999.77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88,202,999.77</w:t>
            </w:r>
          </w:p>
        </w:tc>
        <w:tc>
          <w:tcPr>
            <w:tcW w:w="76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4"/>
        <w:spacing w:line="240" w:lineRule="auto" w:before="38"/>
        <w:ind w:left="213" w:right="0"/>
        <w:jc w:val="left"/>
        <w:rPr>
          <w:b w:val="0"/>
          <w:bCs w:val="0"/>
        </w:rPr>
      </w:pPr>
      <w:r>
        <w:rPr/>
        <w:t>（三）市场风险</w:t>
      </w:r>
      <w:r>
        <w:rPr>
          <w:b w:val="0"/>
          <w:bCs w:val="0"/>
        </w:rPr>
      </w:r>
    </w:p>
    <w:p>
      <w:pPr>
        <w:spacing w:line="240" w:lineRule="auto" w:before="2"/>
        <w:rPr>
          <w:rFonts w:ascii="宋体" w:hAnsi="宋体" w:cs="宋体" w:eastAsia="宋体" w:hint="default"/>
          <w:b/>
          <w:bCs/>
          <w:sz w:val="26"/>
          <w:szCs w:val="26"/>
        </w:rPr>
      </w:pPr>
    </w:p>
    <w:p>
      <w:pPr>
        <w:pStyle w:val="Heading3"/>
        <w:spacing w:line="240" w:lineRule="auto"/>
        <w:ind w:left="213" w:right="0"/>
        <w:jc w:val="left"/>
        <w:rPr>
          <w:b w:val="0"/>
          <w:bCs w:val="0"/>
        </w:rPr>
      </w:pPr>
      <w:bookmarkStart w:name="1、外汇风险" w:id="351"/>
      <w:bookmarkEnd w:id="351"/>
      <w:r>
        <w:rPr>
          <w:b w:val="0"/>
          <w:bCs w:val="0"/>
        </w:rPr>
      </w:r>
      <w:r>
        <w:rPr>
          <w:rFonts w:ascii="Times New Roman" w:hAnsi="Times New Roman" w:cs="Times New Roman" w:eastAsia="Times New Roman" w:hint="default"/>
        </w:rPr>
        <w:t>1</w:t>
      </w:r>
      <w:r>
        <w:rPr/>
        <w:t>、外汇风险</w:t>
      </w:r>
      <w:r>
        <w:rPr>
          <w:b w:val="0"/>
          <w:bCs w:val="0"/>
        </w:rPr>
      </w:r>
    </w:p>
    <w:p>
      <w:pPr>
        <w:spacing w:line="240" w:lineRule="auto" w:before="4"/>
        <w:rPr>
          <w:rFonts w:ascii="宋体" w:hAnsi="宋体" w:cs="宋体" w:eastAsia="宋体" w:hint="default"/>
          <w:b/>
          <w:bCs/>
          <w:sz w:val="25"/>
          <w:szCs w:val="25"/>
        </w:rPr>
      </w:pPr>
    </w:p>
    <w:p>
      <w:pPr>
        <w:pStyle w:val="Heading5"/>
        <w:spacing w:line="285" w:lineRule="auto" w:before="0"/>
        <w:ind w:left="213" w:right="1148" w:firstLine="420"/>
        <w:jc w:val="both"/>
      </w:pPr>
      <w:r>
        <w:rPr>
          <w:spacing w:val="-1"/>
        </w:rPr>
        <w:t>本公司的主要经营位于中国境内，主要业务以人民币结算。但本公司已确认的外币资产和负债及未来的外</w:t>
      </w:r>
      <w:r>
        <w:rPr>
          <w:w w:val="100"/>
        </w:rPr>
        <w:t> </w:t>
      </w:r>
      <w:r>
        <w:rPr>
          <w:spacing w:val="-1"/>
        </w:rPr>
        <w:t>币交易（外币资产和负债及外币交易的计价货币主要为美元）依然存在外汇风险。本公司财务管理部门负责监</w:t>
      </w:r>
      <w:r>
        <w:rPr>
          <w:spacing w:val="-63"/>
        </w:rPr>
        <w:t> </w:t>
      </w:r>
      <w:r>
        <w:rPr>
          <w:spacing w:val="-63"/>
        </w:rPr>
      </w:r>
      <w:r>
        <w:rPr/>
        <w:t>控公司外币交易和外币资产及负债的规模，以最大程度降低面临的外汇风险。</w:t>
      </w:r>
    </w:p>
    <w:p>
      <w:pPr>
        <w:pStyle w:val="Heading5"/>
        <w:spacing w:line="240" w:lineRule="auto"/>
        <w:ind w:left="633" w:right="0"/>
        <w:jc w:val="left"/>
      </w:pPr>
      <w:r>
        <w:rPr>
          <w:w w:val="100"/>
        </w:rPr>
        <w:t>（</w:t>
      </w:r>
      <w:r>
        <w:rPr>
          <w:rFonts w:ascii="Times New Roman" w:hAnsi="Times New Roman" w:cs="Times New Roman" w:eastAsia="Times New Roman" w:hint="default"/>
          <w:w w:val="100"/>
        </w:rPr>
        <w:t>1</w:t>
      </w:r>
      <w:r>
        <w:rPr>
          <w:spacing w:val="-93"/>
          <w:w w:val="100"/>
        </w:rPr>
        <w:t>）</w:t>
      </w:r>
      <w:r>
        <w:rPr>
          <w:w w:val="100"/>
        </w:rPr>
        <w:t>截</w:t>
      </w:r>
      <w:r>
        <w:rPr>
          <w:spacing w:val="-2"/>
          <w:w w:val="100"/>
        </w:rPr>
        <w:t>止</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2"/>
          <w:w w:val="100"/>
        </w:rPr>
        <w:t>4</w:t>
      </w:r>
      <w:r>
        <w:rPr>
          <w:w w:val="100"/>
        </w:rPr>
        <w:t>年</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2</w:t>
      </w:r>
      <w:r>
        <w:rPr>
          <w:spacing w:val="-2"/>
          <w:w w:val="100"/>
        </w:rPr>
        <w:t>月</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1</w:t>
      </w:r>
      <w:r>
        <w:rPr>
          <w:w w:val="100"/>
        </w:rPr>
        <w:t>日</w:t>
      </w:r>
      <w:r>
        <w:rPr>
          <w:spacing w:val="-93"/>
          <w:w w:val="100"/>
        </w:rPr>
        <w:t>，</w:t>
      </w:r>
      <w:r>
        <w:rPr>
          <w:w w:val="100"/>
        </w:rPr>
        <w:t>本公司</w:t>
      </w:r>
      <w:r>
        <w:rPr>
          <w:spacing w:val="-2"/>
          <w:w w:val="100"/>
        </w:rPr>
        <w:t>持</w:t>
      </w:r>
      <w:r>
        <w:rPr>
          <w:w w:val="100"/>
        </w:rPr>
        <w:t>有</w:t>
      </w:r>
      <w:r>
        <w:rPr>
          <w:spacing w:val="-2"/>
          <w:w w:val="100"/>
        </w:rPr>
        <w:t>的</w:t>
      </w:r>
      <w:r>
        <w:rPr>
          <w:w w:val="100"/>
        </w:rPr>
        <w:t>主要外</w:t>
      </w:r>
      <w:r>
        <w:rPr>
          <w:spacing w:val="-2"/>
          <w:w w:val="100"/>
        </w:rPr>
        <w:t>币</w:t>
      </w:r>
      <w:r>
        <w:rPr>
          <w:w w:val="100"/>
        </w:rPr>
        <w:t>金</w:t>
      </w:r>
      <w:r>
        <w:rPr>
          <w:spacing w:val="-2"/>
          <w:w w:val="100"/>
        </w:rPr>
        <w:t>融</w:t>
      </w:r>
      <w:r>
        <w:rPr>
          <w:w w:val="100"/>
        </w:rPr>
        <w:t>资产和</w:t>
      </w:r>
      <w:r>
        <w:rPr>
          <w:spacing w:val="-2"/>
          <w:w w:val="100"/>
        </w:rPr>
        <w:t>外</w:t>
      </w:r>
      <w:r>
        <w:rPr>
          <w:w w:val="100"/>
        </w:rPr>
        <w:t>币</w:t>
      </w:r>
      <w:r>
        <w:rPr>
          <w:spacing w:val="-2"/>
          <w:w w:val="100"/>
        </w:rPr>
        <w:t>金</w:t>
      </w:r>
      <w:r>
        <w:rPr>
          <w:w w:val="100"/>
        </w:rPr>
        <w:t>融负债</w:t>
      </w:r>
      <w:r>
        <w:rPr>
          <w:spacing w:val="-2"/>
          <w:w w:val="100"/>
        </w:rPr>
        <w:t>折</w:t>
      </w:r>
      <w:r>
        <w:rPr>
          <w:w w:val="100"/>
        </w:rPr>
        <w:t>算</w:t>
      </w:r>
      <w:r>
        <w:rPr>
          <w:spacing w:val="-2"/>
          <w:w w:val="100"/>
        </w:rPr>
        <w:t>成</w:t>
      </w:r>
      <w:r>
        <w:rPr>
          <w:w w:val="100"/>
        </w:rPr>
        <w:t>人民币</w:t>
      </w:r>
      <w:r>
        <w:rPr>
          <w:spacing w:val="-2"/>
          <w:w w:val="100"/>
        </w:rPr>
        <w:t>的</w:t>
      </w:r>
      <w:r>
        <w:rPr>
          <w:w w:val="100"/>
        </w:rPr>
        <w:t>金</w:t>
      </w:r>
      <w:r>
        <w:rPr>
          <w:spacing w:val="-2"/>
          <w:w w:val="100"/>
        </w:rPr>
        <w:t>额</w:t>
      </w:r>
      <w:r>
        <w:rPr>
          <w:w w:val="100"/>
        </w:rPr>
        <w:t>列示如</w:t>
      </w:r>
      <w:r>
        <w:rPr>
          <w:spacing w:val="-2"/>
          <w:w w:val="100"/>
        </w:rPr>
        <w:t>下</w:t>
      </w:r>
      <w:r>
        <w:rPr>
          <w:w w:val="100"/>
        </w:rPr>
        <w:t>：</w:t>
      </w:r>
    </w:p>
    <w:p>
      <w:pPr>
        <w:spacing w:line="240" w:lineRule="auto" w:before="1"/>
        <w:rPr>
          <w:rFonts w:ascii="宋体" w:hAnsi="宋体" w:cs="宋体" w:eastAsia="宋体" w:hint="default"/>
          <w:sz w:val="3"/>
          <w:szCs w:val="3"/>
        </w:rPr>
      </w:pPr>
    </w:p>
    <w:tbl>
      <w:tblPr>
        <w:tblW w:w="0" w:type="auto"/>
        <w:jc w:val="left"/>
        <w:tblInd w:w="209" w:type="dxa"/>
        <w:tblLayout w:type="fixed"/>
        <w:tblCellMar>
          <w:top w:w="0" w:type="dxa"/>
          <w:left w:w="0" w:type="dxa"/>
          <w:bottom w:w="0" w:type="dxa"/>
          <w:right w:w="0" w:type="dxa"/>
        </w:tblCellMar>
        <w:tblLook w:val="01E0"/>
      </w:tblPr>
      <w:tblGrid>
        <w:gridCol w:w="2842"/>
        <w:gridCol w:w="2844"/>
        <w:gridCol w:w="2843"/>
      </w:tblGrid>
      <w:tr>
        <w:trPr>
          <w:trHeight w:val="342"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美元项目</w:t>
            </w:r>
          </w:p>
        </w:tc>
      </w:tr>
      <w:tr>
        <w:trPr>
          <w:trHeight w:val="342" w:hRule="exact"/>
        </w:trPr>
        <w:tc>
          <w:tcPr>
            <w:tcW w:w="2842" w:type="dxa"/>
            <w:vMerge/>
            <w:tcBorders>
              <w:left w:val="single" w:sz="4" w:space="0" w:color="000000"/>
              <w:bottom w:val="single" w:sz="4" w:space="0" w:color="000000"/>
              <w:right w:val="single" w:sz="4" w:space="0" w:color="000000"/>
            </w:tcBorders>
          </w:tcPr>
          <w:p>
            <w:pP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2844" w:type="dxa"/>
            <w:tcBorders>
              <w:top w:val="single" w:sz="4" w:space="0" w:color="000000"/>
              <w:left w:val="single" w:sz="4" w:space="0" w:color="000000"/>
              <w:bottom w:val="single" w:sz="4" w:space="0" w:color="000000"/>
              <w:right w:val="single" w:sz="4" w:space="0" w:color="000000"/>
            </w:tcBorders>
          </w:tcPr>
          <w:p>
            <w:pPr/>
          </w:p>
        </w:tc>
        <w:tc>
          <w:tcPr>
            <w:tcW w:w="28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119,232,366.27</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89,603,519.96</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6,002,627.38</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4,141,408.46</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1,233,239.05</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1,233,239.05</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35"/>
              <w:jc w:val="right"/>
              <w:rPr>
                <w:rFonts w:ascii="宋体" w:hAnsi="宋体" w:cs="宋体" w:eastAsia="宋体" w:hint="default"/>
                <w:sz w:val="18"/>
                <w:szCs w:val="18"/>
              </w:rPr>
            </w:pPr>
            <w:r>
              <w:rPr>
                <w:rFonts w:ascii="宋体" w:hAnsi="宋体" w:cs="宋体" w:eastAsia="宋体" w:hint="default"/>
                <w:sz w:val="18"/>
                <w:szCs w:val="18"/>
              </w:rPr>
              <w:t>小计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126,468,232.70</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94,978,167.47</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2844" w:type="dxa"/>
            <w:tcBorders>
              <w:top w:val="single" w:sz="4" w:space="0" w:color="000000"/>
              <w:left w:val="single" w:sz="4" w:space="0" w:color="000000"/>
              <w:bottom w:val="single" w:sz="4" w:space="0" w:color="000000"/>
              <w:right w:val="single" w:sz="4" w:space="0" w:color="000000"/>
            </w:tcBorders>
          </w:tcPr>
          <w:p>
            <w:pPr/>
          </w:p>
        </w:tc>
        <w:tc>
          <w:tcPr>
            <w:tcW w:w="28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6,064,969.91</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11,614,253.99</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3,430,970.92</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1,678,876.65</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35"/>
              <w:jc w:val="right"/>
              <w:rPr>
                <w:rFonts w:ascii="宋体" w:hAnsi="宋体" w:cs="宋体" w:eastAsia="宋体" w:hint="default"/>
                <w:sz w:val="18"/>
                <w:szCs w:val="18"/>
              </w:rPr>
            </w:pPr>
            <w:r>
              <w:rPr>
                <w:rFonts w:ascii="宋体" w:hAnsi="宋体" w:cs="宋体" w:eastAsia="宋体" w:hint="default"/>
                <w:sz w:val="18"/>
                <w:szCs w:val="18"/>
              </w:rPr>
              <w:t>小计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9,495,940.83</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13,293,130.64</w:t>
            </w:r>
          </w:p>
        </w:tc>
      </w:tr>
    </w:tbl>
    <w:p>
      <w:pPr>
        <w:spacing w:line="240" w:lineRule="auto" w:before="10"/>
        <w:rPr>
          <w:rFonts w:ascii="宋体" w:hAnsi="宋体" w:cs="宋体" w:eastAsia="宋体" w:hint="default"/>
          <w:sz w:val="5"/>
          <w:szCs w:val="5"/>
        </w:rPr>
      </w:pPr>
    </w:p>
    <w:p>
      <w:pPr>
        <w:pStyle w:val="Heading5"/>
        <w:spacing w:line="271" w:lineRule="auto" w:before="38"/>
        <w:ind w:left="634" w:right="0"/>
        <w:jc w:val="left"/>
      </w:pPr>
      <w:r>
        <w:rPr/>
        <w:t>（</w:t>
      </w:r>
      <w:r>
        <w:rPr>
          <w:rFonts w:ascii="Times New Roman" w:hAnsi="Times New Roman" w:cs="Times New Roman" w:eastAsia="Times New Roman" w:hint="default"/>
        </w:rPr>
        <w:t>2</w:t>
      </w:r>
      <w:r>
        <w:rPr/>
        <w:t>）敏感性分析：</w:t>
      </w:r>
      <w:r>
        <w:rPr>
          <w:w w:val="100"/>
        </w:rPr>
        <w:t> </w:t>
      </w: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日，对于本公司各类美元金融资产和美元金融负债，如果人民币对美元升值或贬值</w:t>
      </w:r>
      <w:r>
        <w:rPr>
          <w:rFonts w:ascii="Times New Roman" w:hAnsi="Times New Roman" w:cs="Times New Roman" w:eastAsia="Times New Roman" w:hint="default"/>
          <w:spacing w:val="-1"/>
        </w:rPr>
        <w:t>3%</w:t>
      </w:r>
      <w:r>
        <w:rPr>
          <w:spacing w:val="-1"/>
        </w:rPr>
        <w:t>，</w:t>
      </w:r>
    </w:p>
    <w:p>
      <w:pPr>
        <w:pStyle w:val="Heading5"/>
        <w:spacing w:line="240" w:lineRule="auto" w:before="6"/>
        <w:ind w:left="213" w:right="0"/>
        <w:jc w:val="left"/>
      </w:pPr>
      <w:r>
        <w:rPr/>
        <w:t>其他因素保持不变，则本公司将减少或增加净利润约</w:t>
      </w:r>
      <w:r>
        <w:rPr>
          <w:rFonts w:ascii="Times New Roman" w:hAnsi="Times New Roman" w:cs="Times New Roman" w:eastAsia="Times New Roman" w:hint="default"/>
        </w:rPr>
        <w:t>3,509,168.76</w:t>
      </w:r>
      <w:r>
        <w:rPr/>
        <w:t>元（</w:t>
      </w:r>
      <w:r>
        <w:rPr>
          <w:rFonts w:ascii="Times New Roman" w:hAnsi="Times New Roman" w:cs="Times New Roman" w:eastAsia="Times New Roman" w:hint="default"/>
        </w:rPr>
        <w:t>2013</w:t>
      </w:r>
      <w:r>
        <w:rPr/>
        <w:t>年度约</w:t>
      </w:r>
      <w:r>
        <w:rPr>
          <w:rFonts w:ascii="Times New Roman" w:hAnsi="Times New Roman" w:cs="Times New Roman" w:eastAsia="Times New Roman" w:hint="default"/>
        </w:rPr>
        <w:t>2,450,551.10</w:t>
      </w:r>
      <w:r>
        <w:rPr/>
        <w:t>元</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4"/>
          <w:szCs w:val="24"/>
        </w:rPr>
      </w:pPr>
    </w:p>
    <w:p>
      <w:pPr>
        <w:pStyle w:val="Heading3"/>
        <w:spacing w:line="240" w:lineRule="auto"/>
        <w:ind w:left="213" w:right="0"/>
        <w:jc w:val="left"/>
        <w:rPr>
          <w:b w:val="0"/>
          <w:bCs w:val="0"/>
        </w:rPr>
      </w:pPr>
      <w:bookmarkStart w:name="2、利率风险" w:id="352"/>
      <w:bookmarkEnd w:id="352"/>
      <w:r>
        <w:rPr>
          <w:b w:val="0"/>
          <w:bCs w:val="0"/>
        </w:rPr>
      </w:r>
      <w:r>
        <w:rPr>
          <w:rFonts w:ascii="Times New Roman" w:hAnsi="Times New Roman" w:cs="Times New Roman" w:eastAsia="Times New Roman" w:hint="default"/>
        </w:rPr>
        <w:t>2</w:t>
      </w:r>
      <w:r>
        <w:rPr/>
        <w:t>、利率风险</w:t>
      </w:r>
      <w:r>
        <w:rPr>
          <w:b w:val="0"/>
          <w:bCs w:val="0"/>
        </w:rPr>
      </w:r>
    </w:p>
    <w:p>
      <w:pPr>
        <w:spacing w:line="240" w:lineRule="auto" w:before="3"/>
        <w:rPr>
          <w:rFonts w:ascii="宋体" w:hAnsi="宋体" w:cs="宋体" w:eastAsia="宋体" w:hint="default"/>
          <w:b/>
          <w:bCs/>
          <w:sz w:val="25"/>
          <w:szCs w:val="25"/>
        </w:rPr>
      </w:pPr>
    </w:p>
    <w:p>
      <w:pPr>
        <w:spacing w:line="508" w:lineRule="auto" w:before="0"/>
        <w:ind w:left="213" w:right="3851" w:firstLine="420"/>
        <w:jc w:val="left"/>
        <w:rPr>
          <w:rFonts w:ascii="宋体" w:hAnsi="宋体" w:cs="宋体" w:eastAsia="宋体" w:hint="default"/>
          <w:sz w:val="21"/>
          <w:szCs w:val="21"/>
        </w:rPr>
      </w:pPr>
      <w:r>
        <w:rPr>
          <w:rFonts w:ascii="宋体" w:hAnsi="宋体" w:cs="宋体" w:eastAsia="宋体" w:hint="default"/>
          <w:spacing w:val="-1"/>
          <w:sz w:val="20"/>
          <w:szCs w:val="20"/>
        </w:rPr>
        <w:t>因本公司无银行借款，因此不受人民币基准利率变动的影响。</w:t>
      </w:r>
      <w:r>
        <w:rPr>
          <w:rFonts w:ascii="宋体" w:hAnsi="宋体" w:cs="宋体" w:eastAsia="宋体" w:hint="default"/>
          <w:w w:val="100"/>
          <w:sz w:val="20"/>
          <w:szCs w:val="20"/>
        </w:rPr>
        <w:t> </w:t>
      </w:r>
      <w:bookmarkStart w:name="十一、公允价值的披露" w:id="353"/>
      <w:bookmarkEnd w:id="353"/>
      <w:r>
        <w:rPr>
          <w:rFonts w:ascii="宋体" w:hAnsi="宋体" w:cs="宋体" w:eastAsia="宋体" w:hint="default"/>
          <w:w w:val="100"/>
          <w:sz w:val="20"/>
          <w:szCs w:val="20"/>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354"/>
      <w:bookmarkEnd w:id="35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pStyle w:val="BodyText"/>
        <w:spacing w:line="240" w:lineRule="auto" w:before="8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678"/>
        <w:gridCol w:w="1418"/>
        <w:gridCol w:w="1276"/>
        <w:gridCol w:w="1204"/>
        <w:gridCol w:w="1250"/>
      </w:tblGrid>
      <w:tr>
        <w:trPr>
          <w:trHeight w:val="402" w:hRule="exact"/>
        </w:trPr>
        <w:tc>
          <w:tcPr>
            <w:tcW w:w="4678"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1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467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4" w:right="162"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2" w:right="183"/>
              <w:jc w:val="left"/>
              <w:rPr>
                <w:rFonts w:ascii="宋体" w:hAnsi="宋体" w:cs="宋体" w:eastAsia="宋体" w:hint="default"/>
                <w:sz w:val="18"/>
                <w:szCs w:val="18"/>
              </w:rPr>
            </w:pPr>
            <w:r>
              <w:rPr>
                <w:rFonts w:ascii="宋体" w:hAnsi="宋体" w:cs="宋体" w:eastAsia="宋体" w:hint="default"/>
                <w:sz w:val="18"/>
                <w:szCs w:val="18"/>
              </w:rPr>
              <w:t>第二层次公 允价值计量</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5" w:right="146"/>
              <w:jc w:val="left"/>
              <w:rPr>
                <w:rFonts w:ascii="宋体" w:hAnsi="宋体" w:cs="宋体" w:eastAsia="宋体" w:hint="default"/>
                <w:sz w:val="18"/>
                <w:szCs w:val="18"/>
              </w:rPr>
            </w:pPr>
            <w:r>
              <w:rPr>
                <w:rFonts w:ascii="宋体" w:hAnsi="宋体" w:cs="宋体" w:eastAsia="宋体" w:hint="default"/>
                <w:sz w:val="18"/>
                <w:szCs w:val="18"/>
              </w:rPr>
              <w:t>第三层次公 允价值计量</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（一）以公允价值计量且其变动计入当期损益的金融资产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34,500,000.00</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34,500,000.00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50,553,808.93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50,553,808.93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50,553,808.93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50,553,808.93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678"/>
        <w:gridCol w:w="1418"/>
        <w:gridCol w:w="1276"/>
        <w:gridCol w:w="1204"/>
        <w:gridCol w:w="125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其中：北京首都在线科技股份有限公司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center"/>
              <w:rPr>
                <w:rFonts w:ascii="Times New Roman" w:hAnsi="Times New Roman" w:cs="Times New Roman" w:eastAsia="Times New Roman" w:hint="default"/>
                <w:sz w:val="18"/>
                <w:szCs w:val="18"/>
              </w:rPr>
            </w:pPr>
            <w:r>
              <w:rPr>
                <w:rFonts w:ascii="Times New Roman"/>
                <w:sz w:val="18"/>
              </w:rPr>
              <w:t>22,509,720.00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22,509,720.00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12,971,445.84</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12,971,445.84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pacing w:val="-4"/>
                <w:sz w:val="18"/>
              </w:rPr>
              <w:t>Yulore </w:t>
            </w:r>
            <w:r>
              <w:rPr>
                <w:rFonts w:ascii="Times New Roman"/>
                <w:sz w:val="18"/>
              </w:rPr>
              <w:t>Technology</w:t>
            </w:r>
            <w:r>
              <w:rPr>
                <w:rFonts w:ascii="Times New Roman"/>
                <w:spacing w:val="-11"/>
                <w:sz w:val="18"/>
              </w:rPr>
              <w:t> </w:t>
            </w:r>
            <w:r>
              <w:rPr>
                <w:rFonts w:ascii="Times New Roman"/>
                <w:sz w:val="18"/>
              </w:rPr>
              <w:t>Limited</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center"/>
              <w:rPr>
                <w:rFonts w:ascii="Times New Roman" w:hAnsi="Times New Roman" w:cs="Times New Roman" w:eastAsia="Times New Roman" w:hint="default"/>
                <w:sz w:val="18"/>
                <w:szCs w:val="18"/>
              </w:rPr>
            </w:pPr>
            <w:r>
              <w:rPr>
                <w:rFonts w:ascii="Times New Roman"/>
                <w:sz w:val="18"/>
              </w:rPr>
              <w:t>15,072,643.09</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15,072,643.09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50,553,808.93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50,553,808.93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2、持续和非持续第一层次公允价值计量项目市价的确定依据" w:id="355"/>
      <w:bookmarkEnd w:id="35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宋体" w:hAnsi="宋体" w:cs="宋体" w:eastAsia="宋体" w:hint="default"/>
          <w:b/>
          <w:bCs/>
          <w:sz w:val="25"/>
          <w:szCs w:val="25"/>
        </w:rPr>
      </w:pPr>
    </w:p>
    <w:p>
      <w:pPr>
        <w:pStyle w:val="Heading5"/>
        <w:spacing w:line="240" w:lineRule="auto" w:before="0"/>
        <w:ind w:left="634" w:right="0"/>
        <w:jc w:val="left"/>
      </w:pPr>
      <w:r>
        <w:rPr/>
        <w:t>是在计量日能够取得的相同资产或负债在活跃市场上未经调整的报价；</w:t>
      </w:r>
    </w:p>
    <w:p>
      <w:pPr>
        <w:spacing w:line="240" w:lineRule="auto" w:before="2"/>
        <w:rPr>
          <w:rFonts w:ascii="宋体" w:hAnsi="宋体" w:cs="宋体" w:eastAsia="宋体" w:hint="default"/>
          <w:sz w:val="26"/>
          <w:szCs w:val="26"/>
        </w:rPr>
      </w:pPr>
    </w:p>
    <w:p>
      <w:pPr>
        <w:pStyle w:val="Heading3"/>
        <w:spacing w:line="240" w:lineRule="auto"/>
        <w:ind w:left="214" w:right="0"/>
        <w:jc w:val="left"/>
        <w:rPr>
          <w:b w:val="0"/>
          <w:bCs w:val="0"/>
        </w:rPr>
      </w:pPr>
      <w:bookmarkStart w:name="3、持续和非持续第二层次公允价值计量项目，采用的估值技术和重要参数的定性及定量信" w:id="356"/>
      <w:bookmarkEnd w:id="35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left="634" w:right="0"/>
        <w:jc w:val="left"/>
      </w:pPr>
      <w:r>
        <w:rPr/>
        <w:t>是除第一层次输入值外相关资产或负债直接或间接可观察的输入值；</w:t>
      </w:r>
      <w:r>
        <w:rPr>
          <w:w w:val="100"/>
        </w:rPr>
        <w:t> </w:t>
      </w:r>
      <w:r>
        <w:rPr>
          <w:spacing w:val="-1"/>
        </w:rPr>
        <w:t>第二层次输入值包括：（</w:t>
      </w:r>
      <w:r>
        <w:rPr>
          <w:rFonts w:ascii="Times New Roman" w:hAnsi="Times New Roman" w:cs="Times New Roman" w:eastAsia="Times New Roman" w:hint="default"/>
          <w:spacing w:val="-1"/>
        </w:rPr>
        <w:t>1</w:t>
      </w:r>
      <w:r>
        <w:rPr>
          <w:spacing w:val="-1"/>
        </w:rPr>
        <w:t>）活跃市场中类似资产或负债的报价；（</w:t>
      </w:r>
      <w:r>
        <w:rPr>
          <w:rFonts w:ascii="Times New Roman" w:hAnsi="Times New Roman" w:cs="Times New Roman" w:eastAsia="Times New Roman" w:hint="default"/>
          <w:spacing w:val="-1"/>
        </w:rPr>
        <w:t>2</w:t>
      </w:r>
      <w:r>
        <w:rPr>
          <w:spacing w:val="-1"/>
        </w:rPr>
        <w:t>）非活跃市场中相同或类似资产或负</w:t>
      </w:r>
    </w:p>
    <w:p>
      <w:pPr>
        <w:pStyle w:val="Heading5"/>
        <w:spacing w:line="271" w:lineRule="auto" w:before="0"/>
        <w:ind w:left="214" w:right="0"/>
        <w:jc w:val="left"/>
      </w:pPr>
      <w:r>
        <w:rPr>
          <w:spacing w:val="-2"/>
        </w:rPr>
        <w:t>债的报价；（</w:t>
      </w:r>
      <w:r>
        <w:rPr>
          <w:rFonts w:ascii="Times New Roman" w:hAnsi="Times New Roman" w:cs="Times New Roman" w:eastAsia="Times New Roman" w:hint="default"/>
          <w:spacing w:val="-2"/>
        </w:rPr>
        <w:t>3</w:t>
      </w:r>
      <w:r>
        <w:rPr>
          <w:spacing w:val="-2"/>
        </w:rPr>
        <w:t>）除报价以外的其他可观察输入值，包括在正常报价间隔期间可观察的利率和收益率曲线、隐含</w:t>
      </w:r>
      <w:r>
        <w:rPr>
          <w:spacing w:val="-80"/>
        </w:rPr>
        <w:t> </w:t>
      </w:r>
      <w:r>
        <w:rPr>
          <w:spacing w:val="-80"/>
        </w:rPr>
      </w:r>
      <w:r>
        <w:rPr/>
        <w:t>波动率和信用利差等；（</w:t>
      </w:r>
      <w:r>
        <w:rPr>
          <w:rFonts w:ascii="Times New Roman" w:hAnsi="Times New Roman" w:cs="Times New Roman" w:eastAsia="Times New Roman" w:hint="default"/>
        </w:rPr>
        <w:t>4</w:t>
      </w:r>
      <w:r>
        <w:rPr/>
        <w:t>）市场验证的输入值等。</w:t>
      </w:r>
    </w:p>
    <w:p>
      <w:pPr>
        <w:spacing w:line="240" w:lineRule="auto" w:before="10"/>
        <w:rPr>
          <w:rFonts w:ascii="宋体" w:hAnsi="宋体" w:cs="宋体" w:eastAsia="宋体" w:hint="default"/>
          <w:sz w:val="22"/>
          <w:szCs w:val="22"/>
        </w:rPr>
      </w:pPr>
    </w:p>
    <w:p>
      <w:pPr>
        <w:pStyle w:val="Heading3"/>
        <w:spacing w:line="240" w:lineRule="auto"/>
        <w:ind w:left="214" w:right="0"/>
        <w:jc w:val="left"/>
        <w:rPr>
          <w:b w:val="0"/>
          <w:bCs w:val="0"/>
        </w:rPr>
      </w:pPr>
      <w:bookmarkStart w:name="4、持续和非持续第三层次公允价值计量项目，采用的估值技术和重要参数的定性及定量信" w:id="357"/>
      <w:bookmarkEnd w:id="35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5"/>
          <w:szCs w:val="25"/>
        </w:rPr>
      </w:pPr>
    </w:p>
    <w:p>
      <w:pPr>
        <w:pStyle w:val="Heading5"/>
        <w:spacing w:line="240" w:lineRule="auto" w:before="0"/>
        <w:ind w:left="578" w:right="0"/>
        <w:jc w:val="left"/>
      </w:pPr>
      <w:r>
        <w:rPr/>
        <w:t>本公司参考各权益被投资单位于各报表日前实际增资协议价格及生产经营情况作为公允价值确认依据。</w:t>
      </w:r>
    </w:p>
    <w:p>
      <w:pPr>
        <w:spacing w:line="240" w:lineRule="auto" w:before="6"/>
        <w:rPr>
          <w:rFonts w:ascii="宋体" w:hAnsi="宋体" w:cs="宋体" w:eastAsia="宋体" w:hint="default"/>
          <w:sz w:val="24"/>
          <w:szCs w:val="24"/>
        </w:rPr>
      </w:pPr>
    </w:p>
    <w:p>
      <w:pPr>
        <w:spacing w:line="506" w:lineRule="auto" w:before="0"/>
        <w:ind w:left="213" w:right="7426" w:firstLine="0"/>
        <w:jc w:val="left"/>
        <w:rPr>
          <w:rFonts w:ascii="宋体" w:hAnsi="宋体" w:cs="宋体" w:eastAsia="宋体" w:hint="default"/>
          <w:sz w:val="18"/>
          <w:szCs w:val="18"/>
        </w:rPr>
      </w:pPr>
      <w:bookmarkStart w:name="十二、关联方及关联交易" w:id="358"/>
      <w:bookmarkEnd w:id="358"/>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子公司情况" w:id="359"/>
      <w:bookmarkEnd w:id="3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13"/>
          <w:sz w:val="18"/>
          <w:szCs w:val="18"/>
        </w:rPr>
        <w:t>本企业子公司的情况详见附注九、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r>
    </w:p>
    <w:p>
      <w:pPr>
        <w:pStyle w:val="Heading3"/>
        <w:spacing w:line="240" w:lineRule="auto" w:before="115"/>
        <w:ind w:left="213" w:right="0"/>
        <w:jc w:val="left"/>
        <w:rPr>
          <w:b w:val="0"/>
          <w:bCs w:val="0"/>
        </w:rPr>
      </w:pPr>
      <w:bookmarkStart w:name="2、本企业合营和联营企业情况" w:id="360"/>
      <w:bookmarkEnd w:id="360"/>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before="0"/>
        <w:ind w:left="213" w:right="0"/>
        <w:jc w:val="left"/>
      </w:pP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北京企飞力网络科技有限公司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iTalkBB Media 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北京和丰信科技有限公司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3、其他关联方情况" w:id="361"/>
      <w:bookmarkEnd w:id="361"/>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287" w:right="0"/>
              <w:jc w:val="left"/>
              <w:rPr>
                <w:rFonts w:ascii="宋体" w:hAnsi="宋体" w:cs="宋体" w:eastAsia="宋体" w:hint="default"/>
                <w:sz w:val="20"/>
                <w:szCs w:val="20"/>
              </w:rPr>
            </w:pPr>
            <w:r>
              <w:rPr>
                <w:rFonts w:ascii="宋体" w:hAnsi="宋体" w:cs="宋体" w:eastAsia="宋体" w:hint="default"/>
                <w:sz w:val="20"/>
                <w:szCs w:val="20"/>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tabs>
                <w:tab w:pos="423" w:val="left" w:leader="none"/>
              </w:tabs>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陈</w:t>
              <w:tab/>
              <w:t>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本公司持股</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黄明生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本公司现任董事，首都在线法定代表人、董事长</w:t>
            </w:r>
          </w:p>
        </w:tc>
      </w:tr>
    </w:tbl>
    <w:p>
      <w:pPr>
        <w:spacing w:after="0" w:line="240" w:lineRule="auto"/>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忻卫敏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 </w:t>
            </w:r>
            <w:r>
              <w:rPr>
                <w:rFonts w:ascii="宋体" w:hAnsi="宋体" w:cs="宋体" w:eastAsia="宋体" w:hint="default"/>
                <w:sz w:val="20"/>
                <w:szCs w:val="20"/>
              </w:rPr>
              <w:t>日董事会聘任为本公司副总裁</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40" w:lineRule="auto" w:before="35"/>
        <w:ind w:right="0"/>
        <w:jc w:val="left"/>
        <w:rPr>
          <w:b w:val="0"/>
          <w:bCs w:val="0"/>
        </w:rPr>
      </w:pPr>
      <w:bookmarkStart w:name="4、关联交易情况" w:id="362"/>
      <w:bookmarkEnd w:id="362"/>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63"/>
      <w:bookmarkEnd w:id="36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986"/>
        <w:gridCol w:w="1984"/>
        <w:gridCol w:w="2054"/>
      </w:tblGrid>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481,134.39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北京企飞力网络科技有限公司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294,065.81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96,290.93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986"/>
        <w:gridCol w:w="1984"/>
        <w:gridCol w:w="2054"/>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305,400.00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北京和丰信科技有限公司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38,018.86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其他关联交易—关联方资金代垫" w:id="364"/>
      <w:bookmarkEnd w:id="364"/>
      <w:r>
        <w:rPr>
          <w:b w:val="0"/>
          <w:bCs w:val="0"/>
        </w:rPr>
      </w:r>
      <w:r>
        <w:rPr/>
        <w:t>（</w:t>
      </w:r>
      <w:r>
        <w:rPr>
          <w:rFonts w:ascii="Times New Roman" w:hAnsi="Times New Roman" w:cs="Times New Roman" w:eastAsia="Times New Roman" w:hint="default"/>
        </w:rPr>
        <w:t>2</w:t>
      </w:r>
      <w:r>
        <w:rPr/>
        <w:t>）其他关联交易</w:t>
      </w:r>
      <w:r>
        <w:rPr>
          <w:rFonts w:ascii="Times New Roman" w:hAnsi="Times New Roman" w:cs="Times New Roman" w:eastAsia="Times New Roman" w:hint="default"/>
        </w:rPr>
        <w:t>—</w:t>
      </w:r>
      <w:r>
        <w:rPr/>
        <w:t>关联方资金代垫</w:t>
      </w:r>
      <w:r>
        <w:rPr>
          <w:b w:val="0"/>
          <w:bCs w:val="0"/>
        </w:rPr>
      </w:r>
    </w:p>
    <w:p>
      <w:pPr>
        <w:spacing w:line="240" w:lineRule="auto" w:before="3"/>
        <w:rPr>
          <w:rFonts w:ascii="宋体" w:hAnsi="宋体" w:cs="宋体" w:eastAsia="宋体" w:hint="default"/>
          <w:b/>
          <w:bCs/>
          <w:sz w:val="25"/>
          <w:szCs w:val="25"/>
        </w:rPr>
      </w:pPr>
    </w:p>
    <w:p>
      <w:pPr>
        <w:pStyle w:val="Heading5"/>
        <w:spacing w:line="285" w:lineRule="auto" w:before="0"/>
        <w:ind w:left="154" w:right="1125" w:firstLine="420"/>
        <w:jc w:val="left"/>
      </w:pPr>
      <w:r>
        <w:rPr>
          <w:rFonts w:ascii="宋体" w:hAnsi="宋体" w:cs="宋体" w:eastAsia="宋体" w:hint="default"/>
        </w:rPr>
        <w:t>2014</w:t>
      </w:r>
      <w:r>
        <w:rPr/>
        <w:t>年</w:t>
      </w:r>
      <w:r>
        <w:rPr>
          <w:rFonts w:ascii="宋体" w:hAnsi="宋体" w:cs="宋体" w:eastAsia="宋体" w:hint="default"/>
        </w:rPr>
        <w:t>,</w:t>
      </w:r>
      <w:r>
        <w:rPr>
          <w:rFonts w:ascii="宋体" w:hAnsi="宋体" w:cs="宋体" w:eastAsia="宋体" w:hint="default"/>
          <w:spacing w:val="-31"/>
        </w:rPr>
        <w:t> </w:t>
      </w:r>
      <w:r>
        <w:rPr>
          <w:rFonts w:ascii="宋体" w:hAnsi="宋体" w:cs="宋体" w:eastAsia="宋体" w:hint="default"/>
        </w:rPr>
        <w:t>ITALK</w:t>
      </w:r>
      <w:r>
        <w:rPr>
          <w:rFonts w:ascii="宋体" w:hAnsi="宋体" w:cs="宋体" w:eastAsia="宋体" w:hint="default"/>
          <w:spacing w:val="-31"/>
        </w:rPr>
        <w:t> </w:t>
      </w:r>
      <w:r>
        <w:rPr>
          <w:rFonts w:ascii="宋体" w:hAnsi="宋体" w:cs="宋体" w:eastAsia="宋体" w:hint="default"/>
        </w:rPr>
        <w:t>GLOBAL</w:t>
      </w:r>
      <w:r>
        <w:rPr/>
        <w:t>为</w:t>
      </w:r>
      <w:r>
        <w:rPr>
          <w:rFonts w:ascii="宋体" w:hAnsi="宋体" w:cs="宋体" w:eastAsia="宋体" w:hint="default"/>
        </w:rPr>
        <w:t>iTalkBB</w:t>
      </w:r>
      <w:r>
        <w:rPr>
          <w:rFonts w:ascii="宋体" w:hAnsi="宋体" w:cs="宋体" w:eastAsia="宋体" w:hint="default"/>
          <w:spacing w:val="-31"/>
        </w:rPr>
        <w:t> </w:t>
      </w:r>
      <w:r>
        <w:rPr>
          <w:rFonts w:ascii="宋体" w:hAnsi="宋体" w:cs="宋体" w:eastAsia="宋体" w:hint="default"/>
        </w:rPr>
        <w:t>Media</w:t>
      </w:r>
      <w:r>
        <w:rPr/>
        <w:t>代垫房租费等日常费用金额</w:t>
      </w:r>
      <w:r>
        <w:rPr>
          <w:rFonts w:ascii="宋体" w:hAnsi="宋体" w:cs="宋体" w:eastAsia="宋体" w:hint="default"/>
        </w:rPr>
        <w:t>43,218.29</w:t>
      </w:r>
      <w:r>
        <w:rPr/>
        <w:t>美元</w:t>
      </w:r>
      <w:r>
        <w:rPr>
          <w:rFonts w:ascii="宋体" w:hAnsi="宋体" w:cs="宋体" w:eastAsia="宋体" w:hint="default"/>
        </w:rPr>
        <w:t>(</w:t>
      </w:r>
      <w:r>
        <w:rPr/>
        <w:t>折合人民币</w:t>
      </w:r>
      <w:r>
        <w:rPr>
          <w:rFonts w:ascii="宋体" w:hAnsi="宋体" w:cs="宋体" w:eastAsia="宋体" w:hint="default"/>
        </w:rPr>
        <w:t>263,977.31</w:t>
      </w:r>
      <w:r>
        <w:rPr>
          <w:rFonts w:ascii="宋体" w:hAnsi="宋体" w:cs="宋体" w:eastAsia="宋体" w:hint="default"/>
          <w:w w:val="100"/>
        </w:rPr>
        <w:t> </w:t>
      </w:r>
      <w:r>
        <w:rPr/>
        <w:t>元</w:t>
      </w:r>
      <w:r>
        <w:rPr>
          <w:rFonts w:ascii="宋体" w:hAnsi="宋体" w:cs="宋体" w:eastAsia="宋体" w:hint="default"/>
        </w:rPr>
        <w:t>)</w:t>
      </w:r>
      <w:r>
        <w:rPr/>
        <w:t>，截至 </w:t>
      </w:r>
      <w:r>
        <w:rPr>
          <w:rFonts w:ascii="宋体" w:hAnsi="宋体" w:cs="宋体" w:eastAsia="宋体" w:hint="default"/>
        </w:rPr>
        <w:t>2014</w:t>
      </w:r>
      <w:r>
        <w:rPr>
          <w:rFonts w:ascii="宋体" w:hAnsi="宋体" w:cs="宋体" w:eastAsia="宋体" w:hint="default"/>
          <w:spacing w:val="-7"/>
        </w:rPr>
        <w:t> </w:t>
      </w:r>
      <w:r>
        <w:rPr/>
        <w:t>年</w:t>
      </w:r>
      <w:r>
        <w:rPr>
          <w:rFonts w:ascii="宋体" w:hAnsi="宋体" w:cs="宋体" w:eastAsia="宋体" w:hint="default"/>
        </w:rPr>
        <w:t>12</w:t>
      </w:r>
      <w:r>
        <w:rPr/>
        <w:t>月</w:t>
      </w:r>
      <w:r>
        <w:rPr>
          <w:rFonts w:ascii="宋体" w:hAnsi="宋体" w:cs="宋体" w:eastAsia="宋体" w:hint="default"/>
        </w:rPr>
        <w:t>31</w:t>
      </w:r>
      <w:r>
        <w:rPr/>
        <w:t>日止，本公司已全部收回。</w:t>
      </w:r>
    </w:p>
    <w:p>
      <w:pPr>
        <w:pStyle w:val="Heading5"/>
        <w:spacing w:line="240" w:lineRule="auto"/>
        <w:ind w:left="574" w:right="0"/>
        <w:jc w:val="left"/>
      </w:pPr>
      <w:r>
        <w:rPr>
          <w:rFonts w:ascii="宋体" w:hAnsi="宋体" w:cs="宋体" w:eastAsia="宋体" w:hint="default"/>
        </w:rPr>
        <w:t>2014</w:t>
      </w:r>
      <w:r>
        <w:rPr/>
        <w:t>年，</w:t>
      </w:r>
      <w:r>
        <w:rPr>
          <w:rFonts w:ascii="宋体" w:hAnsi="宋体" w:cs="宋体" w:eastAsia="宋体" w:hint="default"/>
        </w:rPr>
        <w:t>iTalkBB Canada</w:t>
      </w:r>
      <w:r>
        <w:rPr/>
        <w:t>为</w:t>
      </w:r>
      <w:r>
        <w:rPr>
          <w:rFonts w:ascii="宋体" w:hAnsi="宋体" w:cs="宋体" w:eastAsia="宋体" w:hint="default"/>
        </w:rPr>
        <w:t>iTalkBB</w:t>
      </w:r>
      <w:r>
        <w:rPr>
          <w:rFonts w:ascii="宋体" w:hAnsi="宋体" w:cs="宋体" w:eastAsia="宋体" w:hint="default"/>
          <w:spacing w:val="-10"/>
        </w:rPr>
        <w:t> </w:t>
      </w:r>
      <w:r>
        <w:rPr>
          <w:rFonts w:ascii="宋体" w:hAnsi="宋体" w:cs="宋体" w:eastAsia="宋体" w:hint="default"/>
        </w:rPr>
        <w:t>Media</w:t>
      </w:r>
      <w:r>
        <w:rPr/>
        <w:t>代垫房租费等日常费用金额</w:t>
      </w:r>
      <w:r>
        <w:rPr>
          <w:rFonts w:ascii="宋体" w:hAnsi="宋体" w:cs="宋体" w:eastAsia="宋体" w:hint="default"/>
        </w:rPr>
        <w:t>8,000.00</w:t>
      </w:r>
      <w:r>
        <w:rPr/>
        <w:t>元加币</w:t>
      </w:r>
      <w:r>
        <w:rPr>
          <w:rFonts w:ascii="宋体" w:hAnsi="宋体" w:cs="宋体" w:eastAsia="宋体" w:hint="default"/>
        </w:rPr>
        <w:t>(</w:t>
      </w:r>
      <w:r>
        <w:rPr/>
        <w:t>折合人民币</w:t>
      </w:r>
    </w:p>
    <w:p>
      <w:pPr>
        <w:pStyle w:val="Heading5"/>
        <w:spacing w:line="240" w:lineRule="auto" w:before="50"/>
        <w:ind w:left="154" w:right="0"/>
        <w:jc w:val="left"/>
      </w:pPr>
      <w:r>
        <w:rPr>
          <w:rFonts w:ascii="宋体" w:hAnsi="宋体" w:cs="宋体" w:eastAsia="宋体" w:hint="default"/>
        </w:rPr>
        <w:t>43,148.00</w:t>
      </w:r>
      <w:r>
        <w:rPr/>
        <w:t>元</w:t>
      </w:r>
      <w:r>
        <w:rPr>
          <w:rFonts w:ascii="宋体" w:hAnsi="宋体" w:cs="宋体" w:eastAsia="宋体" w:hint="default"/>
        </w:rPr>
        <w:t>)</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日止，本公司已全部收回。</w:t>
      </w:r>
    </w:p>
    <w:p>
      <w:pPr>
        <w:spacing w:line="240" w:lineRule="auto" w:before="2"/>
        <w:rPr>
          <w:rFonts w:ascii="宋体" w:hAnsi="宋体" w:cs="宋体" w:eastAsia="宋体" w:hint="default"/>
          <w:sz w:val="26"/>
          <w:szCs w:val="26"/>
        </w:rPr>
      </w:pPr>
    </w:p>
    <w:p>
      <w:pPr>
        <w:pStyle w:val="Heading3"/>
        <w:spacing w:line="240" w:lineRule="auto"/>
        <w:ind w:left="153" w:right="0"/>
        <w:jc w:val="left"/>
        <w:rPr>
          <w:b w:val="0"/>
          <w:bCs w:val="0"/>
        </w:rPr>
      </w:pPr>
      <w:bookmarkStart w:name="5、关联方应收应付款项" w:id="365"/>
      <w:bookmarkEnd w:id="365"/>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项目" w:id="366"/>
      <w:bookmarkEnd w:id="36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84"/>
        <w:gridCol w:w="3844"/>
        <w:gridCol w:w="1388"/>
        <w:gridCol w:w="1082"/>
        <w:gridCol w:w="1082"/>
        <w:gridCol w:w="1082"/>
      </w:tblGrid>
      <w:tr>
        <w:trPr>
          <w:trHeight w:val="402" w:hRule="exact"/>
        </w:trPr>
        <w:tc>
          <w:tcPr>
            <w:tcW w:w="10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84" w:type="dxa"/>
            <w:vMerge/>
            <w:tcBorders>
              <w:left w:val="single" w:sz="4" w:space="0" w:color="000000"/>
              <w:bottom w:val="single" w:sz="4" w:space="0" w:color="000000"/>
              <w:right w:val="single" w:sz="4" w:space="0" w:color="000000"/>
            </w:tcBorders>
            <w:shd w:val="clear" w:color="auto" w:fill="D2D2D2"/>
          </w:tcPr>
          <w:p>
            <w:pPr/>
          </w:p>
        </w:tc>
        <w:tc>
          <w:tcPr>
            <w:tcW w:w="3844" w:type="dxa"/>
            <w:vMerge/>
            <w:tcBorders>
              <w:left w:val="single" w:sz="4" w:space="0" w:color="000000"/>
              <w:bottom w:val="single" w:sz="4" w:space="0" w:color="000000"/>
              <w:right w:val="single" w:sz="4" w:space="0" w:color="000000"/>
            </w:tcBorders>
            <w:shd w:val="clear" w:color="auto" w:fill="D2D2D2"/>
          </w:tcPr>
          <w:p>
            <w:pP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3,811,041.02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北京企飞力网络科技有限公司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339,942.67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67"/>
      <w:bookmarkEnd w:id="36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571"/>
        <w:gridCol w:w="2410"/>
        <w:gridCol w:w="2196"/>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29" w:type="dxa"/>
        <w:tblLayout w:type="fixed"/>
        <w:tblCellMar>
          <w:top w:w="0" w:type="dxa"/>
          <w:left w:w="0" w:type="dxa"/>
          <w:bottom w:w="0" w:type="dxa"/>
          <w:right w:w="0" w:type="dxa"/>
        </w:tblCellMar>
        <w:tblLook w:val="01E0"/>
      </w:tblPr>
      <w:tblGrid>
        <w:gridCol w:w="2392"/>
        <w:gridCol w:w="2571"/>
        <w:gridCol w:w="2410"/>
        <w:gridCol w:w="2196"/>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w:t>
            </w:r>
            <w:r>
              <w:rPr>
                <w:rFonts w:ascii="宋体" w:hAnsi="宋体" w:cs="宋体" w:eastAsia="宋体" w:hint="default"/>
                <w:sz w:val="18"/>
                <w:szCs w:val="18"/>
              </w:rPr>
              <w:t>股权转让款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黄明生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9,085,565.70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13,093,795.55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w:t>
            </w:r>
            <w:r>
              <w:rPr>
                <w:rFonts w:ascii="宋体" w:hAnsi="宋体" w:cs="宋体" w:eastAsia="宋体" w:hint="default"/>
                <w:sz w:val="18"/>
                <w:szCs w:val="18"/>
              </w:rPr>
              <w:t>股权转让款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1,923,437.51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2,771,990.03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w:t>
            </w:r>
            <w:r>
              <w:rPr>
                <w:rFonts w:ascii="宋体" w:hAnsi="宋体" w:cs="宋体" w:eastAsia="宋体" w:hint="default"/>
                <w:sz w:val="18"/>
                <w:szCs w:val="18"/>
              </w:rPr>
              <w:t>股权转让款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忻卫敏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14,778,239.93</w:t>
            </w:r>
          </w:p>
        </w:tc>
      </w:tr>
    </w:tbl>
    <w:p>
      <w:pPr>
        <w:spacing w:line="240" w:lineRule="auto" w:before="2"/>
        <w:rPr>
          <w:rFonts w:ascii="宋体" w:hAnsi="宋体" w:cs="宋体" w:eastAsia="宋体" w:hint="default"/>
          <w:sz w:val="18"/>
          <w:szCs w:val="18"/>
        </w:rPr>
      </w:pPr>
    </w:p>
    <w:p>
      <w:pPr>
        <w:pStyle w:val="Heading2"/>
        <w:spacing w:line="240" w:lineRule="auto" w:before="26"/>
        <w:ind w:left="234" w:right="0"/>
        <w:jc w:val="left"/>
        <w:rPr>
          <w:b w:val="0"/>
          <w:bCs w:val="0"/>
        </w:rPr>
      </w:pPr>
      <w:bookmarkStart w:name="十三、股份支付" w:id="368"/>
      <w:bookmarkEnd w:id="368"/>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3" w:right="0"/>
        <w:jc w:val="left"/>
        <w:rPr>
          <w:b w:val="0"/>
          <w:bCs w:val="0"/>
        </w:rPr>
      </w:pPr>
      <w:bookmarkStart w:name="1、股份支付总体情况" w:id="369"/>
      <w:bookmarkEnd w:id="36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13,797,630.00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公司本期回购的各项权益工具总额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1,773,059.96</w:t>
            </w:r>
          </w:p>
        </w:tc>
      </w:tr>
    </w:tbl>
    <w:p>
      <w:pPr>
        <w:pStyle w:val="Heading5"/>
        <w:spacing w:line="240" w:lineRule="auto" w:before="35"/>
        <w:ind w:left="234" w:right="0"/>
        <w:jc w:val="left"/>
      </w:pPr>
      <w:r>
        <w:rPr/>
        <w:t>其他说明</w:t>
      </w:r>
    </w:p>
    <w:p>
      <w:pPr>
        <w:pStyle w:val="Heading5"/>
        <w:spacing w:line="285" w:lineRule="auto" w:before="90"/>
        <w:ind w:left="233" w:right="1129" w:firstLine="420"/>
        <w:jc w:val="both"/>
      </w:pPr>
      <w:r>
        <w:rPr/>
        <w:t>根据公司</w:t>
      </w:r>
      <w:r>
        <w:rPr>
          <w:rFonts w:ascii="宋体" w:hAnsi="宋体" w:cs="宋体" w:eastAsia="宋体" w:hint="default"/>
        </w:rPr>
        <w:t>2014</w:t>
      </w:r>
      <w:r>
        <w:rPr/>
        <w:t>年第一次临时股东大会审议通过的《二六三网络通信股份有限公司</w:t>
      </w:r>
      <w:r>
        <w:rPr>
          <w:rFonts w:ascii="宋体" w:hAnsi="宋体" w:cs="宋体" w:eastAsia="宋体" w:hint="default"/>
        </w:rPr>
        <w:t>2013</w:t>
      </w:r>
      <w:r>
        <w:rPr/>
        <w:t>年限制性股票激励计</w:t>
      </w:r>
      <w:r>
        <w:rPr>
          <w:w w:val="100"/>
        </w:rPr>
        <w:t> </w:t>
      </w:r>
      <w:r>
        <w:rPr/>
        <w:t>划（草案修订稿）及其摘要》（以下简称“激励计划”），并经中国证监会备案无异议，公司限制性股票拟授</w:t>
      </w:r>
      <w:r>
        <w:rPr>
          <w:spacing w:val="-65"/>
        </w:rPr>
        <w:t> </w:t>
      </w:r>
      <w:r>
        <w:rPr>
          <w:spacing w:val="-65"/>
        </w:rPr>
      </w:r>
      <w:r>
        <w:rPr>
          <w:spacing w:val="-4"/>
        </w:rPr>
        <w:t>予数量为</w:t>
      </w:r>
      <w:r>
        <w:rPr>
          <w:rFonts w:ascii="宋体" w:hAnsi="宋体" w:cs="宋体" w:eastAsia="宋体" w:hint="default"/>
          <w:spacing w:val="-4"/>
        </w:rPr>
        <w:t>127</w:t>
      </w:r>
      <w:r>
        <w:rPr>
          <w:spacing w:val="-4"/>
        </w:rPr>
        <w:t>万股，授予激励对象共</w:t>
      </w:r>
      <w:r>
        <w:rPr>
          <w:rFonts w:ascii="宋体" w:hAnsi="宋体" w:cs="宋体" w:eastAsia="宋体" w:hint="default"/>
          <w:spacing w:val="-4"/>
        </w:rPr>
        <w:t>91</w:t>
      </w:r>
      <w:r>
        <w:rPr>
          <w:spacing w:val="-4"/>
        </w:rPr>
        <w:t>人。实际授予的限制性股票对象为</w:t>
      </w:r>
      <w:r>
        <w:rPr>
          <w:rFonts w:ascii="宋体" w:hAnsi="宋体" w:cs="宋体" w:eastAsia="宋体" w:hint="default"/>
          <w:spacing w:val="-4"/>
        </w:rPr>
        <w:t>90</w:t>
      </w:r>
      <w:r>
        <w:rPr>
          <w:spacing w:val="-4"/>
        </w:rPr>
        <w:t>人，实际授予的限制性股票数量</w:t>
      </w:r>
      <w:r>
        <w:rPr>
          <w:rFonts w:ascii="宋体" w:hAnsi="宋体" w:cs="宋体" w:eastAsia="宋体" w:hint="default"/>
          <w:spacing w:val="-4"/>
        </w:rPr>
        <w:t>126.7</w:t>
      </w:r>
      <w:r>
        <w:rPr>
          <w:rFonts w:ascii="宋体" w:hAnsi="宋体" w:cs="宋体" w:eastAsia="宋体" w:hint="default"/>
          <w:spacing w:val="-55"/>
        </w:rPr>
        <w:t> </w:t>
      </w:r>
      <w:r>
        <w:rPr>
          <w:rFonts w:ascii="宋体" w:hAnsi="宋体" w:cs="宋体" w:eastAsia="宋体" w:hint="default"/>
          <w:spacing w:val="-55"/>
        </w:rPr>
      </w:r>
      <w:r>
        <w:rPr>
          <w:spacing w:val="-3"/>
        </w:rPr>
        <w:t>万股，授予价格为每股</w:t>
      </w:r>
      <w:r>
        <w:rPr>
          <w:rFonts w:ascii="宋体" w:hAnsi="宋体" w:cs="宋体" w:eastAsia="宋体" w:hint="default"/>
          <w:spacing w:val="-3"/>
        </w:rPr>
        <w:t>10.89</w:t>
      </w:r>
      <w:r>
        <w:rPr>
          <w:spacing w:val="-3"/>
        </w:rPr>
        <w:t>元，授予日期为</w:t>
      </w:r>
      <w:r>
        <w:rPr>
          <w:rFonts w:ascii="宋体" w:hAnsi="宋体" w:cs="宋体" w:eastAsia="宋体" w:hint="default"/>
          <w:spacing w:val="-3"/>
        </w:rPr>
        <w:t>2014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13</w:t>
      </w:r>
      <w:r>
        <w:rPr>
          <w:spacing w:val="-3"/>
        </w:rPr>
        <w:t>日，授予股份已于 </w:t>
      </w:r>
      <w:r>
        <w:rPr>
          <w:rFonts w:ascii="宋体" w:hAnsi="宋体" w:cs="宋体" w:eastAsia="宋体" w:hint="default"/>
        </w:rPr>
        <w:t>2014 </w:t>
      </w:r>
      <w:r>
        <w:rPr/>
        <w:t>年 </w:t>
      </w:r>
      <w:r>
        <w:rPr>
          <w:rFonts w:ascii="宋体" w:hAnsi="宋体" w:cs="宋体" w:eastAsia="宋体" w:hint="default"/>
        </w:rPr>
        <w:t>2 </w:t>
      </w:r>
      <w:r>
        <w:rPr/>
        <w:t>月 </w:t>
      </w:r>
      <w:r>
        <w:rPr>
          <w:rFonts w:ascii="宋体" w:hAnsi="宋体" w:cs="宋体" w:eastAsia="宋体" w:hint="default"/>
        </w:rPr>
        <w:t>12</w:t>
      </w:r>
      <w:r>
        <w:rPr>
          <w:rFonts w:ascii="宋体" w:hAnsi="宋体" w:cs="宋体" w:eastAsia="宋体" w:hint="default"/>
          <w:spacing w:val="44"/>
        </w:rPr>
        <w:t> </w:t>
      </w:r>
      <w:r>
        <w:rPr/>
        <w:t>日在中国证券登</w:t>
      </w:r>
      <w:r>
        <w:rPr>
          <w:w w:val="100"/>
        </w:rPr>
        <w:t> </w:t>
      </w:r>
      <w:r>
        <w:rPr/>
        <w:t>记结算有限公司深圳分公司完成股份登记。</w:t>
      </w:r>
    </w:p>
    <w:p>
      <w:pPr>
        <w:pStyle w:val="Heading5"/>
        <w:spacing w:line="240" w:lineRule="auto"/>
        <w:ind w:left="654" w:right="0"/>
        <w:jc w:val="left"/>
      </w:pPr>
      <w:r>
        <w:rPr/>
        <w:t>该激励计划下的限制性股票的锁定期与解锁期安排如下：</w:t>
      </w:r>
    </w:p>
    <w:p>
      <w:pPr>
        <w:pStyle w:val="Heading5"/>
        <w:spacing w:line="285" w:lineRule="auto" w:before="50"/>
        <w:ind w:left="654" w:right="0"/>
        <w:jc w:val="left"/>
      </w:pPr>
      <w:r>
        <w:rPr/>
        <w:t>（</w:t>
      </w:r>
      <w:r>
        <w:rPr>
          <w:rFonts w:ascii="宋体" w:hAnsi="宋体" w:cs="宋体" w:eastAsia="宋体" w:hint="default"/>
        </w:rPr>
        <w:t>1</w:t>
      </w:r>
      <w:r>
        <w:rPr/>
        <w:t>）锁定期与解锁期</w:t>
      </w:r>
      <w:r>
        <w:rPr>
          <w:w w:val="100"/>
        </w:rPr>
        <w:t> </w:t>
      </w:r>
      <w:r>
        <w:rPr/>
        <w:t>激励计划授予的限制性股票自授予之日起</w:t>
      </w:r>
      <w:r>
        <w:rPr>
          <w:rFonts w:ascii="宋体" w:hAnsi="宋体" w:cs="宋体" w:eastAsia="宋体" w:hint="default"/>
        </w:rPr>
        <w:t>12</w:t>
      </w:r>
      <w:r>
        <w:rPr/>
        <w:t>个月内为锁定期。在锁定期内，激励对象根据激励计划获授的</w:t>
      </w:r>
    </w:p>
    <w:p>
      <w:pPr>
        <w:pStyle w:val="Heading5"/>
        <w:spacing w:line="285" w:lineRule="auto"/>
        <w:ind w:left="654" w:right="1132" w:hanging="420"/>
        <w:jc w:val="left"/>
      </w:pPr>
      <w:r>
        <w:rPr/>
        <w:t>限制性股票予以锁定，不得转让。</w:t>
      </w:r>
      <w:r>
        <w:rPr>
          <w:w w:val="100"/>
        </w:rPr>
        <w:t> </w:t>
      </w:r>
      <w:r>
        <w:rPr/>
        <w:t>激励对象获授的限制性股票在锁定期不享有进行转让或用于担保或偿还债务等处置权。锁定期内激励对象</w:t>
      </w:r>
    </w:p>
    <w:p>
      <w:pPr>
        <w:pStyle w:val="Heading5"/>
        <w:spacing w:line="285" w:lineRule="auto"/>
        <w:ind w:left="234" w:right="0"/>
        <w:jc w:val="left"/>
      </w:pPr>
      <w:r>
        <w:rPr/>
        <w:t>因获授的限制性股票而取得的红股、资本公积转增股份、配股股份、增发中向原股东配售的股份同时锁定，不</w:t>
      </w:r>
      <w:r>
        <w:rPr>
          <w:spacing w:val="-65"/>
        </w:rPr>
        <w:t> </w:t>
      </w:r>
      <w:r>
        <w:rPr>
          <w:spacing w:val="-65"/>
        </w:rPr>
      </w:r>
      <w:r>
        <w:rPr/>
        <w:t>得在二级市场出售或以其他方式转让，该等股份锁定期的截止日期与限制性股票相同。</w:t>
      </w:r>
    </w:p>
    <w:p>
      <w:pPr>
        <w:pStyle w:val="Heading5"/>
        <w:spacing w:line="285" w:lineRule="auto"/>
        <w:ind w:left="654" w:right="0"/>
        <w:jc w:val="left"/>
      </w:pPr>
      <w:r>
        <w:rPr/>
        <w:t>授予限制性股票的解锁安排：</w:t>
      </w:r>
      <w:r>
        <w:rPr>
          <w:w w:val="100"/>
        </w:rPr>
        <w:t> </w:t>
      </w:r>
      <w:r>
        <w:rPr/>
        <w:t>限制性股票锁定期后</w:t>
      </w:r>
      <w:r>
        <w:rPr>
          <w:rFonts w:ascii="宋体" w:hAnsi="宋体" w:cs="宋体" w:eastAsia="宋体" w:hint="default"/>
        </w:rPr>
        <w:t>36</w:t>
      </w:r>
      <w:r>
        <w:rPr/>
        <w:t>个月为解锁期。在解锁期内，若达到本计划规定的限制性股票的解锁条件，激励对</w:t>
      </w:r>
    </w:p>
    <w:p>
      <w:pPr>
        <w:pStyle w:val="Heading5"/>
        <w:spacing w:line="285" w:lineRule="auto"/>
        <w:ind w:left="653" w:right="0" w:hanging="420"/>
        <w:jc w:val="left"/>
      </w:pPr>
      <w:r>
        <w:rPr/>
        <w:pict>
          <v:group style="position:absolute;margin-left:51.300003pt;margin-top:50.5597pt;width:492.8pt;height:.5pt;mso-position-horizontal-relative:page;mso-position-vertical-relative:paragraph;z-index:-862216" coordorigin="1026,1011" coordsize="9856,10">
            <v:shape style="position:absolute;left:1026;top:1011;width:2414;height:10" type="#_x0000_t75" stroked="false">
              <v:imagedata r:id="rId25" o:title=""/>
            </v:shape>
            <v:shape style="position:absolute;left:3435;top:1011;width:7447;height:10" type="#_x0000_t75" stroked="false">
              <v:imagedata r:id="rId26" o:title=""/>
            </v:shape>
            <w10:wrap type="none"/>
          </v:group>
        </w:pict>
      </w:r>
      <w:r>
        <w:rPr/>
        <w:pict>
          <v:group style="position:absolute;margin-left:51.300003pt;margin-top:75.999657pt;width:492.8pt;height:5.5pt;mso-position-horizontal-relative:page;mso-position-vertical-relative:paragraph;z-index:-862192" coordorigin="1026,1520" coordsize="9856,110">
            <v:shape style="position:absolute;left:1026;top:1520;width:2433;height:109" type="#_x0000_t75" stroked="false">
              <v:imagedata r:id="rId27" o:title=""/>
            </v:shape>
            <v:shape style="position:absolute;left:3435;top:1616;width:5421;height:13" type="#_x0000_t75" stroked="false">
              <v:imagedata r:id="rId28" o:title=""/>
            </v:shape>
            <v:shape style="position:absolute;left:8842;top:1620;width:2040;height:10" type="#_x0000_t75" stroked="false">
              <v:imagedata r:id="rId29" o:title=""/>
            </v:shape>
            <w10:wrap type="none"/>
          </v:group>
        </w:pict>
      </w:r>
      <w:r>
        <w:rPr>
          <w:spacing w:val="-1"/>
        </w:rPr>
        <w:t>象可在授予日起</w:t>
      </w:r>
      <w:r>
        <w:rPr>
          <w:rFonts w:ascii="宋体" w:hAnsi="宋体" w:cs="宋体" w:eastAsia="宋体" w:hint="default"/>
          <w:spacing w:val="-1"/>
        </w:rPr>
        <w:t>12</w:t>
      </w:r>
      <w:r>
        <w:rPr>
          <w:spacing w:val="-1"/>
        </w:rPr>
        <w:t>个月后、</w:t>
      </w:r>
      <w:r>
        <w:rPr>
          <w:rFonts w:ascii="宋体" w:hAnsi="宋体" w:cs="宋体" w:eastAsia="宋体" w:hint="default"/>
          <w:spacing w:val="-1"/>
        </w:rPr>
        <w:t>24</w:t>
      </w:r>
      <w:r>
        <w:rPr>
          <w:spacing w:val="-1"/>
        </w:rPr>
        <w:t>个月后、</w:t>
      </w:r>
      <w:r>
        <w:rPr>
          <w:rFonts w:ascii="宋体" w:hAnsi="宋体" w:cs="宋体" w:eastAsia="宋体" w:hint="default"/>
          <w:spacing w:val="-1"/>
        </w:rPr>
        <w:t>36</w:t>
      </w:r>
      <w:r>
        <w:rPr>
          <w:spacing w:val="-1"/>
        </w:rPr>
        <w:t>个月后分三期分别申请解锁所获授限制性股票总量的</w:t>
      </w:r>
      <w:r>
        <w:rPr>
          <w:rFonts w:ascii="宋体" w:hAnsi="宋体" w:cs="宋体" w:eastAsia="宋体" w:hint="default"/>
          <w:spacing w:val="-1"/>
        </w:rPr>
        <w:t>30%</w:t>
      </w:r>
      <w:r>
        <w:rPr>
          <w:spacing w:val="-1"/>
        </w:rPr>
        <w:t>、</w:t>
      </w:r>
      <w:r>
        <w:rPr>
          <w:rFonts w:ascii="宋体" w:hAnsi="宋体" w:cs="宋体" w:eastAsia="宋体" w:hint="default"/>
          <w:spacing w:val="-1"/>
        </w:rPr>
        <w:t>30%</w:t>
      </w:r>
      <w:r>
        <w:rPr>
          <w:spacing w:val="-1"/>
        </w:rPr>
        <w:t>和</w:t>
      </w:r>
      <w:r>
        <w:rPr>
          <w:rFonts w:ascii="宋体" w:hAnsi="宋体" w:cs="宋体" w:eastAsia="宋体" w:hint="default"/>
          <w:spacing w:val="-1"/>
        </w:rPr>
        <w:t>40%</w:t>
      </w:r>
      <w:r>
        <w:rPr>
          <w:spacing w:val="-1"/>
        </w:rPr>
        <w:t>。</w:t>
      </w:r>
      <w:r>
        <w:rPr>
          <w:spacing w:val="-60"/>
        </w:rPr>
        <w:t> </w:t>
      </w:r>
      <w:r>
        <w:rPr/>
        <w:t>解锁时间和解锁比例具体如下</w:t>
      </w:r>
    </w:p>
    <w:tbl>
      <w:tblPr>
        <w:tblW w:w="0" w:type="auto"/>
        <w:jc w:val="left"/>
        <w:tblInd w:w="111" w:type="dxa"/>
        <w:tblLayout w:type="fixed"/>
        <w:tblCellMar>
          <w:top w:w="0" w:type="dxa"/>
          <w:left w:w="0" w:type="dxa"/>
          <w:bottom w:w="0" w:type="dxa"/>
          <w:right w:w="0" w:type="dxa"/>
        </w:tblCellMar>
        <w:tblLook w:val="01E0"/>
      </w:tblPr>
      <w:tblGrid>
        <w:gridCol w:w="2433"/>
        <w:gridCol w:w="5407"/>
        <w:gridCol w:w="2030"/>
      </w:tblGrid>
      <w:tr>
        <w:trPr>
          <w:trHeight w:val="359" w:hRule="exact"/>
        </w:trPr>
        <w:tc>
          <w:tcPr>
            <w:tcW w:w="2433"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left="419" w:right="0"/>
              <w:jc w:val="center"/>
              <w:rPr>
                <w:rFonts w:ascii="宋体" w:hAnsi="宋体" w:cs="宋体" w:eastAsia="宋体" w:hint="default"/>
                <w:sz w:val="20"/>
                <w:szCs w:val="20"/>
              </w:rPr>
            </w:pPr>
            <w:r>
              <w:rPr>
                <w:rFonts w:ascii="宋体" w:hAnsi="宋体" w:cs="宋体" w:eastAsia="宋体" w:hint="default"/>
                <w:sz w:val="20"/>
                <w:szCs w:val="20"/>
              </w:rPr>
              <w:t>解锁安排</w:t>
            </w:r>
          </w:p>
        </w:tc>
        <w:tc>
          <w:tcPr>
            <w:tcW w:w="540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left="399" w:right="0"/>
              <w:jc w:val="center"/>
              <w:rPr>
                <w:rFonts w:ascii="宋体" w:hAnsi="宋体" w:cs="宋体" w:eastAsia="宋体" w:hint="default"/>
                <w:sz w:val="20"/>
                <w:szCs w:val="20"/>
              </w:rPr>
            </w:pPr>
            <w:r>
              <w:rPr>
                <w:rFonts w:ascii="宋体" w:hAnsi="宋体" w:cs="宋体" w:eastAsia="宋体" w:hint="default"/>
                <w:sz w:val="20"/>
                <w:szCs w:val="20"/>
              </w:rPr>
              <w:t>解锁时间</w:t>
            </w:r>
          </w:p>
        </w:tc>
        <w:tc>
          <w:tcPr>
            <w:tcW w:w="2030" w:type="dxa"/>
            <w:tcBorders>
              <w:top w:val="single" w:sz="12" w:space="0" w:color="000000"/>
              <w:left w:val="single" w:sz="4" w:space="0" w:color="000000"/>
              <w:bottom w:val="nil" w:sz="6" w:space="0" w:color="auto"/>
              <w:right w:val="nil" w:sz="6" w:space="0" w:color="auto"/>
            </w:tcBorders>
          </w:tcPr>
          <w:p>
            <w:pPr>
              <w:pStyle w:val="TableParagraph"/>
              <w:spacing w:line="240" w:lineRule="auto" w:before="7"/>
              <w:ind w:left="396" w:right="0"/>
              <w:jc w:val="center"/>
              <w:rPr>
                <w:rFonts w:ascii="宋体" w:hAnsi="宋体" w:cs="宋体" w:eastAsia="宋体" w:hint="default"/>
                <w:sz w:val="20"/>
                <w:szCs w:val="20"/>
              </w:rPr>
            </w:pPr>
            <w:r>
              <w:rPr>
                <w:rFonts w:ascii="宋体" w:hAnsi="宋体" w:cs="宋体" w:eastAsia="宋体" w:hint="default"/>
                <w:sz w:val="20"/>
                <w:szCs w:val="20"/>
              </w:rPr>
              <w:t>解锁比例</w:t>
            </w:r>
          </w:p>
        </w:tc>
      </w:tr>
      <w:tr>
        <w:trPr>
          <w:trHeight w:val="505" w:hRule="exact"/>
        </w:trPr>
        <w:tc>
          <w:tcPr>
            <w:tcW w:w="2433" w:type="dxa"/>
            <w:tcBorders>
              <w:top w:val="nil" w:sz="6" w:space="0" w:color="auto"/>
              <w:left w:val="nil" w:sz="6" w:space="0" w:color="auto"/>
              <w:bottom w:val="nil" w:sz="6" w:space="0" w:color="auto"/>
              <w:right w:val="single" w:sz="4" w:space="0" w:color="000000"/>
            </w:tcBorders>
          </w:tcPr>
          <w:p>
            <w:pPr>
              <w:pStyle w:val="TableParagraph"/>
              <w:spacing w:line="240" w:lineRule="auto" w:before="142"/>
              <w:ind w:left="419" w:right="0"/>
              <w:jc w:val="center"/>
              <w:rPr>
                <w:rFonts w:ascii="宋体" w:hAnsi="宋体" w:cs="宋体" w:eastAsia="宋体" w:hint="default"/>
                <w:sz w:val="20"/>
                <w:szCs w:val="20"/>
              </w:rPr>
            </w:pPr>
            <w:r>
              <w:rPr>
                <w:rFonts w:ascii="宋体" w:hAnsi="宋体" w:cs="宋体" w:eastAsia="宋体" w:hint="default"/>
                <w:sz w:val="20"/>
                <w:szCs w:val="20"/>
              </w:rPr>
              <w:t>第一次解锁</w:t>
            </w:r>
          </w:p>
        </w:tc>
        <w:tc>
          <w:tcPr>
            <w:tcW w:w="540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100"/>
              <w:jc w:val="left"/>
              <w:rPr>
                <w:rFonts w:ascii="宋体" w:hAnsi="宋体" w:cs="宋体" w:eastAsia="宋体" w:hint="default"/>
                <w:sz w:val="20"/>
                <w:szCs w:val="20"/>
              </w:rPr>
            </w:pPr>
            <w:r>
              <w:rPr>
                <w:rFonts w:ascii="宋体" w:hAnsi="宋体" w:cs="宋体" w:eastAsia="宋体" w:hint="default"/>
                <w:sz w:val="20"/>
                <w:szCs w:val="20"/>
              </w:rPr>
              <w:t>自授予日起 </w:t>
            </w:r>
            <w:r>
              <w:rPr>
                <w:rFonts w:ascii="宋体" w:hAnsi="宋体" w:cs="宋体" w:eastAsia="宋体" w:hint="default"/>
                <w:sz w:val="20"/>
                <w:szCs w:val="20"/>
              </w:rPr>
              <w:t>12</w:t>
            </w:r>
            <w:r>
              <w:rPr>
                <w:rFonts w:ascii="宋体" w:hAnsi="宋体" w:cs="宋体" w:eastAsia="宋体" w:hint="default"/>
                <w:spacing w:val="-16"/>
                <w:sz w:val="20"/>
                <w:szCs w:val="20"/>
              </w:rPr>
              <w:t> </w:t>
            </w:r>
            <w:r>
              <w:rPr>
                <w:rFonts w:ascii="宋体" w:hAnsi="宋体" w:cs="宋体" w:eastAsia="宋体" w:hint="default"/>
                <w:sz w:val="20"/>
                <w:szCs w:val="20"/>
              </w:rPr>
              <w:t>个月后，由董事会决议确认满足第一次解锁</w:t>
            </w:r>
            <w:r>
              <w:rPr>
                <w:rFonts w:ascii="宋体" w:hAnsi="宋体" w:cs="宋体" w:eastAsia="宋体" w:hint="default"/>
                <w:w w:val="100"/>
                <w:sz w:val="20"/>
                <w:szCs w:val="20"/>
              </w:rPr>
              <w:t> </w:t>
            </w:r>
            <w:r>
              <w:rPr>
                <w:rFonts w:ascii="宋体" w:hAnsi="宋体" w:cs="宋体" w:eastAsia="宋体" w:hint="default"/>
                <w:sz w:val="20"/>
                <w:szCs w:val="20"/>
              </w:rPr>
              <w:t>条件的，其中总额</w:t>
            </w:r>
            <w:r>
              <w:rPr>
                <w:rFonts w:ascii="宋体" w:hAnsi="宋体" w:cs="宋体" w:eastAsia="宋体" w:hint="default"/>
                <w:spacing w:val="-56"/>
                <w:sz w:val="20"/>
                <w:szCs w:val="20"/>
              </w:rPr>
              <w:t> </w:t>
            </w:r>
            <w:r>
              <w:rPr>
                <w:rFonts w:ascii="宋体" w:hAnsi="宋体" w:cs="宋体" w:eastAsia="宋体" w:hint="default"/>
                <w:sz w:val="20"/>
                <w:szCs w:val="20"/>
              </w:rPr>
              <w:t>30%</w:t>
            </w:r>
            <w:r>
              <w:rPr>
                <w:rFonts w:ascii="宋体" w:hAnsi="宋体" w:cs="宋体" w:eastAsia="宋体" w:hint="default"/>
                <w:sz w:val="20"/>
                <w:szCs w:val="20"/>
              </w:rPr>
              <w:t>的部分办理解锁事宜</w:t>
            </w:r>
          </w:p>
        </w:tc>
        <w:tc>
          <w:tcPr>
            <w:tcW w:w="2030"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left="394" w:right="0"/>
              <w:jc w:val="center"/>
              <w:rPr>
                <w:rFonts w:ascii="宋体" w:hAnsi="宋体" w:cs="宋体" w:eastAsia="宋体" w:hint="default"/>
                <w:sz w:val="20"/>
                <w:szCs w:val="20"/>
              </w:rPr>
            </w:pPr>
            <w:r>
              <w:rPr>
                <w:rFonts w:ascii="宋体"/>
                <w:sz w:val="20"/>
              </w:rPr>
              <w:t>30%</w:t>
            </w:r>
          </w:p>
        </w:tc>
      </w:tr>
      <w:tr>
        <w:trPr>
          <w:trHeight w:val="718" w:hRule="exact"/>
        </w:trPr>
        <w:tc>
          <w:tcPr>
            <w:tcW w:w="243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9" w:right="0"/>
              <w:jc w:val="center"/>
              <w:rPr>
                <w:rFonts w:ascii="宋体" w:hAnsi="宋体" w:cs="宋体" w:eastAsia="宋体" w:hint="default"/>
                <w:sz w:val="20"/>
                <w:szCs w:val="20"/>
              </w:rPr>
            </w:pPr>
            <w:r>
              <w:rPr>
                <w:rFonts w:ascii="宋体" w:hAnsi="宋体" w:cs="宋体" w:eastAsia="宋体" w:hint="default"/>
                <w:sz w:val="20"/>
                <w:szCs w:val="20"/>
              </w:rPr>
              <w:t>第二次解锁</w:t>
            </w:r>
          </w:p>
        </w:tc>
        <w:tc>
          <w:tcPr>
            <w:tcW w:w="5407" w:type="dxa"/>
            <w:tcBorders>
              <w:top w:val="nil" w:sz="6" w:space="0" w:color="auto"/>
              <w:left w:val="single" w:sz="4" w:space="0" w:color="000000"/>
              <w:bottom w:val="nil" w:sz="6" w:space="0" w:color="auto"/>
              <w:right w:val="single" w:sz="4" w:space="0" w:color="000000"/>
            </w:tcBorders>
          </w:tcPr>
          <w:p>
            <w:pPr>
              <w:pStyle w:val="TableParagraph"/>
              <w:spacing w:line="260" w:lineRule="exact" w:before="143"/>
              <w:ind w:left="103" w:right="100"/>
              <w:jc w:val="left"/>
              <w:rPr>
                <w:rFonts w:ascii="宋体" w:hAnsi="宋体" w:cs="宋体" w:eastAsia="宋体" w:hint="default"/>
                <w:sz w:val="20"/>
                <w:szCs w:val="20"/>
              </w:rPr>
            </w:pPr>
            <w:r>
              <w:rPr>
                <w:rFonts w:ascii="宋体" w:hAnsi="宋体" w:cs="宋体" w:eastAsia="宋体" w:hint="default"/>
                <w:sz w:val="20"/>
                <w:szCs w:val="20"/>
              </w:rPr>
              <w:t>自授予日起 </w:t>
            </w:r>
            <w:r>
              <w:rPr>
                <w:rFonts w:ascii="宋体" w:hAnsi="宋体" w:cs="宋体" w:eastAsia="宋体" w:hint="default"/>
                <w:sz w:val="20"/>
                <w:szCs w:val="20"/>
              </w:rPr>
              <w:t>24</w:t>
            </w:r>
            <w:r>
              <w:rPr>
                <w:rFonts w:ascii="宋体" w:hAnsi="宋体" w:cs="宋体" w:eastAsia="宋体" w:hint="default"/>
                <w:spacing w:val="-16"/>
                <w:sz w:val="20"/>
                <w:szCs w:val="20"/>
              </w:rPr>
              <w:t> </w:t>
            </w:r>
            <w:r>
              <w:rPr>
                <w:rFonts w:ascii="宋体" w:hAnsi="宋体" w:cs="宋体" w:eastAsia="宋体" w:hint="default"/>
                <w:sz w:val="20"/>
                <w:szCs w:val="20"/>
              </w:rPr>
              <w:t>个月后，由董事会决议确认满足第二次解锁</w:t>
            </w:r>
            <w:r>
              <w:rPr>
                <w:rFonts w:ascii="宋体" w:hAnsi="宋体" w:cs="宋体" w:eastAsia="宋体" w:hint="default"/>
                <w:w w:val="100"/>
                <w:sz w:val="20"/>
                <w:szCs w:val="20"/>
              </w:rPr>
              <w:t> </w:t>
            </w:r>
            <w:r>
              <w:rPr>
                <w:rFonts w:ascii="宋体" w:hAnsi="宋体" w:cs="宋体" w:eastAsia="宋体" w:hint="default"/>
                <w:sz w:val="20"/>
                <w:szCs w:val="20"/>
              </w:rPr>
              <w:t>条件的，其中总额</w:t>
            </w:r>
            <w:r>
              <w:rPr>
                <w:rFonts w:ascii="宋体" w:hAnsi="宋体" w:cs="宋体" w:eastAsia="宋体" w:hint="default"/>
                <w:spacing w:val="-56"/>
                <w:sz w:val="20"/>
                <w:szCs w:val="20"/>
              </w:rPr>
              <w:t> </w:t>
            </w:r>
            <w:r>
              <w:rPr>
                <w:rFonts w:ascii="宋体" w:hAnsi="宋体" w:cs="宋体" w:eastAsia="宋体" w:hint="default"/>
                <w:sz w:val="20"/>
                <w:szCs w:val="20"/>
              </w:rPr>
              <w:t>30%</w:t>
            </w:r>
            <w:r>
              <w:rPr>
                <w:rFonts w:ascii="宋体" w:hAnsi="宋体" w:cs="宋体" w:eastAsia="宋体" w:hint="default"/>
                <w:sz w:val="20"/>
                <w:szCs w:val="20"/>
              </w:rPr>
              <w:t>的部分办理解锁事宜</w:t>
            </w:r>
          </w:p>
        </w:tc>
        <w:tc>
          <w:tcPr>
            <w:tcW w:w="203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center"/>
              <w:rPr>
                <w:rFonts w:ascii="宋体" w:hAnsi="宋体" w:cs="宋体" w:eastAsia="宋体" w:hint="default"/>
                <w:sz w:val="20"/>
                <w:szCs w:val="20"/>
              </w:rPr>
            </w:pPr>
            <w:r>
              <w:rPr>
                <w:rFonts w:ascii="宋体"/>
                <w:sz w:val="20"/>
              </w:rPr>
              <w:t>30%</w:t>
            </w:r>
          </w:p>
        </w:tc>
      </w:tr>
      <w:tr>
        <w:trPr>
          <w:trHeight w:val="615" w:hRule="exact"/>
        </w:trPr>
        <w:tc>
          <w:tcPr>
            <w:tcW w:w="2433" w:type="dxa"/>
            <w:tcBorders>
              <w:top w:val="nil" w:sz="6" w:space="0" w:color="auto"/>
              <w:left w:val="nil" w:sz="6" w:space="0" w:color="auto"/>
              <w:bottom w:val="single" w:sz="12" w:space="0" w:color="000000"/>
              <w:right w:val="single" w:sz="4" w:space="0" w:color="000000"/>
            </w:tcBorders>
          </w:tcPr>
          <w:p>
            <w:pPr>
              <w:pStyle w:val="TableParagraph"/>
              <w:spacing w:line="240" w:lineRule="auto" w:before="138"/>
              <w:ind w:left="419" w:right="0"/>
              <w:jc w:val="center"/>
              <w:rPr>
                <w:rFonts w:ascii="宋体" w:hAnsi="宋体" w:cs="宋体" w:eastAsia="宋体" w:hint="default"/>
                <w:sz w:val="20"/>
                <w:szCs w:val="20"/>
              </w:rPr>
            </w:pPr>
            <w:r>
              <w:rPr>
                <w:rFonts w:ascii="宋体" w:hAnsi="宋体" w:cs="宋体" w:eastAsia="宋体" w:hint="default"/>
                <w:sz w:val="20"/>
                <w:szCs w:val="20"/>
              </w:rPr>
              <w:t>第三次解锁</w:t>
            </w:r>
          </w:p>
        </w:tc>
        <w:tc>
          <w:tcPr>
            <w:tcW w:w="5407" w:type="dxa"/>
            <w:tcBorders>
              <w:top w:val="nil" w:sz="6" w:space="0" w:color="auto"/>
              <w:left w:val="single" w:sz="4" w:space="0" w:color="000000"/>
              <w:bottom w:val="single" w:sz="12" w:space="0" w:color="000000"/>
              <w:right w:val="single" w:sz="4" w:space="0" w:color="000000"/>
            </w:tcBorders>
          </w:tcPr>
          <w:p>
            <w:pPr>
              <w:pStyle w:val="TableParagraph"/>
              <w:spacing w:line="260" w:lineRule="exact" w:before="34"/>
              <w:ind w:left="103" w:right="100"/>
              <w:jc w:val="left"/>
              <w:rPr>
                <w:rFonts w:ascii="宋体" w:hAnsi="宋体" w:cs="宋体" w:eastAsia="宋体" w:hint="default"/>
                <w:sz w:val="20"/>
                <w:szCs w:val="20"/>
              </w:rPr>
            </w:pPr>
            <w:r>
              <w:rPr>
                <w:rFonts w:ascii="宋体" w:hAnsi="宋体" w:cs="宋体" w:eastAsia="宋体" w:hint="default"/>
                <w:sz w:val="20"/>
                <w:szCs w:val="20"/>
              </w:rPr>
              <w:t>自授予日起 </w:t>
            </w:r>
            <w:r>
              <w:rPr>
                <w:rFonts w:ascii="宋体" w:hAnsi="宋体" w:cs="宋体" w:eastAsia="宋体" w:hint="default"/>
                <w:sz w:val="20"/>
                <w:szCs w:val="20"/>
              </w:rPr>
              <w:t>36</w:t>
            </w:r>
            <w:r>
              <w:rPr>
                <w:rFonts w:ascii="宋体" w:hAnsi="宋体" w:cs="宋体" w:eastAsia="宋体" w:hint="default"/>
                <w:spacing w:val="-16"/>
                <w:sz w:val="20"/>
                <w:szCs w:val="20"/>
              </w:rPr>
              <w:t> </w:t>
            </w:r>
            <w:r>
              <w:rPr>
                <w:rFonts w:ascii="宋体" w:hAnsi="宋体" w:cs="宋体" w:eastAsia="宋体" w:hint="default"/>
                <w:sz w:val="20"/>
                <w:szCs w:val="20"/>
              </w:rPr>
              <w:t>个月后，由董事会决议确认满足第三次解锁</w:t>
            </w:r>
            <w:r>
              <w:rPr>
                <w:rFonts w:ascii="宋体" w:hAnsi="宋体" w:cs="宋体" w:eastAsia="宋体" w:hint="default"/>
                <w:w w:val="100"/>
                <w:sz w:val="20"/>
                <w:szCs w:val="20"/>
              </w:rPr>
              <w:t> </w:t>
            </w:r>
            <w:r>
              <w:rPr>
                <w:rFonts w:ascii="宋体" w:hAnsi="宋体" w:cs="宋体" w:eastAsia="宋体" w:hint="default"/>
                <w:sz w:val="20"/>
                <w:szCs w:val="20"/>
              </w:rPr>
              <w:t>条件的，其中总额</w:t>
            </w:r>
            <w:r>
              <w:rPr>
                <w:rFonts w:ascii="宋体" w:hAnsi="宋体" w:cs="宋体" w:eastAsia="宋体" w:hint="default"/>
                <w:spacing w:val="-56"/>
                <w:sz w:val="20"/>
                <w:szCs w:val="20"/>
              </w:rPr>
              <w:t> </w:t>
            </w:r>
            <w:r>
              <w:rPr>
                <w:rFonts w:ascii="宋体" w:hAnsi="宋体" w:cs="宋体" w:eastAsia="宋体" w:hint="default"/>
                <w:sz w:val="20"/>
                <w:szCs w:val="20"/>
              </w:rPr>
              <w:t>40%</w:t>
            </w:r>
            <w:r>
              <w:rPr>
                <w:rFonts w:ascii="宋体" w:hAnsi="宋体" w:cs="宋体" w:eastAsia="宋体" w:hint="default"/>
                <w:sz w:val="20"/>
                <w:szCs w:val="20"/>
              </w:rPr>
              <w:t>的部分办理解锁事宜</w:t>
            </w:r>
          </w:p>
        </w:tc>
        <w:tc>
          <w:tcPr>
            <w:tcW w:w="2030" w:type="dxa"/>
            <w:tcBorders>
              <w:top w:val="nil" w:sz="6" w:space="0" w:color="auto"/>
              <w:left w:val="single" w:sz="4" w:space="0" w:color="000000"/>
              <w:bottom w:val="single" w:sz="12" w:space="0" w:color="000000"/>
              <w:right w:val="nil" w:sz="6" w:space="0" w:color="auto"/>
            </w:tcBorders>
          </w:tcPr>
          <w:p>
            <w:pPr>
              <w:pStyle w:val="TableParagraph"/>
              <w:spacing w:line="240" w:lineRule="auto" w:before="138"/>
              <w:ind w:left="394" w:right="0"/>
              <w:jc w:val="center"/>
              <w:rPr>
                <w:rFonts w:ascii="宋体" w:hAnsi="宋体" w:cs="宋体" w:eastAsia="宋体" w:hint="default"/>
                <w:sz w:val="20"/>
                <w:szCs w:val="20"/>
              </w:rPr>
            </w:pPr>
            <w:r>
              <w:rPr>
                <w:rFonts w:ascii="宋体"/>
                <w:sz w:val="20"/>
              </w:rPr>
              <w:t>40%</w:t>
            </w:r>
          </w:p>
        </w:tc>
      </w:tr>
    </w:tbl>
    <w:p>
      <w:pPr>
        <w:tabs>
          <w:tab w:pos="7946" w:val="left" w:leader="none"/>
        </w:tabs>
        <w:spacing w:line="20" w:lineRule="exact"/>
        <w:ind w:left="2539" w:right="0" w:firstLine="0"/>
        <w:rPr>
          <w:rFonts w:ascii="宋体" w:hAnsi="宋体" w:cs="宋体" w:eastAsia="宋体" w:hint="default"/>
          <w:sz w:val="2"/>
          <w:szCs w:val="2"/>
        </w:rPr>
      </w:pPr>
      <w:r>
        <w:rPr>
          <w:rFonts w:ascii="宋体"/>
          <w:sz w:val="2"/>
        </w:rPr>
        <w:drawing>
          <wp:inline distT="0" distB="0" distL="0" distR="0">
            <wp:extent cx="6096" cy="3048"/>
            <wp:effectExtent l="0" t="0" r="0" b="0"/>
            <wp:docPr id="19" name="image16.png" descr=""/>
            <wp:cNvGraphicFramePr>
              <a:graphicFrameLocks noChangeAspect="1"/>
            </wp:cNvGraphicFramePr>
            <a:graphic>
              <a:graphicData uri="http://schemas.openxmlformats.org/drawingml/2006/picture">
                <pic:pic>
                  <pic:nvPicPr>
                    <pic:cNvPr id="20" name="image16.png"/>
                    <pic:cNvPicPr/>
                  </pic:nvPicPr>
                  <pic:blipFill>
                    <a:blip r:embed="rId30" cstate="print"/>
                    <a:stretch>
                      <a:fillRect/>
                    </a:stretch>
                  </pic:blipFill>
                  <pic:spPr>
                    <a:xfrm>
                      <a:off x="0" y="0"/>
                      <a:ext cx="6096" cy="3048"/>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3048"/>
            <wp:effectExtent l="0" t="0" r="0" b="0"/>
            <wp:docPr id="21" name="image16.png" descr=""/>
            <wp:cNvGraphicFramePr>
              <a:graphicFrameLocks noChangeAspect="1"/>
            </wp:cNvGraphicFramePr>
            <a:graphic>
              <a:graphicData uri="http://schemas.openxmlformats.org/drawingml/2006/picture">
                <pic:pic>
                  <pic:nvPicPr>
                    <pic:cNvPr id="22" name="image16.png"/>
                    <pic:cNvPicPr/>
                  </pic:nvPicPr>
                  <pic:blipFill>
                    <a:blip r:embed="rId30" cstate="print"/>
                    <a:stretch>
                      <a:fillRect/>
                    </a:stretch>
                  </pic:blipFill>
                  <pic:spPr>
                    <a:xfrm>
                      <a:off x="0" y="0"/>
                      <a:ext cx="6096" cy="3048"/>
                    </a:xfrm>
                    <a:prstGeom prst="rect">
                      <a:avLst/>
                    </a:prstGeom>
                  </pic:spPr>
                </pic:pic>
              </a:graphicData>
            </a:graphic>
          </wp:inline>
        </w:drawing>
      </w:r>
      <w:r>
        <w:rPr>
          <w:rFonts w:ascii="宋体"/>
          <w:sz w:val="2"/>
        </w:rPr>
      </w:r>
    </w:p>
    <w:p>
      <w:pPr>
        <w:pStyle w:val="Heading5"/>
        <w:spacing w:line="285" w:lineRule="auto" w:before="9"/>
        <w:ind w:left="234" w:right="1131" w:firstLine="420"/>
        <w:jc w:val="both"/>
      </w:pPr>
      <w:r>
        <w:rPr/>
        <w:pict>
          <v:group style="position:absolute;margin-left:51.300003pt;margin-top:-36.230328pt;width:492.8pt;height:5.5pt;mso-position-horizontal-relative:page;mso-position-vertical-relative:paragraph;z-index:-862168" coordorigin="1026,-725" coordsize="9856,110">
            <v:shape style="position:absolute;left:1026;top:-725;width:2433;height:109" type="#_x0000_t75" stroked="false">
              <v:imagedata r:id="rId27" o:title=""/>
            </v:shape>
            <v:shape style="position:absolute;left:3435;top:-629;width:5421;height:13" type="#_x0000_t75" stroked="false">
              <v:imagedata r:id="rId28" o:title=""/>
            </v:shape>
            <v:shape style="position:absolute;left:8842;top:-625;width:2040;height:10" type="#_x0000_t75" stroked="false">
              <v:imagedata r:id="rId31" o:title=""/>
            </v:shape>
            <w10:wrap type="none"/>
          </v:group>
        </w:pict>
      </w:r>
      <w:r>
        <w:rPr/>
        <w:t>在解锁期内，董事会确认达到解锁条件后，激励对象必须在董事会确定的解锁期内，就当期可申请解锁部</w:t>
      </w:r>
      <w:r>
        <w:rPr>
          <w:w w:val="100"/>
        </w:rPr>
        <w:t> </w:t>
      </w:r>
      <w:r>
        <w:rPr/>
        <w:t>分的限制性股票向公司提交限制性股票解锁申请书。如激励对象未按期限向董事会提交书面申请，视为激励对</w:t>
      </w:r>
      <w:r>
        <w:rPr>
          <w:spacing w:val="-65"/>
        </w:rPr>
        <w:t> </w:t>
      </w:r>
      <w:r>
        <w:rPr>
          <w:spacing w:val="-65"/>
        </w:rPr>
      </w:r>
      <w:r>
        <w:rPr/>
        <w:t>象自愿放弃解锁，相应限制性股票不再解锁并由公司以授予价格回购后注销。若解锁期内任何一期未达到解锁</w:t>
      </w:r>
      <w:r>
        <w:rPr>
          <w:spacing w:val="-65"/>
        </w:rPr>
        <w:t> </w:t>
      </w:r>
      <w:r>
        <w:rPr>
          <w:spacing w:val="-65"/>
        </w:rPr>
      </w:r>
      <w:r>
        <w:rPr/>
        <w:t>条件，则当期可申请解锁的限制性股票不得解锁并由公司回购后注销。</w:t>
      </w:r>
    </w:p>
    <w:p>
      <w:pPr>
        <w:pStyle w:val="Heading5"/>
        <w:spacing w:line="285" w:lineRule="auto"/>
        <w:ind w:left="653" w:right="8033"/>
        <w:jc w:val="left"/>
      </w:pPr>
      <w:r>
        <w:rPr/>
        <w:t>（</w:t>
      </w:r>
      <w:r>
        <w:rPr>
          <w:rFonts w:ascii="宋体" w:hAnsi="宋体" w:cs="宋体" w:eastAsia="宋体" w:hint="default"/>
        </w:rPr>
        <w:t>2</w:t>
      </w:r>
      <w:r>
        <w:rPr/>
        <w:t>）限制性股票解锁条件</w:t>
      </w:r>
      <w:r>
        <w:rPr>
          <w:w w:val="100"/>
        </w:rPr>
        <w:t> </w:t>
      </w:r>
      <w:r>
        <w:rPr>
          <w:rFonts w:ascii="宋体" w:hAnsi="宋体" w:cs="宋体" w:eastAsia="宋体" w:hint="default"/>
        </w:rPr>
        <w:t>A</w:t>
      </w:r>
      <w:r>
        <w:rPr/>
        <w:t>．业绩条件</w:t>
      </w:r>
    </w:p>
    <w:p>
      <w:pPr>
        <w:spacing w:after="0" w:line="285" w:lineRule="auto"/>
        <w:jc w:val="left"/>
        <w:sectPr>
          <w:pgSz w:w="11910" w:h="16840"/>
          <w:pgMar w:header="747" w:footer="979" w:top="1060" w:bottom="1160" w:left="900" w:right="0"/>
        </w:sectPr>
      </w:pPr>
    </w:p>
    <w:p>
      <w:pPr>
        <w:spacing w:line="240" w:lineRule="auto" w:before="1"/>
        <w:rPr>
          <w:rFonts w:ascii="宋体" w:hAnsi="宋体" w:cs="宋体" w:eastAsia="宋体" w:hint="default"/>
          <w:sz w:val="25"/>
          <w:szCs w:val="25"/>
        </w:rPr>
      </w:pPr>
    </w:p>
    <w:p>
      <w:pPr>
        <w:pStyle w:val="Heading5"/>
        <w:spacing w:line="285" w:lineRule="auto" w:before="38"/>
        <w:ind w:left="573" w:right="0"/>
        <w:jc w:val="left"/>
      </w:pPr>
      <w:r>
        <w:rPr/>
        <w:t>激励对象限制性股票解锁条件需满足如下业绩要求：</w:t>
      </w:r>
      <w:r>
        <w:rPr>
          <w:w w:val="100"/>
        </w:rPr>
        <w:t> </w:t>
      </w:r>
      <w:r>
        <w:rPr>
          <w:rFonts w:ascii="宋体" w:hAnsi="宋体" w:cs="宋体" w:eastAsia="宋体" w:hint="default"/>
          <w:spacing w:val="-2"/>
        </w:rPr>
        <w:t>1</w:t>
      </w:r>
      <w:r>
        <w:rPr>
          <w:spacing w:val="-2"/>
        </w:rPr>
        <w:t>）以</w:t>
      </w:r>
      <w:r>
        <w:rPr>
          <w:rFonts w:ascii="宋体" w:hAnsi="宋体" w:cs="宋体" w:eastAsia="宋体" w:hint="default"/>
          <w:spacing w:val="-2"/>
        </w:rPr>
        <w:t>2012</w:t>
      </w:r>
      <w:r>
        <w:rPr>
          <w:spacing w:val="-2"/>
        </w:rPr>
        <w:t>年扣除非经常性损益前后孰低的净利润</w:t>
      </w:r>
      <w:r>
        <w:rPr>
          <w:rFonts w:ascii="宋体" w:hAnsi="宋体" w:cs="宋体" w:eastAsia="宋体" w:hint="default"/>
          <w:spacing w:val="-2"/>
        </w:rPr>
        <w:t>5,818.44</w:t>
      </w:r>
      <w:r>
        <w:rPr>
          <w:spacing w:val="-2"/>
        </w:rPr>
        <w:t>万元为固定基数，</w:t>
      </w:r>
      <w:r>
        <w:rPr>
          <w:rFonts w:ascii="宋体" w:hAnsi="宋体" w:cs="宋体" w:eastAsia="宋体" w:hint="default"/>
          <w:spacing w:val="-2"/>
        </w:rPr>
        <w:t>2013</w:t>
      </w:r>
      <w:r>
        <w:rPr>
          <w:spacing w:val="-2"/>
        </w:rPr>
        <w:t>年、</w:t>
      </w:r>
      <w:r>
        <w:rPr>
          <w:rFonts w:ascii="宋体" w:hAnsi="宋体" w:cs="宋体" w:eastAsia="宋体" w:hint="default"/>
          <w:spacing w:val="-2"/>
        </w:rPr>
        <w:t>2014</w:t>
      </w:r>
      <w:r>
        <w:rPr>
          <w:spacing w:val="-2"/>
        </w:rPr>
        <w:t>年、</w:t>
      </w:r>
      <w:r>
        <w:rPr>
          <w:rFonts w:ascii="宋体" w:hAnsi="宋体" w:cs="宋体" w:eastAsia="宋体" w:hint="default"/>
          <w:spacing w:val="-2"/>
        </w:rPr>
        <w:t>2015</w:t>
      </w:r>
      <w:r>
        <w:rPr>
          <w:spacing w:val="-2"/>
        </w:rPr>
        <w:t>年公司</w:t>
      </w:r>
    </w:p>
    <w:p>
      <w:pPr>
        <w:pStyle w:val="Heading5"/>
        <w:spacing w:line="285" w:lineRule="auto"/>
        <w:ind w:left="574" w:right="2394" w:hanging="420"/>
        <w:jc w:val="left"/>
      </w:pPr>
      <w:r>
        <w:rPr/>
        <w:t>净利润增长率分别不低于</w:t>
      </w:r>
      <w:r>
        <w:rPr>
          <w:rFonts w:ascii="宋体" w:hAnsi="宋体" w:cs="宋体" w:eastAsia="宋体" w:hint="default"/>
        </w:rPr>
        <w:t>80%</w:t>
      </w:r>
      <w:r>
        <w:rPr/>
        <w:t>、</w:t>
      </w:r>
      <w:r>
        <w:rPr>
          <w:rFonts w:ascii="宋体" w:hAnsi="宋体" w:cs="宋体" w:eastAsia="宋体" w:hint="default"/>
        </w:rPr>
        <w:t>125%</w:t>
      </w:r>
      <w:r>
        <w:rPr/>
        <w:t>、</w:t>
      </w:r>
      <w:r>
        <w:rPr>
          <w:rFonts w:ascii="宋体" w:hAnsi="宋体" w:cs="宋体" w:eastAsia="宋体" w:hint="default"/>
        </w:rPr>
        <w:t>180%</w:t>
      </w:r>
      <w:r>
        <w:rPr/>
        <w:t>；</w:t>
      </w:r>
      <w:r>
        <w:rPr>
          <w:w w:val="100"/>
        </w:rPr>
        <w:t> </w:t>
      </w:r>
      <w:r>
        <w:rPr>
          <w:rFonts w:ascii="宋体" w:hAnsi="宋体" w:cs="宋体" w:eastAsia="宋体" w:hint="default"/>
          <w:spacing w:val="-1"/>
        </w:rPr>
        <w:t>2</w:t>
      </w:r>
      <w:r>
        <w:rPr>
          <w:spacing w:val="-1"/>
        </w:rPr>
        <w:t>）</w:t>
      </w:r>
      <w:r>
        <w:rPr>
          <w:rFonts w:ascii="宋体" w:hAnsi="宋体" w:cs="宋体" w:eastAsia="宋体" w:hint="default"/>
          <w:spacing w:val="-1"/>
        </w:rPr>
        <w:t>2013</w:t>
      </w:r>
      <w:r>
        <w:rPr>
          <w:spacing w:val="-1"/>
        </w:rPr>
        <w:t>年、</w:t>
      </w:r>
      <w:r>
        <w:rPr>
          <w:rFonts w:ascii="宋体" w:hAnsi="宋体" w:cs="宋体" w:eastAsia="宋体" w:hint="default"/>
          <w:spacing w:val="-1"/>
        </w:rPr>
        <w:t>2014</w:t>
      </w:r>
      <w:r>
        <w:rPr>
          <w:spacing w:val="-1"/>
        </w:rPr>
        <w:t>年、</w:t>
      </w:r>
      <w:r>
        <w:rPr>
          <w:rFonts w:ascii="宋体" w:hAnsi="宋体" w:cs="宋体" w:eastAsia="宋体" w:hint="default"/>
          <w:spacing w:val="-1"/>
        </w:rPr>
        <w:t>2015</w:t>
      </w:r>
      <w:r>
        <w:rPr>
          <w:spacing w:val="-1"/>
        </w:rPr>
        <w:t>年公司净资产收益率均不低于</w:t>
      </w:r>
      <w:r>
        <w:rPr>
          <w:rFonts w:ascii="宋体" w:hAnsi="宋体" w:cs="宋体" w:eastAsia="宋体" w:hint="default"/>
          <w:spacing w:val="-1"/>
        </w:rPr>
        <w:t>8%</w:t>
      </w:r>
      <w:r>
        <w:rPr>
          <w:spacing w:val="-1"/>
        </w:rPr>
        <w:t>；</w:t>
      </w:r>
    </w:p>
    <w:p>
      <w:pPr>
        <w:pStyle w:val="Heading5"/>
        <w:spacing w:line="285" w:lineRule="auto"/>
        <w:ind w:left="154" w:right="0" w:firstLine="420"/>
        <w:jc w:val="left"/>
      </w:pPr>
      <w:r>
        <w:rPr>
          <w:rFonts w:ascii="宋体" w:hAnsi="宋体" w:cs="宋体" w:eastAsia="宋体" w:hint="default"/>
          <w:spacing w:val="-3"/>
        </w:rPr>
        <w:t>3</w:t>
      </w:r>
      <w:r>
        <w:rPr>
          <w:spacing w:val="-3"/>
        </w:rPr>
        <w:t>）限制性股票锁定期内，各年度归属于上市公司股东的净利润不低于授予日前最近三个会计年度的平均水</w:t>
      </w:r>
      <w:r>
        <w:rPr>
          <w:w w:val="100"/>
        </w:rPr>
        <w:t> </w:t>
      </w:r>
      <w:r>
        <w:rPr/>
        <w:t>平且不得为负。</w:t>
      </w:r>
    </w:p>
    <w:p>
      <w:pPr>
        <w:pStyle w:val="Heading5"/>
        <w:spacing w:line="285" w:lineRule="auto"/>
        <w:ind w:left="154" w:right="1132" w:firstLine="420"/>
        <w:jc w:val="left"/>
      </w:pPr>
      <w:r>
        <w:rPr/>
        <w:t>以上净利润及增长率与净资产收益率指标均以扣除非经常性损益前后孰低的净利润为计算依据，由本次股</w:t>
      </w:r>
      <w:r>
        <w:rPr>
          <w:w w:val="100"/>
        </w:rPr>
        <w:t> </w:t>
      </w:r>
      <w:r>
        <w:rPr/>
        <w:t>权激励产生的成本将在经常性损益中列支。</w:t>
      </w:r>
    </w:p>
    <w:p>
      <w:pPr>
        <w:pStyle w:val="Heading5"/>
        <w:spacing w:line="285" w:lineRule="auto"/>
        <w:ind w:left="574" w:right="1118"/>
        <w:jc w:val="left"/>
      </w:pPr>
      <w:r>
        <w:rPr>
          <w:rFonts w:ascii="宋体" w:hAnsi="宋体" w:cs="宋体" w:eastAsia="宋体" w:hint="default"/>
        </w:rPr>
        <w:t>B</w:t>
      </w:r>
      <w:r>
        <w:rPr/>
        <w:t>．其他条件</w:t>
      </w:r>
      <w:r>
        <w:rPr>
          <w:w w:val="100"/>
        </w:rPr>
        <w:t> </w:t>
      </w:r>
      <w:r>
        <w:rPr>
          <w:spacing w:val="-1"/>
        </w:rPr>
        <w:t>激励对象申请限制性股票进行解锁，在解锁日需同时满足限制性股票在授予日的授予条件，具体如下：</w:t>
      </w:r>
      <w:r>
        <w:rPr>
          <w:spacing w:val="-65"/>
        </w:rPr>
        <w:t> </w:t>
      </w:r>
      <w:r>
        <w:rPr>
          <w:spacing w:val="-65"/>
        </w:rPr>
      </w:r>
      <w:r>
        <w:rPr>
          <w:rFonts w:ascii="宋体" w:hAnsi="宋体" w:cs="宋体" w:eastAsia="宋体" w:hint="default"/>
        </w:rPr>
        <w:t>1</w:t>
      </w:r>
      <w:r>
        <w:rPr/>
        <w:t>）公司未发生如下任一情形：</w:t>
      </w:r>
      <w:r>
        <w:rPr>
          <w:w w:val="100"/>
        </w:rPr>
        <w:t> </w:t>
      </w:r>
      <w:r>
        <w:rPr>
          <w:rFonts w:ascii="宋体" w:hAnsi="宋体" w:cs="宋体" w:eastAsia="宋体" w:hint="default"/>
        </w:rPr>
        <w:t>a.</w:t>
      </w:r>
      <w:r>
        <w:rPr/>
        <w:t>最近一个会计年度财务会计报告被注册会计师出具否定意见或者无法表示意见的审计报告；</w:t>
      </w:r>
      <w:r>
        <w:rPr>
          <w:w w:val="100"/>
        </w:rPr>
        <w:t> </w:t>
      </w:r>
      <w:r>
        <w:rPr>
          <w:rFonts w:ascii="宋体" w:hAnsi="宋体" w:cs="宋体" w:eastAsia="宋体" w:hint="default"/>
        </w:rPr>
        <w:t>b.</w:t>
      </w:r>
      <w:r>
        <w:rPr/>
        <w:t>最近一年内因重大违法违规行为被中国证券监督管理委员会予以行政处罚；</w:t>
      </w:r>
      <w:r>
        <w:rPr>
          <w:w w:val="100"/>
        </w:rPr>
        <w:t> </w:t>
      </w:r>
      <w:r>
        <w:rPr>
          <w:rFonts w:ascii="宋体" w:hAnsi="宋体" w:cs="宋体" w:eastAsia="宋体" w:hint="default"/>
        </w:rPr>
        <w:t>c.</w:t>
      </w:r>
      <w:r>
        <w:rPr/>
        <w:t>中国证券监督管理委员会认定的其他情形。</w:t>
      </w:r>
    </w:p>
    <w:p>
      <w:pPr>
        <w:pStyle w:val="Heading5"/>
        <w:spacing w:line="285" w:lineRule="auto"/>
        <w:ind w:left="574" w:right="2112"/>
        <w:jc w:val="left"/>
      </w:pPr>
      <w:r>
        <w:rPr>
          <w:rFonts w:ascii="宋体" w:hAnsi="宋体" w:cs="宋体" w:eastAsia="宋体" w:hint="default"/>
        </w:rPr>
        <w:t>2</w:t>
      </w:r>
      <w:r>
        <w:rPr/>
        <w:t>）激励对象未发生如下任一情形：</w:t>
      </w:r>
      <w:r>
        <w:rPr>
          <w:w w:val="100"/>
        </w:rPr>
        <w:t> </w:t>
      </w:r>
      <w:r>
        <w:rPr>
          <w:rFonts w:ascii="宋体" w:hAnsi="宋体" w:cs="宋体" w:eastAsia="宋体" w:hint="default"/>
        </w:rPr>
        <w:t>a.</w:t>
      </w:r>
      <w:r>
        <w:rPr/>
        <w:t>最近三年内被证券交易所公开谴责或宣布为不适当人选的；</w:t>
      </w:r>
      <w:r>
        <w:rPr>
          <w:w w:val="100"/>
        </w:rPr>
        <w:t> </w:t>
      </w:r>
      <w:r>
        <w:rPr>
          <w:rFonts w:ascii="宋体" w:hAnsi="宋体" w:cs="宋体" w:eastAsia="宋体" w:hint="default"/>
        </w:rPr>
        <w:t>b.</w:t>
      </w:r>
      <w:r>
        <w:rPr/>
        <w:t>最近三年内因重大违法违规行为被中国证券监督管理委员会予以行政处罚的；</w:t>
      </w:r>
      <w:r>
        <w:rPr>
          <w:w w:val="100"/>
        </w:rPr>
        <w:t> </w:t>
      </w:r>
      <w:r>
        <w:rPr>
          <w:rFonts w:ascii="宋体" w:hAnsi="宋体" w:cs="宋体" w:eastAsia="宋体" w:hint="default"/>
          <w:spacing w:val="-1"/>
        </w:rPr>
        <w:t>c.</w:t>
      </w:r>
      <w:r>
        <w:rPr>
          <w:spacing w:val="-1"/>
        </w:rPr>
        <w:t>具有《中华人民共和国公司法》规定的不得担任公司董事、监事、高级管理人员情形的。</w:t>
      </w:r>
    </w:p>
    <w:p>
      <w:pPr>
        <w:pStyle w:val="Heading5"/>
        <w:spacing w:line="285" w:lineRule="auto"/>
        <w:ind w:left="154" w:right="0" w:firstLine="420"/>
        <w:jc w:val="left"/>
      </w:pPr>
      <w:r>
        <w:rPr>
          <w:rFonts w:ascii="宋体" w:hAnsi="宋体" w:cs="宋体" w:eastAsia="宋体" w:hint="default"/>
          <w:spacing w:val="-3"/>
        </w:rPr>
        <w:t>3</w:t>
      </w:r>
      <w:r>
        <w:rPr>
          <w:spacing w:val="-3"/>
        </w:rPr>
        <w:t>）根据《二六三网络通信股份有限公司</w:t>
      </w:r>
      <w:r>
        <w:rPr>
          <w:rFonts w:ascii="宋体" w:hAnsi="宋体" w:cs="宋体" w:eastAsia="宋体" w:hint="default"/>
          <w:spacing w:val="-3"/>
        </w:rPr>
        <w:t>2013</w:t>
      </w:r>
      <w:r>
        <w:rPr>
          <w:spacing w:val="-3"/>
        </w:rPr>
        <w:t>年限制性股票激励计划实施考核办法》，激励对象考核年度绩</w:t>
      </w:r>
      <w:r>
        <w:rPr>
          <w:w w:val="100"/>
        </w:rPr>
        <w:t> </w:t>
      </w:r>
      <w:r>
        <w:rPr/>
        <w:t>效考核合格及以上。</w:t>
      </w:r>
    </w:p>
    <w:p>
      <w:pPr>
        <w:pStyle w:val="Heading5"/>
        <w:spacing w:line="240" w:lineRule="auto"/>
        <w:ind w:left="574" w:right="0"/>
        <w:jc w:val="left"/>
      </w:pPr>
      <w:r>
        <w:rPr/>
        <w:t>（</w:t>
      </w:r>
      <w:r>
        <w:rPr>
          <w:rFonts w:ascii="宋体" w:hAnsi="宋体" w:cs="宋体" w:eastAsia="宋体" w:hint="default"/>
        </w:rPr>
        <w:t>3</w:t>
      </w:r>
      <w:r>
        <w:rPr/>
        <w:t>）</w:t>
      </w:r>
      <w:r>
        <w:rPr>
          <w:rFonts w:ascii="宋体" w:hAnsi="宋体" w:cs="宋体" w:eastAsia="宋体" w:hint="default"/>
        </w:rPr>
        <w:t>.</w:t>
      </w:r>
      <w:r>
        <w:rPr/>
        <w:t>解锁及回购情况</w:t>
      </w:r>
    </w:p>
    <w:p>
      <w:pPr>
        <w:pStyle w:val="Heading5"/>
        <w:spacing w:line="285" w:lineRule="auto" w:before="50"/>
        <w:ind w:right="1129" w:firstLine="420"/>
        <w:jc w:val="both"/>
        <w:rPr>
          <w:rFonts w:ascii="宋体" w:hAnsi="宋体" w:cs="宋体" w:eastAsia="宋体" w:hint="default"/>
        </w:rPr>
      </w:pPr>
      <w:r>
        <w:rPr>
          <w:rFonts w:ascii="宋体" w:hAnsi="宋体" w:cs="宋体" w:eastAsia="宋体" w:hint="default"/>
        </w:rPr>
        <w:t>1</w:t>
      </w:r>
      <w:r>
        <w:rPr/>
        <w:t>）本公司于 </w:t>
      </w:r>
      <w:r>
        <w:rPr>
          <w:rFonts w:ascii="宋体" w:hAnsi="宋体" w:cs="宋体" w:eastAsia="宋体" w:hint="default"/>
        </w:rPr>
        <w:t>2014 </w:t>
      </w:r>
      <w:r>
        <w:rPr/>
        <w:t>年 </w:t>
      </w:r>
      <w:r>
        <w:rPr>
          <w:rFonts w:ascii="宋体" w:hAnsi="宋体" w:cs="宋体" w:eastAsia="宋体" w:hint="default"/>
        </w:rPr>
        <w:t>3 </w:t>
      </w:r>
      <w:r>
        <w:rPr/>
        <w:t>月 </w:t>
      </w:r>
      <w:r>
        <w:rPr>
          <w:rFonts w:ascii="宋体" w:hAnsi="宋体" w:cs="宋体" w:eastAsia="宋体" w:hint="default"/>
        </w:rPr>
        <w:t>24</w:t>
      </w:r>
      <w:r>
        <w:rPr>
          <w:rFonts w:ascii="宋体" w:hAnsi="宋体" w:cs="宋体" w:eastAsia="宋体" w:hint="default"/>
          <w:spacing w:val="13"/>
        </w:rPr>
        <w:t> </w:t>
      </w:r>
      <w:r>
        <w:rPr/>
        <w:t>日召开的第四届董事会第十七次会议和第四届监事会第十一次会议审议通</w:t>
      </w:r>
      <w:r>
        <w:rPr>
          <w:w w:val="100"/>
        </w:rPr>
        <w:t> </w:t>
      </w:r>
      <w:r>
        <w:rPr/>
        <w:t>过了《关于回购注销已离职股权激励对象所持已获授但尚未解锁的限制性股票的议案》。公司激励对象闫斌、</w:t>
      </w:r>
      <w:r>
        <w:rPr>
          <w:spacing w:val="-65"/>
        </w:rPr>
        <w:t> </w:t>
      </w:r>
      <w:r>
        <w:rPr>
          <w:spacing w:val="-65"/>
        </w:rPr>
      </w:r>
      <w:r>
        <w:rPr>
          <w:spacing w:val="-3"/>
        </w:rPr>
        <w:t>殷宇安、李春琦已离职，已不符合激励条件，公司决定回购注销其已获授但尚未解锁的限制性股票共计</w:t>
      </w:r>
      <w:r>
        <w:rPr>
          <w:spacing w:val="61"/>
        </w:rPr>
        <w:t> </w:t>
      </w:r>
      <w:r>
        <w:rPr>
          <w:rFonts w:ascii="宋体" w:hAnsi="宋体" w:cs="宋体" w:eastAsia="宋体" w:hint="default"/>
        </w:rPr>
        <w:t>40,000</w:t>
      </w:r>
    </w:p>
    <w:p>
      <w:pPr>
        <w:pStyle w:val="Heading5"/>
        <w:spacing w:line="240" w:lineRule="auto"/>
        <w:ind w:right="0"/>
        <w:jc w:val="left"/>
      </w:pPr>
      <w:r>
        <w:rPr>
          <w:spacing w:val="2"/>
        </w:rPr>
        <w:t>股，此次限制性股票回购价格为 </w:t>
      </w:r>
      <w:r>
        <w:rPr>
          <w:rFonts w:ascii="宋体" w:hAnsi="宋体" w:cs="宋体" w:eastAsia="宋体" w:hint="default"/>
        </w:rPr>
        <w:t>10.89</w:t>
      </w:r>
      <w:r>
        <w:rPr>
          <w:rFonts w:ascii="宋体" w:hAnsi="宋体" w:cs="宋体" w:eastAsia="宋体" w:hint="default"/>
          <w:spacing w:val="83"/>
        </w:rPr>
        <w:t> </w:t>
      </w:r>
      <w:r>
        <w:rPr>
          <w:spacing w:val="3"/>
        </w:rPr>
        <w:t>元</w:t>
      </w:r>
      <w:r>
        <w:rPr>
          <w:rFonts w:ascii="宋体" w:hAnsi="宋体" w:cs="宋体" w:eastAsia="宋体" w:hint="default"/>
          <w:spacing w:val="3"/>
        </w:rPr>
        <w:t>/</w:t>
      </w:r>
      <w:r>
        <w:rPr>
          <w:spacing w:val="3"/>
        </w:rPr>
        <w:t>股，公司应就本次限制性股票回购向上述三人支付回购价款共计</w:t>
      </w:r>
    </w:p>
    <w:p>
      <w:pPr>
        <w:pStyle w:val="Heading5"/>
        <w:spacing w:line="240" w:lineRule="auto" w:before="50"/>
        <w:ind w:left="154" w:right="0"/>
        <w:jc w:val="left"/>
      </w:pPr>
      <w:r>
        <w:rPr>
          <w:rFonts w:ascii="宋体" w:hAnsi="宋体" w:cs="宋体" w:eastAsia="宋体" w:hint="default"/>
        </w:rPr>
        <w:t>435,600 </w:t>
      </w:r>
      <w:r>
        <w:rPr/>
        <w:t>元。</w:t>
      </w:r>
      <w:r>
        <w:rPr>
          <w:rFonts w:ascii="宋体" w:hAnsi="宋体" w:cs="宋体" w:eastAsia="宋体" w:hint="default"/>
        </w:rPr>
        <w:t>2014 </w:t>
      </w:r>
      <w:r>
        <w:rPr/>
        <w:t>年 </w:t>
      </w:r>
      <w:r>
        <w:rPr>
          <w:rFonts w:ascii="宋体" w:hAnsi="宋体" w:cs="宋体" w:eastAsia="宋体" w:hint="default"/>
        </w:rPr>
        <w:t>5 </w:t>
      </w:r>
      <w:r>
        <w:rPr/>
        <w:t>月 </w:t>
      </w:r>
      <w:r>
        <w:rPr>
          <w:rFonts w:ascii="宋体" w:hAnsi="宋体" w:cs="宋体" w:eastAsia="宋体" w:hint="default"/>
        </w:rPr>
        <w:t>21</w:t>
      </w:r>
      <w:r>
        <w:rPr>
          <w:rFonts w:ascii="宋体" w:hAnsi="宋体" w:cs="宋体" w:eastAsia="宋体" w:hint="default"/>
          <w:spacing w:val="-9"/>
        </w:rPr>
        <w:t> </w:t>
      </w:r>
      <w:r>
        <w:rPr/>
        <w:t>日，公司完成了对上述股份的回购注销。</w:t>
      </w:r>
    </w:p>
    <w:p>
      <w:pPr>
        <w:pStyle w:val="Heading5"/>
        <w:spacing w:line="240" w:lineRule="auto" w:before="50"/>
        <w:ind w:left="495" w:right="952"/>
        <w:jc w:val="center"/>
      </w:pPr>
      <w:r>
        <w:rPr>
          <w:rFonts w:ascii="宋体" w:hAnsi="宋体" w:cs="宋体" w:eastAsia="宋体" w:hint="default"/>
          <w:spacing w:val="2"/>
        </w:rPr>
        <w:t>2</w:t>
      </w:r>
      <w:r>
        <w:rPr>
          <w:spacing w:val="2"/>
        </w:rPr>
        <w:t>）本公司于</w:t>
      </w:r>
      <w:r>
        <w:rPr>
          <w:rFonts w:ascii="宋体" w:hAnsi="宋体" w:cs="宋体" w:eastAsia="宋体" w:hint="default"/>
          <w:spacing w:val="2"/>
        </w:rPr>
        <w:t>2014 </w:t>
      </w:r>
      <w:r>
        <w:rPr/>
        <w:t>年 </w:t>
      </w:r>
      <w:r>
        <w:rPr>
          <w:rFonts w:ascii="宋体" w:hAnsi="宋体" w:cs="宋体" w:eastAsia="宋体" w:hint="default"/>
        </w:rPr>
        <w:t>5 </w:t>
      </w:r>
      <w:r>
        <w:rPr/>
        <w:t>月 </w:t>
      </w:r>
      <w:r>
        <w:rPr>
          <w:rFonts w:ascii="宋体" w:hAnsi="宋体" w:cs="宋体" w:eastAsia="宋体" w:hint="default"/>
        </w:rPr>
        <w:t>20 </w:t>
      </w:r>
      <w:r>
        <w:rPr/>
        <w:t>日召开的</w:t>
      </w:r>
      <w:r>
        <w:rPr>
          <w:rFonts w:ascii="宋体" w:hAnsi="宋体" w:cs="宋体" w:eastAsia="宋体" w:hint="default"/>
        </w:rPr>
        <w:t>2013 </w:t>
      </w:r>
      <w:r>
        <w:rPr>
          <w:spacing w:val="2"/>
        </w:rPr>
        <w:t>年年度股东大会决定，公司于 </w:t>
      </w:r>
      <w:r>
        <w:rPr>
          <w:rFonts w:ascii="宋体" w:hAnsi="宋体" w:cs="宋体" w:eastAsia="宋体" w:hint="default"/>
        </w:rPr>
        <w:t>2014 </w:t>
      </w:r>
      <w:r>
        <w:rPr/>
        <w:t>年 </w:t>
      </w:r>
      <w:r>
        <w:rPr>
          <w:rFonts w:ascii="宋体" w:hAnsi="宋体" w:cs="宋体" w:eastAsia="宋体" w:hint="default"/>
        </w:rPr>
        <w:t>5 </w:t>
      </w:r>
      <w:r>
        <w:rPr/>
        <w:t>月 </w:t>
      </w:r>
      <w:r>
        <w:rPr>
          <w:rFonts w:ascii="宋体" w:hAnsi="宋体" w:cs="宋体" w:eastAsia="宋体" w:hint="default"/>
        </w:rPr>
        <w:t>30 </w:t>
      </w:r>
      <w:r>
        <w:rPr>
          <w:rFonts w:ascii="宋体" w:hAnsi="宋体" w:cs="宋体" w:eastAsia="宋体" w:hint="default"/>
          <w:spacing w:val="41"/>
        </w:rPr>
        <w:t> </w:t>
      </w:r>
      <w:r>
        <w:rPr>
          <w:spacing w:val="2"/>
        </w:rPr>
        <w:t>日实施</w:t>
      </w:r>
    </w:p>
    <w:p>
      <w:pPr>
        <w:pStyle w:val="Heading5"/>
        <w:spacing w:line="240" w:lineRule="auto" w:before="50"/>
        <w:ind w:right="0"/>
        <w:jc w:val="left"/>
      </w:pPr>
      <w:r>
        <w:rPr>
          <w:rFonts w:ascii="宋体" w:hAnsi="宋体" w:cs="宋体" w:eastAsia="宋体" w:hint="default"/>
        </w:rPr>
        <w:t>2013 </w:t>
      </w:r>
      <w:r>
        <w:rPr/>
        <w:t>年度利润分配方案：以公司总股本 </w:t>
      </w:r>
      <w:r>
        <w:rPr>
          <w:rFonts w:ascii="宋体" w:hAnsi="宋体" w:cs="宋体" w:eastAsia="宋体" w:hint="default"/>
        </w:rPr>
        <w:t>241,227,000 </w:t>
      </w:r>
      <w:r>
        <w:rPr/>
        <w:t>股为基数，向全体股东每 </w:t>
      </w:r>
      <w:r>
        <w:rPr>
          <w:rFonts w:ascii="宋体" w:hAnsi="宋体" w:cs="宋体" w:eastAsia="宋体" w:hint="default"/>
        </w:rPr>
        <w:t>10 </w:t>
      </w:r>
      <w:r>
        <w:rPr/>
        <w:t>股派 </w:t>
      </w:r>
      <w:r>
        <w:rPr>
          <w:rFonts w:ascii="宋体" w:hAnsi="宋体" w:cs="宋体" w:eastAsia="宋体" w:hint="default"/>
        </w:rPr>
        <w:t>4.000663</w:t>
      </w:r>
      <w:r>
        <w:rPr>
          <w:rFonts w:ascii="宋体" w:hAnsi="宋体" w:cs="宋体" w:eastAsia="宋体" w:hint="default"/>
          <w:spacing w:val="33"/>
        </w:rPr>
        <w:t> </w:t>
      </w:r>
      <w:r>
        <w:rPr/>
        <w:t>元人民币</w:t>
      </w:r>
    </w:p>
    <w:p>
      <w:pPr>
        <w:pStyle w:val="Heading5"/>
        <w:spacing w:line="285" w:lineRule="auto" w:before="50"/>
        <w:ind w:left="573" w:right="3859" w:hanging="420"/>
        <w:jc w:val="left"/>
      </w:pPr>
      <w:r>
        <w:rPr/>
        <w:t>现金（含税），同时，以资本公积金向全体股东每 </w:t>
      </w:r>
      <w:r>
        <w:rPr>
          <w:rFonts w:ascii="宋体" w:hAnsi="宋体" w:cs="宋体" w:eastAsia="宋体" w:hint="default"/>
        </w:rPr>
        <w:t>10 </w:t>
      </w:r>
      <w:r>
        <w:rPr/>
        <w:t>股转增 </w:t>
      </w:r>
      <w:r>
        <w:rPr>
          <w:rFonts w:ascii="宋体" w:hAnsi="宋体" w:cs="宋体" w:eastAsia="宋体" w:hint="default"/>
        </w:rPr>
        <w:t>10.001650</w:t>
      </w:r>
      <w:r>
        <w:rPr>
          <w:rFonts w:ascii="宋体" w:hAnsi="宋体" w:cs="宋体" w:eastAsia="宋体" w:hint="default"/>
          <w:spacing w:val="-6"/>
        </w:rPr>
        <w:t> </w:t>
      </w:r>
      <w:r>
        <w:rPr/>
        <w:t>股。</w:t>
      </w:r>
      <w:r>
        <w:rPr>
          <w:w w:val="100"/>
        </w:rPr>
        <w:t> </w:t>
      </w:r>
      <w:r>
        <w:rPr/>
        <w:t>此次利润分配后，限制性股票股数增加至</w:t>
      </w:r>
      <w:r>
        <w:rPr>
          <w:rFonts w:ascii="宋体" w:hAnsi="宋体" w:cs="宋体" w:eastAsia="宋体" w:hint="default"/>
        </w:rPr>
        <w:t>249.4202</w:t>
      </w:r>
      <w:r>
        <w:rPr/>
        <w:t>万股。</w:t>
      </w:r>
    </w:p>
    <w:p>
      <w:pPr>
        <w:pStyle w:val="Heading5"/>
        <w:spacing w:line="240" w:lineRule="auto"/>
        <w:ind w:left="573" w:right="0"/>
        <w:jc w:val="left"/>
      </w:pPr>
      <w:r>
        <w:rPr>
          <w:rFonts w:ascii="宋体" w:hAnsi="宋体" w:cs="宋体" w:eastAsia="宋体" w:hint="default"/>
        </w:rPr>
        <w:t>3</w:t>
      </w:r>
      <w:r>
        <w:rPr/>
        <w:t>）</w:t>
      </w:r>
      <w:r>
        <w:rPr>
          <w:rFonts w:ascii="宋体" w:hAnsi="宋体" w:cs="宋体" w:eastAsia="宋体" w:hint="default"/>
        </w:rPr>
        <w:t>2014</w:t>
      </w:r>
      <w:r>
        <w:rPr/>
        <w:t>年由于白彦清等 </w:t>
      </w:r>
      <w:r>
        <w:rPr>
          <w:rFonts w:ascii="宋体" w:hAnsi="宋体" w:cs="宋体" w:eastAsia="宋体" w:hint="default"/>
        </w:rPr>
        <w:t>10</w:t>
      </w:r>
      <w:r>
        <w:rPr>
          <w:rFonts w:ascii="宋体" w:hAnsi="宋体" w:cs="宋体" w:eastAsia="宋体" w:hint="default"/>
          <w:spacing w:val="9"/>
        </w:rPr>
        <w:t> </w:t>
      </w:r>
      <w:r>
        <w:rPr>
          <w:spacing w:val="-3"/>
        </w:rPr>
        <w:t>人因离职已不符合激励条件，根据公司《激励计划》“第十一章股权激励计划</w:t>
      </w:r>
    </w:p>
    <w:p>
      <w:pPr>
        <w:pStyle w:val="Heading5"/>
        <w:spacing w:line="285" w:lineRule="auto" w:before="50"/>
        <w:ind w:right="1132"/>
        <w:jc w:val="both"/>
      </w:pPr>
      <w:r>
        <w:rPr/>
        <w:t>的变更与终止”和“第十三章限制性股票的回购注销”等规定以及公司 </w:t>
      </w:r>
      <w:r>
        <w:rPr>
          <w:rFonts w:ascii="宋体" w:hAnsi="宋体" w:cs="宋体" w:eastAsia="宋体" w:hint="default"/>
        </w:rPr>
        <w:t>2014</w:t>
      </w:r>
      <w:r>
        <w:rPr>
          <w:rFonts w:ascii="宋体" w:hAnsi="宋体" w:cs="宋体" w:eastAsia="宋体" w:hint="default"/>
          <w:spacing w:val="32"/>
        </w:rPr>
        <w:t> </w:t>
      </w:r>
      <w:r>
        <w:rPr/>
        <w:t>年第一次临时股东大会审议通过</w:t>
      </w:r>
      <w:r>
        <w:rPr>
          <w:w w:val="100"/>
        </w:rPr>
        <w:t> </w:t>
      </w:r>
      <w:r>
        <w:rPr/>
        <w:t>的《关于股东大会授权董事会办理公司限制性股票激励计划相关事宜的议案》的规定，公司董事会决定对上述</w:t>
      </w:r>
      <w:r>
        <w:rPr>
          <w:spacing w:val="-65"/>
        </w:rPr>
        <w:t> </w:t>
      </w:r>
      <w:r>
        <w:rPr>
          <w:spacing w:val="-65"/>
        </w:rPr>
      </w:r>
      <w:r>
        <w:rPr/>
        <w:t>十人所持有的已获授但尚未解锁的限制性股票共计</w:t>
      </w:r>
      <w:r>
        <w:rPr>
          <w:rFonts w:ascii="宋体" w:hAnsi="宋体" w:cs="宋体" w:eastAsia="宋体" w:hint="default"/>
        </w:rPr>
        <w:t>255,020</w:t>
      </w:r>
      <w:r>
        <w:rPr/>
        <w:t>股进行回购后注销。</w:t>
      </w:r>
    </w:p>
    <w:p>
      <w:pPr>
        <w:pStyle w:val="Heading5"/>
        <w:spacing w:line="285" w:lineRule="auto"/>
        <w:ind w:left="154" w:right="1042" w:firstLine="420"/>
        <w:jc w:val="left"/>
      </w:pPr>
      <w:r>
        <w:rPr/>
        <w:t>根据《公司</w:t>
      </w:r>
      <w:r>
        <w:rPr>
          <w:rFonts w:ascii="宋体" w:hAnsi="宋体" w:cs="宋体" w:eastAsia="宋体" w:hint="default"/>
        </w:rPr>
        <w:t>2013</w:t>
      </w:r>
      <w:r>
        <w:rPr/>
        <w:t>年限制性股票激励计划（草案修订稿）》“第十三章</w:t>
      </w:r>
      <w:r>
        <w:rPr>
          <w:spacing w:val="-10"/>
        </w:rPr>
        <w:t> </w:t>
      </w:r>
      <w:r>
        <w:rPr/>
        <w:t>限制性股票的回购注销相关规定”：</w:t>
      </w:r>
      <w:r>
        <w:rPr>
          <w:w w:val="100"/>
        </w:rPr>
        <w:t> </w:t>
      </w:r>
      <w:r>
        <w:rPr/>
        <w:t>若限制性股票在授予后，公司发生资本公积金转增股本、派发股票红利、配股等影响公司股本总量或公司股票</w:t>
      </w:r>
      <w:r>
        <w:rPr>
          <w:spacing w:val="-63"/>
        </w:rPr>
        <w:t> </w:t>
      </w:r>
      <w:r>
        <w:rPr>
          <w:spacing w:val="-63"/>
        </w:rPr>
      </w:r>
      <w:r>
        <w:rPr/>
        <w:t>价格应进行除权的情况时，公司对尚未解锁的限制性股票的回购价格做相应的调整。调整依据为：</w:t>
      </w:r>
    </w:p>
    <w:p>
      <w:pPr>
        <w:pStyle w:val="Heading5"/>
        <w:spacing w:line="285" w:lineRule="auto"/>
        <w:ind w:left="574" w:right="0"/>
        <w:jc w:val="left"/>
      </w:pPr>
      <w:r>
        <w:rPr/>
        <w:t>如上述公司</w:t>
      </w:r>
      <w:r>
        <w:rPr>
          <w:rFonts w:ascii="宋体" w:hAnsi="宋体" w:cs="宋体" w:eastAsia="宋体" w:hint="default"/>
        </w:rPr>
        <w:t>2013</w:t>
      </w:r>
      <w:r>
        <w:rPr/>
        <w:t>年度权益分派方案实施，本次股份回购价格调整为</w:t>
      </w:r>
      <w:r>
        <w:rPr>
          <w:rFonts w:ascii="宋体" w:hAnsi="宋体" w:cs="宋体" w:eastAsia="宋体" w:hint="default"/>
        </w:rPr>
        <w:t>5.244</w:t>
      </w:r>
      <w:r>
        <w:rPr/>
        <w:t>元。</w:t>
      </w:r>
      <w:r>
        <w:rPr>
          <w:spacing w:val="-2"/>
          <w:w w:val="100"/>
        </w:rPr>
        <w:t> </w:t>
      </w:r>
      <w:r>
        <w:rPr/>
        <w:t>公司应就此次限制性股票回购向上述十人支付回购价款共计</w:t>
      </w:r>
      <w:r>
        <w:rPr>
          <w:rFonts w:ascii="宋体" w:hAnsi="宋体" w:cs="宋体" w:eastAsia="宋体" w:hint="default"/>
        </w:rPr>
        <w:t>1,337,459.96</w:t>
      </w:r>
      <w:r>
        <w:rPr/>
        <w:t>元，公司将使用自有资金进行回</w:t>
      </w:r>
    </w:p>
    <w:p>
      <w:pPr>
        <w:pStyle w:val="Heading5"/>
        <w:spacing w:line="240" w:lineRule="auto"/>
        <w:ind w:left="154" w:right="0"/>
        <w:jc w:val="left"/>
      </w:pPr>
      <w:r>
        <w:rPr/>
        <w:t>购。</w:t>
      </w:r>
    </w:p>
    <w:p>
      <w:pPr>
        <w:pStyle w:val="Heading5"/>
        <w:spacing w:line="240" w:lineRule="auto" w:before="50"/>
        <w:ind w:left="574" w:right="0"/>
        <w:jc w:val="left"/>
      </w:pP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13</w:t>
      </w:r>
      <w:r>
        <w:rPr/>
        <w:t>日，本公司召开了第四届董事会第十六次会议和第四届监事会第十次会议审议通过了《关</w:t>
      </w:r>
    </w:p>
    <w:p>
      <w:pPr>
        <w:pStyle w:val="Heading5"/>
        <w:spacing w:line="285" w:lineRule="auto" w:before="50"/>
        <w:ind w:left="154" w:right="1129"/>
        <w:jc w:val="both"/>
      </w:pPr>
      <w:r>
        <w:rPr>
          <w:spacing w:val="-6"/>
          <w:w w:val="100"/>
        </w:rPr>
        <w:t>于向激励对象授予限制性股票的议案》，确定以</w:t>
      </w:r>
      <w:r>
        <w:rPr>
          <w:rFonts w:ascii="宋体" w:hAnsi="宋体" w:cs="宋体" w:eastAsia="宋体" w:hint="default"/>
          <w:spacing w:val="-6"/>
          <w:w w:val="100"/>
        </w:rPr>
        <w:t>2014</w:t>
      </w:r>
      <w:r>
        <w:rPr>
          <w:spacing w:val="-6"/>
          <w:w w:val="100"/>
        </w:rPr>
        <w:t>年</w:t>
      </w:r>
      <w:r>
        <w:rPr>
          <w:rFonts w:ascii="宋体" w:hAnsi="宋体" w:cs="宋体" w:eastAsia="宋体" w:hint="default"/>
          <w:spacing w:val="-6"/>
          <w:w w:val="100"/>
        </w:rPr>
        <w:t>1</w:t>
      </w:r>
      <w:r>
        <w:rPr>
          <w:spacing w:val="-6"/>
          <w:w w:val="100"/>
        </w:rPr>
        <w:t>月</w:t>
      </w:r>
      <w:r>
        <w:rPr>
          <w:rFonts w:ascii="宋体" w:hAnsi="宋体" w:cs="宋体" w:eastAsia="宋体" w:hint="default"/>
          <w:spacing w:val="-6"/>
          <w:w w:val="100"/>
        </w:rPr>
        <w:t>13</w:t>
      </w:r>
      <w:r>
        <w:rPr>
          <w:spacing w:val="-6"/>
          <w:w w:val="100"/>
        </w:rPr>
        <w:t>日作为公司限制性股票激励计划的授予日，截至</w:t>
      </w:r>
      <w:r>
        <w:rPr>
          <w:rFonts w:ascii="宋体" w:hAnsi="宋体" w:cs="宋体" w:eastAsia="宋体" w:hint="default"/>
          <w:spacing w:val="-6"/>
          <w:w w:val="100"/>
        </w:rPr>
        <w:t>2015</w:t>
      </w:r>
      <w:r>
        <w:rPr>
          <w:rFonts w:ascii="宋体" w:hAnsi="宋体" w:cs="宋体" w:eastAsia="宋体" w:hint="default"/>
          <w:spacing w:val="-64"/>
          <w:w w:val="100"/>
        </w:rPr>
        <w:t> </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日锁定期已届满。董事会认为公司限制性股票激励计划设定的第一个解锁期解锁条件已经成就，且本次</w:t>
      </w:r>
      <w:r>
        <w:rPr>
          <w:spacing w:val="-75"/>
        </w:rPr>
        <w:t> </w:t>
      </w:r>
      <w:r>
        <w:rPr>
          <w:spacing w:val="-75"/>
        </w:rPr>
      </w:r>
      <w:r>
        <w:rPr/>
        <w:t>实施的股权激励计划与已披露的激励计划无差异。根据公司</w:t>
      </w:r>
      <w:r>
        <w:rPr>
          <w:rFonts w:ascii="宋体" w:hAnsi="宋体" w:cs="宋体" w:eastAsia="宋体" w:hint="default"/>
        </w:rPr>
        <w:t>2014</w:t>
      </w:r>
      <w:r>
        <w:rPr>
          <w:rFonts w:ascii="宋体" w:hAnsi="宋体" w:cs="宋体" w:eastAsia="宋体" w:hint="default"/>
          <w:spacing w:val="-16"/>
        </w:rPr>
        <w:t> </w:t>
      </w:r>
      <w:r>
        <w:rPr>
          <w:spacing w:val="-3"/>
        </w:rPr>
        <w:t>年第一次临时股东大会的授权，董事会同意办</w:t>
      </w:r>
    </w:p>
    <w:p>
      <w:pPr>
        <w:spacing w:after="0" w:line="285"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left="573" w:right="0" w:hanging="420"/>
        <w:jc w:val="left"/>
      </w:pPr>
      <w:r>
        <w:rPr/>
        <w:t>理授予的限制性股票的第一期解锁事宜。</w:t>
      </w:r>
      <w:r>
        <w:rPr>
          <w:w w:val="100"/>
        </w:rPr>
        <w:t> </w:t>
      </w:r>
      <w:r>
        <w:rPr/>
        <w:t>本次解除限售股份的上市流通日期为</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13</w:t>
      </w:r>
      <w:r>
        <w:rPr/>
        <w:t>日，可解锁的限制性股票数量为</w:t>
      </w:r>
      <w:r>
        <w:rPr>
          <w:rFonts w:ascii="宋体" w:hAnsi="宋体" w:cs="宋体" w:eastAsia="宋体" w:hint="default"/>
        </w:rPr>
        <w:t>666,011</w:t>
      </w:r>
      <w:r>
        <w:rPr/>
        <w:t>股，根据股权激</w:t>
      </w:r>
    </w:p>
    <w:p>
      <w:pPr>
        <w:pStyle w:val="Heading5"/>
        <w:spacing w:line="285" w:lineRule="auto"/>
        <w:ind w:left="154" w:right="0"/>
        <w:jc w:val="left"/>
      </w:pPr>
      <w:r>
        <w:rPr>
          <w:spacing w:val="-2"/>
        </w:rPr>
        <w:t>励计划相关规定，各激励对象在本期可解锁的限制性股票数量占获授总数的比例均为</w:t>
      </w:r>
      <w:r>
        <w:rPr>
          <w:rFonts w:ascii="宋体" w:hAnsi="宋体" w:cs="宋体" w:eastAsia="宋体" w:hint="default"/>
          <w:spacing w:val="-2"/>
        </w:rPr>
        <w:t>30%</w:t>
      </w:r>
      <w:r>
        <w:rPr>
          <w:spacing w:val="-2"/>
        </w:rPr>
        <w:t>，剩余未解锁限制性股</w:t>
      </w:r>
      <w:r>
        <w:rPr>
          <w:spacing w:val="-75"/>
        </w:rPr>
        <w:t> </w:t>
      </w:r>
      <w:r>
        <w:rPr>
          <w:spacing w:val="-75"/>
        </w:rPr>
      </w:r>
      <w:r>
        <w:rPr/>
        <w:t>票数量</w:t>
      </w:r>
      <w:r>
        <w:rPr>
          <w:rFonts w:ascii="宋体" w:hAnsi="宋体" w:cs="宋体" w:eastAsia="宋体" w:hint="default"/>
        </w:rPr>
        <w:t>1,533,171</w:t>
      </w:r>
      <w:r>
        <w:rPr/>
        <w:t>股。</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以权益结算的股份支付情况" w:id="370"/>
      <w:bookmarkEnd w:id="37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37"/>
        <w:gridCol w:w="5816"/>
      </w:tblGrid>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公司采用布莱克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模型）确定。</w:t>
            </w:r>
          </w:p>
        </w:tc>
      </w:tr>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公司采用获授限制性股票额度基数与解锁安排中相应每期解锁比例确定。</w:t>
            </w:r>
          </w:p>
        </w:tc>
      </w:tr>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2,499,170.19</w:t>
            </w:r>
          </w:p>
        </w:tc>
      </w:tr>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2,499,170.19</w:t>
            </w:r>
          </w:p>
        </w:tc>
      </w:tr>
    </w:tbl>
    <w:p>
      <w:pPr>
        <w:pStyle w:val="Heading5"/>
        <w:spacing w:line="240" w:lineRule="auto" w:before="35"/>
        <w:ind w:left="154" w:right="0"/>
        <w:jc w:val="left"/>
      </w:pPr>
      <w:r>
        <w:rPr/>
        <w:t>其他说明</w:t>
      </w:r>
    </w:p>
    <w:p>
      <w:pPr>
        <w:pStyle w:val="Heading5"/>
        <w:spacing w:line="285" w:lineRule="auto" w:before="90"/>
        <w:ind w:left="154" w:right="1130" w:firstLine="420"/>
        <w:jc w:val="both"/>
      </w:pPr>
      <w:r>
        <w:rPr>
          <w:spacing w:val="-4"/>
        </w:rPr>
        <w:t>根据《企业会计准则第</w:t>
      </w:r>
      <w:r>
        <w:rPr>
          <w:spacing w:val="47"/>
        </w:rPr>
        <w:t> </w:t>
      </w:r>
      <w:r>
        <w:rPr>
          <w:rFonts w:ascii="宋体" w:hAnsi="宋体" w:cs="宋体" w:eastAsia="宋体" w:hint="default"/>
          <w:spacing w:val="-3"/>
        </w:rPr>
        <w:t>11</w:t>
      </w:r>
      <w:r>
        <w:rPr>
          <w:spacing w:val="-3"/>
        </w:rPr>
        <w:t>号—股份支付》应用指南的规定，由于本公司授予激励对象的限制性股票属于没</w:t>
      </w:r>
      <w:r>
        <w:rPr>
          <w:w w:val="100"/>
        </w:rPr>
        <w:t> </w:t>
      </w:r>
      <w:r>
        <w:rPr/>
        <w:t>有活跃市场的权益工具，因此需要借助相关估值手段确定授予日限制性股票的公允价值。公司聘请了上海荣正</w:t>
      </w:r>
      <w:r>
        <w:rPr>
          <w:spacing w:val="-65"/>
        </w:rPr>
        <w:t> </w:t>
      </w:r>
      <w:r>
        <w:rPr>
          <w:spacing w:val="-65"/>
        </w:rPr>
      </w:r>
      <w:r>
        <w:rPr>
          <w:spacing w:val="-2"/>
        </w:rPr>
        <w:t>投资咨询有限公司按照“布莱克</w:t>
      </w:r>
      <w:r>
        <w:rPr>
          <w:rFonts w:ascii="宋体" w:hAnsi="宋体" w:cs="宋体" w:eastAsia="宋体" w:hint="default"/>
          <w:spacing w:val="-2"/>
        </w:rPr>
        <w:t>-</w:t>
      </w:r>
      <w:r>
        <w:rPr>
          <w:spacing w:val="-2"/>
        </w:rPr>
        <w:t>斯科尔期权定价模型”对本期股权激励计划授予的限制性股票的公允价值进行</w:t>
      </w:r>
      <w:r>
        <w:rPr>
          <w:spacing w:val="-76"/>
        </w:rPr>
        <w:t> </w:t>
      </w:r>
      <w:r>
        <w:rPr>
          <w:spacing w:val="-76"/>
        </w:rPr>
      </w:r>
      <w:r>
        <w:rPr/>
        <w:t>测算。</w:t>
      </w:r>
    </w:p>
    <w:p>
      <w:pPr>
        <w:pStyle w:val="Heading5"/>
        <w:spacing w:line="240" w:lineRule="auto"/>
        <w:ind w:left="574" w:right="0"/>
        <w:jc w:val="left"/>
      </w:pPr>
      <w:r>
        <w:rPr/>
        <w:t>（</w:t>
      </w:r>
      <w:r>
        <w:rPr>
          <w:rFonts w:ascii="宋体" w:hAnsi="宋体" w:cs="宋体" w:eastAsia="宋体" w:hint="default"/>
        </w:rPr>
        <w:t>1</w:t>
      </w:r>
      <w:r>
        <w:rPr/>
        <w:t>）布莱克</w:t>
      </w:r>
      <w:r>
        <w:rPr>
          <w:rFonts w:ascii="宋体" w:hAnsi="宋体" w:cs="宋体" w:eastAsia="宋体" w:hint="default"/>
        </w:rPr>
        <w:t>-</w:t>
      </w:r>
      <w:r>
        <w:rPr/>
        <w:t>斯科尔期权定价模型如下：</w:t>
      </w:r>
    </w:p>
    <w:p>
      <w:pPr>
        <w:spacing w:line="240" w:lineRule="auto" w:before="5"/>
        <w:rPr>
          <w:rFonts w:ascii="宋体" w:hAnsi="宋体" w:cs="宋体" w:eastAsia="宋体" w:hint="default"/>
          <w:sz w:val="17"/>
          <w:szCs w:val="17"/>
        </w:rPr>
      </w:pPr>
    </w:p>
    <w:p>
      <w:pPr>
        <w:pStyle w:val="Heading5"/>
        <w:tabs>
          <w:tab w:pos="5806" w:val="left" w:leader="none"/>
        </w:tabs>
        <w:spacing w:line="1453" w:lineRule="exact" w:before="0"/>
        <w:ind w:left="1152" w:right="0"/>
        <w:jc w:val="left"/>
      </w:pPr>
      <w:r>
        <w:rPr>
          <w:position w:val="-28"/>
        </w:rPr>
        <w:drawing>
          <wp:inline distT="0" distB="0" distL="0" distR="0">
            <wp:extent cx="2248553" cy="260032"/>
            <wp:effectExtent l="0" t="0" r="0" b="0"/>
            <wp:docPr id="23" name="image18.jpeg" descr=""/>
            <wp:cNvGraphicFramePr>
              <a:graphicFrameLocks noChangeAspect="1"/>
            </wp:cNvGraphicFramePr>
            <a:graphic>
              <a:graphicData uri="http://schemas.openxmlformats.org/drawingml/2006/picture">
                <pic:pic>
                  <pic:nvPicPr>
                    <pic:cNvPr id="24" name="image18.jpeg"/>
                    <pic:cNvPicPr/>
                  </pic:nvPicPr>
                  <pic:blipFill>
                    <a:blip r:embed="rId32" cstate="print"/>
                    <a:stretch>
                      <a:fillRect/>
                    </a:stretch>
                  </pic:blipFill>
                  <pic:spPr>
                    <a:xfrm>
                      <a:off x="0" y="0"/>
                      <a:ext cx="2248553" cy="260032"/>
                    </a:xfrm>
                    <a:prstGeom prst="rect">
                      <a:avLst/>
                    </a:prstGeom>
                  </pic:spPr>
                </pic:pic>
              </a:graphicData>
            </a:graphic>
          </wp:inline>
        </w:drawing>
      </w:r>
      <w:r>
        <w:rPr>
          <w:position w:val="-28"/>
        </w:rPr>
      </w:r>
      <w:r>
        <w:rPr>
          <w:position w:val="-28"/>
        </w:rPr>
        <w:tab/>
      </w:r>
      <w:r>
        <w:rPr>
          <w:position w:val="-28"/>
        </w:rPr>
        <w:drawing>
          <wp:inline distT="0" distB="0" distL="0" distR="0">
            <wp:extent cx="2126325" cy="922972"/>
            <wp:effectExtent l="0" t="0" r="0" b="0"/>
            <wp:docPr id="25" name="image19.jpeg" descr=""/>
            <wp:cNvGraphicFramePr>
              <a:graphicFrameLocks noChangeAspect="1"/>
            </wp:cNvGraphicFramePr>
            <a:graphic>
              <a:graphicData uri="http://schemas.openxmlformats.org/drawingml/2006/picture">
                <pic:pic>
                  <pic:nvPicPr>
                    <pic:cNvPr id="26" name="image19.jpeg"/>
                    <pic:cNvPicPr/>
                  </pic:nvPicPr>
                  <pic:blipFill>
                    <a:blip r:embed="rId33" cstate="print"/>
                    <a:stretch>
                      <a:fillRect/>
                    </a:stretch>
                  </pic:blipFill>
                  <pic:spPr>
                    <a:xfrm>
                      <a:off x="0" y="0"/>
                      <a:ext cx="2126325" cy="922972"/>
                    </a:xfrm>
                    <a:prstGeom prst="rect">
                      <a:avLst/>
                    </a:prstGeom>
                  </pic:spPr>
                </pic:pic>
              </a:graphicData>
            </a:graphic>
          </wp:inline>
        </w:drawing>
      </w:r>
      <w:r>
        <w:rPr>
          <w:position w:val="-28"/>
        </w:rPr>
      </w:r>
    </w:p>
    <w:p>
      <w:pPr>
        <w:spacing w:line="240" w:lineRule="auto" w:before="8"/>
        <w:rPr>
          <w:rFonts w:ascii="宋体" w:hAnsi="宋体" w:cs="宋体" w:eastAsia="宋体" w:hint="default"/>
          <w:sz w:val="27"/>
          <w:szCs w:val="27"/>
        </w:rPr>
      </w:pPr>
    </w:p>
    <w:p>
      <w:pPr>
        <w:pStyle w:val="Heading5"/>
        <w:spacing w:line="271" w:lineRule="auto" w:before="0"/>
        <w:ind w:right="1120" w:firstLine="420"/>
        <w:jc w:val="left"/>
      </w:pPr>
      <w:r>
        <w:rPr/>
        <w:t>标的股价（</w:t>
      </w:r>
      <w:r>
        <w:rPr>
          <w:rFonts w:ascii="宋体" w:hAnsi="宋体" w:cs="宋体" w:eastAsia="宋体" w:hint="default"/>
        </w:rPr>
        <w:t>S</w:t>
      </w:r>
      <w:r>
        <w:rPr/>
        <w:t>），行权价（</w:t>
      </w:r>
      <w:r>
        <w:rPr>
          <w:rFonts w:ascii="宋体" w:hAnsi="宋体" w:cs="宋体" w:eastAsia="宋体" w:hint="default"/>
        </w:rPr>
        <w:t>K</w:t>
      </w:r>
      <w:r>
        <w:rPr/>
        <w:t>），无风险利率（</w:t>
      </w:r>
      <w:r>
        <w:rPr>
          <w:rFonts w:ascii="宋体" w:hAnsi="宋体" w:cs="宋体" w:eastAsia="宋体" w:hint="default"/>
        </w:rPr>
        <w:t>r</w:t>
      </w:r>
      <w:r>
        <w:rPr/>
        <w:t>），期权有效期（</w:t>
      </w:r>
      <w:r>
        <w:rPr>
          <w:rFonts w:ascii="宋体" w:hAnsi="宋体" w:cs="宋体" w:eastAsia="宋体" w:hint="default"/>
        </w:rPr>
        <w:t>t</w:t>
      </w:r>
      <w:r>
        <w:rPr/>
        <w:t>）、标的股票波动率（</w:t>
      </w:r>
      <w:r>
        <w:rPr>
          <w:rFonts w:ascii="Arial" w:hAnsi="Arial" w:cs="Arial" w:eastAsia="Arial" w:hint="default"/>
        </w:rPr>
        <w:t>σ</w:t>
      </w:r>
      <w:r>
        <w:rPr>
          <w:rFonts w:ascii="Arial" w:hAnsi="Arial" w:cs="Arial" w:eastAsia="Arial" w:hint="default"/>
          <w:spacing w:val="34"/>
        </w:rPr>
        <w:t> </w:t>
      </w:r>
      <w:r>
        <w:rPr/>
        <w:t>）以及标的股</w:t>
      </w:r>
      <w:r>
        <w:rPr>
          <w:w w:val="100"/>
        </w:rPr>
        <w:t> </w:t>
      </w:r>
      <w:r>
        <w:rPr/>
        <w:t>票的股息率（</w:t>
      </w:r>
      <w:r>
        <w:rPr>
          <w:rFonts w:ascii="宋体" w:hAnsi="宋体" w:cs="宋体" w:eastAsia="宋体" w:hint="default"/>
        </w:rPr>
        <w:t>i</w:t>
      </w:r>
      <w:r>
        <w:rPr/>
        <w:t>）。</w:t>
      </w:r>
    </w:p>
    <w:p>
      <w:pPr>
        <w:pStyle w:val="Heading5"/>
        <w:spacing w:line="285" w:lineRule="auto" w:before="24"/>
        <w:ind w:left="573" w:right="3733" w:hanging="20"/>
        <w:jc w:val="left"/>
      </w:pPr>
      <w:r>
        <w:rPr/>
        <w:t>（</w:t>
      </w:r>
      <w:r>
        <w:rPr>
          <w:rFonts w:ascii="宋体" w:hAnsi="宋体" w:cs="宋体" w:eastAsia="宋体" w:hint="default"/>
        </w:rPr>
        <w:t>2</w:t>
      </w:r>
      <w:r>
        <w:rPr/>
        <w:t>）本公司基本参数如下：</w:t>
      </w:r>
      <w:r>
        <w:rPr>
          <w:w w:val="100"/>
        </w:rPr>
        <w:t> </w:t>
      </w:r>
      <w:r>
        <w:rPr>
          <w:rFonts w:ascii="宋体" w:hAnsi="宋体" w:cs="宋体" w:eastAsia="宋体" w:hint="default"/>
          <w:spacing w:val="-1"/>
        </w:rPr>
        <w:t>1</w:t>
      </w:r>
      <w:r>
        <w:rPr>
          <w:spacing w:val="-1"/>
        </w:rPr>
        <w:t>）授予价格</w:t>
      </w:r>
      <w:r>
        <w:rPr>
          <w:rFonts w:ascii="宋体" w:hAnsi="宋体" w:cs="宋体" w:eastAsia="宋体" w:hint="default"/>
          <w:spacing w:val="-1"/>
        </w:rPr>
        <w:t>:</w:t>
      </w:r>
      <w:r>
        <w:rPr>
          <w:spacing w:val="-1"/>
        </w:rPr>
        <w:t>本计划中限制性股票授予价格为每股</w:t>
      </w:r>
      <w:r>
        <w:rPr>
          <w:rFonts w:ascii="宋体" w:hAnsi="宋体" w:cs="宋体" w:eastAsia="宋体" w:hint="default"/>
          <w:spacing w:val="-1"/>
        </w:rPr>
        <w:t>10.89</w:t>
      </w:r>
      <w:r>
        <w:rPr>
          <w:spacing w:val="-1"/>
        </w:rPr>
        <w:t>元；</w:t>
      </w:r>
    </w:p>
    <w:p>
      <w:pPr>
        <w:pStyle w:val="Heading5"/>
        <w:spacing w:line="240" w:lineRule="auto"/>
        <w:ind w:left="573" w:right="0"/>
        <w:jc w:val="left"/>
      </w:pPr>
      <w:r>
        <w:rPr>
          <w:rFonts w:ascii="宋体" w:hAnsi="宋体" w:cs="宋体" w:eastAsia="宋体" w:hint="default"/>
        </w:rPr>
        <w:t>2</w:t>
      </w:r>
      <w:r>
        <w:rPr/>
        <w:t>）限制性股票授予日</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13</w:t>
      </w:r>
      <w:r>
        <w:rPr/>
        <w:t>日</w:t>
      </w:r>
      <w:r>
        <w:rPr>
          <w:rFonts w:ascii="宋体" w:hAnsi="宋体" w:cs="宋体" w:eastAsia="宋体" w:hint="default"/>
        </w:rPr>
        <w:t>)</w:t>
      </w:r>
      <w:r>
        <w:rPr/>
        <w:t>收盘价：</w:t>
      </w:r>
      <w:r>
        <w:rPr>
          <w:rFonts w:ascii="宋体" w:hAnsi="宋体" w:cs="宋体" w:eastAsia="宋体" w:hint="default"/>
        </w:rPr>
        <w:t>19.28</w:t>
      </w:r>
      <w:r>
        <w:rPr/>
        <w:t>元</w:t>
      </w:r>
      <w:r>
        <w:rPr>
          <w:rFonts w:ascii="宋体" w:hAnsi="宋体" w:cs="宋体" w:eastAsia="宋体" w:hint="default"/>
        </w:rPr>
        <w:t>/</w:t>
      </w:r>
      <w:r>
        <w:rPr/>
        <w:t>股；</w:t>
      </w:r>
    </w:p>
    <w:p>
      <w:pPr>
        <w:pStyle w:val="Heading5"/>
        <w:spacing w:line="285" w:lineRule="auto" w:before="50"/>
        <w:ind w:right="0" w:firstLine="420"/>
        <w:jc w:val="left"/>
      </w:pPr>
      <w:r>
        <w:rPr>
          <w:rFonts w:ascii="宋体" w:hAnsi="宋体" w:cs="宋体" w:eastAsia="宋体" w:hint="default"/>
          <w:spacing w:val="-3"/>
        </w:rPr>
        <w:t>3</w:t>
      </w:r>
      <w:r>
        <w:rPr>
          <w:spacing w:val="-3"/>
        </w:rPr>
        <w:t>）限制性股票各期解锁期限和解锁比例：</w:t>
      </w:r>
      <w:r>
        <w:rPr>
          <w:rFonts w:ascii="宋体" w:hAnsi="宋体" w:cs="宋体" w:eastAsia="宋体" w:hint="default"/>
          <w:spacing w:val="-3"/>
        </w:rPr>
        <w:t>12</w:t>
      </w:r>
      <w:r>
        <w:rPr>
          <w:spacing w:val="-3"/>
        </w:rPr>
        <w:t>个月后、</w:t>
      </w:r>
      <w:r>
        <w:rPr>
          <w:rFonts w:ascii="宋体" w:hAnsi="宋体" w:cs="宋体" w:eastAsia="宋体" w:hint="default"/>
          <w:spacing w:val="-3"/>
        </w:rPr>
        <w:t>24</w:t>
      </w:r>
      <w:r>
        <w:rPr>
          <w:spacing w:val="-3"/>
        </w:rPr>
        <w:t>个月后、</w:t>
      </w:r>
      <w:r>
        <w:rPr>
          <w:rFonts w:ascii="宋体" w:hAnsi="宋体" w:cs="宋体" w:eastAsia="宋体" w:hint="default"/>
          <w:spacing w:val="-3"/>
        </w:rPr>
        <w:t>36</w:t>
      </w:r>
      <w:r>
        <w:rPr>
          <w:spacing w:val="-3"/>
        </w:rPr>
        <w:t>个月后分三次解锁，每次解锁的限制性</w:t>
      </w:r>
      <w:r>
        <w:rPr>
          <w:w w:val="100"/>
        </w:rPr>
        <w:t> </w:t>
      </w:r>
      <w:r>
        <w:rPr/>
        <w:t>股票比例分别为授予总量的</w:t>
      </w:r>
      <w:r>
        <w:rPr>
          <w:rFonts w:ascii="宋体" w:hAnsi="宋体" w:cs="宋体" w:eastAsia="宋体" w:hint="default"/>
        </w:rPr>
        <w:t>30%</w:t>
      </w:r>
      <w:r>
        <w:rPr/>
        <w:t>、</w:t>
      </w:r>
      <w:r>
        <w:rPr>
          <w:rFonts w:ascii="宋体" w:hAnsi="宋体" w:cs="宋体" w:eastAsia="宋体" w:hint="default"/>
        </w:rPr>
        <w:t>30%</w:t>
      </w:r>
      <w:r>
        <w:rPr/>
        <w:t>、</w:t>
      </w:r>
      <w:r>
        <w:rPr>
          <w:rFonts w:ascii="宋体" w:hAnsi="宋体" w:cs="宋体" w:eastAsia="宋体" w:hint="default"/>
        </w:rPr>
        <w:t>40%</w:t>
      </w:r>
      <w:r>
        <w:rPr/>
        <w:t>；</w:t>
      </w:r>
    </w:p>
    <w:p>
      <w:pPr>
        <w:pStyle w:val="Heading5"/>
        <w:spacing w:line="240" w:lineRule="auto"/>
        <w:ind w:left="573" w:right="0"/>
        <w:jc w:val="left"/>
      </w:pPr>
      <w:r>
        <w:rPr>
          <w:rFonts w:ascii="宋体" w:hAnsi="宋体" w:cs="宋体" w:eastAsia="宋体" w:hint="default"/>
        </w:rPr>
        <w:t>4</w:t>
      </w:r>
      <w:r>
        <w:rPr/>
        <w:t>）</w:t>
      </w:r>
      <w:r>
        <w:rPr>
          <w:spacing w:val="-9"/>
        </w:rPr>
        <w:t> </w:t>
      </w:r>
      <w:r>
        <w:rPr/>
        <w:t>根据中国人民币定期存款利率确定无风险利率：</w:t>
      </w:r>
      <w:r>
        <w:rPr>
          <w:rFonts w:ascii="宋体" w:hAnsi="宋体" w:cs="宋体" w:eastAsia="宋体" w:hint="default"/>
        </w:rPr>
        <w:t>3.00%</w:t>
      </w:r>
      <w:r>
        <w:rPr/>
        <w:t>、</w:t>
      </w:r>
      <w:r>
        <w:rPr>
          <w:rFonts w:ascii="宋体" w:hAnsi="宋体" w:cs="宋体" w:eastAsia="宋体" w:hint="default"/>
        </w:rPr>
        <w:t>3.75%</w:t>
      </w:r>
      <w:r>
        <w:rPr/>
        <w:t>、</w:t>
      </w:r>
      <w:r>
        <w:rPr>
          <w:rFonts w:ascii="宋体" w:hAnsi="宋体" w:cs="宋体" w:eastAsia="宋体" w:hint="default"/>
        </w:rPr>
        <w:t>4.25%</w:t>
      </w:r>
      <w:r>
        <w:rPr/>
        <w:t>；</w:t>
      </w:r>
    </w:p>
    <w:p>
      <w:pPr>
        <w:pStyle w:val="Heading5"/>
        <w:spacing w:line="240" w:lineRule="auto" w:before="50"/>
        <w:ind w:left="573" w:right="0"/>
        <w:jc w:val="left"/>
      </w:pPr>
      <w:r>
        <w:rPr>
          <w:rFonts w:ascii="宋体" w:hAnsi="宋体" w:cs="宋体" w:eastAsia="宋体" w:hint="default"/>
        </w:rPr>
        <w:t>5</w:t>
      </w:r>
      <w:r>
        <w:rPr/>
        <w:t>）权证的有效期分别为：一年、两年、三年；</w:t>
      </w:r>
    </w:p>
    <w:p>
      <w:pPr>
        <w:pStyle w:val="Heading5"/>
        <w:spacing w:line="240" w:lineRule="auto" w:before="50"/>
        <w:ind w:left="573" w:right="0"/>
        <w:jc w:val="left"/>
      </w:pPr>
      <w:r>
        <w:rPr>
          <w:rFonts w:ascii="宋体" w:hAnsi="宋体" w:cs="宋体" w:eastAsia="宋体" w:hint="default"/>
        </w:rPr>
        <w:t>6</w:t>
      </w:r>
      <w:r>
        <w:rPr/>
        <w:t>）波动率根据</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13</w:t>
      </w:r>
      <w:r>
        <w:rPr/>
        <w:t>日前一、二、三年中小板综指的历史波动率确定为：</w:t>
      </w:r>
      <w:r>
        <w:rPr>
          <w:rFonts w:ascii="宋体" w:hAnsi="宋体" w:cs="宋体" w:eastAsia="宋体" w:hint="default"/>
        </w:rPr>
        <w:t>23.77%</w:t>
      </w:r>
      <w:r>
        <w:rPr/>
        <w:t>、</w:t>
      </w:r>
      <w:r>
        <w:rPr>
          <w:rFonts w:ascii="宋体" w:hAnsi="宋体" w:cs="宋体" w:eastAsia="宋体" w:hint="default"/>
        </w:rPr>
        <w:t>22.64%</w:t>
      </w:r>
      <w:r>
        <w:rPr/>
        <w:t>、</w:t>
      </w:r>
      <w:r>
        <w:rPr>
          <w:rFonts w:ascii="宋体" w:hAnsi="宋体" w:cs="宋体" w:eastAsia="宋体" w:hint="default"/>
        </w:rPr>
        <w:t>23.21%</w:t>
      </w:r>
      <w:r>
        <w:rPr/>
        <w:t>；</w:t>
      </w:r>
    </w:p>
    <w:p>
      <w:pPr>
        <w:pStyle w:val="Heading5"/>
        <w:spacing w:line="240" w:lineRule="auto" w:before="50"/>
        <w:ind w:left="574" w:right="0"/>
        <w:jc w:val="left"/>
      </w:pPr>
      <w:r>
        <w:rPr>
          <w:rFonts w:ascii="宋体" w:hAnsi="宋体" w:cs="宋体" w:eastAsia="宋体" w:hint="default"/>
        </w:rPr>
        <w:t>7</w:t>
      </w:r>
      <w:r>
        <w:rPr/>
        <w:t>）股息率根据本公司上市后的平均股息率计算，一年期、两年期和三年期的平均股息为：</w:t>
      </w:r>
      <w:r>
        <w:rPr>
          <w:rFonts w:ascii="宋体" w:hAnsi="宋体" w:cs="宋体" w:eastAsia="宋体" w:hint="default"/>
        </w:rPr>
        <w:t>1.44%</w:t>
      </w:r>
      <w:r>
        <w:rPr/>
        <w:t>、</w:t>
      </w:r>
      <w:r>
        <w:rPr>
          <w:rFonts w:ascii="宋体" w:hAnsi="宋体" w:cs="宋体" w:eastAsia="宋体" w:hint="default"/>
        </w:rPr>
        <w:t>1.44%</w:t>
      </w:r>
      <w:r>
        <w:rPr/>
        <w:t>、</w:t>
      </w:r>
    </w:p>
    <w:p>
      <w:pPr>
        <w:pStyle w:val="Heading5"/>
        <w:spacing w:line="240" w:lineRule="auto" w:before="50"/>
        <w:ind w:left="154" w:right="0"/>
        <w:jc w:val="left"/>
        <w:rPr>
          <w:rFonts w:ascii="宋体" w:hAnsi="宋体" w:cs="宋体" w:eastAsia="宋体" w:hint="default"/>
        </w:rPr>
      </w:pPr>
      <w:r>
        <w:rPr>
          <w:rFonts w:ascii="宋体"/>
        </w:rPr>
        <w:t>1.48%;</w:t>
      </w:r>
    </w:p>
    <w:p>
      <w:pPr>
        <w:pStyle w:val="Heading5"/>
        <w:spacing w:line="240" w:lineRule="auto" w:before="50"/>
        <w:ind w:left="574" w:right="0"/>
        <w:jc w:val="left"/>
        <w:rPr>
          <w:rFonts w:ascii="宋体" w:hAnsi="宋体" w:cs="宋体" w:eastAsia="宋体" w:hint="default"/>
        </w:rPr>
      </w:pPr>
      <w:r>
        <w:rPr>
          <w:rFonts w:ascii="宋体" w:hAnsi="宋体" w:cs="宋体" w:eastAsia="宋体" w:hint="default"/>
        </w:rPr>
        <w:t>8</w:t>
      </w:r>
      <w:r>
        <w:rPr/>
        <w:t>）根据以上参数计算的确定每股限制性股票三年的公允价值分别为：</w:t>
      </w:r>
      <w:r>
        <w:rPr>
          <w:rFonts w:ascii="宋体" w:hAnsi="宋体" w:cs="宋体" w:eastAsia="宋体" w:hint="default"/>
        </w:rPr>
        <w:t>8.25 </w:t>
      </w:r>
      <w:r>
        <w:rPr>
          <w:rFonts w:ascii="宋体" w:hAnsi="宋体" w:cs="宋体" w:eastAsia="宋体" w:hint="default"/>
          <w:spacing w:val="9"/>
        </w:rPr>
        <w:t> </w:t>
      </w:r>
      <w:r>
        <w:rPr/>
        <w:t>元</w:t>
      </w:r>
      <w:r>
        <w:rPr>
          <w:rFonts w:ascii="宋体" w:hAnsi="宋体" w:cs="宋体" w:eastAsia="宋体" w:hint="default"/>
        </w:rPr>
        <w:t>/</w:t>
      </w:r>
      <w:r>
        <w:rPr/>
        <w:t>股、</w:t>
      </w:r>
      <w:r>
        <w:rPr>
          <w:rFonts w:ascii="宋体" w:hAnsi="宋体" w:cs="宋体" w:eastAsia="宋体" w:hint="default"/>
        </w:rPr>
        <w:t>4.56</w:t>
      </w:r>
      <w:r>
        <w:rPr/>
        <w:t>元</w:t>
      </w:r>
      <w:r>
        <w:rPr>
          <w:rFonts w:ascii="宋体" w:hAnsi="宋体" w:cs="宋体" w:eastAsia="宋体" w:hint="default"/>
        </w:rPr>
        <w:t>/</w:t>
      </w:r>
      <w:r>
        <w:rPr/>
        <w:t>股、</w:t>
      </w:r>
      <w:r>
        <w:rPr>
          <w:rFonts w:ascii="宋体" w:hAnsi="宋体" w:cs="宋体" w:eastAsia="宋体" w:hint="default"/>
        </w:rPr>
        <w:t>0.50</w:t>
      </w:r>
      <w:r>
        <w:rPr/>
        <w:t>元</w:t>
      </w:r>
      <w:r>
        <w:rPr>
          <w:rFonts w:ascii="宋体" w:hAnsi="宋体" w:cs="宋体" w:eastAsia="宋体" w:hint="default"/>
        </w:rPr>
        <w:t>/</w:t>
      </w:r>
    </w:p>
    <w:p>
      <w:pPr>
        <w:pStyle w:val="Heading5"/>
        <w:spacing w:line="240" w:lineRule="auto" w:before="50"/>
        <w:ind w:left="154" w:right="0"/>
        <w:jc w:val="left"/>
      </w:pPr>
      <w:r>
        <w:rPr/>
        <w:t>股；</w:t>
      </w:r>
    </w:p>
    <w:p>
      <w:pPr>
        <w:pStyle w:val="Heading5"/>
        <w:spacing w:line="240" w:lineRule="auto" w:before="50"/>
        <w:ind w:left="574" w:right="0"/>
        <w:jc w:val="left"/>
      </w:pPr>
      <w:r>
        <w:rPr>
          <w:spacing w:val="-3"/>
        </w:rPr>
        <w:t>本公司采用布莱克</w:t>
      </w:r>
      <w:r>
        <w:rPr>
          <w:rFonts w:ascii="宋体" w:hAnsi="宋体" w:cs="宋体" w:eastAsia="宋体" w:hint="default"/>
          <w:spacing w:val="-3"/>
        </w:rPr>
        <w:t>-</w:t>
      </w:r>
      <w:r>
        <w:rPr>
          <w:spacing w:val="-3"/>
        </w:rPr>
        <w:t>斯科尔期权定价模型，在确定上数参数基础上，并充分考虑</w:t>
      </w:r>
      <w:r>
        <w:rPr>
          <w:rFonts w:ascii="宋体" w:hAnsi="宋体" w:cs="宋体" w:eastAsia="宋体" w:hint="default"/>
          <w:spacing w:val="-3"/>
        </w:rPr>
        <w:t>2014</w:t>
      </w:r>
      <w:r>
        <w:rPr>
          <w:spacing w:val="-3"/>
        </w:rPr>
        <w:t>年因员工离职而产生的</w:t>
      </w:r>
    </w:p>
    <w:p>
      <w:pPr>
        <w:pStyle w:val="Heading5"/>
        <w:spacing w:line="240" w:lineRule="auto" w:before="50"/>
        <w:ind w:left="154" w:right="0"/>
        <w:jc w:val="left"/>
      </w:pPr>
      <w:r>
        <w:rPr/>
        <w:t>限制性股票回购、股利分配资本公积转增股本等情况，计算出公司截至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日，以权益结算的股份支</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pPr>
      <w:r>
        <w:rPr/>
        <w:t>付计入资本公积的累计金额为</w:t>
      </w:r>
      <w:r>
        <w:rPr>
          <w:rFonts w:ascii="宋体" w:hAnsi="宋体" w:cs="宋体" w:eastAsia="宋体" w:hint="default"/>
        </w:rPr>
        <w:t>2,499,170.19</w:t>
      </w:r>
      <w:r>
        <w:rPr/>
        <w:t>元，本期以权益结算的股份支付确认的费用总额</w:t>
      </w:r>
      <w:r>
        <w:rPr>
          <w:rFonts w:ascii="宋体" w:hAnsi="宋体" w:cs="宋体" w:eastAsia="宋体" w:hint="default"/>
        </w:rPr>
        <w:t>2,499,170.19</w:t>
      </w:r>
      <w:r>
        <w:rPr/>
        <w:t>元。</w:t>
      </w:r>
    </w:p>
    <w:p>
      <w:pPr>
        <w:spacing w:line="240" w:lineRule="auto" w:before="2"/>
        <w:rPr>
          <w:rFonts w:ascii="宋体" w:hAnsi="宋体" w:cs="宋体" w:eastAsia="宋体" w:hint="default"/>
          <w:sz w:val="26"/>
          <w:szCs w:val="26"/>
        </w:rPr>
      </w:pPr>
    </w:p>
    <w:p>
      <w:pPr>
        <w:pStyle w:val="Heading3"/>
        <w:spacing w:line="240" w:lineRule="auto"/>
        <w:ind w:left="153" w:right="0"/>
        <w:jc w:val="left"/>
        <w:rPr>
          <w:b w:val="0"/>
          <w:bCs w:val="0"/>
        </w:rPr>
      </w:pPr>
      <w:bookmarkStart w:name="3、以现金结算的股份支付情况" w:id="371"/>
      <w:bookmarkEnd w:id="37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承诺及或有事项" w:id="372"/>
      <w:bookmarkEnd w:id="372"/>
      <w:r>
        <w:rPr>
          <w:b w:val="0"/>
          <w:bCs w:val="0"/>
        </w:rPr>
      </w:r>
      <w:r>
        <w:rPr/>
        <w:t>十四、承诺及或有事项</w:t>
      </w:r>
      <w:r>
        <w:rPr>
          <w:b w:val="0"/>
          <w:bCs w:val="0"/>
        </w:rPr>
      </w:r>
    </w:p>
    <w:p>
      <w:pPr>
        <w:spacing w:line="240" w:lineRule="auto" w:before="4"/>
        <w:rPr>
          <w:rFonts w:ascii="宋体" w:hAnsi="宋体" w:cs="宋体" w:eastAsia="宋体" w:hint="default"/>
          <w:b/>
          <w:bCs/>
          <w:sz w:val="23"/>
          <w:szCs w:val="23"/>
        </w:rPr>
      </w:pPr>
    </w:p>
    <w:p>
      <w:pPr>
        <w:pStyle w:val="Heading5"/>
        <w:spacing w:line="240" w:lineRule="auto" w:before="0"/>
        <w:ind w:left="553" w:right="0"/>
        <w:jc w:val="left"/>
      </w:pPr>
      <w:r>
        <w:rPr/>
        <w:t>本公司不存在需要披露的承诺事项或需要披露的或有事项。</w:t>
      </w:r>
    </w:p>
    <w:p>
      <w:pPr>
        <w:spacing w:line="240" w:lineRule="auto" w:before="0"/>
        <w:rPr>
          <w:rFonts w:ascii="宋体" w:hAnsi="宋体" w:cs="宋体" w:eastAsia="宋体" w:hint="default"/>
          <w:sz w:val="20"/>
          <w:szCs w:val="20"/>
        </w:rPr>
      </w:pPr>
    </w:p>
    <w:p>
      <w:pPr>
        <w:pStyle w:val="Heading2"/>
        <w:spacing w:line="240" w:lineRule="auto" w:before="160"/>
        <w:ind w:right="0"/>
        <w:jc w:val="left"/>
        <w:rPr>
          <w:b w:val="0"/>
          <w:bCs w:val="0"/>
        </w:rPr>
      </w:pPr>
      <w:bookmarkStart w:name="十五、资产负债表日后事项" w:id="373"/>
      <w:bookmarkEnd w:id="373"/>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利润分配情况" w:id="374"/>
      <w:bookmarkEnd w:id="37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86,802,980.76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其他资产负债表日后事项说明" w:id="375"/>
      <w:bookmarkEnd w:id="375"/>
      <w:r>
        <w:rPr>
          <w:b w:val="0"/>
          <w:bCs w:val="0"/>
        </w:rPr>
      </w:r>
      <w:r>
        <w:rPr>
          <w:rFonts w:ascii="Times New Roman" w:hAnsi="Times New Roman" w:cs="Times New Roman" w:eastAsia="Times New Roman" w:hint="default"/>
        </w:rPr>
        <w:t>2</w:t>
      </w:r>
      <w:r>
        <w:rPr/>
        <w:t>、其他资产负债表日后事项说明</w:t>
      </w:r>
      <w:r>
        <w:rPr>
          <w:b w:val="0"/>
          <w:bCs w:val="0"/>
        </w:rPr>
      </w:r>
    </w:p>
    <w:p>
      <w:pPr>
        <w:pStyle w:val="Heading5"/>
        <w:spacing w:line="430" w:lineRule="atLeast" w:before="162"/>
        <w:ind w:left="573" w:right="0" w:hanging="168"/>
        <w:jc w:val="left"/>
      </w:pPr>
      <w:r>
        <w:rPr/>
        <w:t>（一）注册资本减资</w:t>
      </w:r>
      <w:r>
        <w:rPr>
          <w:w w:val="100"/>
        </w:rPr>
        <w:t> </w:t>
      </w:r>
      <w:r>
        <w:rPr>
          <w:spacing w:val="-1"/>
        </w:rPr>
        <w:t>本公司根据《</w:t>
      </w:r>
      <w:r>
        <w:rPr>
          <w:rFonts w:ascii="宋体" w:hAnsi="宋体" w:cs="宋体" w:eastAsia="宋体" w:hint="default"/>
          <w:spacing w:val="-1"/>
        </w:rPr>
        <w:t>2013</w:t>
      </w:r>
      <w:r>
        <w:rPr>
          <w:spacing w:val="-1"/>
        </w:rPr>
        <w:t>年限制性股票激励计划（草案修订稿）》、</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w:t>
      </w:r>
      <w:r>
        <w:rPr>
          <w:spacing w:val="-1"/>
        </w:rPr>
        <w:t>日</w:t>
      </w:r>
      <w:r>
        <w:rPr>
          <w:rFonts w:ascii="宋体" w:hAnsi="宋体" w:cs="宋体" w:eastAsia="宋体" w:hint="default"/>
          <w:spacing w:val="-1"/>
        </w:rPr>
        <w:t>2015</w:t>
      </w:r>
      <w:r>
        <w:rPr>
          <w:spacing w:val="-1"/>
        </w:rPr>
        <w:t>年第一次临时股东大会决</w:t>
      </w:r>
    </w:p>
    <w:p>
      <w:pPr>
        <w:pStyle w:val="Heading5"/>
        <w:spacing w:line="285" w:lineRule="auto" w:before="50"/>
        <w:ind w:right="1132"/>
        <w:jc w:val="both"/>
      </w:pPr>
      <w:r>
        <w:rPr/>
        <w:t>议和修改后章程的规定，本公司申请减少注册资本人民币</w:t>
      </w:r>
      <w:r>
        <w:rPr>
          <w:rFonts w:ascii="宋体" w:hAnsi="宋体" w:cs="宋体" w:eastAsia="宋体" w:hint="default"/>
        </w:rPr>
        <w:t>25.502</w:t>
      </w:r>
      <w:r>
        <w:rPr/>
        <w:t>万元。</w:t>
      </w:r>
      <w:r>
        <w:rPr>
          <w:rFonts w:ascii="宋体" w:hAnsi="宋体" w:cs="宋体" w:eastAsia="宋体" w:hint="default"/>
        </w:rPr>
        <w:t>2015 </w:t>
      </w:r>
      <w:r>
        <w:rPr/>
        <w:t>年 </w:t>
      </w:r>
      <w:r>
        <w:rPr>
          <w:rFonts w:ascii="宋体" w:hAnsi="宋体" w:cs="宋体" w:eastAsia="宋体" w:hint="default"/>
        </w:rPr>
        <w:t>3 </w:t>
      </w:r>
      <w:r>
        <w:rPr/>
        <w:t>月 </w:t>
      </w:r>
      <w:r>
        <w:rPr>
          <w:rFonts w:ascii="宋体" w:hAnsi="宋体" w:cs="宋体" w:eastAsia="宋体" w:hint="default"/>
        </w:rPr>
        <w:t>11</w:t>
      </w:r>
      <w:r>
        <w:rPr>
          <w:rFonts w:ascii="宋体" w:hAnsi="宋体" w:cs="宋体" w:eastAsia="宋体" w:hint="default"/>
          <w:spacing w:val="-10"/>
        </w:rPr>
        <w:t> </w:t>
      </w:r>
      <w:r>
        <w:rPr/>
        <w:t>日，公司完成了对上</w:t>
      </w:r>
      <w:r>
        <w:rPr>
          <w:w w:val="100"/>
        </w:rPr>
        <w:t> </w:t>
      </w:r>
      <w:r>
        <w:rPr>
          <w:spacing w:val="-2"/>
        </w:rPr>
        <w:t>述已离职股权激励对象所持已获授但尚未解锁的限制性股票共计</w:t>
      </w:r>
      <w:r>
        <w:rPr>
          <w:rFonts w:ascii="宋体" w:hAnsi="宋体" w:cs="宋体" w:eastAsia="宋体" w:hint="default"/>
          <w:spacing w:val="-2"/>
        </w:rPr>
        <w:t>25.502</w:t>
      </w:r>
      <w:r>
        <w:rPr>
          <w:spacing w:val="-2"/>
        </w:rPr>
        <w:t>万股的回购注销。本公司于</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17</w:t>
      </w:r>
      <w:r>
        <w:rPr>
          <w:rFonts w:ascii="宋体" w:hAnsi="宋体" w:cs="宋体" w:eastAsia="宋体" w:hint="default"/>
          <w:spacing w:val="-67"/>
        </w:rPr>
        <w:t> </w:t>
      </w:r>
      <w:r>
        <w:rPr/>
        <w:t>日完成了工商变更登记，注册资本变更为</w:t>
      </w:r>
      <w:r>
        <w:rPr>
          <w:rFonts w:ascii="宋体" w:hAnsi="宋体" w:cs="宋体" w:eastAsia="宋体" w:hint="default"/>
        </w:rPr>
        <w:t>48,223.8782</w:t>
      </w:r>
      <w:r>
        <w:rPr/>
        <w:t>万元。</w:t>
      </w:r>
    </w:p>
    <w:p>
      <w:pPr>
        <w:pStyle w:val="Heading5"/>
        <w:spacing w:line="432" w:lineRule="exact" w:before="20"/>
        <w:ind w:left="573" w:right="0"/>
        <w:jc w:val="left"/>
      </w:pPr>
      <w:r>
        <w:rPr/>
        <w:t>（二）限制性股票激励计划第一个解锁</w:t>
      </w:r>
      <w:r>
        <w:rPr>
          <w:w w:val="100"/>
        </w:rPr>
        <w:t> </w:t>
      </w:r>
      <w:r>
        <w:rPr>
          <w:spacing w:val="-3"/>
          <w:w w:val="100"/>
        </w:rPr>
        <w:t>本公司于</w:t>
      </w:r>
      <w:r>
        <w:rPr>
          <w:rFonts w:ascii="宋体" w:hAnsi="宋体" w:cs="宋体" w:eastAsia="宋体" w:hint="default"/>
          <w:spacing w:val="-3"/>
          <w:w w:val="100"/>
        </w:rPr>
        <w:t>2015</w:t>
      </w:r>
      <w:r>
        <w:rPr>
          <w:spacing w:val="-3"/>
          <w:w w:val="100"/>
        </w:rPr>
        <w:t>年</w:t>
      </w:r>
      <w:r>
        <w:rPr>
          <w:rFonts w:ascii="宋体" w:hAnsi="宋体" w:cs="宋体" w:eastAsia="宋体" w:hint="default"/>
          <w:spacing w:val="-3"/>
          <w:w w:val="100"/>
        </w:rPr>
        <w:t>1</w:t>
      </w:r>
      <w:r>
        <w:rPr>
          <w:spacing w:val="-3"/>
          <w:w w:val="100"/>
        </w:rPr>
        <w:t>月</w:t>
      </w:r>
      <w:r>
        <w:rPr>
          <w:rFonts w:ascii="宋体" w:hAnsi="宋体" w:cs="宋体" w:eastAsia="宋体" w:hint="default"/>
          <w:spacing w:val="-3"/>
          <w:w w:val="100"/>
        </w:rPr>
        <w:t>14</w:t>
      </w:r>
      <w:r>
        <w:rPr>
          <w:spacing w:val="-3"/>
          <w:w w:val="100"/>
        </w:rPr>
        <w:t>日第四届董事会第二十七次会议审议通过，限制性股票激励计划第一个解锁期解锁条</w:t>
      </w:r>
    </w:p>
    <w:p>
      <w:pPr>
        <w:pStyle w:val="Heading5"/>
        <w:spacing w:line="285" w:lineRule="auto" w:before="0"/>
        <w:ind w:left="154" w:right="0"/>
        <w:jc w:val="left"/>
      </w:pPr>
      <w:r>
        <w:rPr/>
        <w:t>件满足</w:t>
      </w:r>
      <w:r>
        <w:rPr>
          <w:rFonts w:ascii="宋体" w:hAnsi="宋体" w:cs="宋体" w:eastAsia="宋体" w:hint="default"/>
        </w:rPr>
        <w:t>,</w:t>
      </w:r>
      <w:r>
        <w:rPr/>
        <w:t>公司共</w:t>
      </w:r>
      <w:r>
        <w:rPr>
          <w:spacing w:val="25"/>
        </w:rPr>
        <w:t> </w:t>
      </w:r>
      <w:r>
        <w:rPr>
          <w:rFonts w:ascii="宋体" w:hAnsi="宋体" w:cs="宋体" w:eastAsia="宋体" w:hint="default"/>
        </w:rPr>
        <w:t>78</w:t>
      </w:r>
      <w:r>
        <w:rPr>
          <w:rFonts w:ascii="宋体" w:hAnsi="宋体" w:cs="宋体" w:eastAsia="宋体" w:hint="default"/>
          <w:spacing w:val="26"/>
        </w:rPr>
        <w:t> </w:t>
      </w:r>
      <w:r>
        <w:rPr>
          <w:spacing w:val="-3"/>
        </w:rPr>
        <w:t>名激励对象在第一个解锁期实际可解锁</w:t>
      </w:r>
      <w:r>
        <w:rPr>
          <w:rFonts w:ascii="宋体" w:hAnsi="宋体" w:cs="宋体" w:eastAsia="宋体" w:hint="default"/>
          <w:spacing w:val="-3"/>
        </w:rPr>
        <w:t>666,011</w:t>
      </w:r>
      <w:r>
        <w:rPr>
          <w:spacing w:val="-3"/>
        </w:rPr>
        <w:t>股，限制性股票根据股权激励计划相关规定，</w:t>
      </w:r>
      <w:r>
        <w:rPr>
          <w:spacing w:val="-95"/>
        </w:rPr>
        <w:t> </w:t>
      </w:r>
      <w:r>
        <w:rPr>
          <w:spacing w:val="-95"/>
        </w:rPr>
      </w:r>
      <w:r>
        <w:rPr/>
        <w:t>各激励对象在本期可解锁的限制性股票数量占获授总数的比例均为</w:t>
      </w:r>
      <w:r>
        <w:rPr>
          <w:rFonts w:ascii="宋体" w:hAnsi="宋体" w:cs="宋体" w:eastAsia="宋体" w:hint="default"/>
        </w:rPr>
        <w:t>30%</w:t>
      </w:r>
      <w:r>
        <w:rPr/>
        <w:t>。</w:t>
      </w:r>
    </w:p>
    <w:p>
      <w:pPr>
        <w:pStyle w:val="Heading5"/>
        <w:spacing w:line="285" w:lineRule="auto" w:before="132"/>
        <w:ind w:left="573" w:right="0" w:hanging="58"/>
        <w:jc w:val="left"/>
      </w:pPr>
      <w:r>
        <w:rPr/>
        <w:t>（三）《关于</w:t>
      </w:r>
      <w:r>
        <w:rPr>
          <w:rFonts w:ascii="宋体" w:hAnsi="宋体" w:cs="宋体" w:eastAsia="宋体" w:hint="default"/>
        </w:rPr>
        <w:t>2015</w:t>
      </w:r>
      <w:r>
        <w:rPr/>
        <w:t>年利用闲置募集资金购买现金理财产品相关事宜的议案》</w:t>
      </w:r>
      <w:r>
        <w:rPr>
          <w:w w:val="100"/>
        </w:rPr>
        <w:t> </w:t>
      </w: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14</w:t>
      </w:r>
      <w:r>
        <w:rPr>
          <w:spacing w:val="-1"/>
        </w:rPr>
        <w:t>日，第四届董事会第二十七次会议决议，本公司在不影响正常经营活动及风险可控的前提下，</w:t>
      </w:r>
    </w:p>
    <w:p>
      <w:pPr>
        <w:pStyle w:val="Heading5"/>
        <w:spacing w:line="240" w:lineRule="auto"/>
        <w:ind w:left="154" w:right="0"/>
        <w:jc w:val="both"/>
      </w:pPr>
      <w:r>
        <w:rPr/>
        <w:t>合理利用公司自有闲置资金，提高自有闲置资金使用效率，提高资产回报率，为股东谋取较好的投资回报。</w:t>
      </w:r>
    </w:p>
    <w:p>
      <w:pPr>
        <w:pStyle w:val="Heading5"/>
        <w:spacing w:line="285" w:lineRule="auto" w:before="170"/>
        <w:ind w:left="154" w:right="1131" w:firstLine="420"/>
        <w:jc w:val="both"/>
      </w:pPr>
      <w:r>
        <w:rPr>
          <w:rFonts w:ascii="宋体" w:hAnsi="宋体" w:cs="宋体" w:eastAsia="宋体" w:hint="default"/>
          <w:spacing w:val="-3"/>
        </w:rPr>
        <w:t>2015</w:t>
      </w:r>
      <w:r>
        <w:rPr>
          <w:spacing w:val="-3"/>
        </w:rPr>
        <w:t>年投资额在年度任何时点最高不超过人民币</w:t>
      </w:r>
      <w:r>
        <w:rPr>
          <w:rFonts w:ascii="宋体" w:hAnsi="宋体" w:cs="宋体" w:eastAsia="宋体" w:hint="default"/>
          <w:spacing w:val="-3"/>
        </w:rPr>
        <w:t>5</w:t>
      </w:r>
      <w:r>
        <w:rPr>
          <w:spacing w:val="-3"/>
        </w:rPr>
        <w:t>亿元。在上述额度内，资金可以滚动使用，且任意时点进</w:t>
      </w:r>
      <w:r>
        <w:rPr>
          <w:w w:val="100"/>
        </w:rPr>
        <w:t> </w:t>
      </w:r>
      <w:r>
        <w:rPr/>
        <w:t>行投资理财的总金额不超过</w:t>
      </w:r>
      <w:r>
        <w:rPr>
          <w:rFonts w:ascii="宋体" w:hAnsi="宋体" w:cs="宋体" w:eastAsia="宋体" w:hint="default"/>
        </w:rPr>
        <w:t>5</w:t>
      </w:r>
      <w:r>
        <w:rPr/>
        <w:t>亿元、连续十二个月累计交易金额不超过公司最近一期经审计净资产</w:t>
      </w:r>
      <w:r>
        <w:rPr>
          <w:rFonts w:ascii="宋体" w:hAnsi="宋体" w:cs="宋体" w:eastAsia="宋体" w:hint="default"/>
        </w:rPr>
        <w:t>50%</w:t>
      </w:r>
      <w:r>
        <w:rPr/>
        <w:t>，实际购</w:t>
      </w:r>
      <w:r>
        <w:rPr>
          <w:w w:val="100"/>
        </w:rPr>
        <w:t> </w:t>
      </w:r>
      <w:r>
        <w:rPr/>
        <w:t>买理财产品金额将根据公司资金实际情况增减。若预计投资额度超出董事会审批权限，公司将重新履行董事会</w:t>
      </w:r>
      <w:r>
        <w:rPr>
          <w:w w:val="100"/>
        </w:rPr>
        <w:t> </w:t>
      </w:r>
      <w:r>
        <w:rPr/>
        <w:t>审批程序，提交股东大会审批，并及时履行信息披露义务。</w:t>
      </w:r>
    </w:p>
    <w:p>
      <w:pPr>
        <w:pStyle w:val="Heading5"/>
        <w:spacing w:line="432" w:lineRule="exact" w:before="20"/>
        <w:ind w:left="574" w:right="0"/>
        <w:jc w:val="left"/>
      </w:pPr>
      <w:r>
        <w:rPr/>
        <w:t>（四）投资北京凌云悦翔科技有限公司</w:t>
      </w:r>
      <w:r>
        <w:rPr>
          <w:w w:val="100"/>
        </w:rPr>
        <w:t> </w:t>
      </w:r>
      <w:r>
        <w:rPr>
          <w:spacing w:val="-3"/>
        </w:rPr>
        <w:t>本公司为拓展业务布局范围，增强公司在移动互联网领域优势，公司以自有资金出资</w:t>
      </w:r>
      <w:r>
        <w:rPr>
          <w:rFonts w:ascii="宋体" w:hAnsi="宋体" w:cs="宋体" w:eastAsia="宋体" w:hint="default"/>
          <w:spacing w:val="-3"/>
        </w:rPr>
        <w:t>1,500</w:t>
      </w:r>
      <w:r>
        <w:rPr>
          <w:spacing w:val="-3"/>
        </w:rPr>
        <w:t>万分两期投资北</w:t>
      </w:r>
    </w:p>
    <w:p>
      <w:pPr>
        <w:pStyle w:val="Heading5"/>
        <w:spacing w:line="254" w:lineRule="exact" w:before="0"/>
        <w:ind w:left="154" w:right="0"/>
        <w:jc w:val="both"/>
      </w:pPr>
      <w:r>
        <w:rPr/>
        <w:t>京慧友云商科技有限公司（以下简称“慧友云商”），全部投资完成后，公司将持有慧友云商</w:t>
      </w:r>
      <w:r>
        <w:rPr>
          <w:rFonts w:ascii="宋体" w:hAnsi="宋体" w:cs="宋体" w:eastAsia="宋体" w:hint="default"/>
        </w:rPr>
        <w:t>14.268%</w:t>
      </w:r>
      <w:r>
        <w:rPr/>
        <w:t>股权。</w:t>
      </w:r>
    </w:p>
    <w:p>
      <w:pPr>
        <w:pStyle w:val="Heading5"/>
        <w:spacing w:line="285" w:lineRule="auto" w:before="170"/>
        <w:ind w:left="154" w:right="1148" w:firstLine="420"/>
        <w:jc w:val="both"/>
      </w:pPr>
      <w:r>
        <w:rPr>
          <w:spacing w:val="-1"/>
        </w:rPr>
        <w:t>根据深交所《股票上市规则》和《公司章程》等相关规定，本次投资在公司董事长审批权限内，无需提交</w:t>
      </w:r>
      <w:r>
        <w:rPr>
          <w:w w:val="100"/>
        </w:rPr>
        <w:t> </w:t>
      </w:r>
      <w:r>
        <w:rPr>
          <w:spacing w:val="-1"/>
        </w:rPr>
        <w:t>公司董事会和股东大会审议。本次投资不构成关联交易，不构成《上市公司重大资产重组管理办法》规定的重</w:t>
      </w:r>
      <w:r>
        <w:rPr>
          <w:spacing w:val="-62"/>
        </w:rPr>
        <w:t> </w:t>
      </w:r>
      <w:r>
        <w:rPr>
          <w:spacing w:val="-62"/>
        </w:rPr>
      </w:r>
      <w:r>
        <w:rPr>
          <w:spacing w:val="-1"/>
        </w:rPr>
        <w:t>大资产重组。</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26</w:t>
      </w:r>
      <w:r>
        <w:rPr>
          <w:spacing w:val="-1"/>
        </w:rPr>
        <w:t>日，本公司和北京用友幸福云创创业投资中心（有限合伙）、华软创新创业投资无</w:t>
      </w:r>
    </w:p>
    <w:p>
      <w:pPr>
        <w:spacing w:after="0" w:line="285"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0"/>
        <w:jc w:val="left"/>
      </w:pPr>
      <w:r>
        <w:rPr>
          <w:spacing w:val="-7"/>
        </w:rPr>
        <w:t>锡合伙企业（有限合伙）、北京华软投资管理有限公司与北京慧友云商科技有限公司（以下简称“慧友云商”）、</w:t>
      </w:r>
      <w:r>
        <w:rPr>
          <w:spacing w:val="-61"/>
        </w:rPr>
        <w:t> </w:t>
      </w:r>
      <w:r>
        <w:rPr>
          <w:spacing w:val="-61"/>
        </w:rPr>
      </w:r>
      <w:r>
        <w:rPr/>
        <w:t>北京凌云悦翔科技有限公司（慧友云商原股东）、北京致远协创软件有限公司（慧友云商原股东）签订投资协</w:t>
      </w:r>
      <w:r>
        <w:rPr>
          <w:w w:val="100"/>
        </w:rPr>
        <w:t> </w:t>
      </w:r>
      <w:r>
        <w:rPr/>
        <w:t>议，协议约定，投资方用现金分两期认购新增注册资本：</w:t>
      </w:r>
    </w:p>
    <w:p>
      <w:pPr>
        <w:pStyle w:val="Heading5"/>
        <w:spacing w:line="285" w:lineRule="auto" w:before="132"/>
        <w:ind w:right="0" w:firstLine="420"/>
        <w:jc w:val="left"/>
      </w:pPr>
      <w:r>
        <w:rPr>
          <w:spacing w:val="-1"/>
        </w:rPr>
        <w:t>第一期：本公司应于</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20</w:t>
      </w:r>
      <w:r>
        <w:rPr>
          <w:spacing w:val="-1"/>
        </w:rPr>
        <w:t>日前完成，以</w:t>
      </w:r>
      <w:r>
        <w:rPr>
          <w:rFonts w:ascii="宋体" w:hAnsi="宋体" w:cs="宋体" w:eastAsia="宋体" w:hint="default"/>
          <w:spacing w:val="-1"/>
        </w:rPr>
        <w:t>515.79</w:t>
      </w:r>
      <w:r>
        <w:rPr>
          <w:spacing w:val="-1"/>
        </w:rPr>
        <w:t>万元购买北京凌云悦翔科技有限公司持有慧友云商</w:t>
      </w:r>
      <w:r>
        <w:rPr>
          <w:w w:val="100"/>
        </w:rPr>
        <w:t> </w:t>
      </w:r>
      <w:r>
        <w:rPr>
          <w:rFonts w:ascii="宋体" w:hAnsi="宋体" w:cs="宋体" w:eastAsia="宋体" w:hint="default"/>
        </w:rPr>
        <w:t>6.451%</w:t>
      </w:r>
      <w:r>
        <w:rPr/>
        <w:t>股权；以</w:t>
      </w:r>
      <w:r>
        <w:rPr>
          <w:rFonts w:ascii="宋体" w:hAnsi="宋体" w:cs="宋体" w:eastAsia="宋体" w:hint="default"/>
        </w:rPr>
        <w:t>184.21</w:t>
      </w:r>
      <w:r>
        <w:rPr/>
        <w:t>万元购买北京致远协创软件有限公司持有慧友云商</w:t>
      </w:r>
      <w:r>
        <w:rPr>
          <w:rFonts w:ascii="宋体" w:hAnsi="宋体" w:cs="宋体" w:eastAsia="宋体" w:hint="default"/>
        </w:rPr>
        <w:t>2.303%</w:t>
      </w:r>
      <w:r>
        <w:rPr/>
        <w:t>股权；</w:t>
      </w:r>
    </w:p>
    <w:p>
      <w:pPr>
        <w:pStyle w:val="Heading5"/>
        <w:spacing w:line="285" w:lineRule="auto" w:before="132"/>
        <w:ind w:right="1147" w:firstLine="420"/>
        <w:jc w:val="both"/>
      </w:pPr>
      <w:r>
        <w:rPr>
          <w:spacing w:val="-1"/>
        </w:rPr>
        <w:t>第二期：本公司应于</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20</w:t>
      </w:r>
      <w:r>
        <w:rPr>
          <w:spacing w:val="-1"/>
        </w:rPr>
        <w:t>日前完成，以现金出资</w:t>
      </w:r>
      <w:r>
        <w:rPr>
          <w:rFonts w:ascii="宋体" w:hAnsi="宋体" w:cs="宋体" w:eastAsia="宋体" w:hint="default"/>
          <w:spacing w:val="-1"/>
        </w:rPr>
        <w:t>550</w:t>
      </w:r>
      <w:r>
        <w:rPr>
          <w:spacing w:val="-1"/>
        </w:rPr>
        <w:t>万元认购新增注册资本</w:t>
      </w:r>
      <w:r>
        <w:rPr>
          <w:rFonts w:ascii="宋体" w:hAnsi="宋体" w:cs="宋体" w:eastAsia="宋体" w:hint="default"/>
          <w:spacing w:val="-1"/>
        </w:rPr>
        <w:t>0.0537</w:t>
      </w:r>
      <w:r>
        <w:rPr>
          <w:spacing w:val="-1"/>
        </w:rPr>
        <w:t>万元；同时，本</w:t>
      </w:r>
      <w:r>
        <w:rPr>
          <w:w w:val="100"/>
        </w:rPr>
        <w:t> </w:t>
      </w:r>
      <w:r>
        <w:rPr>
          <w:spacing w:val="-1"/>
        </w:rPr>
        <w:t>公司以</w:t>
      </w:r>
      <w:r>
        <w:rPr>
          <w:rFonts w:ascii="宋体" w:hAnsi="宋体" w:cs="宋体" w:eastAsia="宋体" w:hint="default"/>
          <w:spacing w:val="-1"/>
        </w:rPr>
        <w:t>184.21</w:t>
      </w:r>
      <w:r>
        <w:rPr>
          <w:spacing w:val="-1"/>
        </w:rPr>
        <w:t>万元购买北京致远协创软件有限公司持有慧友云商</w:t>
      </w:r>
      <w:r>
        <w:rPr>
          <w:rFonts w:ascii="宋体" w:hAnsi="宋体" w:cs="宋体" w:eastAsia="宋体" w:hint="default"/>
          <w:spacing w:val="-1"/>
        </w:rPr>
        <w:t>1.418%</w:t>
      </w:r>
      <w:r>
        <w:rPr>
          <w:spacing w:val="-1"/>
        </w:rPr>
        <w:t>股权，以</w:t>
      </w:r>
      <w:r>
        <w:rPr>
          <w:rFonts w:ascii="宋体" w:hAnsi="宋体" w:cs="宋体" w:eastAsia="宋体" w:hint="default"/>
          <w:spacing w:val="-1"/>
        </w:rPr>
        <w:t>65.79</w:t>
      </w:r>
      <w:r>
        <w:rPr>
          <w:spacing w:val="-1"/>
        </w:rPr>
        <w:t>万元；以</w:t>
      </w:r>
      <w:r>
        <w:rPr>
          <w:rFonts w:ascii="宋体" w:hAnsi="宋体" w:cs="宋体" w:eastAsia="宋体" w:hint="default"/>
          <w:spacing w:val="-1"/>
        </w:rPr>
        <w:t>65.79</w:t>
      </w:r>
      <w:r>
        <w:rPr>
          <w:spacing w:val="-1"/>
        </w:rPr>
        <w:t>万元购买</w:t>
      </w:r>
      <w:r>
        <w:rPr>
          <w:spacing w:val="-52"/>
        </w:rPr>
        <w:t> </w:t>
      </w:r>
      <w:r>
        <w:rPr>
          <w:spacing w:val="-52"/>
        </w:rPr>
      </w:r>
      <w:r>
        <w:rPr/>
        <w:t>北京凌云悦翔科技有限公司持有慧友云商</w:t>
      </w:r>
      <w:r>
        <w:rPr>
          <w:rFonts w:ascii="宋体" w:hAnsi="宋体" w:cs="宋体" w:eastAsia="宋体" w:hint="default"/>
        </w:rPr>
        <w:t>0.504%</w:t>
      </w:r>
      <w:r>
        <w:rPr/>
        <w:t>股权；</w:t>
      </w:r>
    </w:p>
    <w:p>
      <w:pPr>
        <w:pStyle w:val="Heading5"/>
        <w:spacing w:line="432" w:lineRule="exact" w:before="20"/>
        <w:ind w:left="573" w:right="0"/>
        <w:jc w:val="left"/>
      </w:pPr>
      <w:r>
        <w:rPr/>
        <w:t>最终本公司持有慧友云商</w:t>
      </w:r>
      <w:r>
        <w:rPr>
          <w:rFonts w:ascii="宋体" w:hAnsi="宋体" w:cs="宋体" w:eastAsia="宋体" w:hint="default"/>
        </w:rPr>
        <w:t>14.268%</w:t>
      </w:r>
      <w:r>
        <w:rPr/>
        <w:t>股权。</w:t>
      </w:r>
      <w:r>
        <w:rPr>
          <w:w w:val="100"/>
        </w:rPr>
        <w:t> </w:t>
      </w:r>
      <w:r>
        <w:rPr>
          <w:spacing w:val="-1"/>
        </w:rPr>
        <w:t>本公司于</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月支付第一期购买股权款，慧友云商于</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日完成工商变更手续，注册资本变更</w:t>
      </w:r>
    </w:p>
    <w:p>
      <w:pPr>
        <w:pStyle w:val="Heading5"/>
        <w:spacing w:line="396" w:lineRule="auto" w:before="0"/>
        <w:ind w:left="675" w:right="5353" w:hanging="522"/>
        <w:jc w:val="left"/>
      </w:pPr>
      <w:r>
        <w:rPr/>
        <w:t>为</w:t>
      </w:r>
      <w:r>
        <w:rPr>
          <w:rFonts w:ascii="宋体" w:hAnsi="宋体" w:cs="宋体" w:eastAsia="宋体" w:hint="default"/>
        </w:rPr>
        <w:t>1.1766</w:t>
      </w:r>
      <w:r>
        <w:rPr/>
        <w:t>万元，本公司持有</w:t>
      </w:r>
      <w:r>
        <w:rPr>
          <w:rFonts w:ascii="宋体" w:hAnsi="宋体" w:cs="宋体" w:eastAsia="宋体" w:hint="default"/>
        </w:rPr>
        <w:t>8.75%</w:t>
      </w:r>
      <w:r>
        <w:rPr/>
        <w:t>股权。</w:t>
      </w:r>
      <w:r>
        <w:rPr>
          <w:w w:val="100"/>
        </w:rPr>
        <w:t> </w:t>
      </w:r>
      <w:r>
        <w:rPr>
          <w:spacing w:val="-1"/>
        </w:rPr>
        <w:t>截至财务报告日止，本公司第二期投资款尚未支付。</w:t>
      </w:r>
    </w:p>
    <w:p>
      <w:pPr>
        <w:pStyle w:val="Heading5"/>
        <w:spacing w:line="240" w:lineRule="auto" w:before="40"/>
        <w:ind w:left="573" w:right="0"/>
        <w:jc w:val="left"/>
      </w:pPr>
      <w:r>
        <w:rPr/>
        <w:t>（五）设立全资子公司</w:t>
      </w:r>
    </w:p>
    <w:p>
      <w:pPr>
        <w:pStyle w:val="Heading5"/>
        <w:spacing w:line="285" w:lineRule="auto" w:before="170"/>
        <w:ind w:left="154" w:right="1130" w:firstLine="420"/>
        <w:jc w:val="both"/>
      </w:pPr>
      <w:r>
        <w:rPr/>
        <w:t>本公司于</w:t>
      </w:r>
      <w:r>
        <w:rPr>
          <w:rFonts w:ascii="宋体" w:hAnsi="宋体" w:cs="宋体" w:eastAsia="宋体" w:hint="default"/>
        </w:rPr>
        <w:t>2015 </w:t>
      </w:r>
      <w:r>
        <w:rPr/>
        <w:t>年 </w:t>
      </w:r>
      <w:r>
        <w:rPr>
          <w:rFonts w:ascii="宋体" w:hAnsi="宋体" w:cs="宋体" w:eastAsia="宋体" w:hint="default"/>
        </w:rPr>
        <w:t>2 </w:t>
      </w:r>
      <w:r>
        <w:rPr/>
        <w:t>月 </w:t>
      </w:r>
      <w:r>
        <w:rPr>
          <w:rFonts w:ascii="宋体" w:hAnsi="宋体" w:cs="宋体" w:eastAsia="宋体" w:hint="default"/>
        </w:rPr>
        <w:t>15</w:t>
      </w:r>
      <w:r>
        <w:rPr>
          <w:rFonts w:ascii="宋体" w:hAnsi="宋体" w:cs="宋体" w:eastAsia="宋体" w:hint="default"/>
          <w:spacing w:val="-9"/>
        </w:rPr>
        <w:t> </w:t>
      </w:r>
      <w:r>
        <w:rPr/>
        <w:t>日第四届董事会第二十八次会议审议通过，根据公司整体业务策略，为了增强</w:t>
      </w:r>
      <w:r>
        <w:rPr>
          <w:w w:val="100"/>
        </w:rPr>
        <w:t> </w:t>
      </w:r>
      <w:r>
        <w:rPr>
          <w:spacing w:val="-2"/>
        </w:rPr>
        <w:t>公司移动通信业务能力，公司出资</w:t>
      </w:r>
      <w:r>
        <w:rPr>
          <w:rFonts w:ascii="宋体" w:hAnsi="宋体" w:cs="宋体" w:eastAsia="宋体" w:hint="default"/>
          <w:spacing w:val="-2"/>
        </w:rPr>
        <w:t>1.5</w:t>
      </w:r>
      <w:r>
        <w:rPr>
          <w:spacing w:val="-2"/>
        </w:rPr>
        <w:t>亿元人民币设立全资子公司“广州二六三移动通信有限公司”，广州二六</w:t>
      </w:r>
      <w:r>
        <w:rPr>
          <w:spacing w:val="-76"/>
        </w:rPr>
        <w:t> </w:t>
      </w:r>
      <w:r>
        <w:rPr>
          <w:spacing w:val="-76"/>
        </w:rPr>
      </w:r>
      <w:r>
        <w:rPr/>
        <w:t>三移动通信有限公司于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18</w:t>
      </w:r>
      <w:r>
        <w:rPr/>
        <w:t>日领取广州市工商行政管理颁发的注册号为</w:t>
      </w:r>
      <w:r>
        <w:rPr>
          <w:rFonts w:ascii="宋体" w:hAnsi="宋体" w:cs="宋体" w:eastAsia="宋体" w:hint="default"/>
        </w:rPr>
        <w:t>440101000336048</w:t>
      </w:r>
      <w:r>
        <w:rPr/>
        <w:t>营业执照。</w:t>
      </w:r>
    </w:p>
    <w:p>
      <w:pPr>
        <w:pStyle w:val="Heading5"/>
        <w:spacing w:line="432" w:lineRule="exact" w:before="20"/>
        <w:ind w:left="573" w:right="0"/>
        <w:jc w:val="left"/>
      </w:pPr>
      <w:r>
        <w:rPr/>
        <w:t>（六）《关于公司</w:t>
      </w:r>
      <w:r>
        <w:rPr>
          <w:rFonts w:ascii="宋体" w:hAnsi="宋体" w:cs="宋体" w:eastAsia="宋体" w:hint="default"/>
        </w:rPr>
        <w:t>2014</w:t>
      </w:r>
      <w:r>
        <w:rPr/>
        <w:t>年度利润分配方案的议案》</w:t>
      </w:r>
      <w:r>
        <w:rPr>
          <w:w w:val="100"/>
        </w:rPr>
        <w:t> </w:t>
      </w:r>
      <w:r>
        <w:rPr>
          <w:spacing w:val="-1"/>
        </w:rPr>
        <w:t>本公司</w:t>
      </w:r>
      <w:r>
        <w:rPr>
          <w:rFonts w:ascii="宋体" w:hAnsi="宋体" w:cs="宋体" w:eastAsia="宋体" w:hint="default"/>
          <w:spacing w:val="-1"/>
        </w:rPr>
        <w:t>2014</w:t>
      </w:r>
      <w:r>
        <w:rPr>
          <w:spacing w:val="-1"/>
        </w:rPr>
        <w:t>年度利润分配方案为：以公司截止到</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12</w:t>
      </w:r>
      <w:r>
        <w:rPr>
          <w:spacing w:val="-1"/>
        </w:rPr>
        <w:t>日的总股本</w:t>
      </w:r>
      <w:r>
        <w:rPr>
          <w:rFonts w:ascii="宋体" w:hAnsi="宋体" w:cs="宋体" w:eastAsia="宋体" w:hint="default"/>
          <w:spacing w:val="-1"/>
        </w:rPr>
        <w:t>482,238,782.00</w:t>
      </w:r>
      <w:r>
        <w:rPr>
          <w:spacing w:val="-1"/>
        </w:rPr>
        <w:t>股（扣除库存股）</w:t>
      </w:r>
    </w:p>
    <w:p>
      <w:pPr>
        <w:pStyle w:val="Heading5"/>
        <w:spacing w:line="285" w:lineRule="auto" w:before="0"/>
        <w:ind w:right="0"/>
        <w:jc w:val="left"/>
      </w:pPr>
      <w:r>
        <w:rPr>
          <w:spacing w:val="-1"/>
        </w:rPr>
        <w:t>为基数，向全体股东每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1.8</w:t>
      </w:r>
      <w:r>
        <w:rPr>
          <w:spacing w:val="-1"/>
        </w:rPr>
        <w:t>元人民币（含税），预计支付红利</w:t>
      </w:r>
      <w:r>
        <w:rPr>
          <w:rFonts w:ascii="宋体" w:hAnsi="宋体" w:cs="宋体" w:eastAsia="宋体" w:hint="default"/>
          <w:spacing w:val="-1"/>
        </w:rPr>
        <w:t>86,802,980.76</w:t>
      </w:r>
      <w:r>
        <w:rPr>
          <w:spacing w:val="-1"/>
        </w:rPr>
        <w:t>元；以资本公积</w:t>
      </w:r>
      <w:r>
        <w:rPr>
          <w:spacing w:val="-54"/>
        </w:rPr>
        <w:t> </w:t>
      </w:r>
      <w:r>
        <w:rPr>
          <w:spacing w:val="-54"/>
        </w:rPr>
      </w:r>
      <w:r>
        <w:rPr/>
        <w:t>金向全体股东每</w:t>
      </w:r>
      <w:r>
        <w:rPr>
          <w:rFonts w:ascii="宋体" w:hAnsi="宋体" w:cs="宋体" w:eastAsia="宋体" w:hint="default"/>
        </w:rPr>
        <w:t>10</w:t>
      </w:r>
      <w:r>
        <w:rPr/>
        <w:t>股转增</w:t>
      </w:r>
      <w:r>
        <w:rPr>
          <w:rFonts w:ascii="宋体" w:hAnsi="宋体" w:cs="宋体" w:eastAsia="宋体" w:hint="default"/>
        </w:rPr>
        <w:t>5</w:t>
      </w:r>
      <w:r>
        <w:rPr/>
        <w:t>股。</w:t>
      </w:r>
    </w:p>
    <w:p>
      <w:pPr>
        <w:pStyle w:val="Heading5"/>
        <w:spacing w:line="240" w:lineRule="auto" w:before="132"/>
        <w:ind w:left="573" w:right="0"/>
        <w:jc w:val="left"/>
      </w:pPr>
      <w:r>
        <w:rPr/>
        <w:t>上述利润分配方案事项尚需本公司股东大会批准。</w:t>
      </w:r>
    </w:p>
    <w:p>
      <w:pPr>
        <w:pStyle w:val="Heading5"/>
        <w:spacing w:line="430" w:lineRule="atLeast" w:before="2"/>
        <w:ind w:left="553" w:right="0" w:hanging="99"/>
        <w:jc w:val="left"/>
      </w:pPr>
      <w:r>
        <w:rPr/>
        <w:t>（七）关于公司非公开发行股票事项</w:t>
      </w:r>
      <w:r>
        <w:rPr>
          <w:w w:val="100"/>
        </w:rPr>
        <w:t> </w:t>
      </w:r>
      <w:r>
        <w:rPr>
          <w:spacing w:val="-2"/>
        </w:rPr>
        <w:t>本公司</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13</w:t>
      </w:r>
      <w:r>
        <w:rPr>
          <w:spacing w:val="-2"/>
        </w:rPr>
        <w:t>日第四届董事会第二十九次会议和第四届监事会第十六次会议审议通过了《关于公司非</w:t>
      </w:r>
    </w:p>
    <w:p>
      <w:pPr>
        <w:pStyle w:val="Heading5"/>
        <w:spacing w:line="285" w:lineRule="auto" w:before="50"/>
        <w:ind w:right="1131"/>
        <w:jc w:val="both"/>
      </w:pPr>
      <w:r>
        <w:rPr/>
        <w:t>公开发行股票预案的议案》。本公司拟向不超过 </w:t>
      </w:r>
      <w:r>
        <w:rPr>
          <w:rFonts w:ascii="宋体" w:hAnsi="宋体" w:cs="宋体" w:eastAsia="宋体" w:hint="default"/>
        </w:rPr>
        <w:t>10</w:t>
      </w:r>
      <w:r>
        <w:rPr>
          <w:rFonts w:ascii="宋体" w:hAnsi="宋体" w:cs="宋体" w:eastAsia="宋体" w:hint="default"/>
          <w:spacing w:val="34"/>
        </w:rPr>
        <w:t> </w:t>
      </w:r>
      <w:r>
        <w:rPr/>
        <w:t>名特定对象非公开发行不超过</w:t>
      </w:r>
      <w:r>
        <w:rPr>
          <w:rFonts w:ascii="宋体" w:hAnsi="宋体" w:cs="宋体" w:eastAsia="宋体" w:hint="default"/>
        </w:rPr>
        <w:t>5,068</w:t>
      </w:r>
      <w:r>
        <w:rPr/>
        <w:t>万股</w:t>
      </w:r>
      <w:r>
        <w:rPr>
          <w:rFonts w:ascii="宋体" w:hAnsi="宋体" w:cs="宋体" w:eastAsia="宋体" w:hint="default"/>
        </w:rPr>
        <w:t>A</w:t>
      </w:r>
      <w:r>
        <w:rPr/>
        <w:t>股股票，拟募集</w:t>
      </w:r>
      <w:r>
        <w:rPr>
          <w:w w:val="100"/>
        </w:rPr>
        <w:t> </w:t>
      </w:r>
      <w:r>
        <w:rPr/>
        <w:t>资金总额（含发行费用）不超过</w:t>
      </w:r>
      <w:r>
        <w:rPr>
          <w:rFonts w:ascii="宋体" w:hAnsi="宋体" w:cs="宋体" w:eastAsia="宋体" w:hint="default"/>
        </w:rPr>
        <w:t>78,400</w:t>
      </w:r>
      <w:r>
        <w:rPr/>
        <w:t>万元，扣除发行费用后的募集资金净额不超过</w:t>
      </w:r>
      <w:r>
        <w:rPr>
          <w:rFonts w:ascii="宋体" w:hAnsi="宋体" w:cs="宋体" w:eastAsia="宋体" w:hint="default"/>
        </w:rPr>
        <w:t>76,500</w:t>
      </w:r>
      <w:r>
        <w:rPr/>
        <w:t>万元，拟投入如下</w:t>
      </w:r>
      <w:r>
        <w:rPr>
          <w:spacing w:val="-65"/>
        </w:rPr>
        <w:t> </w:t>
      </w:r>
      <w:r>
        <w:rPr>
          <w:spacing w:val="-65"/>
        </w:rPr>
      </w:r>
      <w:r>
        <w:rPr/>
        <w:t>项目：</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49"/>
        <w:gridCol w:w="4059"/>
        <w:gridCol w:w="2438"/>
        <w:gridCol w:w="2585"/>
      </w:tblGrid>
      <w:tr>
        <w:trPr>
          <w:trHeight w:val="422" w:hRule="exact"/>
        </w:trPr>
        <w:tc>
          <w:tcPr>
            <w:tcW w:w="449" w:type="dxa"/>
            <w:vMerge w:val="restart"/>
            <w:tcBorders>
              <w:top w:val="single" w:sz="4" w:space="0" w:color="000000"/>
              <w:left w:val="single" w:sz="4" w:space="0" w:color="000000"/>
              <w:right w:val="single" w:sz="4" w:space="0" w:color="000000"/>
            </w:tcBorders>
          </w:tcPr>
          <w:p>
            <w:pPr>
              <w:pStyle w:val="TableParagraph"/>
              <w:spacing w:line="240" w:lineRule="auto" w:before="46"/>
              <w:ind w:left="19"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4059" w:type="dxa"/>
            <w:vMerge w:val="restart"/>
            <w:tcBorders>
              <w:top w:val="single" w:sz="4" w:space="0" w:color="000000"/>
              <w:left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项目投资</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88" w:right="0"/>
              <w:jc w:val="left"/>
              <w:rPr>
                <w:rFonts w:ascii="宋体" w:hAnsi="宋体" w:cs="宋体" w:eastAsia="宋体" w:hint="default"/>
                <w:sz w:val="20"/>
                <w:szCs w:val="20"/>
              </w:rPr>
            </w:pPr>
            <w:r>
              <w:rPr>
                <w:rFonts w:ascii="宋体" w:hAnsi="宋体" w:cs="宋体" w:eastAsia="宋体" w:hint="default"/>
                <w:sz w:val="20"/>
                <w:szCs w:val="20"/>
              </w:rPr>
              <w:t>拟使用募集资金</w:t>
            </w:r>
          </w:p>
        </w:tc>
      </w:tr>
      <w:tr>
        <w:trPr>
          <w:trHeight w:val="422" w:hRule="exact"/>
        </w:trPr>
        <w:tc>
          <w:tcPr>
            <w:tcW w:w="449" w:type="dxa"/>
            <w:vMerge/>
            <w:tcBorders>
              <w:left w:val="single" w:sz="4" w:space="0" w:color="000000"/>
              <w:bottom w:val="single" w:sz="4" w:space="0" w:color="000000"/>
              <w:right w:val="single" w:sz="4" w:space="0" w:color="000000"/>
            </w:tcBorders>
          </w:tcPr>
          <w:p>
            <w:pPr/>
          </w:p>
        </w:tc>
        <w:tc>
          <w:tcPr>
            <w:tcW w:w="4059" w:type="dxa"/>
            <w:vMerge/>
            <w:tcBorders>
              <w:left w:val="single" w:sz="4" w:space="0" w:color="000000"/>
              <w:bottom w:val="single" w:sz="4" w:space="0" w:color="000000"/>
              <w:right w:val="single" w:sz="4" w:space="0" w:color="000000"/>
            </w:tcBorders>
          </w:tcPr>
          <w:p>
            <w:pP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14" w:right="0"/>
              <w:jc w:val="left"/>
              <w:rPr>
                <w:rFonts w:ascii="宋体" w:hAnsi="宋体" w:cs="宋体" w:eastAsia="宋体" w:hint="default"/>
                <w:sz w:val="20"/>
                <w:szCs w:val="20"/>
              </w:rPr>
            </w:pPr>
            <w:r>
              <w:rPr>
                <w:rFonts w:ascii="宋体" w:hAnsi="宋体" w:cs="宋体" w:eastAsia="宋体" w:hint="default"/>
                <w:sz w:val="20"/>
                <w:szCs w:val="20"/>
              </w:rPr>
              <w:t>总额（万元）</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88" w:right="0"/>
              <w:jc w:val="left"/>
              <w:rPr>
                <w:rFonts w:ascii="宋体" w:hAnsi="宋体" w:cs="宋体" w:eastAsia="宋体" w:hint="default"/>
                <w:sz w:val="20"/>
                <w:szCs w:val="20"/>
              </w:rPr>
            </w:pPr>
            <w:r>
              <w:rPr>
                <w:rFonts w:ascii="宋体" w:hAnsi="宋体" w:cs="宋体" w:eastAsia="宋体" w:hint="default"/>
                <w:sz w:val="20"/>
                <w:szCs w:val="20"/>
              </w:rPr>
              <w:t>金额（万元）</w:t>
            </w:r>
          </w:p>
        </w:tc>
      </w:tr>
      <w:tr>
        <w:trPr>
          <w:trHeight w:val="421" w:hRule="exact"/>
        </w:trPr>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w w:val="100"/>
                <w:sz w:val="20"/>
              </w:rPr>
              <w:t>1</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0"/>
                <w:szCs w:val="20"/>
              </w:rPr>
            </w:pPr>
            <w:r>
              <w:rPr>
                <w:rFonts w:ascii="宋体" w:hAnsi="宋体" w:cs="宋体" w:eastAsia="宋体" w:hint="default"/>
                <w:sz w:val="20"/>
                <w:szCs w:val="20"/>
              </w:rPr>
              <w:t>全球华人移动通信服务项目</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right"/>
              <w:rPr>
                <w:rFonts w:ascii="Times New Roman" w:hAnsi="Times New Roman" w:cs="Times New Roman" w:eastAsia="Times New Roman" w:hint="default"/>
                <w:sz w:val="20"/>
                <w:szCs w:val="20"/>
              </w:rPr>
            </w:pPr>
            <w:r>
              <w:rPr>
                <w:rFonts w:ascii="Times New Roman"/>
                <w:spacing w:val="-1"/>
                <w:sz w:val="20"/>
              </w:rPr>
              <w:t>42,500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right"/>
              <w:rPr>
                <w:rFonts w:ascii="Times New Roman" w:hAnsi="Times New Roman" w:cs="Times New Roman" w:eastAsia="Times New Roman" w:hint="default"/>
                <w:sz w:val="20"/>
                <w:szCs w:val="20"/>
              </w:rPr>
            </w:pPr>
            <w:r>
              <w:rPr>
                <w:rFonts w:ascii="Times New Roman"/>
                <w:spacing w:val="-1"/>
                <w:sz w:val="20"/>
              </w:rPr>
              <w:t>42,500</w:t>
            </w:r>
          </w:p>
        </w:tc>
      </w:tr>
      <w:tr>
        <w:trPr>
          <w:trHeight w:val="422" w:hRule="exact"/>
        </w:trPr>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w w:val="100"/>
                <w:sz w:val="20"/>
              </w:rPr>
              <w:t>2</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企业云统一通信服务项目</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20"/>
                <w:szCs w:val="20"/>
              </w:rPr>
            </w:pPr>
            <w:r>
              <w:rPr>
                <w:rFonts w:ascii="Times New Roman"/>
                <w:spacing w:val="-1"/>
                <w:sz w:val="20"/>
              </w:rPr>
              <w:t>34,000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20"/>
                <w:szCs w:val="20"/>
              </w:rPr>
            </w:pPr>
            <w:r>
              <w:rPr>
                <w:rFonts w:ascii="Times New Roman"/>
                <w:spacing w:val="-1"/>
                <w:sz w:val="20"/>
              </w:rPr>
              <w:t>34,000</w:t>
            </w:r>
          </w:p>
        </w:tc>
      </w:tr>
      <w:tr>
        <w:trPr>
          <w:trHeight w:val="422"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20"/>
                <w:szCs w:val="20"/>
              </w:rPr>
            </w:pPr>
            <w:r>
              <w:rPr>
                <w:rFonts w:ascii="Times New Roman"/>
                <w:spacing w:val="-1"/>
                <w:sz w:val="20"/>
              </w:rPr>
              <w:t>76,500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20"/>
                <w:szCs w:val="20"/>
              </w:rPr>
            </w:pPr>
            <w:r>
              <w:rPr>
                <w:rFonts w:ascii="Times New Roman"/>
                <w:spacing w:val="-1"/>
                <w:sz w:val="20"/>
              </w:rPr>
              <w:t>76,500</w:t>
            </w:r>
          </w:p>
        </w:tc>
      </w:tr>
    </w:tbl>
    <w:p>
      <w:pPr>
        <w:pStyle w:val="Heading5"/>
        <w:spacing w:line="285" w:lineRule="auto" w:before="35"/>
        <w:ind w:right="1130" w:firstLine="399"/>
        <w:jc w:val="right"/>
      </w:pPr>
      <w:r>
        <w:rPr>
          <w:spacing w:val="-2"/>
        </w:rPr>
        <w:t>若本次非公开发行</w:t>
      </w:r>
      <w:r>
        <w:rPr>
          <w:rFonts w:ascii="宋体" w:hAnsi="宋体" w:cs="宋体" w:eastAsia="宋体" w:hint="default"/>
          <w:spacing w:val="-2"/>
        </w:rPr>
        <w:t>A</w:t>
      </w:r>
      <w:r>
        <w:rPr>
          <w:spacing w:val="-2"/>
        </w:rPr>
        <w:t>股股票募集资金净额少于上述项目拟使用募集资金金额，公司将根据募集资金净额，按</w:t>
      </w:r>
      <w:r>
        <w:rPr>
          <w:w w:val="100"/>
        </w:rPr>
        <w:t> </w:t>
      </w:r>
      <w:r>
        <w:rPr/>
        <w:t>照项目的轻重缓急等情况，调整并最终决定募集资金的具体投资项目、优先顺序及各项目的具体投资额，募集</w:t>
      </w:r>
      <w:r>
        <w:rPr>
          <w:spacing w:val="-69"/>
        </w:rPr>
        <w:t> </w:t>
      </w:r>
      <w:r>
        <w:rPr>
          <w:spacing w:val="-69"/>
        </w:rPr>
      </w:r>
      <w:r>
        <w:rPr>
          <w:spacing w:val="-2"/>
        </w:rPr>
        <w:t>资金不足部分由公司以自有资金或通过其他融资方式解决。在本次非公开发行</w:t>
      </w:r>
      <w:r>
        <w:rPr>
          <w:rFonts w:ascii="宋体" w:hAnsi="宋体" w:cs="宋体" w:eastAsia="宋体" w:hint="default"/>
          <w:spacing w:val="-2"/>
        </w:rPr>
        <w:t>A</w:t>
      </w:r>
      <w:r>
        <w:rPr>
          <w:spacing w:val="-2"/>
        </w:rPr>
        <w:t>股股票募集资金到位之前，公司</w:t>
      </w:r>
      <w:r>
        <w:rPr>
          <w:w w:val="100"/>
        </w:rPr>
        <w:t> </w:t>
      </w:r>
      <w:r>
        <w:rPr>
          <w:spacing w:val="-1"/>
        </w:rPr>
        <w:t>将根据项目进度的实际需要以自筹资金先行投入，并在募集资金到位之后按照相关法规规定的程序予以置换。</w:t>
      </w:r>
    </w:p>
    <w:p>
      <w:pPr>
        <w:pStyle w:val="Heading5"/>
        <w:spacing w:line="288" w:lineRule="auto" w:before="52"/>
        <w:ind w:right="1118" w:firstLine="399"/>
        <w:jc w:val="left"/>
      </w:pPr>
      <w:r>
        <w:rPr>
          <w:spacing w:val="-2"/>
        </w:rPr>
        <w:t>拟提请公司股东大会授权董事会在有关法律、法规范围内全权办理与本次非公开发行</w:t>
      </w:r>
      <w:r>
        <w:rPr>
          <w:rFonts w:ascii="宋体" w:hAnsi="宋体" w:cs="宋体" w:eastAsia="宋体" w:hint="default"/>
          <w:spacing w:val="-2"/>
        </w:rPr>
        <w:t>A</w:t>
      </w:r>
      <w:r>
        <w:rPr>
          <w:spacing w:val="-2"/>
        </w:rPr>
        <w:t>股股票有关的全部事</w:t>
      </w:r>
      <w:r>
        <w:rPr>
          <w:w w:val="100"/>
        </w:rPr>
        <w:t> </w:t>
      </w:r>
      <w:r>
        <w:rPr/>
        <w:t>宜。</w:t>
      </w:r>
    </w:p>
    <w:p>
      <w:pPr>
        <w:spacing w:after="0" w:line="288"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5"/>
        <w:spacing w:line="321" w:lineRule="auto" w:before="38"/>
        <w:ind w:left="553" w:right="0"/>
        <w:jc w:val="left"/>
      </w:pPr>
      <w:r>
        <w:rPr/>
        <w:t>上述事项尚需本公司股东大会决议通过。</w:t>
      </w:r>
      <w:r>
        <w:rPr>
          <w:w w:val="100"/>
        </w:rPr>
        <w:t> </w:t>
      </w:r>
      <w:r>
        <w:rPr/>
        <w:t>除存在上述资产负债表日后事项外，截止财务报告日，本公司无其他应披露未披露的重大资产负债表日后</w:t>
      </w:r>
    </w:p>
    <w:p>
      <w:pPr>
        <w:pStyle w:val="Heading5"/>
        <w:spacing w:line="245" w:lineRule="exact" w:before="0"/>
        <w:ind w:right="0"/>
        <w:jc w:val="left"/>
      </w:pPr>
      <w:r>
        <w:rPr/>
        <w:t>事项的。</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六、母公司财务报表主要项目注释" w:id="376"/>
      <w:bookmarkEnd w:id="376"/>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77"/>
      <w:bookmarkEnd w:id="37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78"/>
      <w:bookmarkEnd w:id="37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4,371,46</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4.90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107,984.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4,263,479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1,446,9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40,567.72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1,406,362.4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4,371,46</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4.90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107,984.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4,263,479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1,446,9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30.16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40,567.72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1,406,362.4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4,184,918.21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83,698.36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4,184,918.21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83,698.36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90,207.17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4,510.36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4,314,679.38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107,984.92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w:t>
            </w:r>
          </w:p>
        </w:tc>
      </w:tr>
    </w:tbl>
    <w:p>
      <w:pPr>
        <w:pStyle w:val="BodyText"/>
        <w:spacing w:line="357" w:lineRule="auto" w:before="51"/>
        <w:ind w:right="3013"/>
        <w:jc w:val="left"/>
      </w:pPr>
      <w:r>
        <w:rPr/>
        <w:t>确定该组合依据的说明： 对提供增值电信业务等服务及销售货款、备用金等其他应收款采用账龄分析法组合计提坏帐准备。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213"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213" w:right="0"/>
        <w:jc w:val="left"/>
        <w:rPr>
          <w:b w:val="0"/>
          <w:bCs w:val="0"/>
        </w:rPr>
      </w:pPr>
      <w:bookmarkStart w:name="（2）本期计提、收回或转回的坏账准备情况" w:id="379"/>
      <w:bookmarkEnd w:id="37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3" w:right="0"/>
        <w:jc w:val="left"/>
      </w:pPr>
      <w:r>
        <w:rPr/>
        <w:t>本期计提坏账准备金额</w:t>
      </w:r>
      <w:r>
        <w:rPr>
          <w:spacing w:val="-46"/>
        </w:rPr>
        <w:t> </w:t>
      </w:r>
      <w:r>
        <w:rPr>
          <w:rFonts w:ascii="Times New Roman" w:hAnsi="Times New Roman" w:cs="Times New Roman" w:eastAsia="Times New Roman" w:hint="default"/>
        </w:rPr>
        <w:t>81,940.91</w:t>
      </w:r>
      <w:r>
        <w:rPr>
          <w:rFonts w:ascii="Times New Roman" w:hAnsi="Times New Roman" w:cs="Times New Roman" w:eastAsia="Times New Roman" w:hint="default"/>
          <w:spacing w:val="-1"/>
        </w:rPr>
        <w:t> </w:t>
      </w:r>
      <w:r>
        <w:rPr/>
        <w:t>元；本期无收回或转回坏账准备情况。</w:t>
      </w:r>
    </w:p>
    <w:p>
      <w:pPr>
        <w:spacing w:line="240" w:lineRule="auto" w:before="9"/>
        <w:rPr>
          <w:rFonts w:ascii="宋体" w:hAnsi="宋体" w:cs="宋体" w:eastAsia="宋体" w:hint="default"/>
          <w:sz w:val="25"/>
          <w:szCs w:val="25"/>
        </w:rPr>
      </w:pPr>
    </w:p>
    <w:p>
      <w:pPr>
        <w:pStyle w:val="Heading3"/>
        <w:spacing w:line="240" w:lineRule="auto"/>
        <w:ind w:left="213" w:right="0"/>
        <w:jc w:val="left"/>
        <w:rPr>
          <w:b w:val="0"/>
          <w:bCs w:val="0"/>
        </w:rPr>
      </w:pPr>
      <w:bookmarkStart w:name="（3）本期实际核销的应收账款情况" w:id="380"/>
      <w:bookmarkEnd w:id="38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14,523.71</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4）按欠款方归集的期末余额前五吊的应收账款情况" w:id="381"/>
      <w:bookmarkEnd w:id="38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661"/>
        <w:gridCol w:w="2126"/>
        <w:gridCol w:w="2978"/>
        <w:gridCol w:w="2027"/>
      </w:tblGrid>
      <w:tr>
        <w:trPr>
          <w:trHeight w:val="350" w:hRule="exact"/>
        </w:trPr>
        <w:tc>
          <w:tcPr>
            <w:tcW w:w="2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657"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283" w:right="0"/>
              <w:jc w:val="left"/>
              <w:rPr>
                <w:rFonts w:ascii="宋体" w:hAnsi="宋体" w:cs="宋体" w:eastAsia="宋体" w:hint="default"/>
                <w:sz w:val="20"/>
                <w:szCs w:val="20"/>
              </w:rPr>
            </w:pPr>
            <w:r>
              <w:rPr>
                <w:rFonts w:ascii="宋体" w:hAnsi="宋体" w:cs="宋体" w:eastAsia="宋体" w:hint="default"/>
                <w:sz w:val="20"/>
                <w:szCs w:val="20"/>
              </w:rPr>
              <w:t>占应收账款期末余额的比例</w:t>
            </w:r>
          </w:p>
        </w:tc>
        <w:tc>
          <w:tcPr>
            <w:tcW w:w="20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307" w:right="0"/>
              <w:jc w:val="left"/>
              <w:rPr>
                <w:rFonts w:ascii="宋体" w:hAnsi="宋体" w:cs="宋体" w:eastAsia="宋体" w:hint="default"/>
                <w:sz w:val="20"/>
                <w:szCs w:val="20"/>
              </w:rPr>
            </w:pPr>
            <w:r>
              <w:rPr>
                <w:rFonts w:ascii="宋体" w:hAnsi="宋体" w:cs="宋体" w:eastAsia="宋体" w:hint="default"/>
                <w:sz w:val="20"/>
                <w:szCs w:val="20"/>
              </w:rPr>
              <w:t>已计提坏账准备</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366,016.14</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8.37%</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7,320.32</w:t>
            </w:r>
          </w:p>
        </w:tc>
      </w:tr>
      <w:tr>
        <w:trPr>
          <w:trHeight w:val="40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319,168.40</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7.30%</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6,383.37</w:t>
            </w:r>
          </w:p>
        </w:tc>
      </w:tr>
      <w:tr>
        <w:trPr>
          <w:trHeight w:val="40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300,000.00</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6.86%</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6,000.00</w:t>
            </w:r>
          </w:p>
        </w:tc>
      </w:tr>
      <w:tr>
        <w:trPr>
          <w:trHeight w:val="40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290,115.58</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6.64%</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5,802.31</w:t>
            </w:r>
          </w:p>
        </w:tc>
      </w:tr>
      <w:tr>
        <w:trPr>
          <w:trHeight w:val="40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176,076.89</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4.03%</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3,521.54</w:t>
            </w:r>
          </w:p>
        </w:tc>
      </w:tr>
      <w:tr>
        <w:trPr>
          <w:trHeight w:val="40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1,451,377.01</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z w:val="20"/>
              </w:rPr>
              <w:t>33.20%</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29,027.54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214" w:right="0"/>
        <w:jc w:val="left"/>
        <w:rPr>
          <w:b w:val="0"/>
          <w:bCs w:val="0"/>
        </w:rPr>
      </w:pPr>
      <w:bookmarkStart w:name="2、其他应收款" w:id="382"/>
      <w:bookmarkEnd w:id="38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bookmarkStart w:name="（1）其他应收款分类披露" w:id="383"/>
      <w:bookmarkEnd w:id="38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221,665,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652.95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222,543.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221,443,1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09.50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188,423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,931.58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28,393.21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188,395,53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8.37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221,665,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652.95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222,543.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221,443,1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09.50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188,423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,931.58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28,393.21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188,395,53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8.37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214" w:right="0"/>
        <w:jc w:val="left"/>
      </w:pPr>
      <w:r>
        <w:rPr/>
        <w:t>期末单项金额重大并单项计提坏账准备的其他应收款：</w:t>
      </w:r>
    </w:p>
    <w:p>
      <w:pPr>
        <w:pStyle w:val="BodyText"/>
        <w:spacing w:line="340" w:lineRule="auto" w:before="116"/>
        <w:ind w:left="21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340" w:lineRule="auto"/>
        <w:jc w:val="left"/>
        <w:sectPr>
          <w:pgSz w:w="11910" w:h="16840"/>
          <w:pgMar w:header="747" w:footer="979"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4,064,429.12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81,288.58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4,064,429.12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81,288.58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19"/>
        <w:jc w:val="left"/>
      </w:pPr>
      <w:r>
        <w:rPr/>
        <w:t>确定该组合依据的说明： 对提供增值电信业务等服务及销售货款、备用金等其他应收款采用账龄分析法组合计提坏帐准备。 组合中，采用余额百分比法计提坏账准备的其他应收款：</w:t>
      </w:r>
    </w:p>
    <w:p>
      <w:pPr>
        <w:pStyle w:val="BodyText"/>
        <w:spacing w:line="240" w:lineRule="auto" w:before="26"/>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895" w:space="9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通信业务的保证金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6,175,562.84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123,511.26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354,872.20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17,743.61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6,530,435.04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141,254.87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bl>
    <w:p>
      <w:pPr>
        <w:pStyle w:val="BodyText"/>
        <w:spacing w:line="360" w:lineRule="auto" w:before="51"/>
        <w:ind w:left="154" w:right="6612"/>
        <w:jc w:val="left"/>
      </w:pPr>
      <w:r>
        <w:rPr/>
        <w:t>确定该组合依据的说明： 对保证金、押金采用余额百分比法计提坏账准备。 组合中，采用其他方法计提坏账准备的其他应收款：</w:t>
      </w:r>
    </w:p>
    <w:p>
      <w:pPr>
        <w:pStyle w:val="BodyText"/>
        <w:spacing w:line="240" w:lineRule="auto" w:before="2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84"/>
      <w:bookmarkEnd w:id="38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194,150.24</w:t>
      </w:r>
      <w:r>
        <w:rPr>
          <w:rFonts w:ascii="Times New Roman" w:hAnsi="Times New Roman" w:cs="Times New Roman" w:eastAsia="Times New Roman" w:hint="default"/>
          <w:spacing w:val="-1"/>
        </w:rPr>
        <w:t> </w:t>
      </w:r>
      <w:r>
        <w:rPr/>
        <w:t>元；本期无收回或转回坏账准备情况。</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385"/>
      <w:bookmarkEnd w:id="38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2640"/>
        <w:gridCol w:w="310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6,227,070.51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353,566.07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15,810.00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11,177.44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4,042,037.79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488.51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211,070,788.79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187,755,335.03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309,945.86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303,364.53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221,665,652.95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188,423,931.58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按欠款方归集的期末余额前五吊的其他应收款情况" w:id="386"/>
      <w:bookmarkEnd w:id="38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701"/>
        <w:gridCol w:w="1277"/>
        <w:gridCol w:w="1913"/>
        <w:gridCol w:w="1789"/>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占其他应收款期末余额 合计数的比例</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集团内部往来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91,172,190.67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集团内部往来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42,698,965.61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集团内部往来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9,296,993.33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153,168,149.61</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87"/>
      <w:bookmarkEnd w:id="38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9"/>
        <w:gridCol w:w="1399"/>
        <w:gridCol w:w="921"/>
        <w:gridCol w:w="1400"/>
        <w:gridCol w:w="1400"/>
        <w:gridCol w:w="920"/>
        <w:gridCol w:w="1400"/>
      </w:tblGrid>
      <w:tr>
        <w:trPr>
          <w:trHeight w:val="206" w:hRule="exact"/>
        </w:trPr>
        <w:tc>
          <w:tcPr>
            <w:tcW w:w="2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7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1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vMerge/>
            <w:tcBorders>
              <w:left w:val="single" w:sz="4" w:space="0" w:color="000000"/>
              <w:bottom w:val="single" w:sz="4" w:space="0" w:color="000000"/>
              <w:right w:val="single" w:sz="4" w:space="0" w:color="000000"/>
            </w:tcBorders>
            <w:shd w:val="clear" w:color="auto" w:fill="D2D2D2"/>
          </w:tcPr>
          <w:p>
            <w:pPr/>
          </w:p>
        </w:tc>
        <w:tc>
          <w:tcPr>
            <w:tcW w:w="372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18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r>
      <w:tr>
        <w:trPr>
          <w:trHeight w:val="412"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626,169,744.33</w:t>
            </w:r>
          </w:p>
        </w:tc>
        <w:tc>
          <w:tcPr>
            <w:tcW w:w="921"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626,169,744.33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620,000,000.00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2"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30,201,941.52</w:t>
            </w:r>
          </w:p>
        </w:tc>
        <w:tc>
          <w:tcPr>
            <w:tcW w:w="921"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30,201,941.52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37,039,797.37</w:t>
            </w:r>
          </w:p>
        </w:tc>
        <w:tc>
          <w:tcPr>
            <w:tcW w:w="9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37,039,797.37</w:t>
            </w:r>
          </w:p>
        </w:tc>
      </w:tr>
      <w:tr>
        <w:trPr>
          <w:trHeight w:val="410"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656,371,685.85</w:t>
            </w:r>
          </w:p>
        </w:tc>
        <w:tc>
          <w:tcPr>
            <w:tcW w:w="921"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656,371,685.85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657,039,797.37</w:t>
            </w:r>
          </w:p>
        </w:tc>
        <w:tc>
          <w:tcPr>
            <w:tcW w:w="9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657,039,797.37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88"/>
      <w:bookmarkEnd w:id="38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7"/>
        <w:gridCol w:w="1181"/>
        <w:gridCol w:w="1001"/>
        <w:gridCol w:w="776"/>
        <w:gridCol w:w="1181"/>
        <w:gridCol w:w="1497"/>
        <w:gridCol w:w="1495"/>
      </w:tblGrid>
      <w:tr>
        <w:trPr>
          <w:trHeight w:val="402"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2"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787,409.42</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70,787,409.42</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502,116.37</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30,502,116.37</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581,998.54</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520,581,998.54</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二六三香港控股有限公司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4,298,220.00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4,298,220.00</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6,169,744.33</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626,169,744.33</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89"/>
      <w:bookmarkEnd w:id="38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易美云</w:t>
            </w:r>
          </w:p>
          <w:p>
            <w:pPr>
              <w:pStyle w:val="TableParagraph"/>
              <w:spacing w:line="319" w:lineRule="auto" w:before="77"/>
              <w:ind w:left="22" w:right="41"/>
              <w:jc w:val="both"/>
              <w:rPr>
                <w:rFonts w:ascii="宋体" w:hAnsi="宋体" w:cs="宋体" w:eastAsia="宋体" w:hint="default"/>
                <w:sz w:val="18"/>
                <w:szCs w:val="18"/>
              </w:rPr>
            </w:pPr>
            <w:r>
              <w:rPr>
                <w:rFonts w:ascii="宋体" w:hAnsi="宋体" w:cs="宋体" w:eastAsia="宋体" w:hint="default"/>
                <w:sz w:val="18"/>
                <w:szCs w:val="18"/>
              </w:rPr>
              <w:t>（北京）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29,088,20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-2,618,78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26,469,42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北京羽乐 创新科技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3,225,846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-3,370,40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-1,553,00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1,697,569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北京和丰 信科技有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4,725,741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-993,221.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3,732,520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37,039,79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1,672,837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-5,165,01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30,201,94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37,039,79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1,672,837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-5,165,01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30,201,94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390"/>
      <w:bookmarkEnd w:id="39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391"/>
      <w:bookmarkEnd w:id="39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22,658,061.69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11,272,950.57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73,392,788.10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49,685,483.82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3,302,387.24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239,639.59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3,581,453.06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766,408.47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25,960,448.93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11,512,590.16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76,974,241.16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50,451,892.29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5、投资收益" w:id="392"/>
      <w:bookmarkEnd w:id="39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085"/>
        <w:gridCol w:w="1713"/>
        <w:gridCol w:w="1771"/>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-5,165,018.50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-3,210,202.63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2,327,162.65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-14,213,059.94</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1,199,191.30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2"/>
                <w:sz w:val="18"/>
              </w:rPr>
              <w:t>10,404,264.11</w:t>
            </w:r>
            <w:r>
              <w:rPr>
                <w:rFonts w:ascii="Times New Roman"/>
                <w:sz w:val="18"/>
              </w:rPr>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436,438.46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085"/>
        <w:gridCol w:w="1713"/>
        <w:gridCol w:w="1771"/>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98,797,773.91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4" w:right="0"/>
              <w:jc w:val="left"/>
              <w:rPr>
                <w:rFonts w:ascii="Times New Roman" w:hAnsi="Times New Roman" w:cs="Times New Roman" w:eastAsia="Times New Roman" w:hint="default"/>
                <w:sz w:val="18"/>
                <w:szCs w:val="18"/>
              </w:rPr>
            </w:pPr>
            <w:r>
              <w:rPr>
                <w:rFonts w:ascii="Times New Roman"/>
                <w:sz w:val="18"/>
              </w:rPr>
              <w:t>73,505,421.54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93"/>
      <w:bookmarkEnd w:id="393"/>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94"/>
      <w:bookmarkEnd w:id="39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8"/>
        <w:gridCol w:w="2139"/>
        <w:gridCol w:w="1771"/>
      </w:tblGrid>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2,474,327.46</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 额或定量享受的政府补助除外）</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10,865,402.33</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 产、交易性金融负债产生的公允价值变动损益，以及处置交易性金融资 产、交易性金融负债和可供出售金融资产取得的投资收益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1,199,191.30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489,763.91</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清算子公司外币报表折算差异结转损益形成的影响</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2,583,907.74</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1,880,284.04</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15,732,308.70</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395"/>
      <w:bookmarkEnd w:id="39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242"/>
        <w:gridCol w:w="1489"/>
        <w:gridCol w:w="1913"/>
        <w:gridCol w:w="1913"/>
      </w:tblGrid>
      <w:tr>
        <w:trPr>
          <w:trHeight w:val="206" w:hRule="exact"/>
        </w:trPr>
        <w:tc>
          <w:tcPr>
            <w:tcW w:w="4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469"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42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89"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242"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9"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10.84%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96"/>
      <w:bookmarkEnd w:id="39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397"/>
      <w:bookmarkEnd w:id="397"/>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54"/>
        <w:gridCol w:w="1732"/>
        <w:gridCol w:w="1702"/>
        <w:gridCol w:w="1842"/>
      </w:tblGrid>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542,503,531.08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291,855,818.55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510,293,386.15</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197,105.00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47,211,828.14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43,887,237.12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48,448,631.14</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29,242,700.20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20,681,324.74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35,275,576.90</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1,132,662.70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152,312.33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1,189,315.07</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13,580,656.09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4,302,090.48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14,913,314.96</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14,014,437.32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10,404,176.01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4,838,269.75</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2"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219,444,016.43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1,035,629.95</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647,882,920.53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602,146,975.66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650,494,123.92</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16,310,800.00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50,553,808.93</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32"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41,232,445.52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34,681,810.41</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61,553,352.78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88,433,515.21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90,708,327.41</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11,504,344.00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4,504,899.17</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6,244,214.32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5,970,939.51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10,804,040.89</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32"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7,211,745.11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11,779,827.42</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785,064,628.05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767,767,997.51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767,767,997.51</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52,492,140.77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64,146,718.22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63,696,023.33</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2,265,984.17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2,374,343.66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5,057,791.45</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923,965,464.09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997,953,403.91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1,035,049,627.35</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1,571,848,384.62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1,600,100,379.57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1,685,543,751.27</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26,331,684.38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29,903,226.22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28,164,409.13</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151,118,151.84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157,831,786.97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171,017,750.10</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14,120,664.89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31,937,931.87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21,634,023.93</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-262,357.63</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-3,299,708.74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4,686,352.63</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70,426,168.85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58,299,773.55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34,147,364.37</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261,734,312.33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274,673,009.87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259,649,900.16</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17,286,454.76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7,662,015.67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54"/>
        <w:gridCol w:w="1732"/>
        <w:gridCol w:w="1702"/>
        <w:gridCol w:w="1842"/>
      </w:tblGrid>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169,899.41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126,717.37</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18,066,354.17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126,717.37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7,662,015.67</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279,800,666.50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274,799,727.24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267,311,915.83</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482,493,802.00</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603,123,516.86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577,602,697.66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349,887,655.89</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32"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255,020.00</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-12,390.47</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-4,117,000.80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22,934,891.07</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63,106,297.30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68,370,156.03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75,480,618.84</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382,917,535.76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443,444,799.44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487,689,887.64</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1,289,134,959.45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1,325,300,652.33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1,418,231,835.44</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2,912,758.67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1,292,047,718.12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1,325,300,652.33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1,418,231,835.44</w:t>
            </w:r>
          </w:p>
        </w:tc>
      </w:tr>
      <w:tr>
        <w:trPr>
          <w:trHeight w:val="402" w:hRule="exact"/>
        </w:trPr>
        <w:tc>
          <w:tcPr>
            <w:tcW w:w="4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1,571,848,384.62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1,600,100,379.57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1,685,543,751.27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第十二节 备查文件目录" w:id="398"/>
      <w:bookmarkEnd w:id="398"/>
      <w:r>
        <w:rPr>
          <w:b w:val="0"/>
          <w:bCs w:val="0"/>
        </w:rPr>
      </w:r>
      <w:bookmarkStart w:name="_bookmark11" w:id="399"/>
      <w:bookmarkEnd w:id="399"/>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right="3733"/>
        <w:jc w:val="left"/>
      </w:pPr>
      <w:r>
        <w:rPr/>
        <w:t>一、载有法定代表人、主管会计负责人、会计机构负责人签名并盖章的财务报表； 二、载有会计师事务所盖章、注册会计师签名并盖章的审计报告原件； 三、报告期内在中国证监会指定报纸上公开披露过的所有公司文件的正本及公告的原稿； 四、载有公司法定代表人签名的公司</w:t>
      </w:r>
      <w:r>
        <w:rPr>
          <w:rFonts w:ascii="Times New Roman" w:hAnsi="Times New Roman" w:cs="Times New Roman" w:eastAsia="Times New Roman" w:hint="default"/>
        </w:rPr>
        <w:t>2014</w:t>
      </w:r>
      <w:r>
        <w:rPr/>
        <w:t>年年度报告文本。 五、以上备查文件的备置地点：公司法务证券部。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3200" type="#_x0000_t75" stroked="false">
          <v:imagedata r:id="rId1" o:title=""/>
        </v:shape>
      </w:pict>
    </w:r>
    <w:r>
      <w:rPr/>
      <w:pict>
        <v:shape style="position:absolute;margin-left:533.179993pt;margin-top:795.517944pt;width:6.5pt;height:11pt;mso-position-horizontal-relative:page;mso-position-vertical-relative:page;z-index:-8631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3152" type="#_x0000_t75" stroked="false">
          <v:imagedata r:id="rId1" o:title=""/>
        </v:shape>
      </w:pict>
    </w:r>
    <w:r>
      <w:rPr/>
      <w:pict>
        <v:shape style="position:absolute;margin-left:527.679993pt;margin-top:781.957947pt;width:13pt;height:11pt;mso-position-horizontal-relative:page;mso-position-vertical-relative:page;z-index:-863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3104" type="#_x0000_t75" stroked="false">
          <v:imagedata r:id="rId1" o:title=""/>
        </v:shape>
      </w:pict>
    </w:r>
    <w:r>
      <w:rPr/>
      <w:pict>
        <v:shape style="position:absolute;margin-left:55.700001pt;margin-top:756.865601pt;width:484pt;height:11pt;mso-position-horizontal-relative:page;mso-position-vertical-relative:page;z-index:-863080" type="#_x0000_t202" filled="false" stroked="false">
          <v:textbox inset="0,0,0,0">
            <w:txbxContent>
              <w:p>
                <w:pPr>
                  <w:pStyle w:val="BodyText"/>
                  <w:spacing w:line="200" w:lineRule="exact"/>
                  <w:ind w:left="20" w:right="0"/>
                  <w:jc w:val="left"/>
                </w:pPr>
                <w:r>
                  <w:rPr>
                    <w:spacing w:val="-2"/>
                  </w:rPr>
                  <w:t>产，该预计负债或资产金额与后续或有对价结算金额的差额，调整资本公积（资本溢价或股本溢价），资本公积不足的，调</w:t>
                </w:r>
              </w:p>
            </w:txbxContent>
          </v:textbox>
          <w10:wrap type="none"/>
        </v:shape>
      </w:pict>
    </w:r>
    <w:r>
      <w:rPr/>
      <w:pict>
        <v:shape style="position:absolute;margin-left:527.679993pt;margin-top:781.957947pt;width:13pt;height:11pt;mso-position-horizontal-relative:page;mso-position-vertical-relative:page;z-index:-863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3032" type="#_x0000_t75" stroked="false">
          <v:imagedata r:id="rId1" o:title=""/>
        </v:shape>
      </w:pict>
    </w:r>
    <w:r>
      <w:rPr/>
      <w:pict>
        <v:shape style="position:absolute;margin-left:527.679993pt;margin-top:781.957947pt;width:13pt;height:11pt;mso-position-horizontal-relative:page;mso-position-vertical-relative:page;z-index:-863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2984" type="#_x0000_t75" stroked="false">
          <v:imagedata r:id="rId1" o:title=""/>
        </v:shape>
      </w:pict>
    </w:r>
    <w:r>
      <w:rPr/>
      <w:pict>
        <v:shape style="position:absolute;margin-left:524.179993pt;margin-top:781.957947pt;width:15.5pt;height:11pt;mso-position-horizontal-relative:page;mso-position-vertical-relative:page;z-index:-862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2936" type="#_x0000_t75" stroked="false">
          <v:imagedata r:id="rId1" o:title=""/>
        </v:shape>
      </w:pict>
    </w:r>
    <w:r>
      <w:rPr/>
      <w:pict>
        <v:shape style="position:absolute;margin-left:523.179993pt;margin-top:781.957947pt;width:17.5pt;height:11pt;mso-position-horizontal-relative:page;mso-position-vertical-relative:page;z-index:-862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863224"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20"/>
      <w:szCs w:val="20"/>
    </w:rPr>
  </w:style>
  <w:style w:styleId="Heading5" w:type="paragraph">
    <w:name w:val="Heading 5"/>
    <w:basedOn w:val="Normal"/>
    <w:uiPriority w:val="1"/>
    <w:qFormat/>
    <w:pPr>
      <w:spacing w:before="12"/>
      <w:ind w:left="153"/>
      <w:outlineLvl w:val="5"/>
    </w:pPr>
    <w:rPr>
      <w:rFonts w:ascii="宋体" w:hAnsi="宋体" w:eastAsia="宋体"/>
      <w:sz w:val="20"/>
      <w:szCs w:val="20"/>
    </w:rPr>
  </w:style>
  <w:style w:styleId="Heading6" w:type="paragraph">
    <w:name w:val="Heading 6"/>
    <w:basedOn w:val="Normal"/>
    <w:uiPriority w:val="1"/>
    <w:qFormat/>
    <w:pPr>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t263.com/" TargetMode="External"/><Relationship Id="rId10" Type="http://schemas.openxmlformats.org/officeDocument/2006/relationships/hyperlink" Target="mailto:Invest263@net263.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www.263.net.cn/"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jpeg"/><Relationship Id="rId33" Type="http://schemas.openxmlformats.org/officeDocument/2006/relationships/image" Target="media/image19.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2020-05-06T17:28:50Z</dcterms:created>
  <dcterms:modified xsi:type="dcterms:W3CDTF">2020-05-06T17:28:50Z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Office Word 2007</vt:lpwstr>
  </property>
  <property fmtid="{D5CDD505-2E9C-101B-9397-08002B2CF9AE}" pid="4" name="LastSaved">
    <vt:filetime>2020-05-06T00:00:00Z</vt:filetime>
  </property>
</Properties>
</file>