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15"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09700" cy="581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35" w:right="1113"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033" w:firstLine="562"/>
        <w:jc w:val="left"/>
        <w:rPr>
          <w:b w:val="0"/>
          <w:bCs w:val="0"/>
        </w:rPr>
      </w:pPr>
      <w:r>
        <w:rPr>
          <w:w w:val="95"/>
        </w:rPr>
        <w:t>公司负责人李小龙、主管会计工作负责人董桂英及会计机构负责人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王志慧声明：保证年度报告中财务报告的真实、准确、完整。</w:t>
      </w:r>
      <w:r>
        <w:rPr>
          <w:b w:val="0"/>
          <w:bCs w:val="0"/>
        </w:rPr>
      </w:r>
    </w:p>
    <w:p>
      <w:pPr>
        <w:pStyle w:val="Heading2"/>
        <w:spacing w:line="240" w:lineRule="auto" w:before="147"/>
        <w:ind w:left="715" w:right="1033"/>
        <w:jc w:val="left"/>
        <w:rPr>
          <w:b w:val="0"/>
          <w:bCs w:val="0"/>
        </w:rPr>
      </w:pPr>
      <w:r>
        <w:rPr/>
        <w:t>所有董事均已出席了审议本报告的董事会会议。</w:t>
      </w:r>
      <w:r>
        <w:rPr>
          <w:b w:val="0"/>
          <w:bCs w:val="0"/>
        </w:rPr>
      </w:r>
    </w:p>
    <w:p>
      <w:pPr>
        <w:spacing w:line="240" w:lineRule="auto" w:before="3"/>
        <w:rPr>
          <w:rFonts w:ascii="宋体" w:hAnsi="宋体" w:cs="宋体" w:eastAsia="宋体" w:hint="default"/>
          <w:b/>
          <w:bCs/>
          <w:sz w:val="27"/>
          <w:szCs w:val="27"/>
        </w:rPr>
      </w:pPr>
    </w:p>
    <w:p>
      <w:pPr>
        <w:pStyle w:val="Heading2"/>
        <w:spacing w:line="396" w:lineRule="auto"/>
        <w:ind w:right="1033" w:firstLine="562"/>
        <w:jc w:val="left"/>
        <w:rPr>
          <w:b w:val="0"/>
          <w:bCs w:val="0"/>
        </w:rPr>
      </w:pPr>
      <w:r>
        <w:rPr>
          <w:spacing w:val="-14"/>
          <w:w w:val="99"/>
        </w:rPr>
        <w:t>公司董事会、监事会于</w:t>
      </w:r>
      <w:r>
        <w:rPr>
          <w:spacing w:val="-91"/>
          <w:w w:val="99"/>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24"/>
          <w:w w:val="99"/>
        </w:rPr>
        <w:t> </w:t>
      </w:r>
      <w:r>
        <w:rPr>
          <w:w w:val="99"/>
        </w:rPr>
        <w:t>年</w:t>
      </w:r>
      <w:r>
        <w:rPr>
          <w:spacing w:val="-9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23"/>
          <w:w w:val="99"/>
        </w:rPr>
        <w:t> </w:t>
      </w:r>
      <w:r>
        <w:rPr>
          <w:w w:val="99"/>
        </w:rPr>
        <w:t>月</w:t>
      </w:r>
      <w:r>
        <w:rPr>
          <w:spacing w:val="-94"/>
          <w:w w:val="99"/>
        </w:rPr>
        <w:t> </w:t>
      </w:r>
      <w:r>
        <w:rPr>
          <w:rFonts w:ascii="Times New Roman" w:hAnsi="Times New Roman" w:cs="Times New Roman" w:eastAsia="Times New Roman" w:hint="default"/>
          <w:spacing w:val="-1"/>
          <w:w w:val="99"/>
        </w:rPr>
        <w:t>18</w:t>
      </w:r>
      <w:r>
        <w:rPr>
          <w:rFonts w:ascii="Times New Roman" w:hAnsi="Times New Roman" w:cs="Times New Roman" w:eastAsia="Times New Roman" w:hint="default"/>
          <w:spacing w:val="-24"/>
          <w:w w:val="99"/>
        </w:rPr>
        <w:t> </w:t>
      </w:r>
      <w:r>
        <w:rPr>
          <w:w w:val="99"/>
        </w:rPr>
        <w:t>日召开会议对公司之全资孙公司</w:t>
      </w:r>
      <w:r>
        <w:rPr>
          <w:spacing w:val="-89"/>
          <w:w w:val="99"/>
        </w:rPr>
        <w:t> </w:t>
      </w:r>
      <w:r>
        <w:rPr>
          <w:rFonts w:ascii="Times New Roman" w:hAnsi="Times New Roman" w:cs="Times New Roman" w:eastAsia="Times New Roman" w:hint="default"/>
          <w:spacing w:val="-6"/>
          <w:w w:val="99"/>
        </w:rPr>
        <w:t>iTalk</w:t>
      </w:r>
      <w:r>
        <w:rPr>
          <w:rFonts w:ascii="Times New Roman" w:hAnsi="Times New Roman" w:cs="Times New Roman" w:eastAsia="Times New Roman" w:hint="default"/>
          <w:w w:val="99"/>
        </w:rPr>
        <w:t> </w:t>
      </w:r>
      <w:r>
        <w:rPr>
          <w:rFonts w:ascii="Times New Roman" w:hAnsi="Times New Roman" w:cs="Times New Roman" w:eastAsia="Times New Roman" w:hint="default"/>
        </w:rPr>
        <w:t>Global Communications Inc. </w:t>
      </w:r>
      <w:r>
        <w:rPr>
          <w:spacing w:val="-3"/>
        </w:rPr>
        <w:t>（以下简称</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Global</w:t>
      </w:r>
      <w:r>
        <w:rPr>
          <w:rFonts w:ascii="Times New Roman" w:hAnsi="Times New Roman" w:cs="Times New Roman" w:eastAsia="Times New Roman" w:hint="default"/>
          <w:spacing w:val="-9"/>
        </w:rPr>
        <w:t> </w:t>
      </w:r>
      <w:r>
        <w:rPr/>
        <w:t>公司</w:t>
      </w:r>
      <w:r>
        <w:rPr>
          <w:rFonts w:ascii="Times New Roman" w:hAnsi="Times New Roman" w:cs="Times New Roman" w:eastAsia="Times New Roman" w:hint="default"/>
        </w:rPr>
        <w:t>”</w:t>
      </w:r>
      <w:r>
        <w:rPr/>
        <w:t>）误将在海外向个</w:t>
      </w:r>
      <w:r>
        <w:rPr>
          <w:w w:val="99"/>
        </w:rPr>
        <w:t> </w:t>
      </w:r>
      <w:r>
        <w:rPr>
          <w:spacing w:val="3"/>
          <w:w w:val="95"/>
        </w:rPr>
        <w:t>人客户提供家庭网络电话服务时向客户收取的综合费作为营业成本的冲减处理，</w:t>
      </w:r>
      <w:r>
        <w:rPr>
          <w:spacing w:val="36"/>
          <w:w w:val="95"/>
        </w:rPr>
        <w:t> </w:t>
      </w:r>
      <w:r>
        <w:rPr>
          <w:spacing w:val="36"/>
          <w:w w:val="95"/>
        </w:rPr>
      </w:r>
      <w:r>
        <w:rPr>
          <w:w w:val="99"/>
        </w:rPr>
        <w:t>造成本公司自</w:t>
      </w:r>
      <w:r>
        <w:rPr>
          <w:spacing w:val="-67"/>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1"/>
          <w:w w:val="99"/>
        </w:rPr>
        <w:t> </w:t>
      </w:r>
      <w:r>
        <w:rPr>
          <w:w w:val="99"/>
        </w:rPr>
        <w:t>年</w:t>
      </w:r>
      <w:r>
        <w:rPr>
          <w:spacing w:val="-69"/>
          <w:w w:val="99"/>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1"/>
          <w:w w:val="99"/>
        </w:rPr>
        <w:t> </w:t>
      </w:r>
      <w:r>
        <w:rPr>
          <w:spacing w:val="-21"/>
          <w:w w:val="99"/>
        </w:rPr>
        <w:t>月（本公司于</w:t>
      </w:r>
      <w:r>
        <w:rPr>
          <w:spacing w:val="-67"/>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1"/>
          <w:w w:val="99"/>
        </w:rPr>
        <w:t> </w:t>
      </w:r>
      <w:r>
        <w:rPr>
          <w:w w:val="99"/>
        </w:rPr>
        <w:t>年</w:t>
      </w:r>
      <w:r>
        <w:rPr>
          <w:spacing w:val="-69"/>
          <w:w w:val="99"/>
        </w:rPr>
        <w:t> </w:t>
      </w:r>
      <w:r>
        <w:rPr>
          <w:rFonts w:ascii="Times New Roman" w:hAnsi="Times New Roman" w:cs="Times New Roman" w:eastAsia="Times New Roman" w:hint="default"/>
          <w:spacing w:val="-8"/>
          <w:w w:val="99"/>
        </w:rPr>
        <w:t>11</w:t>
      </w:r>
      <w:r>
        <w:rPr>
          <w:rFonts w:ascii="Times New Roman" w:hAnsi="Times New Roman" w:cs="Times New Roman" w:eastAsia="Times New Roman" w:hint="default"/>
          <w:spacing w:val="1"/>
          <w:w w:val="99"/>
        </w:rPr>
        <w:t> </w:t>
      </w:r>
      <w:r>
        <w:rPr>
          <w:w w:val="99"/>
        </w:rPr>
        <w:t>月完成对</w:t>
      </w:r>
      <w:r>
        <w:rPr>
          <w:spacing w:val="-67"/>
          <w:w w:val="99"/>
        </w:rPr>
        <w:t> </w:t>
      </w:r>
      <w:r>
        <w:rPr>
          <w:rFonts w:ascii="Times New Roman" w:hAnsi="Times New Roman" w:cs="Times New Roman" w:eastAsia="Times New Roman" w:hint="default"/>
          <w:spacing w:val="-6"/>
          <w:w w:val="99"/>
        </w:rPr>
        <w:t>iTalk</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Global</w:t>
      </w:r>
      <w:r>
        <w:rPr>
          <w:rFonts w:ascii="Times New Roman" w:hAnsi="Times New Roman" w:cs="Times New Roman" w:eastAsia="Times New Roman" w:hint="default"/>
          <w:spacing w:val="1"/>
          <w:w w:val="99"/>
        </w:rPr>
        <w:t> </w:t>
      </w:r>
      <w:r>
        <w:rPr>
          <w:spacing w:val="1"/>
          <w:w w:val="99"/>
        </w:rPr>
        <w:t>公司的</w:t>
      </w:r>
      <w:r>
        <w:rPr>
          <w:spacing w:val="-138"/>
          <w:w w:val="99"/>
        </w:rPr>
        <w:t> </w:t>
      </w:r>
      <w:r>
        <w:rPr/>
        <w:t>收购并自</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月起合并其报表）至</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月间营业收入与营业成本</w:t>
      </w:r>
      <w:r>
        <w:rPr>
          <w:w w:val="99"/>
        </w:rPr>
        <w:t> </w:t>
      </w:r>
      <w:r>
        <w:rPr>
          <w:spacing w:val="3"/>
        </w:rPr>
        <w:t>及现金流量表相关表项的列示不准确之事宜进行更正。本次更正对历年净利润</w:t>
      </w:r>
      <w:r>
        <w:rPr>
          <w:w w:val="99"/>
        </w:rPr>
        <w:t> </w:t>
      </w:r>
      <w:r>
        <w:rPr>
          <w:spacing w:val="3"/>
        </w:rPr>
        <w:t>没有影响。本公司对上述前期差错采用追溯重述法进行处理。具体请见公司于</w:t>
      </w:r>
      <w:r>
        <w:rPr>
          <w:w w:val="9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日在巨潮资讯网中公示的</w:t>
      </w:r>
      <w:r>
        <w:rPr>
          <w:spacing w:val="-61"/>
        </w:rPr>
        <w:t> </w:t>
      </w:r>
      <w:r>
        <w:rPr>
          <w:rFonts w:ascii="Times New Roman" w:hAnsi="Times New Roman" w:cs="Times New Roman" w:eastAsia="Times New Roman" w:hint="default"/>
        </w:rPr>
        <w:t>2016-022</w:t>
      </w:r>
      <w:r>
        <w:rPr>
          <w:rFonts w:ascii="Times New Roman" w:hAnsi="Times New Roman" w:cs="Times New Roman" w:eastAsia="Times New Roman" w:hint="default"/>
          <w:spacing w:val="6"/>
        </w:rPr>
        <w:t> </w:t>
      </w:r>
      <w:r>
        <w:rPr/>
        <w:t>号公告，同时在本报告中亦</w:t>
      </w:r>
      <w:r>
        <w:rPr>
          <w:w w:val="99"/>
        </w:rPr>
        <w:t> </w:t>
      </w:r>
      <w:r>
        <w:rPr/>
        <w:t>进行了详细说明。</w:t>
      </w:r>
      <w:r>
        <w:rPr>
          <w:b w:val="0"/>
          <w:bCs w:val="0"/>
        </w:rPr>
      </w:r>
    </w:p>
    <w:p>
      <w:pPr>
        <w:pStyle w:val="Heading2"/>
        <w:spacing w:line="240" w:lineRule="auto" w:before="175"/>
        <w:ind w:left="715" w:right="1033"/>
        <w:jc w:val="left"/>
        <w:rPr>
          <w:b w:val="0"/>
          <w:bCs w:val="0"/>
        </w:rPr>
      </w:pPr>
      <w:r>
        <w:rPr>
          <w:spacing w:val="-3"/>
        </w:rPr>
        <w:t>公司经年度董事会审议通过的利润分配预案为：以</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7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日的公</w:t>
      </w:r>
      <w:r>
        <w:rPr>
          <w:b w:val="0"/>
          <w:bCs w:val="0"/>
        </w:rPr>
      </w:r>
    </w:p>
    <w:p>
      <w:pPr>
        <w:pStyle w:val="Heading2"/>
        <w:spacing w:line="240" w:lineRule="auto" w:before="236"/>
        <w:ind w:right="1033"/>
        <w:jc w:val="left"/>
        <w:rPr>
          <w:b w:val="0"/>
          <w:bCs w:val="0"/>
        </w:rPr>
      </w:pPr>
      <w:r>
        <w:rPr>
          <w:spacing w:val="12"/>
        </w:rPr>
        <w:t>司总股本 </w:t>
      </w:r>
      <w:r>
        <w:rPr>
          <w:rFonts w:ascii="Times New Roman" w:hAnsi="Times New Roman" w:cs="Times New Roman" w:eastAsia="Times New Roman" w:hint="default"/>
        </w:rPr>
        <w:t>798,420,393  </w:t>
      </w:r>
      <w:r>
        <w:rPr>
          <w:spacing w:val="15"/>
        </w:rPr>
        <w:t>股，扣除拟回购注销的限制性股票 </w:t>
      </w:r>
      <w:r>
        <w:rPr>
          <w:rFonts w:ascii="Times New Roman" w:hAnsi="Times New Roman" w:cs="Times New Roman" w:eastAsia="Times New Roman" w:hint="default"/>
        </w:rPr>
        <w:t>1,513,173 </w:t>
      </w:r>
      <w:r>
        <w:rPr>
          <w:rFonts w:ascii="Times New Roman" w:hAnsi="Times New Roman" w:cs="Times New Roman" w:eastAsia="Times New Roman" w:hint="default"/>
          <w:spacing w:val="23"/>
        </w:rPr>
        <w:t> </w:t>
      </w:r>
      <w:r>
        <w:rPr>
          <w:spacing w:val="10"/>
        </w:rPr>
        <w:t>股，即</w:t>
      </w:r>
      <w:r>
        <w:rPr>
          <w:b w:val="0"/>
          <w:bCs w:val="0"/>
          <w:spacing w:val="10"/>
        </w:rPr>
      </w:r>
    </w:p>
    <w:p>
      <w:pPr>
        <w:pStyle w:val="Heading2"/>
        <w:spacing w:line="240" w:lineRule="auto" w:before="237"/>
        <w:ind w:right="1033"/>
        <w:jc w:val="left"/>
        <w:rPr>
          <w:b w:val="0"/>
          <w:bCs w:val="0"/>
        </w:rPr>
      </w:pPr>
      <w:r>
        <w:rPr>
          <w:rFonts w:ascii="Times New Roman" w:hAnsi="Times New Roman" w:cs="Times New Roman" w:eastAsia="Times New Roman" w:hint="default"/>
          <w:w w:val="99"/>
        </w:rPr>
        <w:t>796,907,</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20</w:t>
      </w:r>
      <w:r>
        <w:rPr>
          <w:rFonts w:ascii="Times New Roman" w:hAnsi="Times New Roman" w:cs="Times New Roman" w:eastAsia="Times New Roman" w:hint="default"/>
          <w:spacing w:val="19"/>
        </w:rPr>
        <w:t> </w:t>
      </w:r>
      <w:r>
        <w:rPr>
          <w:spacing w:val="1"/>
          <w:w w:val="99"/>
        </w:rPr>
        <w:t>股为基数，向</w:t>
      </w:r>
      <w:r>
        <w:rPr>
          <w:spacing w:val="2"/>
          <w:w w:val="99"/>
        </w:rPr>
        <w:t>全</w:t>
      </w:r>
      <w:r>
        <w:rPr>
          <w:spacing w:val="1"/>
          <w:w w:val="99"/>
        </w:rPr>
        <w:t>体股东</w:t>
      </w:r>
      <w:r>
        <w:rPr>
          <w:w w:val="99"/>
        </w:rPr>
        <w:t>每</w:t>
      </w:r>
      <w:r>
        <w:rPr>
          <w:spacing w:val="-51"/>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8"/>
        </w:rPr>
        <w:t> </w:t>
      </w:r>
      <w:r>
        <w:rPr>
          <w:spacing w:val="1"/>
          <w:w w:val="99"/>
        </w:rPr>
        <w:t>股派发现金红</w:t>
      </w:r>
      <w:r>
        <w:rPr>
          <w:w w:val="99"/>
        </w:rPr>
        <w:t>利</w:t>
      </w:r>
      <w:r>
        <w:rPr>
          <w:spacing w:val="-51"/>
        </w:rPr>
        <w:t> </w:t>
      </w:r>
      <w:r>
        <w:rPr>
          <w:rFonts w:ascii="Times New Roman" w:hAnsi="Times New Roman" w:cs="Times New Roman" w:eastAsia="Times New Roman" w:hint="default"/>
          <w:w w:val="99"/>
        </w:rPr>
        <w:t>0.4</w:t>
      </w:r>
      <w:r>
        <w:rPr>
          <w:rFonts w:ascii="Times New Roman" w:hAnsi="Times New Roman" w:cs="Times New Roman" w:eastAsia="Times New Roman" w:hint="default"/>
          <w:spacing w:val="18"/>
        </w:rPr>
        <w:t> </w:t>
      </w:r>
      <w:r>
        <w:rPr>
          <w:w w:val="99"/>
        </w:rPr>
        <w:t>元（含税</w:t>
      </w:r>
      <w:r>
        <w:rPr>
          <w:spacing w:val="-140"/>
          <w:w w:val="99"/>
        </w:rPr>
        <w:t>）</w:t>
      </w:r>
      <w:r>
        <w:rPr>
          <w:spacing w:val="3"/>
          <w:w w:val="99"/>
        </w:rPr>
        <w:t>，</w:t>
      </w:r>
      <w:r>
        <w:rPr>
          <w:spacing w:val="2"/>
          <w:w w:val="99"/>
        </w:rPr>
        <w:t>送</w:t>
      </w:r>
      <w:r>
        <w:rPr>
          <w:w w:val="99"/>
        </w:rPr>
        <w:t>红</w:t>
      </w:r>
      <w:r>
        <w:rPr>
          <w:b w:val="0"/>
          <w:bCs w:val="0"/>
        </w:rPr>
      </w:r>
    </w:p>
    <w:p>
      <w:pPr>
        <w:pStyle w:val="Heading2"/>
        <w:spacing w:line="240" w:lineRule="auto" w:before="237"/>
        <w:ind w:right="1033"/>
        <w:jc w:val="left"/>
        <w:rPr>
          <w:b w:val="0"/>
          <w:bCs w:val="0"/>
        </w:rPr>
      </w:pPr>
      <w:r>
        <w:rPr>
          <w:w w:val="99"/>
        </w:rPr>
        <w:t>股</w:t>
      </w:r>
      <w:r>
        <w:rPr/>
        <w:t> </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99"/>
        </w:rPr>
        <w:t>股（含税</w:t>
      </w:r>
      <w:r>
        <w:rPr>
          <w:spacing w:val="-139"/>
          <w:w w:val="99"/>
        </w:rPr>
        <w:t>）</w:t>
      </w:r>
      <w:r>
        <w:rPr>
          <w:w w:val="99"/>
        </w:rPr>
        <w:t>，不以</w:t>
      </w:r>
      <w:r>
        <w:rPr>
          <w:spacing w:val="2"/>
          <w:w w:val="99"/>
        </w:rPr>
        <w:t>公</w:t>
      </w:r>
      <w:r>
        <w:rPr>
          <w:w w:val="99"/>
        </w:rPr>
        <w:t>积金转</w:t>
      </w:r>
      <w:r>
        <w:rPr>
          <w:spacing w:val="2"/>
          <w:w w:val="99"/>
        </w:rPr>
        <w:t>增</w:t>
      </w:r>
      <w:r>
        <w:rPr>
          <w:w w:val="99"/>
        </w:rPr>
        <w:t>股本。</w:t>
      </w:r>
      <w:r>
        <w:rPr>
          <w:b w:val="0"/>
          <w:bCs w:val="0"/>
        </w:rPr>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227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如无说明，指人民币元、人民币万元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002467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北京市昌平区城区镇超前路 </w:t>
            </w:r>
            <w:r>
              <w:rPr>
                <w:rFonts w:ascii="Times New Roman" w:hAnsi="Times New Roman" w:cs="Times New Roman" w:eastAsia="Times New Roman" w:hint="default"/>
                <w:sz w:val="18"/>
                <w:szCs w:val="18"/>
              </w:rPr>
              <w:t>13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102200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 </w:t>
            </w:r>
            <w:r>
              <w:rPr>
                <w:rFonts w:ascii="Times New Roman" w:hAnsi="Times New Roman" w:cs="Times New Roman" w:eastAsia="Times New Roman" w:hint="default"/>
                <w:sz w:val="18"/>
                <w:szCs w:val="18"/>
              </w:rPr>
              <w:t>14  </w:t>
            </w:r>
            <w:r>
              <w:rPr>
                <w:rFonts w:ascii="宋体" w:hAnsi="宋体" w:cs="宋体" w:eastAsia="宋体" w:hint="default"/>
                <w:sz w:val="18"/>
                <w:szCs w:val="18"/>
              </w:rPr>
              <w:t>号建达大厦 </w:t>
            </w:r>
            <w:r>
              <w:rPr>
                <w:rFonts w:ascii="Times New Roman" w:hAnsi="Times New Roman" w:cs="Times New Roman" w:eastAsia="Times New Roman" w:hint="default"/>
                <w:sz w:val="18"/>
                <w:szCs w:val="18"/>
              </w:rPr>
              <w:t>16-18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www.net263.com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 </w:t>
            </w:r>
            <w:r>
              <w:rPr>
                <w:rFonts w:ascii="Times New Roman" w:hAnsi="Times New Roman" w:cs="Times New Roman" w:eastAsia="Times New Roman" w:hint="default"/>
                <w:sz w:val="18"/>
                <w:szCs w:val="18"/>
              </w:rPr>
              <w:t>14  </w:t>
            </w:r>
            <w:r>
              <w:rPr>
                <w:rFonts w:ascii="宋体" w:hAnsi="宋体" w:cs="宋体" w:eastAsia="宋体" w:hint="default"/>
                <w:sz w:val="18"/>
                <w:szCs w:val="18"/>
              </w:rPr>
              <w:t>号建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 </w:t>
            </w:r>
            <w:r>
              <w:rPr>
                <w:rFonts w:ascii="Times New Roman" w:hAnsi="Times New Roman" w:cs="Times New Roman" w:eastAsia="Times New Roman" w:hint="default"/>
                <w:sz w:val="18"/>
                <w:szCs w:val="18"/>
              </w:rPr>
              <w:t>14  </w:t>
            </w:r>
            <w:r>
              <w:rPr>
                <w:rFonts w:ascii="宋体" w:hAnsi="宋体" w:cs="宋体" w:eastAsia="宋体" w:hint="default"/>
                <w:sz w:val="18"/>
                <w:szCs w:val="18"/>
              </w:rPr>
              <w:t>号建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公司法务证券部</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70034726-7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王书阁、邓军</w:t>
            </w:r>
          </w:p>
        </w:tc>
      </w:tr>
    </w:tbl>
    <w:p>
      <w:pPr>
        <w:pStyle w:val="BodyText"/>
        <w:spacing w:line="240" w:lineRule="auto" w:before="51"/>
        <w:ind w:left="154" w:right="1033"/>
        <w:jc w:val="left"/>
      </w:pPr>
      <w:r>
        <w:rPr/>
        <w:t>公司聘请的报告期内履行持续督导职责的保荐机构</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张耀坤、赵亮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6"/>
              <w:jc w:val="right"/>
              <w:rPr>
                <w:rFonts w:ascii="Times New Roman" w:hAnsi="Times New Roman" w:cs="Times New Roman" w:eastAsia="Times New Roman" w:hint="default"/>
                <w:sz w:val="18"/>
                <w:szCs w:val="18"/>
              </w:rPr>
            </w:pPr>
            <w:r>
              <w:rPr>
                <w:rFonts w:ascii="Times New Roman"/>
                <w:spacing w:val="-1"/>
                <w:sz w:val="18"/>
              </w:rPr>
              <w:t>2015.12.29-2016.12.31</w:t>
            </w:r>
          </w:p>
        </w:tc>
      </w:tr>
    </w:tbl>
    <w:p>
      <w:pPr>
        <w:pStyle w:val="BodyText"/>
        <w:spacing w:line="240" w:lineRule="auto" w:before="51"/>
        <w:ind w:left="154" w:right="1033"/>
        <w:jc w:val="left"/>
      </w:pPr>
      <w:r>
        <w:rPr/>
        <w:t>公司聘请的报告期内履行持续督导职责的财务顾问</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公司是否因会计政策变更及会计差错更正等追溯调整或重述以前年度会计数据</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4"/>
        <w:gridCol w:w="1328"/>
        <w:gridCol w:w="1316"/>
        <w:gridCol w:w="1316"/>
        <w:gridCol w:w="1040"/>
        <w:gridCol w:w="1315"/>
        <w:gridCol w:w="1316"/>
      </w:tblGrid>
      <w:tr>
        <w:trPr>
          <w:trHeight w:val="161" w:hRule="exact"/>
        </w:trPr>
        <w:tc>
          <w:tcPr>
            <w:tcW w:w="2024"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3" w:right="64"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0"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2" w:type="dxa"/>
            <w:gridSpan w:val="2"/>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716,361,757.32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684,897,755.79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745,412,766.48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715,974,866.79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775,091,003.58</w:t>
            </w: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58,918,497.10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147,862,351.01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147,862,351.01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137,791,122.41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137,791,122.41</w:t>
            </w:r>
          </w:p>
        </w:tc>
      </w:tr>
      <w:tr>
        <w:trPr>
          <w:trHeight w:val="1026"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55,897,131.66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132,130,042.31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132,130,042.31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123,011,431.26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123,011,431.26</w:t>
            </w: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129,494,640.22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200,866,658.92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200,866,658.92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176,414,925.72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176,414,925.72</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r>
      <w:tr>
        <w:trPr>
          <w:trHeight w:val="161" w:hRule="exact"/>
        </w:trPr>
        <w:tc>
          <w:tcPr>
            <w:tcW w:w="2024"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3" w:right="64"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40"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024"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2" w:type="dxa"/>
            <w:gridSpan w:val="2"/>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024"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0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49" w:type="dxa"/>
        <w:tblLayout w:type="fixed"/>
        <w:tblCellMar>
          <w:top w:w="0" w:type="dxa"/>
          <w:left w:w="0" w:type="dxa"/>
          <w:bottom w:w="0" w:type="dxa"/>
          <w:right w:w="0" w:type="dxa"/>
        </w:tblCellMar>
        <w:tblLook w:val="01E0"/>
      </w:tblPr>
      <w:tblGrid>
        <w:gridCol w:w="2048"/>
        <w:gridCol w:w="1316"/>
        <w:gridCol w:w="1316"/>
        <w:gridCol w:w="1316"/>
        <w:gridCol w:w="1040"/>
        <w:gridCol w:w="1315"/>
        <w:gridCol w:w="1316"/>
      </w:tblGrid>
      <w:tr>
        <w:trPr>
          <w:trHeight w:val="402" w:hRule="exact"/>
        </w:trPr>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2,626,993,837.87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1,685,543,751.27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1,685,543,751.27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1,600,100,379.57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1,600,100,379.57</w:t>
            </w:r>
          </w:p>
        </w:tc>
      </w:tr>
      <w:tr>
        <w:trPr>
          <w:trHeight w:val="714" w:hRule="exact"/>
        </w:trPr>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2,203,870,134.39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1,418,231,835.44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1,418,231,835.44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1,325,300,652.33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1,325,300,652.33</w:t>
            </w:r>
          </w:p>
        </w:tc>
      </w:tr>
    </w:tbl>
    <w:p>
      <w:pPr>
        <w:pStyle w:val="BodyText"/>
        <w:spacing w:line="240" w:lineRule="auto" w:before="51"/>
        <w:ind w:left="454" w:right="0"/>
        <w:jc w:val="both"/>
      </w:pPr>
      <w:r>
        <w:rPr/>
        <w:t>会计政策变更的原因及会计差错更正的情况</w:t>
      </w:r>
    </w:p>
    <w:p>
      <w:pPr>
        <w:pStyle w:val="BodyText"/>
        <w:spacing w:line="240" w:lineRule="auto" w:before="117"/>
        <w:ind w:left="454" w:right="0"/>
        <w:jc w:val="both"/>
      </w:pPr>
      <w:r>
        <w:rPr/>
        <w:t>（一）本公司无会计政策变更；</w:t>
      </w:r>
    </w:p>
    <w:p>
      <w:pPr>
        <w:pStyle w:val="BodyText"/>
        <w:spacing w:line="300" w:lineRule="auto" w:before="115"/>
        <w:ind w:left="453" w:right="1132"/>
        <w:jc w:val="both"/>
      </w:pPr>
      <w:r>
        <w:rPr/>
        <w:t>（二）本公司会计差错更正事项：本公司之孙公司</w:t>
      </w:r>
      <w:r>
        <w:rPr>
          <w:spacing w:val="-57"/>
        </w:rPr>
        <w:t> </w:t>
      </w:r>
      <w:r>
        <w:rPr>
          <w:rFonts w:ascii="Times New Roman" w:hAnsi="Times New Roman" w:cs="Times New Roman" w:eastAsia="Times New Roman" w:hint="default"/>
          <w:spacing w:val="-3"/>
        </w:rPr>
        <w:t>iTalk</w:t>
      </w:r>
      <w:r>
        <w:rPr>
          <w:rFonts w:ascii="Times New Roman" w:hAnsi="Times New Roman" w:cs="Times New Roman" w:eastAsia="Times New Roman" w:hint="default"/>
          <w:spacing w:val="-1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1"/>
        </w:rPr>
        <w:t> </w:t>
      </w:r>
      <w:r>
        <w:rPr>
          <w:rFonts w:ascii="Times New Roman" w:hAnsi="Times New Roman" w:cs="Times New Roman" w:eastAsia="Times New Roman" w:hint="default"/>
        </w:rPr>
        <w:t>Communications</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（以下简称</w:t>
      </w:r>
      <w:r>
        <w:rPr>
          <w:rFonts w:ascii="Times New Roman" w:hAnsi="Times New Roman" w:cs="Times New Roman" w:eastAsia="Times New Roman" w:hint="default"/>
        </w:rPr>
        <w:t>“iTalk</w:t>
      </w:r>
      <w:r>
        <w:rPr>
          <w:rFonts w:ascii="Times New Roman" w:hAnsi="Times New Roman" w:cs="Times New Roman" w:eastAsia="Times New Roman" w:hint="default"/>
          <w:spacing w:val="-12"/>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2"/>
        </w:rPr>
        <w:t> </w:t>
      </w:r>
      <w:r>
        <w:rPr/>
        <w:t>公司）在海外向 </w:t>
      </w:r>
      <w:r>
        <w:rPr>
          <w:spacing w:val="-10"/>
          <w:w w:val="99"/>
        </w:rPr>
        <w:t>个人客户提供家庭网络电话（</w:t>
      </w:r>
      <w:r>
        <w:rPr>
          <w:rFonts w:ascii="Times New Roman" w:hAnsi="Times New Roman" w:cs="Times New Roman" w:eastAsia="Times New Roman" w:hint="default"/>
          <w:spacing w:val="-10"/>
          <w:w w:val="99"/>
        </w:rPr>
        <w:t>VoIP</w:t>
      </w:r>
      <w:r>
        <w:rPr>
          <w:spacing w:val="-10"/>
          <w:w w:val="99"/>
        </w:rPr>
        <w:t>）服务时，</w:t>
      </w:r>
      <w:r>
        <w:rPr>
          <w:rFonts w:ascii="Times New Roman" w:hAnsi="Times New Roman" w:cs="Times New Roman" w:eastAsia="Times New Roman" w:hint="default"/>
          <w:spacing w:val="-10"/>
          <w:w w:val="99"/>
        </w:rPr>
        <w:t>iTalk</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1"/>
        </w:rPr>
        <w:t>Global</w:t>
      </w:r>
      <w:r>
        <w:rPr>
          <w:rFonts w:ascii="Times New Roman" w:hAnsi="Times New Roman" w:cs="Times New Roman" w:eastAsia="Times New Roman" w:hint="default"/>
          <w:spacing w:val="8"/>
        </w:rPr>
        <w:t> </w:t>
      </w:r>
      <w:r>
        <w:rPr>
          <w:spacing w:val="-4"/>
        </w:rPr>
        <w:t>公司向客户收取了综合费（</w:t>
      </w:r>
      <w:r>
        <w:rPr>
          <w:rFonts w:ascii="Times New Roman" w:hAnsi="Times New Roman" w:cs="Times New Roman" w:eastAsia="Times New Roman" w:hint="default"/>
          <w:spacing w:val="-4"/>
        </w:rPr>
        <w:t>Applicable</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1"/>
        </w:rPr>
        <w:t>Regulatory/Compliance</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Fees</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rPr>
        <w:t>and</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rFonts w:ascii="Times New Roman" w:hAnsi="Times New Roman" w:cs="Times New Roman" w:eastAsia="Times New Roman" w:hint="default"/>
          <w:spacing w:val="-1"/>
          <w:w w:val="99"/>
        </w:rPr>
        <w:t>Charges</w:t>
      </w:r>
      <w:r>
        <w:rPr>
          <w:spacing w:val="-1"/>
          <w:w w:val="99"/>
        </w:rPr>
        <w:t>）用于弥补支付给联邦和各级政府以及第三方的监管费（</w:t>
      </w:r>
      <w:r>
        <w:rPr>
          <w:rFonts w:ascii="Times New Roman" w:hAnsi="Times New Roman" w:cs="Times New Roman" w:eastAsia="Times New Roman" w:hint="default"/>
          <w:spacing w:val="-1"/>
          <w:w w:val="99"/>
        </w:rPr>
        <w:t>Regulatory</w:t>
      </w:r>
      <w:r>
        <w:rPr>
          <w:rFonts w:ascii="Times New Roman" w:hAnsi="Times New Roman" w:cs="Times New Roman" w:eastAsia="Times New Roman" w:hint="default"/>
          <w:w w:val="99"/>
        </w:rPr>
        <w:t> </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spacing w:val="-7"/>
          <w:w w:val="99"/>
        </w:rPr>
        <w:t>Fees</w:t>
      </w:r>
      <w:r>
        <w:rPr>
          <w:spacing w:val="-7"/>
          <w:w w:val="99"/>
        </w:rPr>
        <w:t>）、附加费（</w:t>
      </w:r>
      <w:r>
        <w:rPr>
          <w:rFonts w:ascii="Times New Roman" w:hAnsi="Times New Roman" w:cs="Times New Roman" w:eastAsia="Times New Roman" w:hint="default"/>
          <w:spacing w:val="-7"/>
          <w:w w:val="99"/>
        </w:rPr>
        <w:t>Surcharges</w:t>
      </w:r>
      <w:r>
        <w:rPr>
          <w:spacing w:val="-7"/>
          <w:w w:val="99"/>
        </w:rPr>
        <w:t>）、紧急电话拨打费</w:t>
      </w:r>
    </w:p>
    <w:p>
      <w:pPr>
        <w:pStyle w:val="BodyText"/>
        <w:spacing w:line="240" w:lineRule="auto" w:before="13"/>
        <w:ind w:left="453"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eme</w:t>
      </w:r>
      <w:r>
        <w:rPr>
          <w:rFonts w:ascii="Times New Roman" w:hAnsi="Times New Roman" w:cs="Times New Roman" w:eastAsia="Times New Roman" w:hint="default"/>
          <w:spacing w:val="-4"/>
        </w:rPr>
        <w:t>r</w:t>
      </w:r>
      <w:r>
        <w:rPr>
          <w:rFonts w:ascii="Times New Roman" w:hAnsi="Times New Roman" w:cs="Times New Roman" w:eastAsia="Times New Roman" w:hint="default"/>
        </w:rPr>
        <w:t>gency</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d</w:t>
      </w:r>
      <w:r>
        <w:rPr>
          <w:rFonts w:ascii="Times New Roman" w:hAnsi="Times New Roman" w:cs="Times New Roman" w:eastAsia="Times New Roman" w:hint="default"/>
          <w:spacing w:val="-1"/>
        </w:rPr>
        <w:t>i</w:t>
      </w:r>
      <w:r>
        <w:rPr>
          <w:rFonts w:ascii="Times New Roman" w:hAnsi="Times New Roman" w:cs="Times New Roman" w:eastAsia="Times New Roman" w:hint="default"/>
        </w:rPr>
        <w:t>aling</w:t>
      </w:r>
      <w:r>
        <w:rPr>
          <w:rFonts w:ascii="Times New Roman" w:hAnsi="Times New Roman" w:cs="Times New Roman" w:eastAsia="Times New Roman" w:hint="default"/>
          <w:spacing w:val="-1"/>
        </w:rPr>
        <w:t> </w:t>
      </w:r>
      <w:r>
        <w:rPr>
          <w:rFonts w:ascii="Times New Roman" w:hAnsi="Times New Roman" w:cs="Times New Roman" w:eastAsia="Times New Roman" w:hint="default"/>
        </w:rPr>
        <w:t>cha</w:t>
      </w:r>
      <w:r>
        <w:rPr>
          <w:rFonts w:ascii="Times New Roman" w:hAnsi="Times New Roman" w:cs="Times New Roman" w:eastAsia="Times New Roman" w:hint="default"/>
          <w:spacing w:val="-4"/>
        </w:rPr>
        <w:t>r</w:t>
      </w:r>
      <w:r>
        <w:rPr>
          <w:rFonts w:ascii="Times New Roman" w:hAnsi="Times New Roman" w:cs="Times New Roman" w:eastAsia="Times New Roman" w:hint="default"/>
          <w:spacing w:val="-2"/>
        </w:rPr>
        <w:t>g</w:t>
      </w:r>
      <w:r>
        <w:rPr>
          <w:rFonts w:ascii="Times New Roman" w:hAnsi="Times New Roman" w:cs="Times New Roman" w:eastAsia="Times New Roman" w:hint="default"/>
          <w:w w:val="99"/>
        </w:rPr>
        <w:t>e</w:t>
      </w:r>
      <w:r>
        <w:rPr>
          <w:rFonts w:ascii="Times New Roman" w:hAnsi="Times New Roman" w:cs="Times New Roman" w:eastAsia="Times New Roman" w:hint="default"/>
          <w:spacing w:val="1"/>
          <w:w w:val="99"/>
        </w:rPr>
        <w:t>s</w:t>
      </w:r>
      <w:r>
        <w:rPr>
          <w:spacing w:val="-90"/>
        </w:rPr>
        <w:t>）</w:t>
      </w:r>
      <w:r>
        <w:rPr>
          <w:spacing w:val="-60"/>
        </w:rPr>
        <w:t>、</w:t>
      </w:r>
      <w:r>
        <w:rPr/>
        <w:t>系统访问</w:t>
      </w:r>
      <w:r>
        <w:rPr>
          <w:spacing w:val="-60"/>
        </w:rPr>
        <w:t>费</w:t>
      </w:r>
      <w:r>
        <w:rPr>
          <w:spacing w:val="-1"/>
        </w:rPr>
        <w:t>（</w:t>
      </w:r>
      <w:r>
        <w:rPr>
          <w:rFonts w:ascii="Times New Roman" w:hAnsi="Times New Roman" w:cs="Times New Roman" w:eastAsia="Times New Roman" w:hint="default"/>
          <w:spacing w:val="-2"/>
          <w:w w:val="99"/>
        </w:rPr>
        <w:t>S</w:t>
      </w:r>
      <w:r>
        <w:rPr>
          <w:rFonts w:ascii="Times New Roman" w:hAnsi="Times New Roman" w:cs="Times New Roman" w:eastAsia="Times New Roman" w:hint="default"/>
          <w:spacing w:val="1"/>
        </w:rPr>
        <w:t>y</w:t>
      </w:r>
      <w:r>
        <w:rPr>
          <w:rFonts w:ascii="Times New Roman" w:hAnsi="Times New Roman" w:cs="Times New Roman" w:eastAsia="Times New Roman" w:hint="default"/>
        </w:rPr>
        <w:t>stem</w:t>
      </w:r>
      <w:r>
        <w:rPr>
          <w:rFonts w:ascii="Times New Roman" w:hAnsi="Times New Roman" w:cs="Times New Roman" w:eastAsia="Times New Roman" w:hint="default"/>
          <w:spacing w:val="-10"/>
        </w:rPr>
        <w:t> </w:t>
      </w:r>
      <w:r>
        <w:rPr>
          <w:rFonts w:ascii="Times New Roman" w:hAnsi="Times New Roman" w:cs="Times New Roman" w:eastAsia="Times New Roman" w:hint="default"/>
          <w:w w:val="99"/>
        </w:rPr>
        <w:t>Acc</w:t>
      </w:r>
      <w:r>
        <w:rPr>
          <w:rFonts w:ascii="Times New Roman" w:hAnsi="Times New Roman" w:cs="Times New Roman" w:eastAsia="Times New Roman" w:hint="default"/>
          <w:w w:val="99"/>
        </w:rPr>
        <w:t>ess</w:t>
      </w:r>
      <w:r>
        <w:rPr>
          <w:rFonts w:ascii="Times New Roman" w:hAnsi="Times New Roman" w:cs="Times New Roman" w:eastAsia="Times New Roman" w:hint="default"/>
        </w:rPr>
        <w:t> C</w:t>
      </w:r>
      <w:r>
        <w:rPr>
          <w:rFonts w:ascii="Times New Roman" w:hAnsi="Times New Roman" w:cs="Times New Roman" w:eastAsia="Times New Roman" w:hint="default"/>
          <w:spacing w:val="-2"/>
        </w:rPr>
        <w:t>h</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4"/>
        </w:rPr>
        <w:t>r</w:t>
      </w:r>
      <w:r>
        <w:rPr>
          <w:rFonts w:ascii="Times New Roman" w:hAnsi="Times New Roman" w:cs="Times New Roman" w:eastAsia="Times New Roman" w:hint="default"/>
          <w:w w:val="99"/>
        </w:rPr>
        <w:t>ges</w:t>
      </w:r>
      <w:r>
        <w:rPr>
          <w:spacing w:val="-90"/>
        </w:rPr>
        <w:t>）</w:t>
      </w:r>
      <w:r>
        <w:rPr/>
        <w:t>、</w:t>
      </w:r>
      <w:r>
        <w:rPr>
          <w:spacing w:val="-60"/>
        </w:rPr>
        <w:t> </w:t>
      </w:r>
      <w:r>
        <w:rPr/>
        <w:t>客户设备维护</w:t>
      </w:r>
      <w:r>
        <w:rPr>
          <w:rFonts w:ascii="Times New Roman" w:hAnsi="Times New Roman" w:cs="Times New Roman" w:eastAsia="Times New Roman" w:hint="default"/>
        </w:rPr>
        <w:t>/</w:t>
      </w:r>
      <w:r>
        <w:rPr/>
        <w:t>管理</w:t>
      </w:r>
      <w:r>
        <w:rPr>
          <w:spacing w:val="-60"/>
        </w:rPr>
        <w:t>费</w:t>
      </w:r>
      <w:r>
        <w:rPr/>
        <w:t>（</w:t>
      </w:r>
      <w:r>
        <w:rPr>
          <w:rFonts w:ascii="Times New Roman" w:hAnsi="Times New Roman" w:cs="Times New Roman" w:eastAsia="Times New Roman" w:hint="default"/>
        </w:rPr>
        <w:t>Custo</w:t>
      </w:r>
      <w:r>
        <w:rPr>
          <w:rFonts w:ascii="Times New Roman" w:hAnsi="Times New Roman" w:cs="Times New Roman" w:eastAsia="Times New Roman" w:hint="default"/>
          <w:spacing w:val="-1"/>
        </w:rPr>
        <w:t>m</w:t>
      </w:r>
      <w:r>
        <w:rPr>
          <w:rFonts w:ascii="Times New Roman" w:hAnsi="Times New Roman" w:cs="Times New Roman" w:eastAsia="Times New Roman" w:hint="default"/>
        </w:rPr>
        <w:t>er Equip</w:t>
      </w:r>
      <w:r>
        <w:rPr>
          <w:rFonts w:ascii="Times New Roman" w:hAnsi="Times New Roman" w:cs="Times New Roman" w:eastAsia="Times New Roman" w:hint="default"/>
          <w:spacing w:val="-2"/>
        </w:rPr>
        <w:t>m</w:t>
      </w:r>
      <w:r>
        <w:rPr>
          <w:rFonts w:ascii="Times New Roman" w:hAnsi="Times New Roman" w:cs="Times New Roman" w:eastAsia="Times New Roman" w:hint="default"/>
        </w:rPr>
        <w:t>ent</w:t>
      </w:r>
      <w:r>
        <w:rPr>
          <w:rFonts w:ascii="Times New Roman" w:hAnsi="Times New Roman" w:cs="Times New Roman" w:eastAsia="Times New Roman" w:hint="default"/>
          <w:spacing w:val="1"/>
        </w:rPr>
        <w:t> </w:t>
      </w:r>
      <w:r>
        <w:rPr>
          <w:rFonts w:ascii="Times New Roman" w:hAnsi="Times New Roman" w:cs="Times New Roman" w:eastAsia="Times New Roman" w:hint="default"/>
        </w:rPr>
        <w:t>Mainten</w:t>
      </w:r>
      <w:r>
        <w:rPr>
          <w:rFonts w:ascii="Times New Roman" w:hAnsi="Times New Roman" w:cs="Times New Roman" w:eastAsia="Times New Roman" w:hint="default"/>
          <w:spacing w:val="-1"/>
        </w:rPr>
        <w:t>a</w:t>
      </w:r>
      <w:r>
        <w:rPr>
          <w:rFonts w:ascii="Times New Roman" w:hAnsi="Times New Roman" w:cs="Times New Roman" w:eastAsia="Times New Roman" w:hint="default"/>
        </w:rPr>
        <w:t>nce</w:t>
      </w:r>
    </w:p>
    <w:p>
      <w:pPr>
        <w:pStyle w:val="BodyText"/>
        <w:spacing w:line="304" w:lineRule="auto" w:before="63"/>
        <w:ind w:left="454" w:right="1130"/>
        <w:jc w:val="both"/>
      </w:pPr>
      <w:r>
        <w:rPr>
          <w:rFonts w:ascii="Times New Roman" w:hAnsi="Times New Roman" w:cs="Times New Roman" w:eastAsia="Times New Roman" w:hint="default"/>
          <w:w w:val="99"/>
        </w:rPr>
        <w:t>/Management </w:t>
      </w:r>
      <w:r>
        <w:rPr>
          <w:rFonts w:ascii="Times New Roman" w:hAnsi="Times New Roman" w:cs="Times New Roman" w:eastAsia="Times New Roman" w:hint="default"/>
          <w:spacing w:val="-4"/>
          <w:w w:val="99"/>
        </w:rPr>
        <w:t>Charges</w:t>
      </w:r>
      <w:r>
        <w:rPr>
          <w:spacing w:val="-4"/>
          <w:w w:val="99"/>
        </w:rPr>
        <w:t>）、知识产权</w:t>
      </w:r>
      <w:r>
        <w:rPr>
          <w:rFonts w:ascii="Times New Roman" w:hAnsi="Times New Roman" w:cs="Times New Roman" w:eastAsia="Times New Roman" w:hint="default"/>
          <w:spacing w:val="-4"/>
          <w:w w:val="99"/>
        </w:rPr>
        <w:t>/</w:t>
      </w:r>
      <w:r>
        <w:rPr>
          <w:spacing w:val="-4"/>
          <w:w w:val="99"/>
        </w:rPr>
        <w:t>法律顾问费（</w:t>
      </w:r>
      <w:r>
        <w:rPr>
          <w:rFonts w:ascii="Times New Roman" w:hAnsi="Times New Roman" w:cs="Times New Roman" w:eastAsia="Times New Roman" w:hint="default"/>
          <w:spacing w:val="-4"/>
          <w:w w:val="99"/>
        </w:rPr>
        <w:t>Intellectual</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Property</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/Legal</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Compliance</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Fees</w:t>
      </w:r>
      <w:r>
        <w:rPr>
          <w:w w:val="99"/>
        </w:rPr>
        <w:t>）等费用。依 </w:t>
      </w:r>
      <w:r>
        <w:rPr>
          <w:rFonts w:ascii="Times New Roman" w:hAnsi="Times New Roman" w:cs="Times New Roman" w:eastAsia="Times New Roman" w:hint="default"/>
          <w:spacing w:val="-3"/>
        </w:rPr>
        <w:t>iTalk</w:t>
      </w:r>
      <w:r>
        <w:rPr>
          <w:rFonts w:ascii="Times New Roman" w:hAnsi="Times New Roman" w:cs="Times New Roman" w:eastAsia="Times New Roman" w:hint="default"/>
        </w:rPr>
        <w:t> </w:t>
      </w:r>
      <w:r>
        <w:rPr>
          <w:rFonts w:ascii="Times New Roman" w:hAnsi="Times New Roman" w:cs="Times New Roman" w:eastAsia="Times New Roman" w:hint="default"/>
          <w:spacing w:val="-1"/>
        </w:rPr>
        <w:t>Global</w:t>
      </w:r>
      <w:r>
        <w:rPr>
          <w:rFonts w:ascii="Times New Roman" w:hAnsi="Times New Roman" w:cs="Times New Roman" w:eastAsia="Times New Roman" w:hint="default"/>
        </w:rPr>
        <w:t> </w:t>
      </w:r>
      <w:r>
        <w:rPr>
          <w:spacing w:val="-1"/>
        </w:rPr>
        <w:t>公司与</w:t>
      </w:r>
      <w:r>
        <w:rPr>
          <w:spacing w:val="-81"/>
        </w:rPr>
        <w:t> </w:t>
      </w:r>
      <w:r>
        <w:rPr>
          <w:spacing w:val="-81"/>
        </w:rPr>
      </w:r>
      <w:r>
        <w:rPr>
          <w:spacing w:val="-3"/>
        </w:rPr>
        <w:t>客户间的服务协议判断，</w:t>
      </w:r>
      <w:r>
        <w:rPr>
          <w:rFonts w:ascii="Times New Roman" w:hAnsi="Times New Roman" w:cs="Times New Roman" w:eastAsia="Times New Roman" w:hint="default"/>
          <w:spacing w:val="-3"/>
        </w:rPr>
        <w:t>iTalk</w:t>
      </w:r>
      <w:r>
        <w:rPr>
          <w:rFonts w:ascii="Times New Roman" w:hAnsi="Times New Roman" w:cs="Times New Roman" w:eastAsia="Times New Roman" w:hint="default"/>
          <w:spacing w:val="-11"/>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2"/>
        </w:rPr>
        <w:t> </w:t>
      </w:r>
      <w:r>
        <w:rPr/>
        <w:t>公司与客户间具有独立的商务关系。</w:t>
      </w:r>
      <w:r>
        <w:rPr>
          <w:rFonts w:ascii="Times New Roman" w:hAnsi="Times New Roman" w:cs="Times New Roman" w:eastAsia="Times New Roman" w:hint="default"/>
        </w:rPr>
        <w:t>iTalk</w:t>
      </w:r>
      <w:r>
        <w:rPr>
          <w:rFonts w:ascii="Times New Roman" w:hAnsi="Times New Roman" w:cs="Times New Roman" w:eastAsia="Times New Roman" w:hint="default"/>
          <w:spacing w:val="-12"/>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2"/>
        </w:rPr>
        <w:t> </w:t>
      </w:r>
      <w:r>
        <w:rPr/>
        <w:t>公司向客户收取的综合费（</w:t>
      </w:r>
      <w:r>
        <w:rPr>
          <w:rFonts w:ascii="Times New Roman" w:hAnsi="Times New Roman" w:cs="Times New Roman" w:eastAsia="Times New Roman" w:hint="default"/>
        </w:rPr>
        <w:t>Applicable Regulatory/Compliance</w:t>
      </w:r>
      <w:r>
        <w:rPr>
          <w:rFonts w:ascii="Times New Roman" w:hAnsi="Times New Roman" w:cs="Times New Roman" w:eastAsia="Times New Roman" w:hint="default"/>
          <w:spacing w:val="-19"/>
        </w:rPr>
        <w:t> </w:t>
      </w:r>
      <w:r>
        <w:rPr>
          <w:rFonts w:ascii="Times New Roman" w:hAnsi="Times New Roman" w:cs="Times New Roman" w:eastAsia="Times New Roman" w:hint="default"/>
        </w:rPr>
        <w:t>Fees</w:t>
      </w:r>
      <w:r>
        <w:rPr>
          <w:rFonts w:ascii="Times New Roman" w:hAnsi="Times New Roman" w:cs="Times New Roman" w:eastAsia="Times New Roman" w:hint="default"/>
          <w:spacing w:val="-20"/>
        </w:rPr>
        <w:t> </w:t>
      </w:r>
      <w:r>
        <w:rPr>
          <w:rFonts w:ascii="Times New Roman" w:hAnsi="Times New Roman" w:cs="Times New Roman" w:eastAsia="Times New Roman" w:hint="default"/>
        </w:rPr>
        <w:t>and</w:t>
      </w:r>
      <w:r>
        <w:rPr>
          <w:rFonts w:ascii="Times New Roman" w:hAnsi="Times New Roman" w:cs="Times New Roman" w:eastAsia="Times New Roman" w:hint="default"/>
          <w:spacing w:val="-20"/>
        </w:rPr>
        <w:t> </w:t>
      </w:r>
      <w:r>
        <w:rPr>
          <w:rFonts w:ascii="Times New Roman" w:hAnsi="Times New Roman" w:cs="Times New Roman" w:eastAsia="Times New Roman" w:hint="default"/>
        </w:rPr>
        <w:t>Charges</w:t>
      </w:r>
      <w:r>
        <w:rPr/>
        <w:t>）符合企业会计准则中收入的定义（收入是指企业在日常活动中形成的、会导致所有 </w:t>
      </w:r>
      <w:r>
        <w:rPr>
          <w:spacing w:val="-3"/>
        </w:rPr>
        <w:t>者权益增加的、与所有者投入资本无关的经济利益的总流入），应予确认为营业收入。</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月间，本</w:t>
      </w:r>
      <w:r>
        <w:rPr>
          <w:spacing w:val="-84"/>
        </w:rPr>
        <w:t> </w:t>
      </w:r>
      <w:r>
        <w:rPr/>
        <w:t>公司仅从综合费（</w:t>
      </w:r>
      <w:r>
        <w:rPr>
          <w:rFonts w:ascii="Times New Roman" w:hAnsi="Times New Roman" w:cs="Times New Roman" w:eastAsia="Times New Roman" w:hint="default"/>
        </w:rPr>
        <w:t>Applicable Regulatory/Compliance Fees and</w:t>
      </w:r>
      <w:r>
        <w:rPr>
          <w:rFonts w:ascii="Times New Roman" w:hAnsi="Times New Roman" w:cs="Times New Roman" w:eastAsia="Times New Roman" w:hint="default"/>
          <w:spacing w:val="-11"/>
        </w:rPr>
        <w:t> </w:t>
      </w:r>
      <w:r>
        <w:rPr>
          <w:rFonts w:ascii="Times New Roman" w:hAnsi="Times New Roman" w:cs="Times New Roman" w:eastAsia="Times New Roman" w:hint="default"/>
        </w:rPr>
        <w:t>Charges</w:t>
      </w:r>
      <w:r>
        <w:rPr/>
        <w:t>）的收取用途（用于弥补上述支出）进行判断，误将其 </w:t>
      </w:r>
      <w:r>
        <w:rPr>
          <w:spacing w:val="-2"/>
        </w:rPr>
        <w:t>作为营业成本的冲减处理，造成营业收入与营业成本及现金流量表相关表项的列示不准确，现予更正。本次更正事项对历年</w:t>
      </w:r>
      <w:r>
        <w:rPr>
          <w:spacing w:val="-66"/>
        </w:rPr>
        <w:t> </w:t>
      </w:r>
      <w:r>
        <w:rPr>
          <w:spacing w:val="-66"/>
        </w:rPr>
      </w:r>
      <w:r>
        <w:rPr/>
        <w:t>净利润没有影响。</w:t>
      </w:r>
    </w:p>
    <w:p>
      <w:pPr>
        <w:pStyle w:val="BodyText"/>
        <w:spacing w:line="240" w:lineRule="auto" w:before="68"/>
        <w:ind w:left="454" w:right="0"/>
        <w:jc w:val="both"/>
      </w:pPr>
      <w:r>
        <w:rPr/>
        <w:t>本公司对上述前期差错采用追溯重述法进行处理，影响的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年报表项目及影响金额如下：</w:t>
      </w:r>
    </w:p>
    <w:p>
      <w:pPr>
        <w:pStyle w:val="BodyText"/>
        <w:spacing w:line="240" w:lineRule="auto" w:before="102"/>
        <w:ind w:left="0" w:right="1949"/>
        <w:jc w:val="right"/>
      </w:pPr>
      <w:r>
        <w:rPr/>
        <w:t>单位：元</w:t>
      </w:r>
    </w:p>
    <w:p>
      <w:pPr>
        <w:spacing w:line="240" w:lineRule="auto" w:before="13"/>
        <w:rPr>
          <w:rFonts w:ascii="宋体" w:hAnsi="宋体" w:cs="宋体" w:eastAsia="宋体" w:hint="default"/>
          <w:sz w:val="7"/>
          <w:szCs w:val="7"/>
        </w:rPr>
      </w:pPr>
    </w:p>
    <w:tbl>
      <w:tblPr>
        <w:tblW w:w="0" w:type="auto"/>
        <w:jc w:val="left"/>
        <w:tblInd w:w="874" w:type="dxa"/>
        <w:tblLayout w:type="fixed"/>
        <w:tblCellMar>
          <w:top w:w="0" w:type="dxa"/>
          <w:left w:w="0" w:type="dxa"/>
          <w:bottom w:w="0" w:type="dxa"/>
          <w:right w:w="0" w:type="dxa"/>
        </w:tblCellMar>
        <w:tblLook w:val="01E0"/>
      </w:tblPr>
      <w:tblGrid>
        <w:gridCol w:w="3800"/>
        <w:gridCol w:w="1661"/>
        <w:gridCol w:w="1660"/>
        <w:gridCol w:w="1660"/>
      </w:tblGrid>
      <w:tr>
        <w:trPr>
          <w:trHeight w:val="352" w:hRule="exact"/>
        </w:trPr>
        <w:tc>
          <w:tcPr>
            <w:tcW w:w="38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548"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6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548"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6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684,897,755.79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745,412,766.48</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215,592,158.39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276,107,169.08</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144,571,919.11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144,571,919.11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156,074,250.16</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156,074,250.16</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147,862,351.01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147,862,351.01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705,126,453.49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762,799,896.62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57,673,443.13</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204,401,000.17</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262,074,443.30</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57,673,443.13</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200,866,658.92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200,866,658.92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218,220,778.92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218,220,778.92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00" w:lineRule="auto" w:before="10"/>
        <w:ind w:left="454" w:right="399"/>
        <w:jc w:val="left"/>
      </w:pPr>
      <w:r>
        <w:rPr>
          <w:spacing w:val="-2"/>
        </w:rPr>
        <w:t>本公司对上述前期差错采用追溯重述法进行处理，影响的</w:t>
      </w:r>
      <w:r>
        <w:rPr>
          <w:rFonts w:ascii="Times New Roman" w:hAnsi="Times New Roman" w:cs="Times New Roman" w:eastAsia="Times New Roman" w:hint="default"/>
          <w:spacing w:val="-2"/>
        </w:rPr>
        <w:t>2015</w:t>
      </w:r>
      <w:r>
        <w:rPr>
          <w:spacing w:val="-2"/>
        </w:rPr>
        <w:t>年度第一季度报告、半年报、第三季度报告、业绩快报中年初</w:t>
      </w:r>
      <w:r>
        <w:rPr>
          <w:spacing w:val="-62"/>
        </w:rPr>
        <w:t> </w:t>
      </w:r>
      <w:r>
        <w:rPr>
          <w:spacing w:val="-62"/>
        </w:rPr>
      </w:r>
      <w:r>
        <w:rPr/>
        <w:t>至期末累计营业收入的影响金额如下：</w:t>
      </w:r>
    </w:p>
    <w:p>
      <w:pPr>
        <w:pStyle w:val="BodyText"/>
        <w:spacing w:line="240" w:lineRule="auto" w:before="31"/>
        <w:ind w:left="0" w:right="1130"/>
        <w:jc w:val="right"/>
      </w:pPr>
      <w:r>
        <w:rPr/>
        <w:t>单位：元</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27"/>
        <w:gridCol w:w="2681"/>
        <w:gridCol w:w="2651"/>
        <w:gridCol w:w="2834"/>
      </w:tblGrid>
      <w:tr>
        <w:trPr>
          <w:trHeight w:val="653" w:hRule="exact"/>
        </w:trPr>
        <w:tc>
          <w:tcPr>
            <w:tcW w:w="21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71" w:right="297" w:hanging="585"/>
              <w:jc w:val="left"/>
              <w:rPr>
                <w:rFonts w:ascii="宋体" w:hAnsi="宋体" w:cs="宋体" w:eastAsia="宋体" w:hint="default"/>
                <w:sz w:val="18"/>
                <w:szCs w:val="18"/>
              </w:rPr>
            </w:pPr>
            <w:r>
              <w:rPr>
                <w:rFonts w:ascii="宋体" w:hAnsi="宋体" w:cs="宋体" w:eastAsia="宋体" w:hint="default"/>
                <w:sz w:val="18"/>
                <w:szCs w:val="18"/>
              </w:rPr>
              <w:t>年初至期末累计营业收入 原始数据</w:t>
            </w:r>
          </w:p>
        </w:tc>
        <w:tc>
          <w:tcPr>
            <w:tcW w:w="2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047" w:right="281" w:hanging="675"/>
              <w:jc w:val="left"/>
              <w:rPr>
                <w:rFonts w:ascii="宋体" w:hAnsi="宋体" w:cs="宋体" w:eastAsia="宋体" w:hint="default"/>
                <w:sz w:val="18"/>
                <w:szCs w:val="18"/>
              </w:rPr>
            </w:pPr>
            <w:r>
              <w:rPr>
                <w:rFonts w:ascii="宋体" w:hAnsi="宋体" w:cs="宋体" w:eastAsia="宋体" w:hint="default"/>
                <w:sz w:val="18"/>
                <w:szCs w:val="18"/>
              </w:rPr>
              <w:t>年初至期末累计营业收入 调整数</w:t>
            </w:r>
          </w:p>
        </w:tc>
        <w:tc>
          <w:tcPr>
            <w:tcW w:w="28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59" w:right="373" w:hanging="496"/>
              <w:jc w:val="left"/>
              <w:rPr>
                <w:rFonts w:ascii="宋体" w:hAnsi="宋体" w:cs="宋体" w:eastAsia="宋体" w:hint="default"/>
                <w:sz w:val="18"/>
                <w:szCs w:val="18"/>
              </w:rPr>
            </w:pPr>
            <w:r>
              <w:rPr>
                <w:rFonts w:ascii="宋体" w:hAnsi="宋体" w:cs="宋体" w:eastAsia="宋体" w:hint="default"/>
                <w:sz w:val="18"/>
                <w:szCs w:val="18"/>
              </w:rPr>
              <w:t>年初至期末累计营业收入 修正后数据</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159,717,038.09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324,059,962.83</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30,179,753.86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354,239,716.69</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494,876,420.07</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45,575,617.41</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540,452,037.48</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年业绩快报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657,470,316.59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pStyle w:val="BodyText"/>
        <w:spacing w:line="240" w:lineRule="auto" w:before="10"/>
        <w:ind w:left="454" w:right="399"/>
        <w:jc w:val="left"/>
      </w:pPr>
      <w:r>
        <w:rPr/>
        <w:t>本公司</w:t>
      </w:r>
      <w:r>
        <w:rPr>
          <w:rFonts w:ascii="Times New Roman" w:hAnsi="Times New Roman" w:cs="Times New Roman" w:eastAsia="Times New Roman" w:hint="default"/>
        </w:rPr>
        <w:t>2015</w:t>
      </w:r>
      <w:r>
        <w:rPr/>
        <w:t>年调整前后各季度营业收入如下：</w:t>
      </w:r>
    </w:p>
    <w:p>
      <w:pPr>
        <w:pStyle w:val="BodyText"/>
        <w:spacing w:line="240" w:lineRule="auto" w:before="63"/>
        <w:ind w:left="0" w:right="1310"/>
        <w:jc w:val="right"/>
      </w:pPr>
      <w:r>
        <w:rPr/>
        <w:t>单位：元</w:t>
      </w:r>
    </w:p>
    <w:p>
      <w:pPr>
        <w:spacing w:line="240" w:lineRule="auto" w:before="5"/>
        <w:rPr>
          <w:rFonts w:ascii="宋体" w:hAnsi="宋体" w:cs="宋体" w:eastAsia="宋体" w:hint="default"/>
          <w:sz w:val="5"/>
          <w:szCs w:val="5"/>
        </w:rPr>
      </w:pPr>
    </w:p>
    <w:tbl>
      <w:tblPr>
        <w:tblW w:w="0" w:type="auto"/>
        <w:jc w:val="left"/>
        <w:tblInd w:w="615" w:type="dxa"/>
        <w:tblLayout w:type="fixed"/>
        <w:tblCellMar>
          <w:top w:w="0" w:type="dxa"/>
          <w:left w:w="0" w:type="dxa"/>
          <w:bottom w:w="0" w:type="dxa"/>
          <w:right w:w="0" w:type="dxa"/>
        </w:tblCellMar>
        <w:tblLook w:val="01E0"/>
      </w:tblPr>
      <w:tblGrid>
        <w:gridCol w:w="1620"/>
        <w:gridCol w:w="2800"/>
        <w:gridCol w:w="2381"/>
        <w:gridCol w:w="2500"/>
      </w:tblGrid>
      <w:tr>
        <w:trPr>
          <w:trHeight w:val="653" w:hRule="exact"/>
        </w:trPr>
        <w:tc>
          <w:tcPr>
            <w:tcW w:w="1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5"/>
              <w:ind w:left="1031" w:right="717" w:hanging="225"/>
              <w:jc w:val="left"/>
              <w:rPr>
                <w:rFonts w:ascii="宋体" w:hAnsi="宋体" w:cs="宋体" w:eastAsia="宋体" w:hint="default"/>
                <w:sz w:val="18"/>
                <w:szCs w:val="18"/>
              </w:rPr>
            </w:pPr>
            <w:r>
              <w:rPr>
                <w:rFonts w:ascii="宋体" w:hAnsi="宋体" w:cs="宋体" w:eastAsia="宋体" w:hint="default"/>
                <w:sz w:val="18"/>
                <w:szCs w:val="18"/>
              </w:rPr>
              <w:t>各季度营业收入 原始数据</w:t>
            </w:r>
          </w:p>
        </w:tc>
        <w:tc>
          <w:tcPr>
            <w:tcW w:w="23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5"/>
              <w:ind w:left="821" w:right="506" w:hanging="225"/>
              <w:jc w:val="left"/>
              <w:rPr>
                <w:rFonts w:ascii="宋体" w:hAnsi="宋体" w:cs="宋体" w:eastAsia="宋体" w:hint="default"/>
                <w:sz w:val="18"/>
                <w:szCs w:val="18"/>
              </w:rPr>
            </w:pPr>
            <w:r>
              <w:rPr>
                <w:rFonts w:ascii="宋体" w:hAnsi="宋体" w:cs="宋体" w:eastAsia="宋体" w:hint="default"/>
                <w:sz w:val="18"/>
                <w:szCs w:val="18"/>
              </w:rPr>
              <w:t>各季度营业收入 调整数据</w:t>
            </w:r>
          </w:p>
        </w:tc>
        <w:tc>
          <w:tcPr>
            <w:tcW w:w="25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5"/>
              <w:ind w:left="792" w:right="565" w:hanging="135"/>
              <w:jc w:val="left"/>
              <w:rPr>
                <w:rFonts w:ascii="宋体" w:hAnsi="宋体" w:cs="宋体" w:eastAsia="宋体" w:hint="default"/>
                <w:sz w:val="18"/>
                <w:szCs w:val="18"/>
              </w:rPr>
            </w:pPr>
            <w:r>
              <w:rPr>
                <w:rFonts w:ascii="宋体" w:hAnsi="宋体" w:cs="宋体" w:eastAsia="宋体" w:hint="default"/>
                <w:sz w:val="18"/>
                <w:szCs w:val="18"/>
              </w:rPr>
              <w:t>各季度营业收入 修正后数据</w:t>
            </w:r>
          </w:p>
        </w:tc>
      </w:tr>
    </w:tbl>
    <w:p>
      <w:pPr>
        <w:spacing w:after="0" w:line="316" w:lineRule="auto"/>
        <w:jc w:val="left"/>
        <w:rPr>
          <w:rFonts w:ascii="宋体" w:hAnsi="宋体" w:cs="宋体" w:eastAsia="宋体" w:hint="default"/>
          <w:sz w:val="18"/>
          <w:szCs w:val="18"/>
        </w:rPr>
        <w:sectPr>
          <w:pgSz w:w="11910" w:h="16840"/>
          <w:pgMar w:header="747" w:footer="979" w:top="1060" w:bottom="1160" w:left="680" w:right="0"/>
        </w:sectPr>
      </w:pPr>
    </w:p>
    <w:p>
      <w:pPr>
        <w:spacing w:line="240" w:lineRule="auto" w:before="6"/>
        <w:rPr>
          <w:rFonts w:ascii="宋体" w:hAnsi="宋体" w:cs="宋体" w:eastAsia="宋体" w:hint="default"/>
          <w:sz w:val="28"/>
          <w:szCs w:val="28"/>
        </w:rPr>
      </w:pPr>
    </w:p>
    <w:tbl>
      <w:tblPr>
        <w:tblW w:w="0" w:type="auto"/>
        <w:jc w:val="left"/>
        <w:tblInd w:w="615" w:type="dxa"/>
        <w:tblLayout w:type="fixed"/>
        <w:tblCellMar>
          <w:top w:w="0" w:type="dxa"/>
          <w:left w:w="0" w:type="dxa"/>
          <w:bottom w:w="0" w:type="dxa"/>
          <w:right w:w="0" w:type="dxa"/>
        </w:tblCellMar>
        <w:tblLook w:val="01E0"/>
      </w:tblPr>
      <w:tblGrid>
        <w:gridCol w:w="1620"/>
        <w:gridCol w:w="2800"/>
        <w:gridCol w:w="2381"/>
        <w:gridCol w:w="2500"/>
      </w:tblGrid>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年一季度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159,717,038.09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年二季度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164,342,924.74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15,350,700.69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179,693,625.43</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年三季度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170,816,457.24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15,395,863.55</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186,212,320.79</w:t>
            </w:r>
          </w:p>
        </w:tc>
      </w:tr>
      <w:tr>
        <w:trPr>
          <w:trHeight w:val="34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年四季度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162,593,896.52</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13,315,823.32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175,909,719.84</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年全年累计</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657,470,316.59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spacing w:line="240" w:lineRule="auto" w:before="2"/>
        <w:rPr>
          <w:rFonts w:ascii="宋体" w:hAnsi="宋体" w:cs="宋体" w:eastAsia="宋体" w:hint="default"/>
          <w:sz w:val="18"/>
          <w:szCs w:val="18"/>
        </w:rPr>
      </w:pPr>
    </w:p>
    <w:p>
      <w:pPr>
        <w:pStyle w:val="Heading3"/>
        <w:spacing w:line="240" w:lineRule="auto" w:before="26"/>
        <w:ind w:left="454" w:right="39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53" w:right="399"/>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453" w:right="1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453" w:right="399"/>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left="453" w:right="399"/>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4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174,546,091.26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179,693,625.43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186,212,320.79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175,909,719.84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33,651,659.66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26,084,695.33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23,748,306.22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-24,566,164.11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31,628,281.85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28,266,927.77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21,000,578.89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-24,998,656.85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26,784,632.57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34,093,178.22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31,684,514.53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36,932,314.90</w:t>
            </w:r>
          </w:p>
        </w:tc>
      </w:tr>
    </w:tbl>
    <w:p>
      <w:pPr>
        <w:pStyle w:val="BodyText"/>
        <w:spacing w:line="240" w:lineRule="auto" w:before="51"/>
        <w:ind w:left="454" w:right="399"/>
        <w:jc w:val="left"/>
      </w:pPr>
      <w:r>
        <w:rPr/>
        <w:t>上述财务指标或其加总数是否与公司已披露季度报告、半年度报告相关财务指标存在重大差异</w:t>
      </w:r>
    </w:p>
    <w:p>
      <w:pPr>
        <w:pStyle w:val="BodyText"/>
        <w:spacing w:line="319" w:lineRule="auto" w:before="117"/>
        <w:ind w:left="453" w:right="3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如本节六、主要会计数据和财务指标中所述，本公司进行了会计差错更正并重述了</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月的营业收入及营业成</w:t>
      </w:r>
      <w:r>
        <w:rPr>
          <w:spacing w:val="-54"/>
        </w:rPr>
        <w:t> </w:t>
      </w:r>
      <w:r>
        <w:rPr>
          <w:spacing w:val="-2"/>
        </w:rPr>
        <w:t>本列示，对净利润无影响，影响的</w:t>
      </w:r>
      <w:r>
        <w:rPr>
          <w:rFonts w:ascii="Times New Roman" w:hAnsi="Times New Roman" w:cs="Times New Roman" w:eastAsia="Times New Roman" w:hint="default"/>
          <w:spacing w:val="-2"/>
        </w:rPr>
        <w:t>2015</w:t>
      </w:r>
      <w:r>
        <w:rPr>
          <w:spacing w:val="-2"/>
        </w:rPr>
        <w:t>年度第一季度报告、半年报、第三季度报告、业绩快报中年初至期末累计营业收入的</w:t>
      </w:r>
    </w:p>
    <w:p>
      <w:pPr>
        <w:pStyle w:val="BodyText"/>
        <w:spacing w:line="233" w:lineRule="exact"/>
        <w:ind w:left="453" w:right="399"/>
        <w:jc w:val="left"/>
      </w:pPr>
      <w:r>
        <w:rPr/>
        <w:t>影响金额如下：</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27"/>
        <w:gridCol w:w="2681"/>
        <w:gridCol w:w="2651"/>
        <w:gridCol w:w="2834"/>
      </w:tblGrid>
      <w:tr>
        <w:trPr>
          <w:trHeight w:val="653" w:hRule="exact"/>
        </w:trPr>
        <w:tc>
          <w:tcPr>
            <w:tcW w:w="21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71" w:right="297" w:hanging="585"/>
              <w:jc w:val="left"/>
              <w:rPr>
                <w:rFonts w:ascii="宋体" w:hAnsi="宋体" w:cs="宋体" w:eastAsia="宋体" w:hint="default"/>
                <w:sz w:val="18"/>
                <w:szCs w:val="18"/>
              </w:rPr>
            </w:pPr>
            <w:r>
              <w:rPr>
                <w:rFonts w:ascii="宋体" w:hAnsi="宋体" w:cs="宋体" w:eastAsia="宋体" w:hint="default"/>
                <w:sz w:val="18"/>
                <w:szCs w:val="18"/>
              </w:rPr>
              <w:t>年初至期末累计营业收入 原始数据</w:t>
            </w:r>
          </w:p>
        </w:tc>
        <w:tc>
          <w:tcPr>
            <w:tcW w:w="2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047" w:right="281" w:hanging="675"/>
              <w:jc w:val="left"/>
              <w:rPr>
                <w:rFonts w:ascii="宋体" w:hAnsi="宋体" w:cs="宋体" w:eastAsia="宋体" w:hint="default"/>
                <w:sz w:val="18"/>
                <w:szCs w:val="18"/>
              </w:rPr>
            </w:pPr>
            <w:r>
              <w:rPr>
                <w:rFonts w:ascii="宋体" w:hAnsi="宋体" w:cs="宋体" w:eastAsia="宋体" w:hint="default"/>
                <w:sz w:val="18"/>
                <w:szCs w:val="18"/>
              </w:rPr>
              <w:t>年初至期末累计营业收入 调整数</w:t>
            </w:r>
          </w:p>
        </w:tc>
        <w:tc>
          <w:tcPr>
            <w:tcW w:w="28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59" w:right="373" w:hanging="496"/>
              <w:jc w:val="left"/>
              <w:rPr>
                <w:rFonts w:ascii="宋体" w:hAnsi="宋体" w:cs="宋体" w:eastAsia="宋体" w:hint="default"/>
                <w:sz w:val="18"/>
                <w:szCs w:val="18"/>
              </w:rPr>
            </w:pPr>
            <w:r>
              <w:rPr>
                <w:rFonts w:ascii="宋体" w:hAnsi="宋体" w:cs="宋体" w:eastAsia="宋体" w:hint="default"/>
                <w:sz w:val="18"/>
                <w:szCs w:val="18"/>
              </w:rPr>
              <w:t>年初至期末累计营业收入 修正后数据</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159,717,038.09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324,059,962.83</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30,179,753.86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354,239,716.69</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494,876,420.07</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45,575,617.41</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540,452,037.48</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年业绩快报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657,470,316.59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pStyle w:val="BodyText"/>
        <w:spacing w:line="240" w:lineRule="auto" w:before="10"/>
        <w:ind w:left="622" w:right="399"/>
        <w:jc w:val="left"/>
      </w:pPr>
      <w:r>
        <w:rPr/>
        <w:t>本公司</w:t>
      </w:r>
      <w:r>
        <w:rPr>
          <w:rFonts w:ascii="Times New Roman" w:hAnsi="Times New Roman" w:cs="Times New Roman" w:eastAsia="Times New Roman" w:hint="default"/>
        </w:rPr>
        <w:t>2015</w:t>
      </w:r>
      <w:r>
        <w:rPr/>
        <w:t>年调整前后各季度营业收入如下：</w:t>
      </w:r>
    </w:p>
    <w:p>
      <w:pPr>
        <w:spacing w:line="240" w:lineRule="auto" w:before="5"/>
        <w:rPr>
          <w:rFonts w:ascii="宋体" w:hAnsi="宋体" w:cs="宋体" w:eastAsia="宋体" w:hint="default"/>
          <w:sz w:val="4"/>
          <w:szCs w:val="4"/>
        </w:rPr>
      </w:pPr>
    </w:p>
    <w:tbl>
      <w:tblPr>
        <w:tblW w:w="0" w:type="auto"/>
        <w:jc w:val="left"/>
        <w:tblInd w:w="446" w:type="dxa"/>
        <w:tblLayout w:type="fixed"/>
        <w:tblCellMar>
          <w:top w:w="0" w:type="dxa"/>
          <w:left w:w="0" w:type="dxa"/>
          <w:bottom w:w="0" w:type="dxa"/>
          <w:right w:w="0" w:type="dxa"/>
        </w:tblCellMar>
        <w:tblLook w:val="01E0"/>
      </w:tblPr>
      <w:tblGrid>
        <w:gridCol w:w="1620"/>
        <w:gridCol w:w="2800"/>
        <w:gridCol w:w="2381"/>
        <w:gridCol w:w="2500"/>
      </w:tblGrid>
      <w:tr>
        <w:trPr>
          <w:trHeight w:val="654" w:hRule="exact"/>
        </w:trPr>
        <w:tc>
          <w:tcPr>
            <w:tcW w:w="1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031" w:right="717" w:hanging="225"/>
              <w:jc w:val="left"/>
              <w:rPr>
                <w:rFonts w:ascii="宋体" w:hAnsi="宋体" w:cs="宋体" w:eastAsia="宋体" w:hint="default"/>
                <w:sz w:val="18"/>
                <w:szCs w:val="18"/>
              </w:rPr>
            </w:pPr>
            <w:r>
              <w:rPr>
                <w:rFonts w:ascii="宋体" w:hAnsi="宋体" w:cs="宋体" w:eastAsia="宋体" w:hint="default"/>
                <w:sz w:val="18"/>
                <w:szCs w:val="18"/>
              </w:rPr>
              <w:t>各季度营业收入 原始数据</w:t>
            </w:r>
          </w:p>
        </w:tc>
        <w:tc>
          <w:tcPr>
            <w:tcW w:w="23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823" w:right="505" w:hanging="225"/>
              <w:jc w:val="left"/>
              <w:rPr>
                <w:rFonts w:ascii="宋体" w:hAnsi="宋体" w:cs="宋体" w:eastAsia="宋体" w:hint="default"/>
                <w:sz w:val="18"/>
                <w:szCs w:val="18"/>
              </w:rPr>
            </w:pPr>
            <w:r>
              <w:rPr>
                <w:rFonts w:ascii="宋体" w:hAnsi="宋体" w:cs="宋体" w:eastAsia="宋体" w:hint="default"/>
                <w:sz w:val="18"/>
                <w:szCs w:val="18"/>
              </w:rPr>
              <w:t>各季度营业收入 调整数据</w:t>
            </w:r>
          </w:p>
        </w:tc>
        <w:tc>
          <w:tcPr>
            <w:tcW w:w="25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792" w:right="565" w:hanging="135"/>
              <w:jc w:val="left"/>
              <w:rPr>
                <w:rFonts w:ascii="宋体" w:hAnsi="宋体" w:cs="宋体" w:eastAsia="宋体" w:hint="default"/>
                <w:sz w:val="18"/>
                <w:szCs w:val="18"/>
              </w:rPr>
            </w:pPr>
            <w:r>
              <w:rPr>
                <w:rFonts w:ascii="宋体" w:hAnsi="宋体" w:cs="宋体" w:eastAsia="宋体" w:hint="default"/>
                <w:sz w:val="18"/>
                <w:szCs w:val="18"/>
              </w:rPr>
              <w:t>各季度营业收入 修正后数据</w:t>
            </w:r>
          </w:p>
        </w:tc>
      </w:tr>
    </w:tbl>
    <w:p>
      <w:pPr>
        <w:spacing w:after="0" w:line="316" w:lineRule="auto"/>
        <w:jc w:val="left"/>
        <w:rPr>
          <w:rFonts w:ascii="宋体" w:hAnsi="宋体" w:cs="宋体" w:eastAsia="宋体" w:hint="default"/>
          <w:sz w:val="18"/>
          <w:szCs w:val="18"/>
        </w:rPr>
        <w:sectPr>
          <w:pgSz w:w="11910" w:h="16840"/>
          <w:pgMar w:header="747" w:footer="979" w:top="1060" w:bottom="1160" w:left="6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20"/>
        <w:gridCol w:w="2800"/>
        <w:gridCol w:w="2381"/>
        <w:gridCol w:w="2500"/>
      </w:tblGrid>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年一季度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159,717,038.09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年二季度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164,342,924.74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15,350,700.69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179,693,625.43</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年三季度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170,816,457.24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15,395,863.55</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186,212,320.79</w:t>
            </w:r>
          </w:p>
        </w:tc>
      </w:tr>
      <w:tr>
        <w:trPr>
          <w:trHeight w:val="34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年四季度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162,593,896.52</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13,315,823.32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175,909,719.84</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年全年累计</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657,470,316.59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left="154" w:right="10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3"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-4,089,836.44</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2,474,327.46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4,245,202.71</w:t>
            </w:r>
          </w:p>
        </w:tc>
        <w:tc>
          <w:tcPr>
            <w:tcW w:w="171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年度本公司处置 了对北京和丰信科技 有限公司长期股权投 资确认损失 </w:t>
            </w:r>
            <w:r>
              <w:rPr>
                <w:rFonts w:ascii="Times New Roman" w:hAnsi="Times New Roman" w:cs="Times New Roman" w:eastAsia="Times New Roman" w:hint="default"/>
                <w:sz w:val="18"/>
                <w:szCs w:val="18"/>
              </w:rPr>
              <w:t>3,313,917.33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73"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3,128,638.43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10,865,402.33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3,609,306.00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-3,954,243.79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4,736,359.89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1,199,191.30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10,404,264.11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-492,407.46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489,763.91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614,419.90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2,583,907.74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261,388.98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1,880,284.04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139,333.19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3,021,365.44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15,732,308.70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14,779,691.15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33"/>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10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7" w:right="1033"/>
        <w:jc w:val="left"/>
      </w:pPr>
      <w:r>
        <w:rPr/>
        <w:t>公司是一家运用互联网技术和转售方式为企业和个人提供虚拟运营通信服务的新型通信服务商。 </w:t>
      </w:r>
      <w:r>
        <w:rPr>
          <w:spacing w:val="-1"/>
        </w:rPr>
        <w:t>在企业客户市场，公司在企业通信和协同办公领域为国内各类企业客户提供企业级</w:t>
      </w:r>
      <w:r>
        <w:rPr>
          <w:rFonts w:ascii="Times New Roman" w:hAnsi="Times New Roman" w:cs="Times New Roman" w:eastAsia="Times New Roman" w:hint="default"/>
          <w:spacing w:val="-1"/>
        </w:rPr>
        <w:t>SaaS</w:t>
      </w:r>
      <w:r>
        <w:rPr>
          <w:spacing w:val="-1"/>
        </w:rPr>
        <w:t>服务，包括</w:t>
      </w:r>
      <w:r>
        <w:rPr>
          <w:rFonts w:ascii="Times New Roman" w:hAnsi="Times New Roman" w:cs="Times New Roman" w:eastAsia="Times New Roman" w:hint="default"/>
          <w:spacing w:val="-1"/>
        </w:rPr>
        <w:t>:</w:t>
      </w:r>
      <w:r>
        <w:rPr>
          <w:spacing w:val="-1"/>
        </w:rPr>
        <w:t>融合企业邮箱、企</w:t>
      </w:r>
    </w:p>
    <w:p>
      <w:pPr>
        <w:pStyle w:val="BodyText"/>
        <w:spacing w:line="300" w:lineRule="auto"/>
        <w:ind w:right="1033"/>
        <w:jc w:val="left"/>
      </w:pPr>
      <w:r>
        <w:rPr>
          <w:spacing w:val="-4"/>
        </w:rPr>
        <w:t>业网盘、电话会议、即时通信、网络直播、网络会议等服务的</w:t>
      </w:r>
      <w:r>
        <w:rPr>
          <w:rFonts w:ascii="Times New Roman" w:hAnsi="Times New Roman" w:cs="Times New Roman" w:eastAsia="Times New Roman" w:hint="default"/>
          <w:spacing w:val="-4"/>
        </w:rPr>
        <w:t>263</w:t>
      </w:r>
      <w:r>
        <w:rPr>
          <w:spacing w:val="-4"/>
        </w:rPr>
        <w:t>云通信服务；针对大型企业客户的集成通信服务；企业</w:t>
      </w:r>
      <w:r>
        <w:rPr>
          <w:rFonts w:ascii="Times New Roman" w:hAnsi="Times New Roman" w:cs="Times New Roman" w:eastAsia="Times New Roman" w:hint="default"/>
          <w:spacing w:val="-4"/>
        </w:rPr>
        <w:t>VPN</w:t>
      </w:r>
      <w:r>
        <w:rPr>
          <w:rFonts w:ascii="Times New Roman" w:hAnsi="Times New Roman" w:cs="Times New Roman" w:eastAsia="Times New Roman" w:hint="default"/>
          <w:spacing w:val="6"/>
        </w:rPr>
        <w:t> </w:t>
      </w:r>
      <w:r>
        <w:rPr/>
        <w:t>及</w:t>
      </w:r>
      <w:r>
        <w:rPr>
          <w:rFonts w:ascii="Times New Roman" w:hAnsi="Times New Roman" w:cs="Times New Roman" w:eastAsia="Times New Roman" w:hint="default"/>
        </w:rPr>
        <w:t>IDC</w:t>
      </w:r>
      <w:r>
        <w:rPr/>
        <w:t>等服务。</w:t>
      </w:r>
    </w:p>
    <w:p>
      <w:pPr>
        <w:pStyle w:val="BodyText"/>
        <w:spacing w:line="300" w:lineRule="auto" w:before="13"/>
        <w:ind w:right="1130" w:firstLine="423"/>
        <w:jc w:val="both"/>
      </w:pPr>
      <w:r>
        <w:rPr>
          <w:spacing w:val="-1"/>
        </w:rPr>
        <w:t>在个人客户市场，公司针对全球华人跨境通信需求，为海外华人家庭提供</w:t>
      </w:r>
      <w:r>
        <w:rPr>
          <w:rFonts w:ascii="Times New Roman" w:hAnsi="Times New Roman" w:cs="Times New Roman" w:eastAsia="Times New Roman" w:hint="default"/>
          <w:spacing w:val="-1"/>
        </w:rPr>
        <w:t>VoIP</w:t>
      </w:r>
      <w:r>
        <w:rPr>
          <w:spacing w:val="-1"/>
        </w:rPr>
        <w:t>、</w:t>
      </w:r>
      <w:r>
        <w:rPr>
          <w:rFonts w:ascii="Times New Roman" w:hAnsi="Times New Roman" w:cs="Times New Roman" w:eastAsia="Times New Roman" w:hint="default"/>
          <w:spacing w:val="-1"/>
        </w:rPr>
        <w:t>IPTV</w:t>
      </w:r>
      <w:r>
        <w:rPr>
          <w:spacing w:val="-1"/>
        </w:rPr>
        <w:t>等互联网综合通信服务，并在报</w:t>
      </w:r>
      <w:r>
        <w:rPr/>
        <w:t> 告期内推出了面向全球商旅华人的虚拟移动通信服务（</w:t>
      </w:r>
      <w:r>
        <w:rPr>
          <w:rFonts w:ascii="Times New Roman" w:hAnsi="Times New Roman" w:cs="Times New Roman" w:eastAsia="Times New Roman" w:hint="default"/>
        </w:rPr>
        <w:t>MVNO</w:t>
      </w:r>
      <w:r>
        <w:rPr/>
        <w:t>）。此外，公司也为运营商提供漫游系统解决方案与服务。</w:t>
      </w:r>
    </w:p>
    <w:p>
      <w:pPr>
        <w:pStyle w:val="BodyText"/>
        <w:spacing w:line="300" w:lineRule="auto" w:before="13"/>
        <w:ind w:left="577" w:right="1033"/>
        <w:jc w:val="left"/>
      </w:pPr>
      <w:r>
        <w:rPr/>
        <w:t>公司还开展固网语音增值服务，即：</w:t>
      </w:r>
      <w:r>
        <w:rPr>
          <w:rFonts w:ascii="Times New Roman" w:hAnsi="Times New Roman" w:cs="Times New Roman" w:eastAsia="Times New Roman" w:hint="default"/>
        </w:rPr>
        <w:t>96446IP</w:t>
      </w:r>
      <w:r>
        <w:rPr/>
        <w:t>长途转售和</w:t>
      </w:r>
      <w:r>
        <w:rPr>
          <w:rFonts w:ascii="Times New Roman" w:hAnsi="Times New Roman" w:cs="Times New Roman" w:eastAsia="Times New Roman" w:hint="default"/>
        </w:rPr>
        <w:t>95050</w:t>
      </w:r>
      <w:r>
        <w:rPr/>
        <w:t>多方通话服务。 公司长期专注于虚拟运营通信服务领域。在企业客户市场，公司在企业通信和协同办公领域处于行业领先地位，企业</w:t>
      </w:r>
    </w:p>
    <w:p>
      <w:pPr>
        <w:pStyle w:val="BodyText"/>
        <w:spacing w:line="316" w:lineRule="auto" w:before="31"/>
        <w:ind w:right="1033"/>
        <w:jc w:val="left"/>
      </w:pPr>
      <w:r>
        <w:rPr>
          <w:spacing w:val="-2"/>
        </w:rPr>
        <w:t>邮箱、网络直播等服务产品市场份额长期领先；在个人客户市场，公司是北美中文通信服务市场的领导者，在海外华人家庭</w:t>
      </w:r>
      <w:r>
        <w:rPr>
          <w:spacing w:val="-66"/>
        </w:rPr>
        <w:t> </w:t>
      </w:r>
      <w:r>
        <w:rPr>
          <w:spacing w:val="-66"/>
        </w:rPr>
      </w:r>
      <w:r>
        <w:rPr/>
        <w:t>互联网综合通信服务领域占据领先地位。</w:t>
      </w:r>
    </w:p>
    <w:p>
      <w:pPr>
        <w:pStyle w:val="BodyText"/>
        <w:spacing w:line="316" w:lineRule="auto" w:before="19"/>
        <w:ind w:right="1131" w:firstLine="423"/>
        <w:jc w:val="both"/>
      </w:pPr>
      <w:r>
        <w:rPr/>
        <w:t>通信是企业和个人的基本需求，中国通信业整体业务收入和业务总量保持稳定增长，不存在明显的周期性特点。随着 </w:t>
      </w:r>
      <w:r>
        <w:rPr>
          <w:spacing w:val="-2"/>
        </w:rPr>
        <w:t>技术的发展，特别是互联网技术的迅猛发展、通信技术和信息技术的不断融合，通信服务的种类日益丰富，企业和个人的个</w:t>
      </w:r>
      <w:r>
        <w:rPr>
          <w:spacing w:val="-66"/>
        </w:rPr>
        <w:t> </w:t>
      </w:r>
      <w:r>
        <w:rPr>
          <w:spacing w:val="-66"/>
        </w:rPr>
      </w:r>
      <w:r>
        <w:rPr>
          <w:spacing w:val="-2"/>
        </w:rPr>
        <w:t>性化通信需求日益增长，通信行业产品服务创新层出不穷，通信的内涵和外延发生深刻变化，早已远远超出语音电话等传统</w:t>
      </w:r>
      <w:r>
        <w:rPr>
          <w:spacing w:val="-66"/>
        </w:rPr>
        <w:t> </w:t>
      </w:r>
      <w:r>
        <w:rPr>
          <w:spacing w:val="-66"/>
        </w:rPr>
      </w:r>
      <w:r>
        <w:rPr/>
        <w:t>意义通信的范畴。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54" w:right="10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0"/>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宋体" w:hAnsi="宋体" w:cs="宋体" w:eastAsia="宋体" w:hint="default"/>
                <w:sz w:val="18"/>
                <w:szCs w:val="18"/>
              </w:rPr>
              <w:t>，主要系本公司新增对北京致远协创软件有限公司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Times New Roman" w:hAnsi="Times New Roman" w:cs="Times New Roman" w:eastAsia="Times New Roman" w:hint="default"/>
                <w:sz w:val="18"/>
                <w:szCs w:val="18"/>
              </w:rPr>
              <w:t>Globetouch</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万美元、北京慧友云商科技有限公司投资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万元及其增值 </w:t>
            </w:r>
            <w:r>
              <w:rPr>
                <w:rFonts w:ascii="Times New Roman" w:hAnsi="Times New Roman" w:cs="Times New Roman" w:eastAsia="Times New Roman" w:hint="default"/>
                <w:sz w:val="18"/>
                <w:szCs w:val="18"/>
              </w:rPr>
              <w:t>1843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万等多方面原因形成。</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宋体" w:hAnsi="宋体" w:cs="宋体" w:eastAsia="宋体" w:hint="default"/>
                <w:sz w:val="18"/>
                <w:szCs w:val="18"/>
              </w:rPr>
              <w:t>，主要系外购无形资产及开发支出完成转入无形资产所致。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万，主要系本公司通过收购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Freedom </w:t>
            </w:r>
            <w:r>
              <w:rPr>
                <w:rFonts w:ascii="宋体" w:hAnsi="宋体" w:cs="宋体" w:eastAsia="宋体" w:hint="default"/>
                <w:sz w:val="18"/>
                <w:szCs w:val="18"/>
              </w:rPr>
              <w:t>公司股权的形式收购其 相关房产、土地并用于对外出租所致。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，主要系未发放的年终奖未予抵税的暂时性差异及境外未实现 汇兑损失未予抵税的暂时性差异形成的递延所得税资产增加。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货币资金及银行理财</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w:t>
            </w:r>
            <w:r>
              <w:rPr>
                <w:rFonts w:ascii="宋体" w:hAnsi="宋体" w:cs="宋体" w:eastAsia="宋体" w:hint="default"/>
                <w:sz w:val="18"/>
                <w:szCs w:val="18"/>
              </w:rPr>
              <w:t>，主要系本公司完成再融资并将部分资金以购买银行理财产 品等形式做现金管理所致。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20"/>
                <w:sz w:val="18"/>
                <w:szCs w:val="18"/>
              </w:rPr>
              <w:t> </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，主要系本公司完成了对香港迪讯公司的收购，年末余额含该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公司应收账款所致。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年末较年初增加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，主要系本公司为网络电视业务发展采购的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机顶盒增加所 致。</w:t>
            </w:r>
          </w:p>
        </w:tc>
      </w:tr>
    </w:tbl>
    <w:p>
      <w:pPr>
        <w:spacing w:line="240" w:lineRule="auto" w:before="3"/>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3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注资及境外 经营累计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3" w:right="-49"/>
              <w:jc w:val="left"/>
              <w:rPr>
                <w:rFonts w:ascii="宋体" w:hAnsi="宋体" w:cs="宋体" w:eastAsia="宋体" w:hint="default"/>
                <w:sz w:val="18"/>
                <w:szCs w:val="18"/>
              </w:rPr>
            </w:pPr>
            <w:r>
              <w:rPr>
                <w:rFonts w:ascii="宋体" w:hAnsi="宋体" w:cs="宋体" w:eastAsia="宋体" w:hint="default"/>
                <w:sz w:val="18"/>
                <w:szCs w:val="18"/>
              </w:rPr>
              <w:t>美国、香港、 </w:t>
            </w:r>
            <w:r>
              <w:rPr>
                <w:rFonts w:ascii="宋体" w:hAnsi="宋体" w:cs="宋体" w:eastAsia="宋体" w:hint="default"/>
                <w:spacing w:val="-12"/>
                <w:sz w:val="18"/>
                <w:szCs w:val="18"/>
              </w:rPr>
              <w:t>加拿大、澳大</w:t>
            </w:r>
            <w:r>
              <w:rPr>
                <w:rFonts w:ascii="宋体" w:hAnsi="宋体" w:cs="宋体" w:eastAsia="宋体" w:hint="default"/>
                <w:sz w:val="18"/>
                <w:szCs w:val="18"/>
              </w:rPr>
              <w:t> 利亚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经营积累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银行保存</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境外业务经 营应收款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美国、加拿 </w:t>
            </w:r>
            <w:r>
              <w:rPr>
                <w:rFonts w:ascii="宋体" w:hAnsi="宋体" w:cs="宋体" w:eastAsia="宋体" w:hint="default"/>
                <w:spacing w:val="-12"/>
                <w:sz w:val="18"/>
                <w:szCs w:val="18"/>
              </w:rPr>
              <w:t>大、澳大利亚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网络电话 </w:t>
            </w:r>
            <w:r>
              <w:rPr>
                <w:rFonts w:ascii="Times New Roman" w:hAnsi="Times New Roman" w:cs="Times New Roman" w:eastAsia="Times New Roman" w:hint="default"/>
                <w:spacing w:val="-4"/>
                <w:sz w:val="18"/>
                <w:szCs w:val="18"/>
              </w:rPr>
              <w:t>(VoIP)</w:t>
            </w:r>
            <w:r>
              <w:rPr>
                <w:rFonts w:ascii="宋体" w:hAnsi="宋体" w:cs="宋体" w:eastAsia="宋体" w:hint="default"/>
                <w:spacing w:val="-4"/>
                <w:sz w:val="18"/>
                <w:szCs w:val="18"/>
              </w:rPr>
              <w:t>及网</w:t>
            </w:r>
            <w:r>
              <w:rPr>
                <w:rFonts w:ascii="宋体" w:hAnsi="宋体" w:cs="宋体" w:eastAsia="宋体" w:hint="default"/>
                <w:spacing w:val="-84"/>
                <w:sz w:val="18"/>
                <w:szCs w:val="18"/>
              </w:rPr>
              <w:t> </w:t>
            </w:r>
            <w:r>
              <w:rPr>
                <w:rFonts w:ascii="宋体" w:hAnsi="宋体" w:cs="宋体" w:eastAsia="宋体" w:hint="default"/>
                <w:sz w:val="18"/>
                <w:szCs w:val="18"/>
              </w:rPr>
              <w:t>络电视 </w:t>
            </w:r>
            <w:r>
              <w:rPr>
                <w:rFonts w:ascii="Times New Roman" w:hAnsi="Times New Roman" w:cs="Times New Roman" w:eastAsia="Times New Roman" w:hint="default"/>
                <w:sz w:val="18"/>
                <w:szCs w:val="18"/>
              </w:rPr>
              <w:t>(IPTV)</w:t>
            </w:r>
            <w:r>
              <w:rPr>
                <w:rFonts w:ascii="宋体" w:hAnsi="宋体" w:cs="宋体" w:eastAsia="宋体" w:hint="default"/>
                <w:sz w:val="18"/>
                <w:szCs w:val="18"/>
              </w:rPr>
              <w:t>业务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及时催收，降</w:t>
            </w:r>
            <w:r>
              <w:rPr>
                <w:rFonts w:ascii="宋体" w:hAnsi="宋体" w:cs="宋体" w:eastAsia="宋体" w:hint="default"/>
                <w:sz w:val="18"/>
                <w:szCs w:val="18"/>
              </w:rPr>
              <w:t> 低账龄</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境外股权投 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2"/>
                <w:sz w:val="18"/>
                <w:szCs w:val="18"/>
              </w:rPr>
              <w:t>产权过户、关</w:t>
            </w:r>
            <w:r>
              <w:rPr>
                <w:rFonts w:ascii="宋体" w:hAnsi="宋体" w:cs="宋体" w:eastAsia="宋体" w:hint="default"/>
                <w:sz w:val="18"/>
                <w:szCs w:val="18"/>
              </w:rPr>
              <w:t> 注业务发展</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7"/>
              <w:jc w:val="left"/>
              <w:rPr>
                <w:rFonts w:ascii="宋体" w:hAnsi="宋体" w:cs="宋体" w:eastAsia="宋体" w:hint="default"/>
                <w:sz w:val="18"/>
                <w:szCs w:val="18"/>
              </w:rPr>
            </w:pPr>
            <w:r>
              <w:rPr>
                <w:rFonts w:ascii="宋体" w:hAnsi="宋体" w:cs="宋体" w:eastAsia="宋体" w:hint="default"/>
                <w:sz w:val="18"/>
                <w:szCs w:val="18"/>
              </w:rPr>
              <w:t>境外收购形 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71"/>
              <w:jc w:val="left"/>
              <w:rPr>
                <w:rFonts w:ascii="宋体" w:hAnsi="宋体" w:cs="宋体" w:eastAsia="宋体" w:hint="default"/>
                <w:sz w:val="18"/>
                <w:szCs w:val="18"/>
              </w:rPr>
            </w:pPr>
            <w:r>
              <w:rPr>
                <w:rFonts w:ascii="宋体" w:hAnsi="宋体" w:cs="宋体" w:eastAsia="宋体" w:hint="default"/>
                <w:sz w:val="18"/>
                <w:szCs w:val="18"/>
              </w:rPr>
              <w:t>经营租赁</w:t>
            </w:r>
            <w:r>
              <w:rPr>
                <w:rFonts w:ascii="Times New Roman" w:hAnsi="Times New Roman" w:cs="Times New Roman" w:eastAsia="Times New Roman" w:hint="default"/>
                <w:sz w:val="18"/>
                <w:szCs w:val="18"/>
              </w:rPr>
              <w:t>-</w:t>
            </w:r>
            <w:r>
              <w:rPr>
                <w:rFonts w:ascii="宋体" w:hAnsi="宋体" w:cs="宋体" w:eastAsia="宋体" w:hint="default"/>
                <w:sz w:val="18"/>
                <w:szCs w:val="18"/>
              </w:rPr>
              <w:t>房 屋出租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
              <w:jc w:val="left"/>
              <w:rPr>
                <w:rFonts w:ascii="宋体" w:hAnsi="宋体" w:cs="宋体" w:eastAsia="宋体" w:hint="default"/>
                <w:sz w:val="18"/>
                <w:szCs w:val="18"/>
              </w:rPr>
            </w:pPr>
            <w:r>
              <w:rPr>
                <w:rFonts w:ascii="宋体" w:hAnsi="宋体" w:cs="宋体" w:eastAsia="宋体" w:hint="default"/>
                <w:spacing w:val="-12"/>
                <w:sz w:val="18"/>
                <w:szCs w:val="18"/>
              </w:rPr>
              <w:t>产权过户、购</w:t>
            </w:r>
            <w:r>
              <w:rPr>
                <w:rFonts w:ascii="宋体" w:hAnsi="宋体" w:cs="宋体" w:eastAsia="宋体" w:hint="default"/>
                <w:sz w:val="18"/>
                <w:szCs w:val="18"/>
              </w:rPr>
              <w:t> 买商业保险</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1</w:t>
      </w:r>
      <w:r>
        <w:rPr/>
        <w:t>、资源技术能力</w:t>
      </w:r>
    </w:p>
    <w:p>
      <w:pPr>
        <w:pStyle w:val="BodyText"/>
        <w:spacing w:line="316" w:lineRule="auto" w:before="63"/>
        <w:ind w:right="1033" w:firstLine="423"/>
        <w:jc w:val="left"/>
      </w:pPr>
      <w:r>
        <w:rPr/>
        <w:t>公司长期专注于虚拟运营通信服务领域，在互联网通信和通信转售方面长期积累，形成了独特的资源和技术能力。凭 </w:t>
      </w:r>
      <w:r>
        <w:rPr>
          <w:spacing w:val="-2"/>
        </w:rPr>
        <w:t>借多年来在通信服务领域的守法经营和良好业绩，公司获得多项电信业务经营许可证书，丰富的牌照资源为公司开展通信服</w:t>
      </w:r>
      <w:r>
        <w:rPr>
          <w:spacing w:val="-64"/>
        </w:rPr>
        <w:t> </w:t>
      </w:r>
      <w:r>
        <w:rPr>
          <w:spacing w:val="-64"/>
        </w:rPr>
      </w:r>
      <w:r>
        <w:rPr>
          <w:spacing w:val="-2"/>
        </w:rPr>
        <w:t>务业务、特别是开展融合业务提供了保障；基于对基础电信运营商业务体系及运作方式的深刻理解，公司在长期的通信服务</w:t>
      </w:r>
      <w:r>
        <w:rPr>
          <w:spacing w:val="-66"/>
        </w:rPr>
        <w:t> </w:t>
      </w:r>
      <w:r>
        <w:rPr>
          <w:spacing w:val="-66"/>
        </w:rPr>
      </w:r>
      <w:r>
        <w:rPr>
          <w:spacing w:val="-2"/>
        </w:rPr>
        <w:t>经营过程中不断维护、深化与国内外基础电信运营商的良好合作关系，与其建立了类型丰富、资源完整、独立运营、互联互</w:t>
      </w:r>
      <w:r>
        <w:rPr>
          <w:spacing w:val="-66"/>
        </w:rPr>
        <w:t> </w:t>
      </w:r>
      <w:r>
        <w:rPr>
          <w:spacing w:val="-66"/>
        </w:rPr>
      </w:r>
      <w:r>
        <w:rPr/>
        <w:t>通的通信资源体系；公司在长期的通信服务经营过程中注重技术研发、不断积累提升通信业务技术能力，并在互联网通信、</w:t>
      </w:r>
      <w:r>
        <w:rPr>
          <w:spacing w:val="-84"/>
        </w:rPr>
        <w:t> </w:t>
      </w:r>
      <w:r>
        <w:rPr>
          <w:spacing w:val="-84"/>
        </w:rPr>
      </w:r>
      <w:r>
        <w:rPr>
          <w:spacing w:val="-2"/>
        </w:rPr>
        <w:t>通信转售方面拥有多项核心技术并获得多项专利，报告期内公司因应业务发展需要和通信技术变化趋势，通过自主研发和收</w:t>
      </w:r>
      <w:r>
        <w:rPr>
          <w:spacing w:val="-64"/>
        </w:rPr>
        <w:t> </w:t>
      </w:r>
      <w:r>
        <w:rPr>
          <w:spacing w:val="-64"/>
        </w:rPr>
      </w:r>
      <w:r>
        <w:rPr/>
        <w:t>购兼并，建立和提升了移动通信和视频通信的业务技术能力。</w:t>
      </w:r>
    </w:p>
    <w:p>
      <w:pPr>
        <w:spacing w:line="240" w:lineRule="auto" w:before="4"/>
        <w:rPr>
          <w:rFonts w:ascii="宋体" w:hAnsi="宋体" w:cs="宋体" w:eastAsia="宋体" w:hint="default"/>
          <w:sz w:val="25"/>
          <w:szCs w:val="25"/>
        </w:rPr>
      </w:pPr>
    </w:p>
    <w:p>
      <w:pPr>
        <w:pStyle w:val="BodyText"/>
        <w:spacing w:line="240" w:lineRule="auto"/>
        <w:ind w:left="154" w:right="1033"/>
        <w:jc w:val="left"/>
      </w:pPr>
      <w:r>
        <w:rPr>
          <w:rFonts w:ascii="Times New Roman" w:hAnsi="Times New Roman" w:cs="Times New Roman" w:eastAsia="Times New Roman" w:hint="default"/>
        </w:rPr>
        <w:t>2</w:t>
      </w:r>
      <w:r>
        <w:rPr/>
        <w:t>、产品创新能力</w:t>
      </w:r>
    </w:p>
    <w:p>
      <w:pPr>
        <w:pStyle w:val="BodyText"/>
        <w:spacing w:line="312" w:lineRule="auto" w:before="63"/>
        <w:ind w:left="154" w:right="1032" w:firstLine="423"/>
        <w:jc w:val="left"/>
      </w:pPr>
      <w:r>
        <w:rPr/>
        <w:t>通信行业不变的特点是</w:t>
      </w:r>
      <w:r>
        <w:rPr>
          <w:rFonts w:ascii="Times New Roman" w:hAnsi="Times New Roman" w:cs="Times New Roman" w:eastAsia="Times New Roman" w:hint="default"/>
        </w:rPr>
        <w:t>“</w:t>
      </w:r>
      <w:r>
        <w:rPr/>
        <w:t>变</w:t>
      </w:r>
      <w:r>
        <w:rPr>
          <w:rFonts w:ascii="Times New Roman" w:hAnsi="Times New Roman" w:cs="Times New Roman" w:eastAsia="Times New Roman" w:hint="default"/>
        </w:rPr>
        <w:t>”</w:t>
      </w:r>
      <w:r>
        <w:rPr/>
        <w:t>，市场、技术、用户需求、行业监管政策等的快速变化决定了唯有顺应变化、不断创新才 </w:t>
      </w:r>
      <w:r>
        <w:rPr>
          <w:spacing w:val="-2"/>
        </w:rPr>
        <w:t>能在本行业立足、生存和发展。在多年的业务经营过程中，伴随着对行业、市场、运营商体系了解的加深，凭借对细分用户</w:t>
      </w:r>
      <w:r>
        <w:rPr>
          <w:spacing w:val="-67"/>
        </w:rPr>
        <w:t> </w:t>
      </w:r>
      <w:r>
        <w:rPr>
          <w:spacing w:val="-67"/>
        </w:rPr>
      </w:r>
      <w:r>
        <w:rPr/>
        <w:t>群通信需求、应用场景、使用习惯、消费心态和文化差异等的深度挖掘和掌握，公司积累了丰富的通信服务产品创新经验，</w:t>
      </w:r>
      <w:r>
        <w:rPr>
          <w:spacing w:val="-84"/>
        </w:rPr>
        <w:t> </w:t>
      </w:r>
      <w:r>
        <w:rPr>
          <w:spacing w:val="-84"/>
        </w:rPr>
      </w:r>
      <w:r>
        <w:rPr/>
        <w:t>从洞悉市场需求变化开始，到最终推出新的产品或增加新的功能，公司内部形成了高效的产品创新机制。</w:t>
      </w:r>
    </w:p>
    <w:p>
      <w:pPr>
        <w:spacing w:line="240" w:lineRule="auto" w:before="7"/>
        <w:rPr>
          <w:rFonts w:ascii="宋体" w:hAnsi="宋体" w:cs="宋体" w:eastAsia="宋体" w:hint="default"/>
          <w:sz w:val="25"/>
          <w:szCs w:val="25"/>
        </w:rPr>
      </w:pPr>
    </w:p>
    <w:p>
      <w:pPr>
        <w:pStyle w:val="BodyText"/>
        <w:spacing w:line="240" w:lineRule="auto"/>
        <w:ind w:right="1033"/>
        <w:jc w:val="left"/>
      </w:pPr>
      <w:r>
        <w:rPr>
          <w:rFonts w:ascii="Times New Roman" w:hAnsi="Times New Roman" w:cs="Times New Roman" w:eastAsia="Times New Roman" w:hint="default"/>
        </w:rPr>
        <w:t>3</w:t>
      </w:r>
      <w:r>
        <w:rPr/>
        <w:t>、运营服务能力</w:t>
      </w:r>
    </w:p>
    <w:p>
      <w:pPr>
        <w:pStyle w:val="BodyText"/>
        <w:spacing w:line="240" w:lineRule="auto" w:before="63"/>
        <w:ind w:left="577" w:right="0"/>
        <w:jc w:val="left"/>
      </w:pPr>
      <w:r>
        <w:rPr/>
        <w:t>通信服务商必须具备成熟稳定的运营体系</w:t>
      </w:r>
      <w:r>
        <w:rPr>
          <w:rFonts w:ascii="Times New Roman" w:hAnsi="Times New Roman" w:cs="Times New Roman" w:eastAsia="Times New Roman" w:hint="default"/>
        </w:rPr>
        <w:t>,</w:t>
      </w:r>
      <w:r>
        <w:rPr/>
        <w:t>才能为用户提供 </w:t>
      </w:r>
      <w:r>
        <w:rPr>
          <w:rFonts w:ascii="Times New Roman" w:hAnsi="Times New Roman" w:cs="Times New Roman" w:eastAsia="Times New Roman" w:hint="default"/>
        </w:rPr>
        <w:t>24  </w:t>
      </w:r>
      <w:r>
        <w:rPr>
          <w:rFonts w:ascii="Times New Roman" w:hAnsi="Times New Roman" w:cs="Times New Roman" w:eastAsia="Times New Roman" w:hint="default"/>
          <w:spacing w:val="26"/>
        </w:rPr>
        <w:t> </w:t>
      </w:r>
      <w:r>
        <w:rPr/>
        <w:t>小时不间断的运营型服务，并能及时有效的处理故障、</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用户投诉及各种突发事件。所以运营水平是决定通信服务业务经营成败的核心要素之一，且通信企业的运营服务能力需要在</w:t>
      </w:r>
      <w:r>
        <w:rPr>
          <w:spacing w:val="-64"/>
        </w:rPr>
        <w:t> </w:t>
      </w:r>
      <w:r>
        <w:rPr>
          <w:spacing w:val="-64"/>
        </w:rPr>
      </w:r>
      <w:r>
        <w:rPr>
          <w:spacing w:val="-2"/>
        </w:rPr>
        <w:t>长期的运营实践中逐渐积累，无法通过短期的学习和简单的复制而快速获得。公司长期专注于通信运营服务，在多年的经营</w:t>
      </w:r>
      <w:r>
        <w:rPr>
          <w:spacing w:val="-66"/>
        </w:rPr>
        <w:t> </w:t>
      </w:r>
      <w:r>
        <w:rPr>
          <w:spacing w:val="-66"/>
        </w:rPr>
      </w:r>
      <w:r>
        <w:rPr>
          <w:spacing w:val="-2"/>
        </w:rPr>
        <w:t>过程中积累了丰富的通信服务运营经验，形成了成熟的运营体系和运营文化，建立了成熟稳定的运营能力并不断提升，确保</w:t>
      </w:r>
      <w:r>
        <w:rPr>
          <w:spacing w:val="-66"/>
        </w:rPr>
        <w:t> </w:t>
      </w:r>
      <w:r>
        <w:rPr>
          <w:spacing w:val="-66"/>
        </w:rPr>
      </w:r>
      <w:r>
        <w:rPr/>
        <w:t>了公司为用户提供稳定、持续、高效的服务。</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4</w:t>
      </w:r>
      <w:r>
        <w:rPr/>
        <w:t>、营销能力</w:t>
      </w:r>
    </w:p>
    <w:p>
      <w:pPr>
        <w:pStyle w:val="BodyText"/>
        <w:spacing w:line="316" w:lineRule="auto" w:before="63"/>
        <w:ind w:right="1126" w:firstLine="423"/>
        <w:jc w:val="left"/>
      </w:pPr>
      <w:r>
        <w:rPr>
          <w:spacing w:val="-3"/>
        </w:rPr>
        <w:t>公司在面向企业客户的产品营销中，积累和形成了遍布全国主要市场领域的营销渠道，发展了上百家一级合作代理商，</w:t>
      </w:r>
      <w:r>
        <w:rPr/>
        <w:t> 这些渠道广泛接触客户，拥有有效的产品推介能力，有助于公司各项通信服务产品的迅速拓展。</w:t>
      </w:r>
    </w:p>
    <w:p>
      <w:pPr>
        <w:pStyle w:val="BodyText"/>
        <w:spacing w:line="309" w:lineRule="auto" w:before="19"/>
        <w:ind w:right="1033" w:firstLine="423"/>
        <w:jc w:val="left"/>
      </w:pPr>
      <w:r>
        <w:rPr/>
        <w:t>在个人客户市场，公司长期积累形成了独特的面向海外华人的营销渠道。公司与海外的华文媒体建立了良好的长期合 作关系，和全球超过百万的海外华人终端用户建立了良好的信任关系，</w:t>
      </w:r>
      <w:r>
        <w:rPr>
          <w:rFonts w:ascii="Times New Roman" w:hAnsi="Times New Roman" w:cs="Times New Roman" w:eastAsia="Times New Roman" w:hint="default"/>
        </w:rPr>
        <w:t>iTalkBB</w:t>
      </w:r>
      <w:r>
        <w:rPr/>
        <w:t>品牌在海外华人特别是北美华人群体中树立</w:t>
      </w:r>
      <w:r>
        <w:rPr>
          <w:spacing w:val="-75"/>
        </w:rPr>
        <w:t> </w:t>
      </w:r>
      <w:r>
        <w:rPr>
          <w:spacing w:val="-75"/>
        </w:rPr>
      </w:r>
      <w:r>
        <w:rPr>
          <w:spacing w:val="-2"/>
        </w:rPr>
        <w:t>了良好的品牌形象。公司在美国、加拿大、澳大利亚、新加坡等地开设了近</w:t>
      </w:r>
      <w:r>
        <w:rPr>
          <w:rFonts w:ascii="Times New Roman" w:hAnsi="Times New Roman" w:cs="Times New Roman" w:eastAsia="Times New Roman" w:hint="default"/>
          <w:spacing w:val="-2"/>
        </w:rPr>
        <w:t>30</w:t>
      </w:r>
      <w:r>
        <w:rPr>
          <w:spacing w:val="-2"/>
        </w:rPr>
        <w:t>家线下实体店，在海外华人及亚裔集中区域抢</w:t>
      </w:r>
      <w:r>
        <w:rPr>
          <w:spacing w:val="-64"/>
        </w:rPr>
        <w:t> </w:t>
      </w:r>
      <w:r>
        <w:rPr>
          <w:spacing w:val="-64"/>
        </w:rPr>
      </w:r>
      <w:r>
        <w:rPr/>
        <w:t>占了有利的战略位置，并利用北美华人用户群优势，整合了一系列行之有效的老用户推荐新用户的活动，还通过电话营销、</w:t>
      </w:r>
      <w:r>
        <w:rPr>
          <w:spacing w:val="-85"/>
        </w:rPr>
        <w:t> </w:t>
      </w:r>
      <w:r>
        <w:rPr>
          <w:spacing w:val="-85"/>
        </w:rPr>
      </w:r>
      <w:r>
        <w:rPr/>
        <w:t>互联网推广等线上手段进行营销。</w:t>
      </w:r>
    </w:p>
    <w:p>
      <w:pPr>
        <w:spacing w:after="0" w:line="30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33"/>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9" w:firstLine="423"/>
        <w:jc w:val="both"/>
      </w:pPr>
      <w:r>
        <w:rPr>
          <w:rFonts w:ascii="Times New Roman" w:hAnsi="Times New Roman" w:cs="Times New Roman" w:eastAsia="Times New Roman" w:hint="default"/>
        </w:rPr>
        <w:t>2015</w:t>
      </w:r>
      <w:r>
        <w:rPr/>
        <w:t>年公司加大新业务投入，通过自主研发和收购香港迪讯、展视互动两家公司，建立和提升了移动通信和视频通信 方面的业务技术能力，进一步补充和完善了企业通信和协同办公服务产品线。报告期内公司虚拟移动通信（</w:t>
      </w:r>
      <w:r>
        <w:rPr>
          <w:rFonts w:ascii="Times New Roman" w:hAnsi="Times New Roman" w:cs="Times New Roman" w:eastAsia="Times New Roman" w:hint="default"/>
        </w:rPr>
        <w:t>MVNO</w:t>
      </w:r>
      <w:r>
        <w:rPr/>
        <w:t>）业务</w:t>
      </w:r>
      <w:r>
        <w:rPr>
          <w:spacing w:val="-7"/>
        </w:rPr>
        <w:t> </w:t>
      </w:r>
      <w:r>
        <w:rPr>
          <w:spacing w:val="-2"/>
        </w:rPr>
        <w:t>推出了面向个人客户市场的移动漫游业务，完成了非公开发行股票，实施了新的员工股权激励计划，这些都为公司战略发展</w:t>
      </w:r>
      <w:r>
        <w:rPr>
          <w:spacing w:val="-66"/>
        </w:rPr>
        <w:t> </w:t>
      </w:r>
      <w:r>
        <w:rPr>
          <w:spacing w:val="-66"/>
        </w:rPr>
      </w:r>
      <w:r>
        <w:rPr/>
        <w:t>目标的达成打下了坚实的基础。</w:t>
      </w:r>
    </w:p>
    <w:p>
      <w:pPr>
        <w:pStyle w:val="BodyText"/>
        <w:spacing w:line="300" w:lineRule="auto" w:before="26"/>
        <w:ind w:right="1129" w:firstLine="423"/>
        <w:jc w:val="both"/>
      </w:pPr>
      <w:r>
        <w:rPr>
          <w:spacing w:val="-3"/>
        </w:rPr>
        <w:t>公司</w:t>
      </w:r>
      <w:r>
        <w:rPr>
          <w:rFonts w:ascii="Times New Roman" w:hAnsi="Times New Roman" w:cs="Times New Roman" w:eastAsia="Times New Roman" w:hint="default"/>
          <w:spacing w:val="-3"/>
        </w:rPr>
        <w:t>2015</w:t>
      </w:r>
      <w:r>
        <w:rPr>
          <w:spacing w:val="-3"/>
        </w:rPr>
        <w:t>年度实现营业收入</w:t>
      </w:r>
      <w:r>
        <w:rPr>
          <w:rFonts w:ascii="Times New Roman" w:hAnsi="Times New Roman" w:cs="Times New Roman" w:eastAsia="Times New Roman" w:hint="default"/>
          <w:spacing w:val="-3"/>
        </w:rPr>
        <w:t>71,636.18</w:t>
      </w:r>
      <w:r>
        <w:rPr>
          <w:spacing w:val="-3"/>
        </w:rPr>
        <w:t>万元，较上年同期减少</w:t>
      </w:r>
      <w:r>
        <w:rPr>
          <w:rFonts w:ascii="Times New Roman" w:hAnsi="Times New Roman" w:cs="Times New Roman" w:eastAsia="Times New Roman" w:hint="default"/>
          <w:spacing w:val="-3"/>
        </w:rPr>
        <w:t>3.90%</w:t>
      </w:r>
      <w:r>
        <w:rPr>
          <w:spacing w:val="-3"/>
        </w:rPr>
        <w:t>，收入减少的主要原因是固网语音增值服务（</w:t>
      </w:r>
      <w:r>
        <w:rPr>
          <w:rFonts w:ascii="Times New Roman" w:hAnsi="Times New Roman" w:cs="Times New Roman" w:eastAsia="Times New Roman" w:hint="default"/>
          <w:spacing w:val="-3"/>
        </w:rPr>
        <w:t>96446IP</w:t>
      </w:r>
      <w:r>
        <w:rPr>
          <w:rFonts w:ascii="Times New Roman" w:hAnsi="Times New Roman" w:cs="Times New Roman" w:eastAsia="Times New Roman" w:hint="default"/>
        </w:rPr>
        <w:t> </w:t>
      </w:r>
      <w:r>
        <w:rPr/>
        <w:t>长途转售和</w:t>
      </w:r>
      <w:r>
        <w:rPr>
          <w:rFonts w:ascii="Times New Roman" w:hAnsi="Times New Roman" w:cs="Times New Roman" w:eastAsia="Times New Roman" w:hint="default"/>
        </w:rPr>
        <w:t>95050</w:t>
      </w:r>
      <w:r>
        <w:rPr/>
        <w:t>多方通话）收入下降；实现归属于上市公司股东的净利润</w:t>
      </w:r>
      <w:r>
        <w:rPr>
          <w:rFonts w:ascii="Times New Roman" w:hAnsi="Times New Roman" w:cs="Times New Roman" w:eastAsia="Times New Roman" w:hint="default"/>
        </w:rPr>
        <w:t>5,891.85</w:t>
      </w:r>
      <w:r>
        <w:rPr/>
        <w:t>万元，较上年同期减少</w:t>
      </w:r>
      <w:r>
        <w:rPr>
          <w:spacing w:val="-10"/>
        </w:rPr>
        <w:t> </w:t>
      </w:r>
      <w:r>
        <w:rPr>
          <w:rFonts w:ascii="Times New Roman" w:hAnsi="Times New Roman" w:cs="Times New Roman" w:eastAsia="Times New Roman" w:hint="default"/>
        </w:rPr>
        <w:t>60.15%</w:t>
      </w:r>
      <w:r>
        <w:rPr/>
        <w:t>，归属于 </w:t>
      </w:r>
      <w:r>
        <w:rPr>
          <w:spacing w:val="-1"/>
        </w:rPr>
        <w:t>上市公司股东的扣除非经常性损益后的净利润为</w:t>
      </w:r>
      <w:r>
        <w:rPr>
          <w:rFonts w:ascii="Times New Roman" w:hAnsi="Times New Roman" w:cs="Times New Roman" w:eastAsia="Times New Roman" w:hint="default"/>
          <w:spacing w:val="-1"/>
        </w:rPr>
        <w:t>5,589.71</w:t>
      </w:r>
      <w:r>
        <w:rPr>
          <w:spacing w:val="-1"/>
        </w:rPr>
        <w:t>万元，较上年同期减少</w:t>
      </w:r>
      <w:r>
        <w:rPr>
          <w:rFonts w:ascii="Times New Roman" w:hAnsi="Times New Roman" w:cs="Times New Roman" w:eastAsia="Times New Roman" w:hint="default"/>
          <w:spacing w:val="-1"/>
        </w:rPr>
        <w:t>57.70%</w:t>
      </w:r>
      <w:r>
        <w:rPr>
          <w:spacing w:val="-1"/>
        </w:rPr>
        <w:t>，利润下降的主要原因是新业务投入</w:t>
      </w:r>
      <w:r>
        <w:rPr>
          <w:spacing w:val="-39"/>
        </w:rPr>
        <w:t> </w:t>
      </w:r>
      <w:r>
        <w:rPr>
          <w:spacing w:val="-39"/>
        </w:rPr>
      </w:r>
      <w:r>
        <w:rPr/>
        <w:t>加大、政府补贴减少及计提长期股权投资减值损失。</w:t>
      </w:r>
    </w:p>
    <w:p>
      <w:pPr>
        <w:pStyle w:val="BodyText"/>
        <w:spacing w:line="316" w:lineRule="auto" w:before="31"/>
        <w:ind w:right="1135" w:firstLine="423"/>
        <w:jc w:val="both"/>
      </w:pPr>
      <w:r>
        <w:rPr/>
        <w:t>报告期内随着广州二六三移动通信公司的建立，公司形成了四家全资业务子公司、两大业务线的业务格局（如下图所 示）：</w:t>
      </w:r>
    </w:p>
    <w:p>
      <w:pPr>
        <w:spacing w:line="240" w:lineRule="auto" w:before="11"/>
        <w:rPr>
          <w:rFonts w:ascii="宋体" w:hAnsi="宋体" w:cs="宋体" w:eastAsia="宋体" w:hint="default"/>
          <w:sz w:val="28"/>
          <w:szCs w:val="28"/>
        </w:rPr>
      </w:pPr>
    </w:p>
    <w:p>
      <w:pPr>
        <w:spacing w:line="3307" w:lineRule="exact"/>
        <w:ind w:left="120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789738" cy="210026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789738" cy="2100262"/>
                    </a:xfrm>
                    <a:prstGeom prst="rect">
                      <a:avLst/>
                    </a:prstGeom>
                  </pic:spPr>
                </pic:pic>
              </a:graphicData>
            </a:graphic>
          </wp:inline>
        </w:drawing>
      </w:r>
      <w:r>
        <w:rPr>
          <w:rFonts w:ascii="宋体" w:hAnsi="宋体" w:cs="宋体" w:eastAsia="宋体" w:hint="default"/>
          <w:position w:val="-65"/>
          <w:sz w:val="20"/>
          <w:szCs w:val="20"/>
        </w:rPr>
      </w:r>
    </w:p>
    <w:p>
      <w:pPr>
        <w:pStyle w:val="BodyText"/>
        <w:spacing w:line="316" w:lineRule="auto" w:before="78"/>
        <w:ind w:left="573" w:right="1116"/>
        <w:jc w:val="left"/>
      </w:pPr>
      <w:r>
        <w:rPr/>
        <w:t>报告期内公司企业通信业务。 </w:t>
      </w:r>
      <w:r>
        <w:rPr>
          <w:spacing w:val="-1"/>
        </w:rPr>
        <w:t>公司</w:t>
      </w:r>
      <w:r>
        <w:rPr>
          <w:rFonts w:ascii="Times New Roman" w:hAnsi="Times New Roman" w:cs="Times New Roman" w:eastAsia="Times New Roman" w:hint="default"/>
          <w:spacing w:val="-1"/>
        </w:rPr>
        <w:t>263</w:t>
      </w:r>
      <w:r>
        <w:rPr>
          <w:spacing w:val="-1"/>
        </w:rPr>
        <w:t>云通信产品线在产品、研发、运营、营销等各方面取得显著进展。企业邮箱产品在提升快速、安全、稳定的基</w:t>
      </w:r>
    </w:p>
    <w:p>
      <w:pPr>
        <w:pStyle w:val="BodyText"/>
        <w:spacing w:line="314" w:lineRule="auto"/>
        <w:ind w:right="1033"/>
        <w:jc w:val="left"/>
      </w:pPr>
      <w:r>
        <w:rPr>
          <w:spacing w:val="-2"/>
        </w:rPr>
        <w:t>础上，提升产品易用性，加大研发力度，不仅使得产品稳定性大幅提升，系统故障率创近年新低，同时极大地降低了系统运</w:t>
      </w:r>
      <w:r>
        <w:rPr>
          <w:spacing w:val="-66"/>
        </w:rPr>
        <w:t> </w:t>
      </w:r>
      <w:r>
        <w:rPr>
          <w:spacing w:val="-66"/>
        </w:rPr>
      </w:r>
      <w:r>
        <w:rPr/>
        <w:t>营成本，并新获两项邮件专利知识产权，企业邮箱业务继续保持市场领先地位；企业网盘不仅提供完善的公有云产品功能，</w:t>
      </w:r>
      <w:r>
        <w:rPr>
          <w:spacing w:val="-85"/>
        </w:rPr>
        <w:t> </w:t>
      </w:r>
      <w:r>
        <w:rPr>
          <w:spacing w:val="-85"/>
        </w:rPr>
      </w:r>
      <w:r>
        <w:rPr>
          <w:spacing w:val="-2"/>
        </w:rPr>
        <w:t>也提供私有云定制服务，极大满足客户个性化需求；电话会议、网络会议和即时通信深度融合，持续进行技术创新、完善产</w:t>
      </w:r>
      <w:r>
        <w:rPr>
          <w:spacing w:val="-66"/>
        </w:rPr>
        <w:t> </w:t>
      </w:r>
      <w:r>
        <w:rPr>
          <w:spacing w:val="-66"/>
        </w:rPr>
      </w:r>
      <w:r>
        <w:rPr/>
        <w:t>品功能及设计，在</w:t>
      </w:r>
      <w:r>
        <w:rPr>
          <w:rFonts w:ascii="Times New Roman" w:hAnsi="Times New Roman" w:cs="Times New Roman" w:eastAsia="Times New Roman" w:hint="default"/>
        </w:rPr>
        <w:t>PC</w:t>
      </w:r>
      <w:r>
        <w:rPr/>
        <w:t>、</w:t>
      </w:r>
      <w:r>
        <w:rPr>
          <w:rFonts w:ascii="Times New Roman" w:hAnsi="Times New Roman" w:cs="Times New Roman" w:eastAsia="Times New Roman" w:hint="default"/>
        </w:rPr>
        <w:t>IOS</w:t>
      </w:r>
      <w:r>
        <w:rPr/>
        <w:t>及</w:t>
      </w:r>
      <w:r>
        <w:rPr>
          <w:rFonts w:ascii="Times New Roman" w:hAnsi="Times New Roman" w:cs="Times New Roman" w:eastAsia="Times New Roman" w:hint="default"/>
        </w:rPr>
        <w:t>Android</w:t>
      </w:r>
      <w:r>
        <w:rPr/>
        <w:t>不断推出新版本，满足客户日常办公协作需求；电话会议继续坚持服务于大客户需求</w:t>
      </w:r>
      <w:r>
        <w:rPr>
          <w:spacing w:val="-30"/>
        </w:rPr>
        <w:t> </w:t>
      </w:r>
      <w:r>
        <w:rPr>
          <w:spacing w:val="-30"/>
        </w:rPr>
      </w:r>
      <w:r>
        <w:rPr>
          <w:spacing w:val="-2"/>
        </w:rPr>
        <w:t>的业务运营模式，着力打造重点支撑大客户的专业服务模式，形成和完善了从大客户销售、售前支持到会议服务、个性化开</w:t>
      </w:r>
      <w:r>
        <w:rPr>
          <w:spacing w:val="-66"/>
        </w:rPr>
        <w:t> </w:t>
      </w:r>
      <w:r>
        <w:rPr>
          <w:spacing w:val="-66"/>
        </w:rPr>
      </w:r>
      <w:r>
        <w:rPr>
          <w:spacing w:val="-2"/>
        </w:rPr>
        <w:t>发，全环节的支持体系，在标准化运营的基础上，突出了差异化服务，实现了会议收入的持续高速增长；公司在报告期内完</w:t>
      </w:r>
      <w:r>
        <w:rPr>
          <w:spacing w:val="-66"/>
        </w:rPr>
        <w:t> </w:t>
      </w:r>
      <w:r>
        <w:rPr>
          <w:spacing w:val="-66"/>
        </w:rPr>
      </w:r>
      <w:r>
        <w:rPr>
          <w:spacing w:val="-2"/>
        </w:rPr>
        <w:t>成对展视互动公司的收购，该公司在网络直播领域长期保持市场份额第一，籍此公司进一步完善了在企业通信与协同办公领</w:t>
      </w:r>
      <w:r>
        <w:rPr>
          <w:spacing w:val="-64"/>
        </w:rPr>
        <w:t> </w:t>
      </w:r>
      <w:r>
        <w:rPr>
          <w:spacing w:val="-64"/>
        </w:rPr>
      </w:r>
      <w:r>
        <w:rPr/>
        <w:t>域的产品服务布局，形成了全方位、大纵深的能力支持和产品覆盖，有利于进一步打造和提升</w:t>
      </w:r>
      <w:r>
        <w:rPr>
          <w:rFonts w:ascii="Times New Roman" w:hAnsi="Times New Roman" w:cs="Times New Roman" w:eastAsia="Times New Roman" w:hint="default"/>
        </w:rPr>
        <w:t>263</w:t>
      </w:r>
      <w:r>
        <w:rPr/>
        <w:t>云通信平台；报告期内公</w:t>
      </w:r>
      <w:r>
        <w:rPr>
          <w:spacing w:val="-82"/>
        </w:rPr>
        <w:t> </w:t>
      </w:r>
      <w:r>
        <w:rPr>
          <w:spacing w:val="-82"/>
        </w:rPr>
      </w:r>
      <w:r>
        <w:rPr/>
        <w:t>司完成对国内最大的</w:t>
      </w:r>
      <w:r>
        <w:rPr>
          <w:rFonts w:ascii="Times New Roman" w:hAnsi="Times New Roman" w:cs="Times New Roman" w:eastAsia="Times New Roman" w:hint="default"/>
        </w:rPr>
        <w:t>OA</w:t>
      </w:r>
      <w:r>
        <w:rPr/>
        <w:t>厂商致远协创软件公司的投资参股，为公司打造企业通信和协同办公生态圈打下基础。</w:t>
      </w:r>
    </w:p>
    <w:p>
      <w:pPr>
        <w:pStyle w:val="BodyText"/>
        <w:spacing w:line="319" w:lineRule="auto" w:before="1"/>
        <w:ind w:right="1132" w:firstLine="420"/>
        <w:jc w:val="both"/>
      </w:pPr>
      <w:r>
        <w:rPr/>
        <w:t>公司针对大企业客户的集成通信服务亦取得积极进展，通过物流行业大企业客户的需求调研和项目实施，验证了其地 </w:t>
      </w:r>
      <w:r>
        <w:rPr>
          <w:spacing w:val="-5"/>
        </w:rPr>
        <w:t>域分散、分支众多对于通信使用的管理、成本控制和一站式服务需求迫切的特点，构建了相应的通信资源、平台和服务能力，</w:t>
      </w:r>
      <w:r>
        <w:rPr>
          <w:spacing w:val="-82"/>
        </w:rPr>
        <w:t> </w:t>
      </w:r>
      <w:r>
        <w:rPr>
          <w:spacing w:val="-82"/>
        </w:rPr>
      </w:r>
      <w:r>
        <w:rPr>
          <w:spacing w:val="-2"/>
        </w:rPr>
        <w:t>并着力打造覆盖全国的用户端运营管理能力和一站式服务能力。同时针对典型大企业的通信整体解决方案，也由语音通信进</w:t>
      </w:r>
      <w:r>
        <w:rPr>
          <w:spacing w:val="-64"/>
        </w:rPr>
        <w:t> </w:t>
      </w:r>
      <w:r>
        <w:rPr>
          <w:spacing w:val="-64"/>
        </w:rPr>
      </w:r>
      <w:r>
        <w:rPr/>
        <w:t>一步扩展到宽带、无线流量等更全面的通信产品形态。</w:t>
      </w:r>
    </w:p>
    <w:p>
      <w:pPr>
        <w:pStyle w:val="BodyText"/>
        <w:spacing w:line="240" w:lineRule="auto" w:before="17"/>
        <w:ind w:left="574" w:right="1033"/>
        <w:jc w:val="left"/>
      </w:pPr>
      <w:r>
        <w:rPr/>
        <w:t>公司无线</w:t>
      </w:r>
      <w:r>
        <w:rPr>
          <w:rFonts w:ascii="Times New Roman" w:hAnsi="Times New Roman" w:cs="Times New Roman" w:eastAsia="Times New Roman" w:hint="default"/>
        </w:rPr>
        <w:t>VPN</w:t>
      </w:r>
      <w:r>
        <w:rPr/>
        <w:t>业务适应移动行业应用需求，成功切入自助终端、快递终端、物流柜等高增长新兴业态，年度间实现在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74" w:right="1112" w:hanging="420"/>
        <w:jc w:val="left"/>
      </w:pPr>
      <w:r>
        <w:rPr/>
        <w:t>网用户站点数</w:t>
      </w:r>
      <w:r>
        <w:rPr>
          <w:rFonts w:ascii="Times New Roman" w:hAnsi="Times New Roman" w:cs="Times New Roman" w:eastAsia="Times New Roman" w:hint="default"/>
        </w:rPr>
        <w:t>100%</w:t>
      </w:r>
      <w:r>
        <w:rPr/>
        <w:t>的增长。 报告期内公司企业通信业务线的全资子公司二六三企业通信公司通过</w:t>
      </w:r>
      <w:r>
        <w:rPr>
          <w:rFonts w:ascii="Times New Roman" w:hAnsi="Times New Roman" w:cs="Times New Roman" w:eastAsia="Times New Roman" w:hint="default"/>
        </w:rPr>
        <w:t>ISO20000</w:t>
      </w:r>
      <w:r>
        <w:rPr/>
        <w:t>及</w:t>
      </w:r>
      <w:r>
        <w:rPr>
          <w:rFonts w:ascii="Times New Roman" w:hAnsi="Times New Roman" w:cs="Times New Roman" w:eastAsia="Times New Roman" w:hint="default"/>
        </w:rPr>
        <w:t>ISO27001</w:t>
      </w:r>
      <w:r>
        <w:rPr/>
        <w:t>认证，提升了公司在企业通</w:t>
      </w:r>
    </w:p>
    <w:p>
      <w:pPr>
        <w:pStyle w:val="BodyText"/>
        <w:spacing w:line="240" w:lineRule="auto" w:before="13"/>
        <w:ind w:right="1033"/>
        <w:jc w:val="left"/>
      </w:pPr>
      <w:r>
        <w:rPr/>
        <w:t>信协作领域的服务管理与安全运营能力，保障了公司向企业客户提供专业的高品质的通信协作服务。</w:t>
      </w:r>
    </w:p>
    <w:p>
      <w:pPr>
        <w:spacing w:line="240" w:lineRule="auto" w:before="0"/>
        <w:rPr>
          <w:rFonts w:ascii="宋体" w:hAnsi="宋体" w:cs="宋体" w:eastAsia="宋体" w:hint="default"/>
          <w:sz w:val="18"/>
          <w:szCs w:val="18"/>
        </w:rPr>
      </w:pPr>
    </w:p>
    <w:p>
      <w:pPr>
        <w:pStyle w:val="BodyText"/>
        <w:spacing w:line="316" w:lineRule="auto" w:before="153"/>
        <w:ind w:left="577" w:right="1033" w:hanging="4"/>
        <w:jc w:val="left"/>
      </w:pPr>
      <w:r>
        <w:rPr/>
        <w:t>报告期内公司个人通信业务。 公司面向海外华人家庭的互联网综合通信服务，持续提升用户体验、扩展品牌知名度，实现用户数量的稳定增长。公</w:t>
      </w:r>
    </w:p>
    <w:p>
      <w:pPr>
        <w:pStyle w:val="BodyText"/>
        <w:spacing w:line="304" w:lineRule="auto" w:before="19"/>
        <w:ind w:right="1131"/>
        <w:jc w:val="both"/>
      </w:pPr>
      <w:r>
        <w:rPr>
          <w:spacing w:val="-2"/>
        </w:rPr>
        <w:t>司翻新升级部分海外实体店，进一步规范店面硬件设施和服务守则等软件，建立整齐划一的线下实体店渠道，提升了用户体</w:t>
      </w:r>
      <w:r>
        <w:rPr>
          <w:spacing w:val="-65"/>
        </w:rPr>
        <w:t> </w:t>
      </w:r>
      <w:r>
        <w:rPr>
          <w:spacing w:val="-65"/>
        </w:rPr>
      </w:r>
      <w:r>
        <w:rPr/>
        <w:t>验和满意度，对于</w:t>
      </w:r>
      <w:r>
        <w:rPr>
          <w:rFonts w:ascii="Times New Roman" w:hAnsi="Times New Roman" w:cs="Times New Roman" w:eastAsia="Times New Roman" w:hint="default"/>
        </w:rPr>
        <w:t>iTalkBB</w:t>
      </w:r>
      <w:r>
        <w:rPr/>
        <w:t>品牌形象在销售终端的贯彻和管理起到积极指导作用；公司举办一系列感恩回馈用户活动，通过</w:t>
      </w:r>
      <w:r>
        <w:rPr>
          <w:spacing w:val="-77"/>
        </w:rPr>
        <w:t> </w:t>
      </w:r>
      <w:r>
        <w:rPr>
          <w:spacing w:val="-77"/>
        </w:rPr>
      </w:r>
      <w:r>
        <w:rPr/>
        <w:t>口碑效应在更广阔的海外华人用户群体中传播企业价值和理念；公司充分发掘新媒体潜力，熟练运用事件传播（如：</w:t>
      </w:r>
      <w:r>
        <w:rPr>
          <w:rFonts w:ascii="Times New Roman" w:hAnsi="Times New Roman" w:cs="Times New Roman" w:eastAsia="Times New Roman" w:hint="default"/>
        </w:rPr>
        <w:t>“</w:t>
      </w:r>
      <w:r>
        <w:rPr/>
        <w:t>打伞</w:t>
      </w:r>
      <w:r>
        <w:rPr>
          <w:spacing w:val="-76"/>
        </w:rPr>
        <w:t> </w:t>
      </w:r>
      <w:r>
        <w:rPr>
          <w:spacing w:val="-2"/>
        </w:rPr>
        <w:t>爸爸</w:t>
      </w:r>
      <w:r>
        <w:rPr>
          <w:rFonts w:ascii="Times New Roman" w:hAnsi="Times New Roman" w:cs="Times New Roman" w:eastAsia="Times New Roman" w:hint="default"/>
          <w:spacing w:val="-2"/>
        </w:rPr>
        <w:t>”</w:t>
      </w:r>
      <w:r>
        <w:rPr>
          <w:spacing w:val="-2"/>
        </w:rPr>
        <w:t>这一北美华人热点事件）、人际传播和公关等方式，扩展</w:t>
      </w:r>
      <w:r>
        <w:rPr>
          <w:rFonts w:ascii="Times New Roman" w:hAnsi="Times New Roman" w:cs="Times New Roman" w:eastAsia="Times New Roman" w:hint="default"/>
          <w:spacing w:val="-2"/>
        </w:rPr>
        <w:t>iTalkBB</w:t>
      </w:r>
      <w:r>
        <w:rPr>
          <w:spacing w:val="-2"/>
        </w:rPr>
        <w:t>品牌知名度和影响力；此外，报告期内公司海外互联</w:t>
      </w:r>
      <w:r>
        <w:rPr>
          <w:spacing w:val="-42"/>
        </w:rPr>
        <w:t> </w:t>
      </w:r>
      <w:r>
        <w:rPr>
          <w:spacing w:val="-42"/>
        </w:rPr>
      </w:r>
      <w:r>
        <w:rPr/>
        <w:t>网综合通信服务团队从产品、品牌、市场营销、门店及代理渠道、物流配送等方面积极筹备针对海外华人的</w:t>
      </w:r>
      <w:r>
        <w:rPr>
          <w:rFonts w:ascii="Times New Roman" w:hAnsi="Times New Roman" w:cs="Times New Roman" w:eastAsia="Times New Roman" w:hint="default"/>
        </w:rPr>
        <w:t>MVNO</w:t>
      </w:r>
      <w:r>
        <w:rPr/>
        <w:t>服务。</w:t>
      </w:r>
    </w:p>
    <w:p>
      <w:pPr>
        <w:pStyle w:val="BodyText"/>
        <w:spacing w:line="307" w:lineRule="auto" w:before="9"/>
        <w:ind w:right="1130" w:firstLine="423"/>
        <w:jc w:val="both"/>
      </w:pPr>
      <w:r>
        <w:rPr/>
        <w:t>公司虚拟移动通信（</w:t>
      </w:r>
      <w:r>
        <w:rPr>
          <w:rFonts w:ascii="Times New Roman" w:hAnsi="Times New Roman" w:cs="Times New Roman" w:eastAsia="Times New Roman" w:hint="default"/>
        </w:rPr>
        <w:t>MVNO</w:t>
      </w:r>
      <w:r>
        <w:rPr/>
        <w:t>）业务通过自主研发和收购香港迪讯公司，迅速建立和提升移动通信业务能力，并在报告 </w:t>
      </w:r>
      <w:r>
        <w:rPr>
          <w:spacing w:val="-2"/>
        </w:rPr>
        <w:t>期内与小米、奇酷、金立等终端手机厂商合作推出了移动漫游服务产品，为业务的快速发展打下了坚实的基础。报告期内公</w:t>
      </w:r>
      <w:r>
        <w:rPr>
          <w:spacing w:val="-66"/>
        </w:rPr>
        <w:t> </w:t>
      </w:r>
      <w:r>
        <w:rPr>
          <w:spacing w:val="-66"/>
        </w:rPr>
      </w:r>
      <w:r>
        <w:rPr/>
        <w:t>司启动了香港</w:t>
      </w:r>
      <w:r>
        <w:rPr>
          <w:rFonts w:ascii="Times New Roman" w:hAnsi="Times New Roman" w:cs="Times New Roman" w:eastAsia="Times New Roman" w:hint="default"/>
        </w:rPr>
        <w:t>MVNO</w:t>
      </w:r>
      <w:r>
        <w:rPr/>
        <w:t>核心网系统的建设，以满足跨境漫游市场业务需求和构建独立自主的海外移动通信能力；公司完成国</w:t>
      </w:r>
      <w:r>
        <w:rPr>
          <w:spacing w:val="-18"/>
        </w:rPr>
        <w:t> </w:t>
      </w:r>
      <w:r>
        <w:rPr>
          <w:spacing w:val="-18"/>
        </w:rPr>
      </w:r>
      <w:r>
        <w:rPr>
          <w:spacing w:val="-2"/>
        </w:rPr>
        <w:t>内虚商转售</w:t>
      </w:r>
      <w:r>
        <w:rPr>
          <w:rFonts w:ascii="Times New Roman" w:hAnsi="Times New Roman" w:cs="Times New Roman" w:eastAsia="Times New Roman" w:hint="default"/>
          <w:spacing w:val="-2"/>
        </w:rPr>
        <w:t>BOSS</w:t>
      </w:r>
      <w:r>
        <w:rPr>
          <w:spacing w:val="-2"/>
        </w:rPr>
        <w:t>和海外漫游</w:t>
      </w:r>
      <w:r>
        <w:rPr>
          <w:rFonts w:ascii="Times New Roman" w:hAnsi="Times New Roman" w:cs="Times New Roman" w:eastAsia="Times New Roman" w:hint="default"/>
          <w:spacing w:val="-2"/>
        </w:rPr>
        <w:t>BOSS</w:t>
      </w:r>
      <w:r>
        <w:rPr>
          <w:spacing w:val="-2"/>
        </w:rPr>
        <w:t>的开发、投产，从聚合及统筹调度资源、用户开户、客服、计费、信控、结算等方面为业</w:t>
      </w:r>
      <w:r>
        <w:rPr>
          <w:spacing w:val="-70"/>
        </w:rPr>
        <w:t> </w:t>
      </w:r>
      <w:r>
        <w:rPr>
          <w:spacing w:val="-70"/>
        </w:rPr>
      </w:r>
      <w:r>
        <w:rPr>
          <w:spacing w:val="-1"/>
        </w:rPr>
        <w:t>务发展做好平台准备；公司移动终端底层开发进展迅速，成功完成基于高通和</w:t>
      </w:r>
      <w:r>
        <w:rPr>
          <w:rFonts w:ascii="Times New Roman" w:hAnsi="Times New Roman" w:cs="Times New Roman" w:eastAsia="Times New Roman" w:hint="default"/>
          <w:spacing w:val="-1"/>
        </w:rPr>
        <w:t>MTK</w:t>
      </w:r>
      <w:r>
        <w:rPr>
          <w:spacing w:val="-1"/>
        </w:rPr>
        <w:t>手机芯片平台的</w:t>
      </w:r>
      <w:r>
        <w:rPr>
          <w:rFonts w:ascii="Times New Roman" w:hAnsi="Times New Roman" w:cs="Times New Roman" w:eastAsia="Times New Roman" w:hint="default"/>
          <w:spacing w:val="-1"/>
        </w:rPr>
        <w:t>SoftSIM</w:t>
      </w:r>
      <w:r>
        <w:rPr>
          <w:spacing w:val="-1"/>
        </w:rPr>
        <w:t>功能，并完成了</w:t>
      </w:r>
      <w:r>
        <w:rPr>
          <w:spacing w:val="-59"/>
        </w:rPr>
        <w:t> </w:t>
      </w:r>
      <w:r>
        <w:rPr>
          <w:spacing w:val="-59"/>
        </w:rPr>
      </w:r>
      <w:r>
        <w:rPr>
          <w:spacing w:val="-1"/>
        </w:rPr>
        <w:t>与核心网资源和前台</w:t>
      </w:r>
      <w:r>
        <w:rPr>
          <w:rFonts w:ascii="Times New Roman" w:hAnsi="Times New Roman" w:cs="Times New Roman" w:eastAsia="Times New Roman" w:hint="default"/>
          <w:spacing w:val="-1"/>
        </w:rPr>
        <w:t>App</w:t>
      </w:r>
      <w:r>
        <w:rPr>
          <w:spacing w:val="-1"/>
        </w:rPr>
        <w:t>客户端的功能整合，形成了可商用的产品形态和解决方案，在多家手机终端厂商的移动漫游产品上</w:t>
      </w:r>
      <w:r>
        <w:rPr>
          <w:spacing w:val="-68"/>
        </w:rPr>
        <w:t> </w:t>
      </w:r>
      <w:r>
        <w:rPr>
          <w:spacing w:val="-68"/>
        </w:rPr>
      </w:r>
      <w:r>
        <w:rPr/>
        <w:t>实现了系统验证测试和落地部署；</w:t>
      </w:r>
      <w:r>
        <w:rPr>
          <w:rFonts w:ascii="Times New Roman" w:hAnsi="Times New Roman" w:cs="Times New Roman" w:eastAsia="Times New Roman" w:hint="default"/>
        </w:rPr>
        <w:t>MVNO</w:t>
      </w:r>
      <w:r>
        <w:rPr/>
        <w:t>业务团队是由原香港迪讯公司团队和新招募员工加入而形成的全新团队，报告期</w:t>
      </w:r>
      <w:r>
        <w:rPr>
          <w:spacing w:val="-15"/>
        </w:rPr>
        <w:t> </w:t>
      </w:r>
      <w:r>
        <w:rPr>
          <w:spacing w:val="-15"/>
        </w:rPr>
      </w:r>
      <w:r>
        <w:rPr>
          <w:spacing w:val="-5"/>
        </w:rPr>
        <w:t>内该业务在管理体系建设方面做了大量工作，形成了销售、运营、产品设计、运维及研发、网络与系统齐备的完整业务体系，</w:t>
      </w:r>
      <w:r>
        <w:rPr>
          <w:spacing w:val="-79"/>
        </w:rPr>
        <w:t> </w:t>
      </w:r>
      <w:r>
        <w:rPr>
          <w:spacing w:val="-79"/>
        </w:rPr>
      </w:r>
      <w:r>
        <w:rPr>
          <w:spacing w:val="-2"/>
        </w:rPr>
        <w:t>搭建大运营服务体系，从产品设计初期的运营支撑、营帐和测试管理、结算和数据分析、客服等多个方面支撑业务，统筹前</w:t>
      </w:r>
      <w:r>
        <w:rPr>
          <w:spacing w:val="-66"/>
        </w:rPr>
        <w:t> </w:t>
      </w:r>
      <w:r>
        <w:rPr>
          <w:spacing w:val="-66"/>
        </w:rPr>
      </w:r>
      <w:r>
        <w:rPr/>
        <w:t>后台的沟通和信息传递，同时全面关注服务、质量，为业务决策提供有效信息。</w:t>
      </w:r>
    </w:p>
    <w:p>
      <w:pPr>
        <w:spacing w:line="240" w:lineRule="auto" w:before="11"/>
        <w:rPr>
          <w:rFonts w:ascii="宋体" w:hAnsi="宋体" w:cs="宋体" w:eastAsia="宋体" w:hint="default"/>
          <w:sz w:val="25"/>
          <w:szCs w:val="25"/>
        </w:rPr>
      </w:pPr>
    </w:p>
    <w:p>
      <w:pPr>
        <w:pStyle w:val="BodyText"/>
        <w:spacing w:line="300" w:lineRule="auto"/>
        <w:ind w:right="1130" w:firstLine="423"/>
        <w:jc w:val="both"/>
      </w:pPr>
      <w:r>
        <w:rPr>
          <w:spacing w:val="-2"/>
        </w:rPr>
        <w:t>报告期内公司筹划并完成了非公开发行股票，为公司开拓新业务、实现战略发展目标获得了有力的资金支持。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14</w:t>
      </w:r>
      <w:r>
        <w:rPr/>
        <w:t>日，公司董事会审议通过了非公开发行股票相关的议案；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w:t>
      </w:r>
      <w:r>
        <w:rPr>
          <w:rFonts w:ascii="Times New Roman" w:hAnsi="Times New Roman" w:cs="Times New Roman" w:eastAsia="Times New Roman" w:hint="default"/>
        </w:rPr>
        <w:t>2014</w:t>
      </w:r>
      <w:r>
        <w:rPr/>
        <w:t>年年度股东大会审议通过了与本次</w:t>
      </w:r>
      <w:r>
        <w:rPr>
          <w:spacing w:val="-82"/>
        </w:rPr>
        <w:t> </w:t>
      </w:r>
      <w:r>
        <w:rPr>
          <w:spacing w:val="-82"/>
        </w:rPr>
      </w:r>
      <w:r>
        <w:rPr>
          <w:spacing w:val="-2"/>
        </w:rPr>
        <w:t>非公开发行相关的议案；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日，公司收到中国证券监督管理委员会的核准批复；截至报告期末公司募集资金净额</w:t>
      </w:r>
      <w:r>
        <w:rPr>
          <w:spacing w:val="-58"/>
        </w:rPr>
        <w:t> </w:t>
      </w:r>
      <w:r>
        <w:rPr>
          <w:spacing w:val="-58"/>
        </w:rPr>
      </w:r>
      <w:r>
        <w:rPr>
          <w:rFonts w:ascii="Times New Roman" w:hAnsi="Times New Roman" w:cs="Times New Roman" w:eastAsia="Times New Roman" w:hint="default"/>
        </w:rPr>
        <w:t>765,233,120.26</w:t>
      </w:r>
      <w:r>
        <w:rPr/>
        <w:t>元悉数到帐。目前，此次非公开发行股票的募投项目正在有条不紊地推进。</w:t>
      </w:r>
    </w:p>
    <w:p>
      <w:pPr>
        <w:spacing w:line="240" w:lineRule="auto" w:before="11"/>
        <w:rPr>
          <w:rFonts w:ascii="宋体" w:hAnsi="宋体" w:cs="宋体" w:eastAsia="宋体" w:hint="default"/>
          <w:sz w:val="24"/>
          <w:szCs w:val="24"/>
        </w:rPr>
      </w:pPr>
    </w:p>
    <w:p>
      <w:pPr>
        <w:pStyle w:val="BodyText"/>
        <w:spacing w:line="309" w:lineRule="auto"/>
        <w:ind w:right="1132" w:firstLine="423"/>
        <w:jc w:val="both"/>
      </w:pPr>
      <w:r>
        <w:rPr>
          <w:spacing w:val="-3"/>
        </w:rPr>
        <w:t>报告期内公司实施新的股权激励计划，进一步增强了公司凝聚力、推动了公司战略目标的实现。基于公司开拓新业务、</w:t>
      </w:r>
      <w:r>
        <w:rPr/>
        <w:t> </w:t>
      </w:r>
      <w:r>
        <w:rPr>
          <w:spacing w:val="-2"/>
        </w:rPr>
        <w:t>收购香港迪讯公司、新员工加盟等情况，公司于报告期内择机推出并实施了</w:t>
      </w:r>
      <w:r>
        <w:rPr>
          <w:rFonts w:ascii="Times New Roman" w:hAnsi="Times New Roman" w:cs="Times New Roman" w:eastAsia="Times New Roman" w:hint="default"/>
          <w:spacing w:val="-2"/>
        </w:rPr>
        <w:t>2015</w:t>
      </w:r>
      <w:r>
        <w:rPr>
          <w:spacing w:val="-2"/>
        </w:rPr>
        <w:t>年限制性股票激励计划，这是公司上市后的</w:t>
      </w:r>
      <w:r>
        <w:rPr>
          <w:spacing w:val="-62"/>
        </w:rPr>
        <w:t> </w:t>
      </w:r>
      <w:r>
        <w:rPr>
          <w:spacing w:val="-62"/>
        </w:rPr>
      </w:r>
      <w:r>
        <w:rPr/>
        <w:t>第二个股权激励计划，共向</w:t>
      </w:r>
      <w:r>
        <w:rPr>
          <w:rFonts w:ascii="Times New Roman" w:hAnsi="Times New Roman" w:cs="Times New Roman" w:eastAsia="Times New Roman" w:hint="default"/>
        </w:rPr>
        <w:t>203</w:t>
      </w:r>
      <w:r>
        <w:rPr/>
        <w:t>名公司管理层和核心业务技术人员授予</w:t>
      </w:r>
      <w:r>
        <w:rPr>
          <w:rFonts w:ascii="Times New Roman" w:hAnsi="Times New Roman" w:cs="Times New Roman" w:eastAsia="Times New Roman" w:hint="default"/>
        </w:rPr>
        <w:t>1,342.7</w:t>
      </w:r>
      <w:r>
        <w:rPr/>
        <w:t>万股限制性股票。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3"/>
        <w:spacing w:line="240" w:lineRule="auto"/>
        <w:ind w:right="1033"/>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left="153" w:right="10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716,361,757.32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745,412,766.48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716,361,757.32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745,412,766.48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255,019,956.42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241,172,410.07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409,093,572.14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57.11%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415,034,788.10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55.68%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52,248,228.76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89,205,568.31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331,513,619.22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330,343,876.05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384,848,138.10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415,068,890.43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55.68%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716,361,757.32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265,134,627.87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255,019,956.42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97,767,827.45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409,093,572.14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152,919,824.10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331,513,619.22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122,368,247.51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384,848,138.10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142,766,380.36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95" w:space="12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716,361,757.32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265,134,627.87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62.99%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-3.97%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99,892,610.24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48,082,176.82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187,538,769.53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51,961,297.89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海外互联网综合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384,848,138.10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142,766,380.36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24,951,692.00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10,364,114.01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19,130,547.45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11,960,658.79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331,513,619.22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122,368,247.51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384,848,138.10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142,766,380.36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bl>
    <w:p>
      <w:pPr>
        <w:pStyle w:val="BodyText"/>
        <w:spacing w:line="357" w:lineRule="auto" w:before="51"/>
        <w:ind w:left="371" w:right="1165" w:hanging="218"/>
        <w:jc w:val="left"/>
      </w:pPr>
      <w:r>
        <w:rPr/>
        <w:t>变更口径的理由 公司发展战略进一步明晰，随着广州移动公司的成立以及针对个人客户</w:t>
      </w:r>
      <w:r>
        <w:rPr>
          <w:rFonts w:ascii="Times New Roman" w:hAnsi="Times New Roman" w:cs="Times New Roman" w:eastAsia="Times New Roman" w:hint="default"/>
        </w:rPr>
        <w:t>MVNO</w:t>
      </w:r>
      <w:r>
        <w:rPr/>
        <w:t>（虚拟移动通信）业务推出，使公司形成</w:t>
      </w:r>
    </w:p>
    <w:p>
      <w:pPr>
        <w:pStyle w:val="BodyText"/>
        <w:spacing w:line="201" w:lineRule="exact"/>
        <w:ind w:left="154" w:right="1033"/>
        <w:jc w:val="left"/>
      </w:pPr>
      <w:r>
        <w:rPr/>
        <w:t>了四个全资业务子公司、两条业务线（企业通信、个人通信）的业务格局。故重新规划了主营业务数据的统计口径。</w:t>
      </w:r>
    </w:p>
    <w:p>
      <w:pPr>
        <w:spacing w:line="240" w:lineRule="auto" w:before="12"/>
        <w:rPr>
          <w:rFonts w:ascii="宋体" w:hAnsi="宋体" w:cs="宋体" w:eastAsia="宋体" w:hint="default"/>
          <w:sz w:val="26"/>
          <w:szCs w:val="26"/>
        </w:rPr>
      </w:pPr>
    </w:p>
    <w:p>
      <w:pPr>
        <w:pStyle w:val="Heading4"/>
        <w:spacing w:line="240" w:lineRule="auto"/>
        <w:ind w:left="153" w:right="10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33"/>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265,134,627.87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276,107,169.08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-3.97%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97,767,827.45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90,456,189.62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152,919,824.10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142,498,817.86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14,446,976.32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43,152,161.60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-66.52%</w:t>
            </w:r>
          </w:p>
        </w:tc>
      </w:tr>
    </w:tbl>
    <w:p>
      <w:pPr>
        <w:pStyle w:val="BodyText"/>
        <w:spacing w:line="240" w:lineRule="auto" w:before="51"/>
        <w:ind w:left="154" w:right="1033"/>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290"/>
        <w:jc w:val="left"/>
      </w:pPr>
      <w:r>
        <w:rPr>
          <w:rFonts w:ascii="Times New Roman" w:hAnsi="Times New Roman" w:cs="Times New Roman" w:eastAsia="Times New Roman" w:hint="default"/>
          <w:color w:val="0D0D0D"/>
          <w:spacing w:val="-1"/>
        </w:rPr>
        <w:t>2015</w:t>
      </w:r>
      <w:r>
        <w:rPr>
          <w:color w:val="0D0D0D"/>
          <w:spacing w:val="-1"/>
        </w:rPr>
        <w:t>年度，本公司为了发展移动通信业务设立了广州二六三移动通信有限公司及二六三移动通信（香港）有限公司，并</w:t>
      </w:r>
      <w:r>
        <w:rPr>
          <w:color w:val="0D0D0D"/>
        </w:rPr>
        <w:t> </w:t>
      </w:r>
      <w:r>
        <w:rPr>
          <w:color w:val="0D0D0D"/>
          <w:spacing w:val="-2"/>
        </w:rPr>
        <w:t>通过二六三移动通信（香港）有限公司以非同一控制下的企业合并的方式收购了迪讯（香港）有限公司及其子公司前海迪迅</w:t>
      </w:r>
      <w:r>
        <w:rPr>
          <w:spacing w:val="-2"/>
        </w:rPr>
      </w:r>
    </w:p>
    <w:p>
      <w:pPr>
        <w:pStyle w:val="BodyText"/>
        <w:spacing w:line="300" w:lineRule="auto" w:before="31"/>
        <w:ind w:right="1129"/>
        <w:jc w:val="left"/>
      </w:pPr>
      <w:r>
        <w:rPr>
          <w:color w:val="0D0D0D"/>
          <w:spacing w:val="-5"/>
        </w:rPr>
        <w:t>（深圳）有限公司。另本公司之孙公司</w:t>
      </w:r>
      <w:r>
        <w:rPr>
          <w:rFonts w:ascii="Times New Roman" w:hAnsi="Times New Roman" w:cs="Times New Roman" w:eastAsia="Times New Roman" w:hint="default"/>
          <w:color w:val="0D0D0D"/>
          <w:spacing w:val="-5"/>
        </w:rPr>
        <w:t>iTalk </w:t>
      </w:r>
      <w:r>
        <w:rPr>
          <w:rFonts w:ascii="Times New Roman" w:hAnsi="Times New Roman" w:cs="Times New Roman" w:eastAsia="Times New Roman" w:hint="default"/>
          <w:color w:val="0D0D0D"/>
        </w:rPr>
        <w:t>Global Communications Inc.</w:t>
      </w:r>
      <w:r>
        <w:rPr>
          <w:color w:val="0D0D0D"/>
        </w:rPr>
        <w:t>通过收购</w:t>
      </w:r>
      <w:r>
        <w:rPr>
          <w:rFonts w:ascii="Times New Roman" w:hAnsi="Times New Roman" w:cs="Times New Roman" w:eastAsia="Times New Roman" w:hint="default"/>
          <w:color w:val="0D0D0D"/>
        </w:rPr>
        <w:t>Freedom Enterprise,</w:t>
      </w:r>
      <w:r>
        <w:rPr>
          <w:rFonts w:ascii="Times New Roman" w:hAnsi="Times New Roman" w:cs="Times New Roman" w:eastAsia="Times New Roman" w:hint="default"/>
          <w:color w:val="0D0D0D"/>
          <w:spacing w:val="5"/>
        </w:rPr>
        <w:t> </w:t>
      </w:r>
      <w:r>
        <w:rPr>
          <w:rFonts w:ascii="Times New Roman" w:hAnsi="Times New Roman" w:cs="Times New Roman" w:eastAsia="Times New Roman" w:hint="default"/>
          <w:color w:val="0D0D0D"/>
        </w:rPr>
        <w:t>L.L.C100%</w:t>
      </w:r>
      <w:r>
        <w:rPr>
          <w:color w:val="0D0D0D"/>
        </w:rPr>
        <w:t>股权的方式， 收购了美国弗吉尼亚州维吉尼亚州斯普林菲尔德皇家港口路</w:t>
      </w:r>
      <w:r>
        <w:rPr>
          <w:rFonts w:ascii="Times New Roman" w:hAnsi="Times New Roman" w:cs="Times New Roman" w:eastAsia="Times New Roman" w:hint="default"/>
          <w:color w:val="0D0D0D"/>
        </w:rPr>
        <w:t>5401</w:t>
      </w:r>
      <w:r>
        <w:rPr>
          <w:color w:val="0D0D0D"/>
        </w:rPr>
        <w:t>号房产及土地（</w:t>
      </w:r>
      <w:r>
        <w:rPr>
          <w:rFonts w:ascii="Times New Roman" w:hAnsi="Times New Roman" w:cs="Times New Roman" w:eastAsia="Times New Roman" w:hint="default"/>
          <w:color w:val="0D0D0D"/>
        </w:rPr>
        <w:t>5401 Port Royal</w:t>
      </w:r>
      <w:r>
        <w:rPr>
          <w:rFonts w:ascii="Times New Roman" w:hAnsi="Times New Roman" w:cs="Times New Roman" w:eastAsia="Times New Roman" w:hint="default"/>
          <w:color w:val="0D0D0D"/>
          <w:spacing w:val="-3"/>
        </w:rPr>
        <w:t> </w:t>
      </w:r>
      <w:r>
        <w:rPr>
          <w:rFonts w:ascii="Times New Roman" w:hAnsi="Times New Roman" w:cs="Times New Roman" w:eastAsia="Times New Roman" w:hint="default"/>
          <w:color w:val="0D0D0D"/>
        </w:rPr>
        <w:t>Road</w:t>
      </w:r>
      <w:r>
        <w:rPr>
          <w:color w:val="0D0D0D"/>
        </w:rPr>
        <w:t>，</w:t>
      </w:r>
      <w:r>
        <w:rPr>
          <w:rFonts w:ascii="Times New Roman" w:hAnsi="Times New Roman" w:cs="Times New Roman" w:eastAsia="Times New Roman" w:hint="default"/>
          <w:color w:val="0D0D0D"/>
        </w:rPr>
        <w:t>Springfield,Virginia 22151</w:t>
      </w:r>
      <w:r>
        <w:rPr>
          <w:color w:val="0D0D0D"/>
        </w:rPr>
        <w:t>）用于对外出租经营。</w:t>
      </w:r>
      <w:r>
        <w:rPr/>
      </w:r>
    </w:p>
    <w:p>
      <w:pPr>
        <w:spacing w:line="240" w:lineRule="auto" w:before="1"/>
        <w:rPr>
          <w:rFonts w:ascii="宋体" w:hAnsi="宋体" w:cs="宋体" w:eastAsia="宋体" w:hint="default"/>
          <w:sz w:val="22"/>
          <w:szCs w:val="22"/>
        </w:rPr>
      </w:pPr>
    </w:p>
    <w:p>
      <w:pPr>
        <w:pStyle w:val="Heading4"/>
        <w:spacing w:line="240" w:lineRule="auto"/>
        <w:ind w:right="10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52,119,973.42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34,098,024.64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4,822,271.88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4,601,212.40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4,415,094.36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4,183,370.14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52,119,973.42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w:t>
            </w:r>
          </w:p>
        </w:tc>
      </w:tr>
    </w:tbl>
    <w:p>
      <w:pPr>
        <w:pStyle w:val="BodyText"/>
        <w:spacing w:line="240" w:lineRule="auto" w:before="51"/>
        <w:ind w:left="154" w:right="1033"/>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49,009,505.61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27.19%</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15,599,216.91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12,237,596.71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7,444,253.04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7,086,723.01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6,641,715.94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49,009,505.61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27.19%</w:t>
            </w:r>
          </w:p>
        </w:tc>
      </w:tr>
    </w:tbl>
    <w:p>
      <w:pPr>
        <w:pStyle w:val="BodyText"/>
        <w:spacing w:line="240" w:lineRule="auto" w:before="51"/>
        <w:ind w:left="154" w:right="1033"/>
        <w:jc w:val="left"/>
      </w:pPr>
      <w:r>
        <w:rPr/>
        <w:t>主要供应商其他情况说明</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67" w:right="0"/>
              <w:jc w:val="left"/>
              <w:rPr>
                <w:rFonts w:ascii="Times New Roman" w:hAnsi="Times New Roman" w:cs="Times New Roman" w:eastAsia="Times New Roman" w:hint="default"/>
                <w:sz w:val="18"/>
                <w:szCs w:val="18"/>
              </w:rPr>
            </w:pPr>
            <w:r>
              <w:rPr>
                <w:rFonts w:ascii="Times New Roman"/>
                <w:sz w:val="18"/>
              </w:rPr>
              <w:t>136,407,227.66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132,502,592.65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67" w:right="0"/>
              <w:jc w:val="left"/>
              <w:rPr>
                <w:rFonts w:ascii="Times New Roman" w:hAnsi="Times New Roman" w:cs="Times New Roman" w:eastAsia="Times New Roman" w:hint="default"/>
                <w:sz w:val="18"/>
                <w:szCs w:val="18"/>
              </w:rPr>
            </w:pPr>
            <w:r>
              <w:rPr>
                <w:rFonts w:ascii="Times New Roman"/>
                <w:sz w:val="18"/>
              </w:rPr>
              <w:t>213,872,389.54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185,911,579.77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研发投入加大</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-2,900,348.64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-10,683,981.81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-72.85%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本年较上年减少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72.85%</w:t>
            </w:r>
            <w:r>
              <w:rPr>
                <w:rFonts w:ascii="宋体" w:hAnsi="宋体" w:cs="宋体" w:eastAsia="宋体" w:hint="default"/>
                <w:sz w:val="18"/>
                <w:szCs w:val="18"/>
              </w:rPr>
              <w:t>主要系本公 司减少了定期存款增加了银行理财 产品投资</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31" w:firstLine="506"/>
        <w:jc w:val="both"/>
      </w:pPr>
      <w:r>
        <w:rPr>
          <w:spacing w:val="-1"/>
        </w:rPr>
        <w:t>本公司注重技术研发、不断积累提升通信业务技术能力。报告期内公司结合业务发展目标，移动通信业务方面在移动</w:t>
      </w:r>
      <w:r>
        <w:rPr/>
        <w:t> </w:t>
      </w:r>
      <w:r>
        <w:rPr>
          <w:spacing w:val="-2"/>
        </w:rPr>
        <w:t>终端底层开发、核心网、</w:t>
      </w:r>
      <w:r>
        <w:rPr>
          <w:rFonts w:ascii="Times New Roman" w:hAnsi="Times New Roman" w:cs="Times New Roman" w:eastAsia="Times New Roman" w:hint="default"/>
          <w:spacing w:val="-2"/>
        </w:rPr>
        <w:t>BOSS</w:t>
      </w:r>
      <w:r>
        <w:rPr>
          <w:spacing w:val="-2"/>
        </w:rPr>
        <w:t>等方面加大研发投入，在企业通信方面加大了大企业集成通信和</w:t>
      </w:r>
      <w:r>
        <w:rPr>
          <w:rFonts w:ascii="Times New Roman" w:hAnsi="Times New Roman" w:cs="Times New Roman" w:eastAsia="Times New Roman" w:hint="default"/>
          <w:spacing w:val="-2"/>
        </w:rPr>
        <w:t>263</w:t>
      </w:r>
      <w:r>
        <w:rPr>
          <w:spacing w:val="-2"/>
        </w:rPr>
        <w:t>云通信的研发投入，增加</w:t>
      </w:r>
      <w:r>
        <w:rPr>
          <w:spacing w:val="-63"/>
        </w:rPr>
        <w:t> </w:t>
      </w:r>
      <w:r>
        <w:rPr>
          <w:spacing w:val="-63"/>
        </w:rPr>
      </w:r>
      <w:r>
        <w:rPr/>
        <w:t>产品服务功能、提升产品易用性和稳定性、降低系统运营成本。报告期内公司新获多项软件著作权和专利知识产权。</w:t>
      </w:r>
    </w:p>
    <w:p>
      <w:pPr>
        <w:pStyle w:val="BodyText"/>
        <w:spacing w:line="240" w:lineRule="auto" w:before="65"/>
        <w:ind w:right="1033"/>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101,762,357.75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91,225,993.42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9,408,627.36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10,730,923.64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r>
    </w:tbl>
    <w:p>
      <w:pPr>
        <w:pStyle w:val="BodyText"/>
        <w:spacing w:line="240" w:lineRule="auto" w:before="51"/>
        <w:ind w:left="154" w:right="103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40" w:lineRule="auto" w:before="42"/>
        <w:ind w:right="9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近两年专利数情况</w:t>
      </w:r>
    </w:p>
    <w:p>
      <w:pPr>
        <w:pStyle w:val="BodyText"/>
        <w:spacing w:line="240" w:lineRule="auto" w:before="4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没有变动</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775,309,403.78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802,981,622.53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645,814,763.56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602,114,963.61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129,494,640.22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200,866,658.92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43,606,117.59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228,276,306.39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498,206,245.06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125,352,465.43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297.44%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-454,600,127.47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102,923,840.96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-541.69%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864,600,238.40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13,797,630.00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6,166.30%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90,882,441.75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96,942,400.00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773,717,796.65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-83,144,770.00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-1,030.57%</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450,793,317.23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218,220,778.92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106.58%</w:t>
            </w:r>
          </w:p>
        </w:tc>
      </w:tr>
    </w:tbl>
    <w:p>
      <w:pPr>
        <w:pStyle w:val="BodyText"/>
        <w:spacing w:line="240" w:lineRule="auto" w:before="51"/>
        <w:ind w:left="154" w:right="1033"/>
        <w:jc w:val="left"/>
      </w:pPr>
      <w:r>
        <w:rPr/>
        <w:t>相关数据同比发生重大变动的主要影响因素说明</w:t>
      </w:r>
    </w:p>
    <w:p>
      <w:pPr>
        <w:pStyle w:val="BodyText"/>
        <w:spacing w:line="240" w:lineRule="auto" w:before="116"/>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033"/>
        <w:jc w:val="left"/>
      </w:pPr>
      <w:r>
        <w:rPr>
          <w:rFonts w:ascii="Times New Roman" w:hAnsi="Times New Roman" w:cs="Times New Roman" w:eastAsia="Times New Roman" w:hint="default"/>
        </w:rPr>
        <w:t>1)</w:t>
      </w:r>
      <w:r>
        <w:rPr/>
        <w:t>、经营活动产生的现金流量净额减少主要原因为：</w:t>
      </w:r>
    </w:p>
    <w:p>
      <w:pPr>
        <w:pStyle w:val="BodyText"/>
        <w:spacing w:line="240" w:lineRule="auto" w:before="63"/>
        <w:ind w:left="154" w:right="1033"/>
        <w:jc w:val="left"/>
      </w:pPr>
      <w:r>
        <w:rPr/>
        <w:t>（</w:t>
      </w:r>
      <w:r>
        <w:rPr>
          <w:rFonts w:ascii="Times New Roman" w:hAnsi="Times New Roman" w:cs="Times New Roman" w:eastAsia="Times New Roman" w:hint="default"/>
        </w:rPr>
        <w:t>1</w:t>
      </w:r>
      <w:r>
        <w:rPr/>
        <w:t>）本公司移动通信新业务处于发展初期净现金流为负；</w:t>
      </w:r>
    </w:p>
    <w:p>
      <w:pPr>
        <w:pStyle w:val="BodyText"/>
        <w:spacing w:line="240" w:lineRule="auto" w:before="63"/>
        <w:ind w:left="154" w:right="1033"/>
        <w:jc w:val="left"/>
      </w:pPr>
      <w:r>
        <w:rPr/>
        <w:t>（</w:t>
      </w:r>
      <w:r>
        <w:rPr>
          <w:rFonts w:ascii="Times New Roman" w:hAnsi="Times New Roman" w:cs="Times New Roman" w:eastAsia="Times New Roman" w:hint="default"/>
        </w:rPr>
        <w:t>2</w:t>
      </w:r>
      <w:r>
        <w:rPr/>
        <w:t>）加拿大元对美元贬值幅度明显高于人民币对美元贬值幅度导致海外</w:t>
      </w:r>
      <w:r>
        <w:rPr>
          <w:rFonts w:ascii="Times New Roman" w:hAnsi="Times New Roman" w:cs="Times New Roman" w:eastAsia="Times New Roman" w:hint="default"/>
        </w:rPr>
        <w:t>VoIP</w:t>
      </w:r>
      <w:r>
        <w:rPr/>
        <w:t>服务业务现金流下降。</w:t>
      </w:r>
    </w:p>
    <w:p>
      <w:pPr>
        <w:pStyle w:val="BodyText"/>
        <w:spacing w:line="240" w:lineRule="auto" w:before="63"/>
        <w:ind w:right="1033"/>
        <w:jc w:val="left"/>
      </w:pPr>
      <w:r>
        <w:rPr>
          <w:rFonts w:ascii="Times New Roman" w:hAnsi="Times New Roman" w:cs="Times New Roman" w:eastAsia="Times New Roman" w:hint="default"/>
        </w:rPr>
        <w:t>2)</w:t>
      </w:r>
      <w:r>
        <w:rPr/>
        <w:t>、投资活动产生的现金流量净额减少主要原因为：</w:t>
      </w:r>
    </w:p>
    <w:p>
      <w:pPr>
        <w:pStyle w:val="BodyText"/>
        <w:spacing w:line="240" w:lineRule="auto" w:before="63"/>
        <w:ind w:left="154" w:right="1033"/>
        <w:jc w:val="left"/>
      </w:pPr>
      <w:r>
        <w:rPr/>
        <w:t>（</w:t>
      </w:r>
      <w:r>
        <w:rPr>
          <w:rFonts w:ascii="Times New Roman" w:hAnsi="Times New Roman" w:cs="Times New Roman" w:eastAsia="Times New Roman" w:hint="default"/>
        </w:rPr>
        <w:t>1</w:t>
      </w:r>
      <w:r>
        <w:rPr/>
        <w:t>）香港移动公司收购香港迪讯所支付现金折合人民币</w:t>
      </w:r>
      <w:r>
        <w:rPr>
          <w:rFonts w:ascii="Times New Roman" w:hAnsi="Times New Roman" w:cs="Times New Roman" w:eastAsia="Times New Roman" w:hint="default"/>
        </w:rPr>
        <w:t>9,839.47</w:t>
      </w:r>
      <w:r>
        <w:rPr/>
        <w:t>万；</w:t>
      </w:r>
    </w:p>
    <w:p>
      <w:pPr>
        <w:pStyle w:val="BodyText"/>
        <w:spacing w:line="240" w:lineRule="auto" w:before="63"/>
        <w:ind w:right="1033"/>
        <w:jc w:val="left"/>
      </w:pPr>
      <w:r>
        <w:rPr/>
        <w:t>（</w:t>
      </w:r>
      <w:r>
        <w:rPr>
          <w:rFonts w:ascii="Times New Roman" w:hAnsi="Times New Roman" w:cs="Times New Roman" w:eastAsia="Times New Roman" w:hint="default"/>
        </w:rPr>
        <w:t>2</w:t>
      </w:r>
      <w:r>
        <w:rPr/>
        <w:t>）本公司支付原收购的首都在线网络技术有限公司的尾款</w:t>
      </w:r>
      <w:r>
        <w:rPr>
          <w:rFonts w:ascii="Times New Roman" w:hAnsi="Times New Roman" w:cs="Times New Roman" w:eastAsia="Times New Roman" w:hint="default"/>
        </w:rPr>
        <w:t>2,592.76</w:t>
      </w:r>
      <w:r>
        <w:rPr/>
        <w:t>万元；</w:t>
      </w:r>
    </w:p>
    <w:p>
      <w:pPr>
        <w:pStyle w:val="BodyText"/>
        <w:spacing w:line="240" w:lineRule="auto" w:before="63"/>
        <w:ind w:right="1033"/>
        <w:jc w:val="left"/>
      </w:pPr>
      <w:r>
        <w:rPr/>
        <w:t>（</w:t>
      </w:r>
      <w:r>
        <w:rPr>
          <w:rFonts w:ascii="Times New Roman" w:hAnsi="Times New Roman" w:cs="Times New Roman" w:eastAsia="Times New Roman" w:hint="default"/>
        </w:rPr>
        <w:t>3</w:t>
      </w:r>
      <w:r>
        <w:rPr/>
        <w:t>）企业通信收购展动科技（北京）有限公司</w:t>
      </w:r>
      <w:r>
        <w:rPr>
          <w:rFonts w:ascii="Times New Roman" w:hAnsi="Times New Roman" w:cs="Times New Roman" w:eastAsia="Times New Roman" w:hint="default"/>
        </w:rPr>
        <w:t>70%</w:t>
      </w:r>
      <w:r>
        <w:rPr/>
        <w:t>股权预付款</w:t>
      </w:r>
      <w:r>
        <w:rPr>
          <w:rFonts w:ascii="Times New Roman" w:hAnsi="Times New Roman" w:cs="Times New Roman" w:eastAsia="Times New Roman" w:hint="default"/>
        </w:rPr>
        <w:t>3,541.82</w:t>
      </w:r>
      <w:r>
        <w:rPr/>
        <w:t>万；</w:t>
      </w:r>
    </w:p>
    <w:p>
      <w:pPr>
        <w:pStyle w:val="BodyText"/>
        <w:spacing w:line="240" w:lineRule="auto" w:before="63"/>
        <w:ind w:right="1033"/>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iTalk Global</w:t>
      </w:r>
      <w:r>
        <w:rPr/>
        <w:t>公司收购</w:t>
      </w:r>
      <w:r>
        <w:rPr>
          <w:rFonts w:ascii="Times New Roman" w:hAnsi="Times New Roman" w:cs="Times New Roman" w:eastAsia="Times New Roman" w:hint="default"/>
        </w:rPr>
        <w:t>Freedom Enterprise,</w:t>
      </w:r>
      <w:r>
        <w:rPr>
          <w:rFonts w:ascii="Times New Roman" w:hAnsi="Times New Roman" w:cs="Times New Roman" w:eastAsia="Times New Roman" w:hint="default"/>
          <w:spacing w:val="-13"/>
        </w:rPr>
        <w:t> </w:t>
      </w:r>
      <w:r>
        <w:rPr>
          <w:rFonts w:ascii="Times New Roman" w:hAnsi="Times New Roman" w:cs="Times New Roman" w:eastAsia="Times New Roman" w:hint="default"/>
        </w:rPr>
        <w:t>L.L.C</w:t>
      </w:r>
      <w:r>
        <w:rPr/>
        <w:t>公司支付现金折合人民币</w:t>
      </w:r>
      <w:r>
        <w:rPr>
          <w:rFonts w:ascii="Times New Roman" w:hAnsi="Times New Roman" w:cs="Times New Roman" w:eastAsia="Times New Roman" w:hint="default"/>
        </w:rPr>
        <w:t>3,777.61</w:t>
      </w:r>
      <w:r>
        <w:rPr/>
        <w:t>万元；</w:t>
      </w:r>
    </w:p>
    <w:p>
      <w:pPr>
        <w:pStyle w:val="BodyText"/>
        <w:spacing w:line="240" w:lineRule="auto" w:before="63"/>
        <w:ind w:right="1033"/>
        <w:jc w:val="left"/>
      </w:pPr>
      <w:r>
        <w:rPr/>
        <w:t>（</w:t>
      </w:r>
      <w:r>
        <w:rPr>
          <w:rFonts w:ascii="Times New Roman" w:hAnsi="Times New Roman" w:cs="Times New Roman" w:eastAsia="Times New Roman" w:hint="default"/>
        </w:rPr>
        <w:t>5</w:t>
      </w:r>
      <w:r>
        <w:rPr/>
        <w:t>）本公司支付慧友云商、致远协创、</w:t>
      </w:r>
      <w:r>
        <w:rPr>
          <w:rFonts w:ascii="Times New Roman" w:hAnsi="Times New Roman" w:cs="Times New Roman" w:eastAsia="Times New Roman" w:hint="default"/>
        </w:rPr>
        <w:t>GlobeTouch</w:t>
      </w:r>
      <w:r>
        <w:rPr/>
        <w:t>投资款折合人民币合计</w:t>
      </w:r>
      <w:r>
        <w:rPr>
          <w:rFonts w:ascii="Times New Roman" w:hAnsi="Times New Roman" w:cs="Times New Roman" w:eastAsia="Times New Roman" w:hint="default"/>
        </w:rPr>
        <w:t>5,400.58</w:t>
      </w:r>
      <w:r>
        <w:rPr/>
        <w:t>万元。</w:t>
      </w:r>
    </w:p>
    <w:p>
      <w:pPr>
        <w:pStyle w:val="BodyText"/>
        <w:spacing w:line="240" w:lineRule="auto" w:before="63"/>
        <w:ind w:right="1033"/>
        <w:jc w:val="left"/>
      </w:pPr>
      <w:r>
        <w:rPr>
          <w:rFonts w:ascii="Times New Roman" w:hAnsi="Times New Roman" w:cs="Times New Roman" w:eastAsia="Times New Roman" w:hint="default"/>
        </w:rPr>
        <w:t>3)</w:t>
      </w:r>
      <w:r>
        <w:rPr/>
        <w:t>、筹资活动产生的现金流量净额增加主要原因为：</w:t>
      </w:r>
    </w:p>
    <w:p>
      <w:pPr>
        <w:pStyle w:val="BodyText"/>
        <w:spacing w:line="240" w:lineRule="auto" w:before="63"/>
        <w:ind w:left="154" w:right="1033"/>
        <w:jc w:val="left"/>
      </w:pPr>
      <w:r>
        <w:rPr/>
        <w:t>（</w:t>
      </w:r>
      <w:r>
        <w:rPr>
          <w:rFonts w:ascii="Times New Roman" w:hAnsi="Times New Roman" w:cs="Times New Roman" w:eastAsia="Times New Roman" w:hint="default"/>
        </w:rPr>
        <w:t>1</w:t>
      </w:r>
      <w:r>
        <w:rPr/>
        <w:t>）本公司发行购限制性股票净收款</w:t>
      </w:r>
      <w:r>
        <w:rPr>
          <w:rFonts w:ascii="Times New Roman" w:hAnsi="Times New Roman" w:cs="Times New Roman" w:eastAsia="Times New Roman" w:hint="default"/>
        </w:rPr>
        <w:t>9,560.02</w:t>
      </w:r>
      <w:r>
        <w:rPr/>
        <w:t>万元；</w:t>
      </w:r>
    </w:p>
    <w:p>
      <w:pPr>
        <w:pStyle w:val="BodyText"/>
        <w:spacing w:line="340" w:lineRule="auto" w:before="63"/>
        <w:ind w:left="154" w:right="4272"/>
        <w:jc w:val="left"/>
      </w:pPr>
      <w:r>
        <w:rPr/>
        <w:t>（</w:t>
      </w:r>
      <w:r>
        <w:rPr>
          <w:rFonts w:ascii="Times New Roman" w:hAnsi="Times New Roman" w:cs="Times New Roman" w:eastAsia="Times New Roman" w:hint="default"/>
        </w:rPr>
        <w:t>2</w:t>
      </w:r>
      <w:r>
        <w:rPr/>
        <w:t>）本公司非公开定向增发融资</w:t>
      </w:r>
      <w:r>
        <w:rPr>
          <w:rFonts w:ascii="Times New Roman" w:hAnsi="Times New Roman" w:cs="Times New Roman" w:eastAsia="Times New Roman" w:hint="default"/>
        </w:rPr>
        <w:t>76,523.31</w:t>
      </w:r>
      <w:r>
        <w:rPr/>
        <w:t>万元。 报告期内公司经营活动产生的现金净流量与本年度净利润存在重大差异的原因说明</w:t>
      </w:r>
    </w:p>
    <w:p>
      <w:pPr>
        <w:pStyle w:val="BodyText"/>
        <w:spacing w:line="319" w:lineRule="auto" w:before="4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报告期内本公司实现净利润</w:t>
      </w:r>
      <w:r>
        <w:rPr>
          <w:rFonts w:ascii="Times New Roman" w:hAnsi="Times New Roman" w:cs="Times New Roman" w:eastAsia="Times New Roman" w:hint="default"/>
        </w:rPr>
        <w:t>5,891.85</w:t>
      </w:r>
      <w:r>
        <w:rPr/>
        <w:t>万元，经营性活动产生的现金流量净额为</w:t>
      </w:r>
      <w:r>
        <w:rPr>
          <w:rFonts w:ascii="Times New Roman" w:hAnsi="Times New Roman" w:cs="Times New Roman" w:eastAsia="Times New Roman" w:hint="default"/>
        </w:rPr>
        <w:t>12,949.46</w:t>
      </w:r>
      <w:r>
        <w:rPr/>
        <w:t>万元。差异产生的主要原因为：计提 资产减值准备</w:t>
      </w:r>
      <w:r>
        <w:rPr>
          <w:rFonts w:ascii="Times New Roman" w:hAnsi="Times New Roman" w:cs="Times New Roman" w:eastAsia="Times New Roman" w:hint="default"/>
        </w:rPr>
        <w:t>3,193.20</w:t>
      </w:r>
      <w:r>
        <w:rPr/>
        <w:t>万元、固定资产折旧及无形资产摊销合计</w:t>
      </w:r>
      <w:r>
        <w:rPr>
          <w:rFonts w:ascii="Times New Roman" w:hAnsi="Times New Roman" w:cs="Times New Roman" w:eastAsia="Times New Roman" w:hint="default"/>
        </w:rPr>
        <w:t>2,911.01</w:t>
      </w:r>
      <w:r>
        <w:rPr/>
        <w:t>万元、递延所得税负债增加</w:t>
      </w:r>
      <w:r>
        <w:rPr>
          <w:rFonts w:ascii="Times New Roman" w:hAnsi="Times New Roman" w:cs="Times New Roman" w:eastAsia="Times New Roman" w:hint="default"/>
        </w:rPr>
        <w:t>657.26</w:t>
      </w:r>
      <w:r>
        <w:rPr/>
        <w:t>万元。</w:t>
      </w:r>
    </w:p>
    <w:p>
      <w:pPr>
        <w:spacing w:line="240" w:lineRule="auto" w:before="2"/>
        <w:rPr>
          <w:rFonts w:ascii="宋体" w:hAnsi="宋体" w:cs="宋体" w:eastAsia="宋体" w:hint="default"/>
          <w:sz w:val="19"/>
          <w:szCs w:val="19"/>
        </w:rPr>
      </w:pPr>
    </w:p>
    <w:p>
      <w:pPr>
        <w:pStyle w:val="Heading3"/>
        <w:spacing w:line="240" w:lineRule="auto"/>
        <w:ind w:right="10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7" w:right="0"/>
              <w:jc w:val="left"/>
              <w:rPr>
                <w:rFonts w:ascii="Times New Roman" w:hAnsi="Times New Roman" w:cs="Times New Roman" w:eastAsia="Times New Roman" w:hint="default"/>
                <w:sz w:val="18"/>
                <w:szCs w:val="18"/>
              </w:rPr>
            </w:pPr>
            <w:r>
              <w:rPr>
                <w:rFonts w:ascii="Times New Roman"/>
                <w:sz w:val="18"/>
              </w:rPr>
              <w:t>307,846.17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现金理财加大理财产品购买 产生收益增加</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098"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53" w:right="0"/>
              <w:jc w:val="left"/>
              <w:rPr>
                <w:rFonts w:ascii="Times New Roman" w:hAnsi="Times New Roman" w:cs="Times New Roman" w:eastAsia="Times New Roman" w:hint="default"/>
                <w:sz w:val="18"/>
                <w:szCs w:val="18"/>
              </w:rPr>
            </w:pPr>
            <w:r>
              <w:rPr>
                <w:rFonts w:ascii="Times New Roman"/>
                <w:sz w:val="18"/>
              </w:rPr>
              <w:t>31,931,992.84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47.34%</w:t>
            </w:r>
          </w:p>
        </w:tc>
        <w:tc>
          <w:tcPr>
            <w:tcW w:w="2254" w:type="dxa"/>
            <w:vMerge w:val="restart"/>
            <w:tcBorders>
              <w:top w:val="single" w:sz="4" w:space="0" w:color="000000"/>
              <w:left w:val="single" w:sz="4" w:space="0" w:color="000000"/>
              <w:right w:val="single" w:sz="4" w:space="0" w:color="000000"/>
            </w:tcBorders>
          </w:tcPr>
          <w:p>
            <w:pPr>
              <w:pStyle w:val="TableParagraph"/>
              <w:spacing w:line="312"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）本公司全额计提了对易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美云（北京）信息技术有限 公司长期股权投资的减值准 备共计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2,446.87</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万元；（</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本公司针对坏账准备计提做 了会计估计变更，执行了更 加谨慎的会计估计，使得坏 账准备计提增加。</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097"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38" w:right="0"/>
              <w:jc w:val="left"/>
              <w:rPr>
                <w:rFonts w:ascii="Times New Roman" w:hAnsi="Times New Roman" w:cs="Times New Roman" w:eastAsia="Times New Roman" w:hint="default"/>
                <w:sz w:val="18"/>
                <w:szCs w:val="18"/>
              </w:rPr>
            </w:pPr>
            <w:r>
              <w:rPr>
                <w:rFonts w:ascii="Times New Roman"/>
                <w:sz w:val="18"/>
              </w:rPr>
              <w:t>3,966,473.97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公司收取的各项政府补助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9" w:right="0"/>
              <w:jc w:val="left"/>
              <w:rPr>
                <w:rFonts w:ascii="Times New Roman" w:hAnsi="Times New Roman" w:cs="Times New Roman" w:eastAsia="Times New Roman" w:hint="default"/>
                <w:sz w:val="18"/>
                <w:szCs w:val="18"/>
              </w:rPr>
            </w:pPr>
            <w:r>
              <w:rPr>
                <w:rFonts w:ascii="Times New Roman"/>
                <w:sz w:val="18"/>
              </w:rPr>
              <w:t>2,106,162.11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主要系非流动资产处置及捐 赠及罚款支出</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2"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961,055,363.66</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36.58%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510,293,386.15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6.31%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比重增加主要系本公司非公开发行 股票融资所致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65,360,942.25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48,448,631.14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7,482,633.44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4,838,269.75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39,754,915.32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1.51%</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1.51%</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比重增加主要系本公司通过收购 </w:t>
            </w:r>
            <w:r>
              <w:rPr>
                <w:rFonts w:ascii="Times New Roman" w:hAnsi="Times New Roman" w:cs="Times New Roman" w:eastAsia="Times New Roman" w:hint="default"/>
                <w:sz w:val="18"/>
                <w:szCs w:val="18"/>
              </w:rPr>
              <w:t>Freedom</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公司股权的形式收购其相 关房产、土地并用于对外出租所致。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35,230,169.26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34,681,810.41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96,445,803.20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90,708,327.41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33,172.63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212,862,982.87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1,035,629.95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比重增加主要系本公司完成再融资 并将部分资金以购买银行理财产品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等形式做现金管理所致。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比重增加主要系本公司新增对北京 致远协创软件有限公司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5250 </w:t>
            </w:r>
            <w:r>
              <w:rPr>
                <w:rFonts w:ascii="宋体" w:hAnsi="宋体" w:cs="宋体" w:eastAsia="宋体" w:hint="default"/>
                <w:sz w:val="18"/>
                <w:szCs w:val="18"/>
              </w:rPr>
              <w:t>万、 </w:t>
            </w:r>
            <w:r>
              <w:rPr>
                <w:rFonts w:ascii="Times New Roman" w:hAnsi="Times New Roman" w:cs="Times New Roman" w:eastAsia="Times New Roman" w:hint="default"/>
                <w:sz w:val="18"/>
                <w:szCs w:val="18"/>
              </w:rPr>
              <w:t>Globetouch Inc.200 </w:t>
            </w:r>
            <w:r>
              <w:rPr>
                <w:rFonts w:ascii="宋体" w:hAnsi="宋体" w:cs="宋体" w:eastAsia="宋体" w:hint="default"/>
                <w:spacing w:val="-7"/>
                <w:sz w:val="18"/>
                <w:szCs w:val="18"/>
              </w:rPr>
              <w:t>万美元、北京慧友</w:t>
            </w:r>
            <w:r>
              <w:rPr>
                <w:rFonts w:ascii="宋体" w:hAnsi="宋体" w:cs="宋体" w:eastAsia="宋体" w:hint="default"/>
                <w:sz w:val="18"/>
                <w:szCs w:val="18"/>
              </w:rPr>
              <w:t> 云商科技有限公司投资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万元及</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其增值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万等多方面原因形成。</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32,223,863.98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10,804,040.89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866,971,483.75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767,767,997.51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总额增加主要系本公司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年度收 购香港迪讯新形成商誉</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70,861,935.23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63,696,023.33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总额增加主要系本公司新开展的个 人业务中的移动通信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MVNO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业务投 入期购买的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PLT</w:t>
            </w:r>
            <w:r>
              <w:rPr>
                <w:rFonts w:ascii="Times New Roman" w:hAnsi="Times New Roman" w:cs="Times New Roman" w:eastAsia="Times New Roman" w:hint="default"/>
                <w:sz w:val="18"/>
                <w:szCs w:val="18"/>
              </w:rPr>
              <w:t> </w:t>
            </w:r>
            <w:r>
              <w:rPr>
                <w:rFonts w:ascii="宋体" w:hAnsi="宋体" w:cs="宋体" w:eastAsia="宋体" w:hint="default"/>
                <w:sz w:val="18"/>
                <w:szCs w:val="18"/>
              </w:rPr>
              <w:t>平台使用权所致。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47,100,218.04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28,164,409.13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192,747,860.34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171,017,750.10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总额增加主要系本公司业务发展预 </w:t>
            </w:r>
            <w:r>
              <w:rPr>
                <w:rFonts w:ascii="宋体" w:hAnsi="宋体" w:cs="宋体" w:eastAsia="宋体" w:hint="default"/>
                <w:spacing w:val="-2"/>
                <w:sz w:val="18"/>
                <w:szCs w:val="18"/>
              </w:rPr>
              <w:t>收款累积增加所致，比重减少主要系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本公司总资产增加致使比重下降所 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138,666,249.47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34,147,364.37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比重增加主要系（</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）本公司对北京 致远协创软件有限公司投资尾款尚 </w:t>
            </w:r>
            <w:r>
              <w:rPr>
                <w:rFonts w:ascii="宋体" w:hAnsi="宋体" w:cs="宋体" w:eastAsia="宋体" w:hint="default"/>
                <w:spacing w:val="-3"/>
                <w:sz w:val="18"/>
                <w:szCs w:val="18"/>
              </w:rPr>
              <w:t>未支付（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年度依据企</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业会计准则解释第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号的规定确定了</w:t>
            </w:r>
          </w:p>
          <w:p>
            <w:pPr>
              <w:pStyle w:val="TableParagraph"/>
              <w:spacing w:line="302" w:lineRule="auto" w:before="63"/>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年两次发行的限制性 股票的回购义务</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108"/>
        <w:gridCol w:w="1293"/>
        <w:gridCol w:w="1451"/>
        <w:gridCol w:w="518"/>
        <w:gridCol w:w="1109"/>
        <w:gridCol w:w="1108"/>
        <w:gridCol w:w="1175"/>
      </w:tblGrid>
      <w:tr>
        <w:trPr>
          <w:trHeight w:val="317"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108" w:type="dxa"/>
            <w:vMerge w:val="restart"/>
            <w:tcBorders>
              <w:top w:val="single" w:sz="4" w:space="0" w:color="000000"/>
              <w:left w:val="single" w:sz="4" w:space="0" w:color="000000"/>
              <w:right w:val="single" w:sz="4" w:space="0" w:color="000000"/>
            </w:tcBorders>
            <w:shd w:val="clear" w:color="auto" w:fill="D2D2D2"/>
          </w:tcPr>
          <w:p>
            <w:pPr/>
          </w:p>
        </w:tc>
        <w:tc>
          <w:tcPr>
            <w:tcW w:w="12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2"/>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893" w:type="dxa"/>
            <w:vMerge/>
            <w:tcBorders>
              <w:left w:val="single" w:sz="4" w:space="0" w:color="000000"/>
              <w:bottom w:val="nil" w:sz="6" w:space="0" w:color="auto"/>
              <w:right w:val="single" w:sz="4" w:space="0" w:color="000000"/>
            </w:tcBorders>
            <w:shd w:val="clear" w:color="auto" w:fill="D2D2D2"/>
          </w:tcPr>
          <w:p>
            <w:pPr/>
          </w:p>
        </w:tc>
        <w:tc>
          <w:tcPr>
            <w:tcW w:w="1108" w:type="dxa"/>
            <w:vMerge/>
            <w:tcBorders>
              <w:left w:val="single" w:sz="4" w:space="0" w:color="000000"/>
              <w:bottom w:val="nil" w:sz="6" w:space="0" w:color="auto"/>
              <w:right w:val="single" w:sz="4" w:space="0" w:color="000000"/>
            </w:tcBorders>
            <w:shd w:val="clear" w:color="auto" w:fill="D2D2D2"/>
          </w:tcPr>
          <w:p>
            <w:pPr/>
          </w:p>
        </w:tc>
        <w:tc>
          <w:tcPr>
            <w:tcW w:w="12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7" w:right="105"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6" w:right="9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518" w:type="dxa"/>
            <w:vMerge/>
            <w:tcBorders>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61" w:right="95"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56" w:right="10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7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93"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1108" w:type="dxa"/>
            <w:vMerge/>
            <w:tcBorders>
              <w:left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893" w:type="dxa"/>
            <w:vMerge w:val="restart"/>
            <w:tcBorders>
              <w:top w:val="nil" w:sz="6" w:space="0" w:color="auto"/>
              <w:left w:val="single" w:sz="4" w:space="0" w:color="000000"/>
              <w:right w:val="single" w:sz="4" w:space="0" w:color="000000"/>
            </w:tcBorders>
            <w:shd w:val="clear" w:color="auto" w:fill="D2D2D2"/>
          </w:tcPr>
          <w:p>
            <w:pPr/>
          </w:p>
        </w:tc>
        <w:tc>
          <w:tcPr>
            <w:tcW w:w="1108" w:type="dxa"/>
            <w:vMerge w:val="restart"/>
            <w:tcBorders>
              <w:top w:val="nil" w:sz="6" w:space="0" w:color="auto"/>
              <w:left w:val="single" w:sz="4" w:space="0" w:color="000000"/>
              <w:right w:val="single" w:sz="4" w:space="0" w:color="000000"/>
            </w:tcBorders>
            <w:shd w:val="clear" w:color="auto" w:fill="D2D2D2"/>
          </w:tcPr>
          <w:p>
            <w:pPr/>
          </w:p>
        </w:tc>
        <w:tc>
          <w:tcPr>
            <w:tcW w:w="1293" w:type="dxa"/>
            <w:vMerge/>
            <w:tcBorders>
              <w:left w:val="single" w:sz="4" w:space="0" w:color="000000"/>
              <w:bottom w:val="nil" w:sz="6" w:space="0" w:color="auto"/>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108"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108" w:type="dxa"/>
            <w:vMerge/>
            <w:tcBorders>
              <w:left w:val="single" w:sz="4" w:space="0" w:color="000000"/>
              <w:bottom w:val="single" w:sz="4" w:space="0" w:color="000000"/>
              <w:right w:val="single" w:sz="4" w:space="0" w:color="000000"/>
            </w:tcBorders>
            <w:shd w:val="clear" w:color="auto" w:fill="D2D2D2"/>
          </w:tcPr>
          <w:p>
            <w:pPr/>
          </w:p>
        </w:tc>
        <w:tc>
          <w:tcPr>
            <w:tcW w:w="12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76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7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融资产（不含衍生金融 资产）</w:t>
            </w:r>
          </w:p>
        </w:tc>
        <w:tc>
          <w:tcPr>
            <w:tcW w:w="11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34,500,000.00</w:t>
            </w:r>
          </w:p>
        </w:tc>
        <w:tc>
          <w:tcPr>
            <w:tcW w:w="1293"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34,500,000.00</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50,553,808.93</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42,462,874.41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70,981,506.56</w:t>
            </w:r>
          </w:p>
        </w:tc>
        <w:tc>
          <w:tcPr>
            <w:tcW w:w="5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80,487,187.01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12,971,445.84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160,532,424.51</w:t>
            </w: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85,053,808.93</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42,462,874.41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70,981,506.56</w:t>
            </w:r>
          </w:p>
        </w:tc>
        <w:tc>
          <w:tcPr>
            <w:tcW w:w="5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80,487,187.01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47,471,445.84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160,532,424.51</w:t>
            </w: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85,053,808.93</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42,462,874.41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70,981,506.56</w:t>
            </w:r>
          </w:p>
        </w:tc>
        <w:tc>
          <w:tcPr>
            <w:tcW w:w="5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80,487,187.01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47,471,445.84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160,532,424.51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091"/>
        <w:gridCol w:w="1299"/>
        <w:gridCol w:w="1445"/>
        <w:gridCol w:w="529"/>
        <w:gridCol w:w="1103"/>
        <w:gridCol w:w="1103"/>
        <w:gridCol w:w="1181"/>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报告期内公司主要资产计量属性是否发生重大变化</w:t>
      </w:r>
    </w:p>
    <w:p>
      <w:pPr>
        <w:pStyle w:val="BodyText"/>
        <w:spacing w:line="240" w:lineRule="auto" w:before="117"/>
        <w:ind w:left="15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498,206,245.06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125,352,465.43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297.44%</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5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展动科 技（北 京）有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网络在 线培 训、活 动网络 直播、 企业会 议直播 等服务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18,530,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展视互 动科技 有限公 司；杭 州展频 科技有 限公 司；北 京展讯 互通科 技有限 公司； 陈海 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软件即 服务</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SaaS</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0"/>
              <w:jc w:val="left"/>
              <w:rPr>
                <w:rFonts w:ascii="宋体" w:hAnsi="宋体" w:cs="宋体" w:eastAsia="宋体" w:hint="default"/>
                <w:sz w:val="18"/>
                <w:szCs w:val="18"/>
              </w:rPr>
            </w:pPr>
            <w:r>
              <w:rPr>
                <w:rFonts w:ascii="宋体" w:hAnsi="宋体" w:cs="宋体" w:eastAsia="宋体" w:hint="default"/>
                <w:sz w:val="18"/>
                <w:szCs w:val="18"/>
              </w:rPr>
              <w:t>股权 已过 户，对 价已 全部 支付</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000.00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北京慧 友云商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互联网 信息技 术服务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13.37%</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北京用 友幸福 云创创 业投资 中心</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软件即 服务</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SaaS</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股权 已过 户，对 价已 全部</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2" w:right="8"/>
              <w:jc w:val="both"/>
              <w:rPr>
                <w:rFonts w:ascii="宋体" w:hAnsi="宋体" w:cs="宋体" w:eastAsia="宋体" w:hint="default"/>
                <w:sz w:val="18"/>
                <w:szCs w:val="18"/>
              </w:rPr>
            </w:pPr>
            <w:r>
              <w:rPr>
                <w:rFonts w:ascii="宋体" w:hAnsi="宋体" w:cs="宋体" w:eastAsia="宋体" w:hint="default"/>
                <w:spacing w:val="-3"/>
                <w:sz w:val="18"/>
                <w:szCs w:val="18"/>
              </w:rPr>
              <w:t>（</w:t>
            </w:r>
            <w:hyperlink r:id="rId13">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bl>
    <w:p>
      <w:pPr>
        <w:spacing w:after="0" w:line="32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483"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北京致 远协创 软件有 限公 司；北 京凌云 悦翔科 技有限 公司等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473" w:lineRule="exact"/>
              <w:ind w:right="-50"/>
              <w:jc w:val="left"/>
              <w:rPr>
                <w:rFonts w:ascii="宋体" w:hAnsi="宋体" w:cs="宋体" w:eastAsia="宋体" w:hint="default"/>
                <w:sz w:val="20"/>
                <w:szCs w:val="20"/>
              </w:rPr>
            </w:pPr>
            <w:r>
              <w:rPr>
                <w:rFonts w:ascii="宋体" w:hAnsi="宋体" w:cs="宋体" w:eastAsia="宋体" w:hint="default"/>
                <w:position w:val="-68"/>
                <w:sz w:val="20"/>
                <w:szCs w:val="20"/>
              </w:rPr>
              <w:pict>
                <v:group style="width:30.3pt;height:173.7pt;mso-position-horizontal-relative:char;mso-position-vertical-relative:line" coordorigin="0,0" coordsize="606,3474">
                  <v:group style="position:absolute;left:0;top:0;width:606;height:3474" coordorigin="0,0" coordsize="606,3474">
                    <v:shape style="position:absolute;left:0;top:0;width:606;height:3474" coordorigin="0,0" coordsize="606,3474" path="m0,3473l606,3473,606,0,0,0,0,3473xe" filled="true" fillcolor="#ffffff" stroked="false">
                      <v:path arrowok="t"/>
                      <v:fill type="solid"/>
                    </v:shape>
                  </v:group>
                </v:group>
              </w:pict>
            </w:r>
            <w:r>
              <w:rPr>
                <w:rFonts w:ascii="宋体" w:hAnsi="宋体" w:cs="宋体" w:eastAsia="宋体" w:hint="default"/>
                <w:position w:val="-68"/>
                <w:sz w:val="20"/>
                <w:szCs w:val="20"/>
              </w:rPr>
            </w: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7"/>
              <w:jc w:val="right"/>
              <w:rPr>
                <w:rFonts w:ascii="宋体" w:hAnsi="宋体" w:cs="宋体" w:eastAsia="宋体" w:hint="default"/>
                <w:sz w:val="18"/>
                <w:szCs w:val="18"/>
              </w:rPr>
            </w:pPr>
            <w:r>
              <w:rPr>
                <w:rFonts w:ascii="宋体" w:hAnsi="宋体" w:cs="宋体" w:eastAsia="宋体" w:hint="default"/>
                <w:sz w:val="18"/>
                <w:szCs w:val="18"/>
              </w:rPr>
              <w:t>支付</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《对外 投资的 公告》</w:t>
            </w:r>
          </w:p>
          <w:p>
            <w:pPr>
              <w:pStyle w:val="TableParagraph"/>
              <w:spacing w:line="338" w:lineRule="auto" w:before="19"/>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2015-00</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14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北京致 远协创 软件有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1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 公系统</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9" w:right="0"/>
              <w:jc w:val="left"/>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43"/>
              <w:jc w:val="both"/>
              <w:rPr>
                <w:rFonts w:ascii="宋体" w:hAnsi="宋体" w:cs="宋体" w:eastAsia="宋体" w:hint="default"/>
                <w:sz w:val="18"/>
                <w:szCs w:val="18"/>
              </w:rPr>
            </w:pPr>
            <w:r>
              <w:rPr>
                <w:rFonts w:ascii="宋体" w:hAnsi="宋体" w:cs="宋体" w:eastAsia="宋体" w:hint="default"/>
                <w:sz w:val="18"/>
                <w:szCs w:val="18"/>
              </w:rPr>
              <w:t>用友网 络科技 股份有 限公司 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9" w:lineRule="auto"/>
              <w:ind w:left="22"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 件及服 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股权 已过 户，对 价尚 余</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2,572.</w:t>
            </w:r>
          </w:p>
          <w:p>
            <w:pPr>
              <w:pStyle w:val="TableParagraph"/>
              <w:spacing w:line="309" w:lineRule="auto" w:before="65"/>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未予 支付</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2" w:right="8"/>
              <w:jc w:val="both"/>
              <w:rPr>
                <w:rFonts w:ascii="宋体" w:hAnsi="宋体" w:cs="宋体" w:eastAsia="宋体" w:hint="default"/>
                <w:sz w:val="18"/>
                <w:szCs w:val="18"/>
              </w:rPr>
            </w:pPr>
            <w:r>
              <w:rPr>
                <w:rFonts w:ascii="宋体" w:hAnsi="宋体" w:cs="宋体" w:eastAsia="宋体" w:hint="default"/>
                <w:spacing w:val="-3"/>
                <w:sz w:val="18"/>
                <w:szCs w:val="18"/>
              </w:rPr>
              <w:t>（</w:t>
            </w:r>
            <w:hyperlink r:id="rId13">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 对外投 资的公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2015-10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28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62" w:lineRule="auto"/>
              <w:ind w:left="22" w:right="39"/>
              <w:jc w:val="left"/>
              <w:rPr>
                <w:rFonts w:ascii="Times New Roman" w:hAnsi="Times New Roman" w:cs="Times New Roman" w:eastAsia="Times New Roman" w:hint="default"/>
                <w:sz w:val="18"/>
                <w:szCs w:val="18"/>
              </w:rPr>
            </w:pPr>
            <w:r>
              <w:rPr>
                <w:rFonts w:ascii="Times New Roman"/>
                <w:sz w:val="18"/>
              </w:rPr>
              <w:t>Globeto</w:t>
            </w:r>
            <w:r>
              <w:rPr>
                <w:rFonts w:ascii="Times New Roman"/>
                <w:w w:val="99"/>
                <w:sz w:val="18"/>
              </w:rPr>
              <w:t> </w:t>
            </w:r>
            <w:r>
              <w:rPr>
                <w:rFonts w:ascii="Times New Roman"/>
                <w:sz w:val="18"/>
              </w:rPr>
              <w:t>uch</w:t>
            </w:r>
            <w:r>
              <w:rPr>
                <w:rFonts w:ascii="Times New Roman"/>
                <w:spacing w:val="-2"/>
                <w:sz w:val="18"/>
              </w:rPr>
              <w:t> </w:t>
            </w:r>
            <w:r>
              <w:rPr>
                <w:rFonts w:ascii="Times New Roman"/>
                <w:sz w:val="18"/>
              </w:rPr>
              <w:t>Inc.</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移动通 信国际 业务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12,987,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187.01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3.23%</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
              <w:jc w:val="left"/>
              <w:rPr>
                <w:rFonts w:ascii="Times New Roman" w:hAnsi="Times New Roman" w:cs="Times New Roman" w:eastAsia="Times New Roman" w:hint="default"/>
                <w:sz w:val="18"/>
                <w:szCs w:val="18"/>
              </w:rPr>
            </w:pPr>
            <w:r>
              <w:rPr>
                <w:rFonts w:ascii="Times New Roman"/>
                <w:sz w:val="18"/>
              </w:rPr>
              <w:t>"Mobil eum, Inc.</w:t>
            </w:r>
            <w:r>
              <w:rPr>
                <w:rFonts w:ascii="Times New Roman"/>
                <w:spacing w:val="-1"/>
                <w:sz w:val="18"/>
              </w:rPr>
              <w:t> </w:t>
            </w:r>
            <w:r>
              <w:rPr>
                <w:rFonts w:ascii="Times New Roman"/>
                <w:sz w:val="18"/>
              </w:rPr>
              <w:t>;Sp</w:t>
            </w:r>
            <w:r>
              <w:rPr>
                <w:rFonts w:ascii="Times New Roman"/>
                <w:w w:val="99"/>
                <w:sz w:val="18"/>
              </w:rPr>
              <w:t> </w:t>
            </w:r>
            <w:r>
              <w:rPr>
                <w:rFonts w:ascii="Times New Roman"/>
                <w:sz w:val="18"/>
              </w:rPr>
              <w:t>ade</w:t>
            </w:r>
            <w:r>
              <w:rPr>
                <w:rFonts w:ascii="Times New Roman"/>
                <w:sz w:val="18"/>
              </w:rPr>
              <w:t> Glory Limite d</w:t>
            </w:r>
            <w:r>
              <w:rPr>
                <w:rFonts w:ascii="Times New Roman"/>
                <w:spacing w:val="-1"/>
                <w:sz w:val="18"/>
              </w:rPr>
              <w:t> </w:t>
            </w:r>
            <w:r>
              <w:rPr>
                <w:rFonts w:ascii="Times New Roman"/>
                <w:sz w:val="18"/>
              </w:rPr>
              <w:t>;Sass</w:t>
            </w:r>
            <w:r>
              <w:rPr>
                <w:rFonts w:ascii="Times New Roman"/>
                <w:w w:val="99"/>
                <w:sz w:val="18"/>
              </w:rPr>
              <w:t> </w:t>
            </w:r>
            <w:r>
              <w:rPr>
                <w:rFonts w:ascii="Times New Roman"/>
                <w:sz w:val="18"/>
              </w:rPr>
              <w:t>on,</w:t>
            </w:r>
            <w:r>
              <w:rPr>
                <w:rFonts w:ascii="Times New Roman"/>
                <w:spacing w:val="-1"/>
                <w:sz w:val="18"/>
              </w:rPr>
              <w:t> </w:t>
            </w:r>
            <w:r>
              <w:rPr>
                <w:rFonts w:ascii="Times New Roman"/>
                <w:sz w:val="18"/>
              </w:rPr>
              <w:t>Ori</w:t>
            </w:r>
          </w:p>
          <w:p>
            <w:pPr>
              <w:pStyle w:val="TableParagraph"/>
              <w:spacing w:line="21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N/A</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43"/>
              <w:jc w:val="both"/>
              <w:rPr>
                <w:rFonts w:ascii="宋体" w:hAnsi="宋体" w:cs="宋体" w:eastAsia="宋体" w:hint="default"/>
                <w:sz w:val="18"/>
                <w:szCs w:val="18"/>
              </w:rPr>
            </w:pPr>
            <w:r>
              <w:rPr>
                <w:rFonts w:ascii="宋体" w:hAnsi="宋体" w:cs="宋体" w:eastAsia="宋体" w:hint="default"/>
                <w:sz w:val="18"/>
                <w:szCs w:val="18"/>
              </w:rPr>
              <w:t>移动通 信国际 业务相 关服务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股权 已过 户，对 价已 全部 支付</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99,017,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187.01</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000.00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t>注：上表中预计收益为针对该项投资</w:t>
      </w:r>
      <w:r>
        <w:rPr>
          <w:spacing w:val="-46"/>
        </w:rPr>
        <w:t> </w:t>
      </w:r>
      <w:r>
        <w:rPr>
          <w:rFonts w:ascii="Times New Roman" w:hAnsi="Times New Roman" w:cs="Times New Roman" w:eastAsia="Times New Roman" w:hint="default"/>
        </w:rPr>
        <w:t>2016 </w:t>
      </w:r>
      <w:r>
        <w:rPr/>
        <w:t>年度预计可取得收益。</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01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美国弗 吉尼亚 州维吉 尼亚州 斯普林 菲尔德 皇家港 口路 </w:t>
            </w:r>
            <w:r>
              <w:rPr>
                <w:rFonts w:ascii="Times New Roman" w:hAnsi="Times New Roman" w:cs="Times New Roman" w:eastAsia="Times New Roman" w:hint="default"/>
                <w:sz w:val="18"/>
                <w:szCs w:val="18"/>
              </w:rPr>
              <w:t>5401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房产及 土地</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5401</w:t>
            </w:r>
          </w:p>
          <w:p>
            <w:pPr>
              <w:pStyle w:val="TableParagraph"/>
              <w:spacing w:line="338" w:lineRule="auto" w:before="102"/>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Port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Royal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Road</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Springfie</w:t>
            </w:r>
          </w:p>
          <w:p>
            <w:pPr>
              <w:pStyle w:val="TableParagraph"/>
              <w:spacing w:line="340" w:lineRule="auto" w:before="23"/>
              <w:ind w:left="22" w:right="5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ld,Virgin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22151</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收购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2" w:lineRule="auto"/>
              <w:ind w:left="22" w:right="161"/>
              <w:jc w:val="both"/>
              <w:rPr>
                <w:rFonts w:ascii="宋体" w:hAnsi="宋体" w:cs="宋体" w:eastAsia="宋体" w:hint="default"/>
                <w:sz w:val="18"/>
                <w:szCs w:val="18"/>
              </w:rPr>
            </w:pPr>
            <w:r>
              <w:rPr>
                <w:rFonts w:ascii="宋体" w:hAnsi="宋体" w:cs="宋体" w:eastAsia="宋体" w:hint="default"/>
                <w:sz w:val="18"/>
                <w:szCs w:val="18"/>
              </w:rPr>
              <w:t>经营租 赁</w:t>
            </w:r>
            <w:r>
              <w:rPr>
                <w:rFonts w:ascii="Times New Roman" w:hAnsi="Times New Roman" w:cs="Times New Roman" w:eastAsia="Times New Roman" w:hint="default"/>
                <w:sz w:val="18"/>
                <w:szCs w:val="18"/>
              </w:rPr>
              <w:t>—— </w:t>
            </w:r>
            <w:r>
              <w:rPr>
                <w:rFonts w:ascii="宋体" w:hAnsi="宋体" w:cs="宋体" w:eastAsia="宋体" w:hint="default"/>
                <w:sz w:val="18"/>
                <w:szCs w:val="18"/>
              </w:rPr>
              <w:t>房产出 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3" w:right="0"/>
              <w:jc w:val="left"/>
              <w:rPr>
                <w:rFonts w:ascii="Times New Roman" w:hAnsi="Times New Roman" w:cs="Times New Roman" w:eastAsia="Times New Roman" w:hint="default"/>
                <w:sz w:val="18"/>
                <w:szCs w:val="18"/>
              </w:rPr>
            </w:pPr>
            <w:r>
              <w:rPr>
                <w:rFonts w:ascii="Times New Roman"/>
                <w:sz w:val="18"/>
              </w:rPr>
              <w:t>37,776,0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4" w:right="0"/>
              <w:jc w:val="left"/>
              <w:rPr>
                <w:rFonts w:ascii="Times New Roman" w:hAnsi="Times New Roman" w:cs="Times New Roman" w:eastAsia="Times New Roman" w:hint="default"/>
                <w:sz w:val="18"/>
                <w:szCs w:val="18"/>
              </w:rPr>
            </w:pPr>
            <w:r>
              <w:rPr>
                <w:rFonts w:ascii="Times New Roman"/>
                <w:sz w:val="18"/>
              </w:rPr>
              <w:t>37,776,0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88.12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p>
            <w:pPr>
              <w:pStyle w:val="TableParagraph"/>
              <w:spacing w:line="338" w:lineRule="auto" w:before="19"/>
              <w:ind w:left="22"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USD6,</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175,388.</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58" w:right="0"/>
              <w:jc w:val="left"/>
              <w:rPr>
                <w:rFonts w:ascii="Times New Roman" w:hAnsi="Times New Roman" w:cs="Times New Roman" w:eastAsia="Times New Roman" w:hint="default"/>
                <w:sz w:val="18"/>
                <w:szCs w:val="18"/>
              </w:rPr>
            </w:pPr>
            <w:r>
              <w:rPr>
                <w:rFonts w:ascii="Times New Roman"/>
                <w:sz w:val="18"/>
              </w:rPr>
              <w:t>-158,054</w:t>
            </w:r>
          </w:p>
          <w:p>
            <w:pPr>
              <w:pStyle w:val="TableParagraph"/>
              <w:spacing w:line="240" w:lineRule="auto" w:before="106"/>
              <w:ind w:left="479"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尚未全 部出租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37,776,0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37,776,0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88.12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-158,054</w:t>
            </w:r>
          </w:p>
          <w:p>
            <w:pPr>
              <w:pStyle w:val="TableParagraph"/>
              <w:spacing w:line="240" w:lineRule="auto" w:before="106"/>
              <w:ind w:left="479"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0"/>
        <w:gridCol w:w="1113"/>
        <w:gridCol w:w="1450"/>
        <w:gridCol w:w="1702"/>
        <w:gridCol w:w="1280"/>
        <w:gridCol w:w="899"/>
        <w:gridCol w:w="1064"/>
        <w:gridCol w:w="1182"/>
        <w:gridCol w:w="488"/>
      </w:tblGrid>
      <w:tr>
        <w:trPr>
          <w:trHeight w:val="714" w:hRule="exact"/>
        </w:trPr>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98"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8" w:right="89"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5" w:right="34" w:hanging="450"/>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4" w:right="95"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 w:right="5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其他</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89,550,917.95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42,462,874.41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70,981,506.56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80,487,187.01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1,636,150.06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160,532,424.51</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1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89,550,917.95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42,462,874.41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70,981,506.56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80,487,187.01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1,636,150.06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160,532,424.51</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76,529.72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银行存放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76,529.72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本次募投资金于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日到达我公司银行募投专用账户，截至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日止资金存放未使用并产生利息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7"/>
        <w:gridCol w:w="779"/>
        <w:gridCol w:w="784"/>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企业云统一通信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全球通个人业务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140"/>
        <w:jc w:val="right"/>
      </w:pPr>
      <w:r>
        <w:rPr/>
        <w:pict>
          <v:shape style="position:absolute;margin-left:56.459999pt;margin-top:-274.888275pt;width:479.2pt;height:526.4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根据公司募集资金投资项目增加实施主体的公告，公告编号为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2016-004</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上海二六三通信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，因此增加了实施地点</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如</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募集资金投资项目实施地点变更情况</w:t>
                        </w:r>
                        <w:r>
                          <w:rPr>
                            <w:rFonts w:ascii="Times New Roman" w:hAnsi="Times New Roman" w:cs="Times New Roman" w:eastAsia="Times New Roman" w:hint="default"/>
                            <w:sz w:val="18"/>
                            <w:szCs w:val="18"/>
                          </w:rPr>
                          <w:t>”</w:t>
                        </w:r>
                        <w:r>
                          <w:rPr>
                            <w:rFonts w:ascii="宋体" w:hAnsi="宋体" w:cs="宋体" w:eastAsia="宋体" w:hint="default"/>
                            <w:sz w:val="18"/>
                            <w:szCs w:val="18"/>
                          </w:rPr>
                          <w:t>所述，本公司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企业云统一通信服务项目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由本公司之全资 子公司北京二六三企业通信有限公司实施，变更为由其与本公司之全资子公司上海二六三通信有限 公司共同实施。</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1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日第四届董事会第二十九次会议决议（公告编号：</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022</w:t>
                        </w:r>
                        <w:r>
                          <w:rPr>
                            <w:rFonts w:ascii="宋体" w:hAnsi="宋体" w:cs="宋体" w:eastAsia="宋体" w:hint="default"/>
                            <w:spacing w:val="-5"/>
                            <w:sz w:val="18"/>
                            <w:szCs w:val="18"/>
                          </w:rPr>
                          <w:t>）：在本次非公开</w:t>
                        </w:r>
                        <w:r>
                          <w:rPr>
                            <w:rFonts w:ascii="宋体" w:hAnsi="宋体" w:cs="宋体" w:eastAsia="宋体" w:hint="default"/>
                            <w:sz w:val="18"/>
                            <w:szCs w:val="18"/>
                          </w:rPr>
                          <w:t> 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股股票募集资金到位之前，公司将根据项目进度的实际需要以自筹资金先行投入，并在募 集资金到位之后按照相关法规规定的程序予以置换。其中：</w:t>
                        </w:r>
                      </w:p>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）全球华人移动通信项目截至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日以自有资金先行投入的金额为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8"/>
                            <w:sz w:val="18"/>
                            <w:szCs w:val="18"/>
                          </w:rPr>
                          <w:t>）</w:t>
                        </w:r>
                        <w:r>
                          <w:rPr>
                            <w:rFonts w:ascii="宋体" w:hAnsi="宋体" w:cs="宋体" w:eastAsia="宋体" w:hint="default"/>
                            <w:sz w:val="18"/>
                            <w:szCs w:val="18"/>
                          </w:rPr>
                          <w:t>企业云统一通信服务项目截至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w:t>
                        </w:r>
                        <w:r>
                          <w:rPr>
                            <w:rFonts w:ascii="宋体" w:hAnsi="宋体" w:cs="宋体" w:eastAsia="宋体" w:hint="default"/>
                            <w:spacing w:val="1"/>
                            <w:sz w:val="18"/>
                            <w:szCs w:val="18"/>
                          </w:rPr>
                          <w:t>自</w:t>
                        </w:r>
                        <w:r>
                          <w:rPr>
                            <w:rFonts w:ascii="宋体" w:hAnsi="宋体" w:cs="宋体" w:eastAsia="宋体" w:hint="default"/>
                            <w:sz w:val="18"/>
                            <w:szCs w:val="18"/>
                          </w:rPr>
                          <w:t>有资金先行投入的金额为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日第五届董事会第十二次会议会议批准，上述实际投资自有资金将以募集资</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金予以置换；该事项业经大华会计师事务所（特殊普通合伙）于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日出具的大华核字 </w:t>
                        </w:r>
                        <w:r>
                          <w:rPr>
                            <w:rFonts w:ascii="Times New Roman" w:hAnsi="Times New Roman" w:cs="Times New Roman" w:eastAsia="Times New Roman" w:hint="default"/>
                            <w:spacing w:val="-1"/>
                            <w:sz w:val="18"/>
                            <w:szCs w:val="18"/>
                          </w:rPr>
                          <w:t>[2016]001271</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号《二六三网络通信股份有限公司以自筹资金预先投入募集资金投资项目的鉴证报告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予以鉴证。截至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日止，上述累计支出尚未置换入自有资金账户。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活期存放</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10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公司报告期未出售重大资产。</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8"/>
        <w:gridCol w:w="497"/>
        <w:gridCol w:w="1211"/>
        <w:gridCol w:w="701"/>
        <w:gridCol w:w="1316"/>
        <w:gridCol w:w="1182"/>
        <w:gridCol w:w="1181"/>
        <w:gridCol w:w="1151"/>
        <w:gridCol w:w="1151"/>
      </w:tblGrid>
      <w:tr>
        <w:trPr>
          <w:trHeight w:val="714"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3" w:right="6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北京二六三企 业通信有限公 司</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249,439,825.82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82,161,249.02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181,338,550.71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33,577,010.50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33,324,824.22</w:t>
            </w: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北京二六三网 络科技有限公 司</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1,000,121,874.35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792,550,315.42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384,848,138.10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64,279,523.00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56,603,792.67</w:t>
            </w:r>
          </w:p>
        </w:tc>
      </w:tr>
      <w:tr>
        <w:trPr>
          <w:trHeight w:val="714"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上海二六三通 信有限公司</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宋体" w:hAnsi="宋体" w:cs="宋体" w:eastAsia="宋体" w:hint="default"/>
                <w:sz w:val="18"/>
                <w:szCs w:val="18"/>
              </w:rPr>
              <w:t>、大企业 集成通信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118,866,838.16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63,664,891.08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102,100,045.92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8,171,275.45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8,952,915.07</w:t>
            </w: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广州二六三移 动通信有限公 司</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子公 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MVNO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163,507,444.32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142,834,822.91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24,951,692.00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-12,536,516.75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-12,275,215.18</w:t>
            </w:r>
          </w:p>
        </w:tc>
      </w:tr>
    </w:tbl>
    <w:p>
      <w:pPr>
        <w:pStyle w:val="BodyText"/>
        <w:spacing w:line="240" w:lineRule="auto" w:before="51"/>
        <w:ind w:left="154" w:right="1033"/>
        <w:jc w:val="left"/>
      </w:pPr>
      <w:r>
        <w:rPr/>
        <w:t>报告期内取得和处置子公司的情况</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移动通信业务处于投入发展期，尚处于 亏损阶段，对生产经营和业绩上产生不 利影响</w:t>
            </w:r>
          </w:p>
        </w:tc>
      </w:tr>
    </w:tbl>
    <w:p>
      <w:pPr>
        <w:pStyle w:val="BodyText"/>
        <w:spacing w:line="240" w:lineRule="auto" w:before="51"/>
        <w:ind w:left="154" w:right="1033"/>
        <w:jc w:val="left"/>
      </w:pPr>
      <w:r>
        <w:rPr/>
        <w:t>主要控股参股公司情况说明</w:t>
      </w:r>
    </w:p>
    <w:p>
      <w:pPr>
        <w:pStyle w:val="BodyText"/>
        <w:spacing w:line="307" w:lineRule="auto" w:before="115"/>
        <w:ind w:left="154" w:right="1033"/>
        <w:jc w:val="left"/>
      </w:pPr>
      <w:r>
        <w:rPr/>
        <w:t>北京二六三企业通信有限公司本年净利润较上年减少</w:t>
      </w:r>
      <w:r>
        <w:rPr>
          <w:rFonts w:ascii="Times New Roman" w:hAnsi="Times New Roman" w:cs="Times New Roman" w:eastAsia="Times New Roman" w:hint="default"/>
        </w:rPr>
        <w:t>18.91%,</w:t>
      </w:r>
      <w:r>
        <w:rPr/>
        <w:t>主要系：研发投入加大、集团开始对子公司收取集团共享服务 费等因素所致。 北京二六三网络科技有限公司本年净利润较上年减少</w:t>
      </w:r>
      <w:r>
        <w:rPr>
          <w:rFonts w:ascii="Times New Roman" w:hAnsi="Times New Roman" w:cs="Times New Roman" w:eastAsia="Times New Roman" w:hint="default"/>
        </w:rPr>
        <w:t>52.43%</w:t>
      </w:r>
      <w:r>
        <w:rPr/>
        <w:t>，主要系：加拿大元对美元贬值幅度明显高于人民币对美元贬 </w:t>
      </w:r>
      <w:r>
        <w:rPr>
          <w:spacing w:val="-2"/>
        </w:rPr>
        <w:t>值幅度导致海外收入下降、新业务投入加大、坏账准备估计变更使得资产减值损失计提增加、政府补贴减少及集团开始对子</w:t>
      </w:r>
      <w:r>
        <w:rPr>
          <w:spacing w:val="-66"/>
        </w:rPr>
        <w:t> </w:t>
      </w:r>
      <w:r>
        <w:rPr>
          <w:spacing w:val="-66"/>
        </w:rPr>
      </w:r>
      <w:r>
        <w:rPr/>
        <w:t>公司收取集团共享服务费等因素所致。 上海二六三通信有限公司本年净利润较上年减少</w:t>
      </w:r>
      <w:r>
        <w:rPr>
          <w:rFonts w:ascii="Times New Roman" w:hAnsi="Times New Roman" w:cs="Times New Roman" w:eastAsia="Times New Roman" w:hint="default"/>
        </w:rPr>
        <w:t>46.33%</w:t>
      </w:r>
      <w:r>
        <w:rPr/>
        <w:t>，主要系：传统的固网语音增值业务</w:t>
      </w:r>
      <w:r>
        <w:rPr>
          <w:rFonts w:ascii="Times New Roman" w:hAnsi="Times New Roman" w:cs="Times New Roman" w:eastAsia="Times New Roman" w:hint="default"/>
        </w:rPr>
        <w:t>(96446IP</w:t>
      </w:r>
      <w:r>
        <w:rPr/>
        <w:t>长途转售与</w:t>
      </w:r>
      <w:r>
        <w:rPr>
          <w:rFonts w:ascii="Times New Roman" w:hAnsi="Times New Roman" w:cs="Times New Roman" w:eastAsia="Times New Roman" w:hint="default"/>
        </w:rPr>
        <w:t>95050</w:t>
      </w:r>
      <w:r>
        <w:rPr/>
        <w:t>多方 通话</w:t>
      </w:r>
      <w:r>
        <w:rPr>
          <w:rFonts w:ascii="Times New Roman" w:hAnsi="Times New Roman" w:cs="Times New Roman" w:eastAsia="Times New Roman" w:hint="default"/>
        </w:rPr>
        <w:t>)</w:t>
      </w:r>
      <w:r>
        <w:rPr/>
        <w:t>收入下降、新业务投入加大、政府补贴减少、坏账准备估计变更使得资产减值损失计提增加及集团开始对子公司收取 集团共享服务费等因素所致。</w:t>
      </w:r>
    </w:p>
    <w:p>
      <w:pPr>
        <w:spacing w:after="0" w:line="307" w:lineRule="auto"/>
        <w:jc w:val="left"/>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0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r>
        <w:rPr>
          <w:rFonts w:ascii="Times New Roman" w:hAnsi="Times New Roman" w:cs="Times New Roman" w:eastAsia="Times New Roman" w:hint="default"/>
        </w:rPr>
        <w:t>1</w:t>
      </w:r>
      <w:r>
        <w:rPr/>
        <w:t>、行业发展趋势</w:t>
      </w:r>
      <w:r>
        <w:rPr>
          <w:b w:val="0"/>
          <w:bCs w:val="0"/>
        </w:rPr>
      </w:r>
    </w:p>
    <w:p>
      <w:pPr>
        <w:pStyle w:val="BodyText"/>
        <w:spacing w:line="307" w:lineRule="auto" w:before="46"/>
        <w:ind w:right="1129" w:firstLine="360"/>
        <w:jc w:val="both"/>
      </w:pPr>
      <w:r>
        <w:rPr>
          <w:spacing w:val="-2"/>
        </w:rPr>
        <w:t>通信是人类与生俱来的基本需求，通信方式的变化深刻地影响着人类的生活和社会的进步。从</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50</w:t>
      </w:r>
      <w:r>
        <w:rPr>
          <w:spacing w:val="-2"/>
        </w:rPr>
        <w:t>年代到现在，现</w:t>
      </w:r>
      <w:r>
        <w:rPr/>
        <w:t> </w:t>
      </w:r>
      <w:r>
        <w:rPr>
          <w:spacing w:val="-2"/>
        </w:rPr>
        <w:t>代信息通信技术经历了半导体、个人计算机、互联网三次浪潮，无线通信、数字通信、网络通信等新通信方式的诞生和普及</w:t>
      </w:r>
      <w:r>
        <w:rPr>
          <w:spacing w:val="-66"/>
        </w:rPr>
        <w:t> </w:t>
      </w:r>
      <w:r>
        <w:rPr>
          <w:spacing w:val="-66"/>
        </w:rPr>
      </w:r>
      <w:r>
        <w:rPr/>
        <w:t>为人类社会的发展与进步提供了巨大的推动动力。近年来，随着通信技术（</w:t>
      </w:r>
      <w:r>
        <w:rPr>
          <w:rFonts w:ascii="Times New Roman" w:hAnsi="Times New Roman" w:cs="Times New Roman" w:eastAsia="Times New Roman" w:hint="default"/>
        </w:rPr>
        <w:t>CT</w:t>
      </w:r>
      <w:r>
        <w:rPr/>
        <w:t>）与信息技术（</w:t>
      </w:r>
      <w:r>
        <w:rPr>
          <w:rFonts w:ascii="Times New Roman" w:hAnsi="Times New Roman" w:cs="Times New Roman" w:eastAsia="Times New Roman" w:hint="default"/>
        </w:rPr>
        <w:t>IT</w:t>
      </w:r>
      <w:r>
        <w:rPr/>
        <w:t>）的深度融合，通信的内</w:t>
      </w:r>
      <w:r>
        <w:rPr>
          <w:spacing w:val="-42"/>
        </w:rPr>
        <w:t> </w:t>
      </w:r>
      <w:r>
        <w:rPr>
          <w:spacing w:val="-42"/>
        </w:rPr>
      </w:r>
      <w:r>
        <w:rPr/>
        <w:t>涵和外延发生了巨大的变化和扩展，具体表现在：</w:t>
      </w:r>
    </w:p>
    <w:p>
      <w:pPr>
        <w:pStyle w:val="BodyText"/>
        <w:spacing w:line="300" w:lineRule="auto" w:before="26"/>
        <w:ind w:left="154" w:right="1131" w:firstLine="360"/>
        <w:jc w:val="both"/>
      </w:pPr>
      <w:r>
        <w:rPr>
          <w:spacing w:val="-2"/>
        </w:rPr>
        <w:t>网络无所不在</w:t>
      </w:r>
      <w:r>
        <w:rPr>
          <w:rFonts w:ascii="Times New Roman" w:hAnsi="Times New Roman" w:cs="Times New Roman" w:eastAsia="Times New Roman" w:hint="default"/>
          <w:spacing w:val="-2"/>
        </w:rPr>
        <w:t>——</w:t>
      </w:r>
      <w:r>
        <w:rPr>
          <w:spacing w:val="-2"/>
        </w:rPr>
        <w:t>从传统电路交换的模拟通信网络演进到了数字化和</w:t>
      </w:r>
      <w:r>
        <w:rPr>
          <w:rFonts w:ascii="Times New Roman" w:hAnsi="Times New Roman" w:cs="Times New Roman" w:eastAsia="Times New Roman" w:hint="default"/>
          <w:spacing w:val="-2"/>
        </w:rPr>
        <w:t>IP</w:t>
      </w:r>
      <w:r>
        <w:rPr>
          <w:spacing w:val="-2"/>
        </w:rPr>
        <w:t>化的数据通信网络，并且正在向实现万物互联的</w:t>
      </w:r>
      <w:r>
        <w:rPr/>
        <w:t> 泛在网络积极演进；</w:t>
      </w:r>
    </w:p>
    <w:p>
      <w:pPr>
        <w:pStyle w:val="BodyText"/>
        <w:spacing w:line="300" w:lineRule="auto" w:before="31"/>
        <w:ind w:left="513" w:right="1033"/>
        <w:jc w:val="left"/>
      </w:pPr>
      <w:r>
        <w:rPr/>
        <w:t>通信无所不连</w:t>
      </w:r>
      <w:r>
        <w:rPr>
          <w:rFonts w:ascii="Times New Roman" w:hAnsi="Times New Roman" w:cs="Times New Roman" w:eastAsia="Times New Roman" w:hint="default"/>
        </w:rPr>
        <w:t>——</w:t>
      </w:r>
      <w:r>
        <w:rPr/>
        <w:t>通信正从人与人之间的连接向人与物、物与物之间的连接演进； </w:t>
      </w:r>
      <w:r>
        <w:rPr>
          <w:spacing w:val="-1"/>
        </w:rPr>
        <w:t>应用无所不含</w:t>
      </w:r>
      <w:r>
        <w:rPr>
          <w:rFonts w:ascii="Times New Roman" w:hAnsi="Times New Roman" w:cs="Times New Roman" w:eastAsia="Times New Roman" w:hint="default"/>
          <w:spacing w:val="-1"/>
        </w:rPr>
        <w:t>——</w:t>
      </w:r>
      <w:r>
        <w:rPr>
          <w:spacing w:val="-1"/>
        </w:rPr>
        <w:t>通信业务的范畴已经从个人信息沟通（语音、邮件、即时通信、社交网络、</w:t>
      </w:r>
      <w:r>
        <w:rPr>
          <w:rFonts w:ascii="Times New Roman" w:hAnsi="Times New Roman" w:cs="Times New Roman" w:eastAsia="Times New Roman" w:hint="default"/>
          <w:spacing w:val="-1"/>
        </w:rPr>
        <w:t>Web</w:t>
      </w:r>
      <w:r>
        <w:rPr>
          <w:spacing w:val="-1"/>
        </w:rPr>
        <w:t>、手机</w:t>
      </w:r>
      <w:r>
        <w:rPr>
          <w:rFonts w:ascii="Times New Roman" w:hAnsi="Times New Roman" w:cs="Times New Roman" w:eastAsia="Times New Roman" w:hint="default"/>
          <w:spacing w:val="-1"/>
        </w:rPr>
        <w:t>App</w:t>
      </w:r>
      <w:r>
        <w:rPr>
          <w:spacing w:val="-1"/>
        </w:rPr>
        <w:t>等）扩展</w:t>
      </w:r>
    </w:p>
    <w:p>
      <w:pPr>
        <w:pStyle w:val="BodyText"/>
        <w:spacing w:line="300" w:lineRule="auto" w:before="13"/>
        <w:ind w:right="1033"/>
        <w:jc w:val="left"/>
      </w:pPr>
      <w:r>
        <w:rPr/>
        <w:t>到企业应用（统一通信、协同办公、</w:t>
      </w:r>
      <w:r>
        <w:rPr>
          <w:rFonts w:ascii="Times New Roman" w:hAnsi="Times New Roman" w:cs="Times New Roman" w:eastAsia="Times New Roman" w:hint="default"/>
        </w:rPr>
        <w:t>SaaS</w:t>
      </w:r>
      <w:r>
        <w:rPr/>
        <w:t>、云计算、大数据、物联网等）和智能化社会（智慧城市、智能生活、工业</w:t>
      </w:r>
      <w:r>
        <w:rPr>
          <w:rFonts w:ascii="Times New Roman" w:hAnsi="Times New Roman" w:cs="Times New Roman" w:eastAsia="Times New Roman" w:hint="default"/>
        </w:rPr>
        <w:t>4.0</w:t>
      </w:r>
      <w:r>
        <w:rPr/>
        <w:t>、</w:t>
      </w:r>
      <w:r>
        <w:rPr>
          <w:spacing w:val="-41"/>
        </w:rPr>
        <w:t> </w:t>
      </w:r>
      <w:r>
        <w:rPr/>
        <w:t>中国制造</w:t>
      </w:r>
      <w:r>
        <w:rPr>
          <w:rFonts w:ascii="Times New Roman" w:hAnsi="Times New Roman" w:cs="Times New Roman" w:eastAsia="Times New Roman" w:hint="default"/>
        </w:rPr>
        <w:t>2025</w:t>
      </w:r>
      <w:r>
        <w:rPr/>
        <w:t>等）。</w:t>
      </w:r>
    </w:p>
    <w:p>
      <w:pPr>
        <w:pStyle w:val="BodyText"/>
        <w:spacing w:line="307" w:lineRule="auto" w:before="13"/>
        <w:ind w:right="1033" w:firstLine="360"/>
        <w:jc w:val="left"/>
      </w:pPr>
      <w:r>
        <w:rPr>
          <w:spacing w:val="-2"/>
        </w:rPr>
        <w:t>随着信息技术在通信行业的逐步深入，通信网络将进入软件定义网络（</w:t>
      </w:r>
      <w:r>
        <w:rPr>
          <w:rFonts w:ascii="Times New Roman" w:hAnsi="Times New Roman" w:cs="Times New Roman" w:eastAsia="Times New Roman" w:hint="default"/>
          <w:spacing w:val="-2"/>
        </w:rPr>
        <w:t>SDN</w:t>
      </w:r>
      <w:r>
        <w:rPr>
          <w:spacing w:val="-2"/>
        </w:rPr>
        <w:t>）和网络功能虚拟化（</w:t>
      </w:r>
      <w:r>
        <w:rPr>
          <w:rFonts w:ascii="Times New Roman" w:hAnsi="Times New Roman" w:cs="Times New Roman" w:eastAsia="Times New Roman" w:hint="default"/>
          <w:spacing w:val="-2"/>
        </w:rPr>
        <w:t>NFV</w:t>
      </w:r>
      <w:r>
        <w:rPr>
          <w:spacing w:val="-2"/>
        </w:rPr>
        <w:t>）的阶段，网络</w:t>
      </w:r>
      <w:r>
        <w:rPr/>
        <w:t> 部署和功能实现将更加高效灵活，业务支撑也将更加开放。通信产业原有的由基础运营商为主导的上下游产业链将被打破，</w:t>
      </w:r>
      <w:r>
        <w:rPr>
          <w:spacing w:val="-85"/>
        </w:rPr>
        <w:t> </w:t>
      </w:r>
      <w:r>
        <w:rPr>
          <w:spacing w:val="-85"/>
        </w:rPr>
      </w:r>
      <w:r>
        <w:rPr>
          <w:spacing w:val="-2"/>
        </w:rPr>
        <w:t>产业生态环境也将发生根本性变化，将形成由基础运营商、通信企业、</w:t>
      </w:r>
      <w:r>
        <w:rPr>
          <w:rFonts w:ascii="Times New Roman" w:hAnsi="Times New Roman" w:cs="Times New Roman" w:eastAsia="Times New Roman" w:hint="default"/>
          <w:spacing w:val="-2"/>
        </w:rPr>
        <w:t>IT</w:t>
      </w:r>
      <w:r>
        <w:rPr>
          <w:spacing w:val="-2"/>
        </w:rPr>
        <w:t>企业、互联网企业等众多主体共同参与的市场新格</w:t>
      </w:r>
      <w:r>
        <w:rPr>
          <w:spacing w:val="-52"/>
        </w:rPr>
        <w:t> </w:t>
      </w:r>
      <w:r>
        <w:rPr>
          <w:spacing w:val="-52"/>
        </w:rPr>
      </w:r>
      <w:r>
        <w:rPr/>
        <w:t>局。</w:t>
      </w:r>
    </w:p>
    <w:p>
      <w:pPr>
        <w:pStyle w:val="BodyText"/>
        <w:spacing w:line="300" w:lineRule="auto" w:before="26"/>
        <w:ind w:right="1131" w:firstLine="360"/>
        <w:jc w:val="both"/>
      </w:pPr>
      <w:r>
        <w:rPr>
          <w:spacing w:val="-1"/>
        </w:rPr>
        <w:t>从信息技术的角度看，</w:t>
      </w:r>
      <w:r>
        <w:rPr>
          <w:rFonts w:ascii="Times New Roman" w:hAnsi="Times New Roman" w:cs="Times New Roman" w:eastAsia="Times New Roman" w:hint="default"/>
          <w:spacing w:val="-1"/>
        </w:rPr>
        <w:t>SaaS</w:t>
      </w:r>
      <w:r>
        <w:rPr>
          <w:spacing w:val="-1"/>
        </w:rPr>
        <w:t>是一种针对企业的软件服务；但是从通信技术与信息技术相融合的信息通信技术（</w:t>
      </w:r>
      <w:r>
        <w:rPr>
          <w:rFonts w:ascii="Times New Roman" w:hAnsi="Times New Roman" w:cs="Times New Roman" w:eastAsia="Times New Roman" w:hint="default"/>
          <w:spacing w:val="-1"/>
        </w:rPr>
        <w:t>ICT</w:t>
      </w:r>
      <w:r>
        <w:rPr>
          <w:spacing w:val="-1"/>
        </w:rPr>
        <w:t>）的</w:t>
      </w:r>
      <w:r>
        <w:rPr>
          <w:spacing w:val="-2"/>
        </w:rPr>
        <w:t> </w:t>
      </w:r>
      <w:r>
        <w:rPr>
          <w:spacing w:val="-5"/>
        </w:rPr>
        <w:t>角度，</w:t>
      </w:r>
      <w:r>
        <w:rPr>
          <w:rFonts w:ascii="Times New Roman" w:hAnsi="Times New Roman" w:cs="Times New Roman" w:eastAsia="Times New Roman" w:hint="default"/>
          <w:spacing w:val="-5"/>
        </w:rPr>
        <w:t>SaaS</w:t>
      </w:r>
      <w:r>
        <w:rPr>
          <w:spacing w:val="-5"/>
        </w:rPr>
        <w:t>又可被视为一种针对企业应用的通信服务。就通信的企业应用而言，通过</w:t>
      </w:r>
      <w:r>
        <w:rPr>
          <w:rFonts w:ascii="Times New Roman" w:hAnsi="Times New Roman" w:cs="Times New Roman" w:eastAsia="Times New Roman" w:hint="default"/>
          <w:spacing w:val="-5"/>
        </w:rPr>
        <w:t>SaaS</w:t>
      </w:r>
      <w:r>
        <w:rPr>
          <w:spacing w:val="-5"/>
        </w:rPr>
        <w:t>模式提供企业统一通信、协同办公、</w:t>
      </w:r>
      <w:r>
        <w:rPr>
          <w:spacing w:val="-62"/>
        </w:rPr>
        <w:t> </w:t>
      </w:r>
      <w:r>
        <w:rPr>
          <w:spacing w:val="-62"/>
        </w:rPr>
      </w:r>
      <w:r>
        <w:rPr>
          <w:spacing w:val="-2"/>
        </w:rPr>
        <w:t>软件及</w:t>
      </w:r>
      <w:r>
        <w:rPr>
          <w:rFonts w:ascii="Times New Roman" w:hAnsi="Times New Roman" w:cs="Times New Roman" w:eastAsia="Times New Roman" w:hint="default"/>
          <w:spacing w:val="-2"/>
        </w:rPr>
        <w:t>IT</w:t>
      </w:r>
      <w:r>
        <w:rPr>
          <w:spacing w:val="-2"/>
        </w:rPr>
        <w:t>部署已经成为必然趋势。特别是在虚拟化技术、安全技术和移动互联网发展的推动下，这些企业应用通过虚拟化向</w:t>
      </w:r>
      <w:r>
        <w:rPr>
          <w:spacing w:val="-52"/>
        </w:rPr>
        <w:t> </w:t>
      </w:r>
      <w:r>
        <w:rPr>
          <w:spacing w:val="-52"/>
        </w:rPr>
      </w:r>
      <w:r>
        <w:rPr>
          <w:spacing w:val="-2"/>
        </w:rPr>
        <w:t>云计算平台迁移，转变为建立在互联网和移动互联网上的</w:t>
      </w:r>
      <w:r>
        <w:rPr>
          <w:rFonts w:ascii="Times New Roman" w:hAnsi="Times New Roman" w:cs="Times New Roman" w:eastAsia="Times New Roman" w:hint="default"/>
          <w:spacing w:val="-2"/>
        </w:rPr>
        <w:t>SaaS</w:t>
      </w:r>
      <w:r>
        <w:rPr>
          <w:spacing w:val="-2"/>
        </w:rPr>
        <w:t>云服务，凭借云基础设施架构、云平台服务和云软件服务的快</w:t>
      </w:r>
      <w:r>
        <w:rPr>
          <w:spacing w:val="-63"/>
        </w:rPr>
        <w:t> </w:t>
      </w:r>
      <w:r>
        <w:rPr>
          <w:spacing w:val="-63"/>
        </w:rPr>
      </w:r>
      <w:r>
        <w:rPr/>
        <w:t>速业务响应能力、灵活定制能力、弹性服务能力进一步推动企业的信息化建设和互联网应用建设。</w:t>
      </w:r>
    </w:p>
    <w:p>
      <w:pPr>
        <w:spacing w:line="240" w:lineRule="auto" w:before="4"/>
        <w:rPr>
          <w:rFonts w:ascii="宋体" w:hAnsi="宋体" w:cs="宋体" w:eastAsia="宋体" w:hint="default"/>
          <w:sz w:val="24"/>
          <w:szCs w:val="24"/>
        </w:rPr>
      </w:pPr>
    </w:p>
    <w:p>
      <w:pPr>
        <w:pStyle w:val="Heading4"/>
        <w:spacing w:line="240" w:lineRule="auto"/>
        <w:ind w:left="153" w:right="1033"/>
        <w:jc w:val="left"/>
        <w:rPr>
          <w:b w:val="0"/>
          <w:bCs w:val="0"/>
        </w:rPr>
      </w:pPr>
      <w:r>
        <w:rPr>
          <w:rFonts w:ascii="Times New Roman" w:hAnsi="Times New Roman" w:cs="Times New Roman" w:eastAsia="Times New Roman" w:hint="default"/>
        </w:rPr>
        <w:t>2</w:t>
      </w:r>
      <w:r>
        <w:rPr/>
        <w:t>、公司发展战略</w:t>
      </w:r>
      <w:r>
        <w:rPr>
          <w:b w:val="0"/>
          <w:bCs w:val="0"/>
        </w:rPr>
      </w:r>
    </w:p>
    <w:p>
      <w:pPr>
        <w:pStyle w:val="BodyText"/>
        <w:spacing w:line="316" w:lineRule="auto" w:before="46"/>
        <w:ind w:left="513" w:right="1033"/>
        <w:jc w:val="left"/>
      </w:pPr>
      <w:r>
        <w:rPr/>
        <w:t>公司是一家运用互联网技术和转售方式为企业和个人提供虚拟运营通信服务的新型通信服务商。 </w:t>
      </w:r>
      <w:r>
        <w:rPr>
          <w:spacing w:val="-2"/>
        </w:rPr>
        <w:t>在企业客户市场，公司在企业通信和协同办公领域为国内各类企业客户提供企业级</w:t>
      </w:r>
      <w:r>
        <w:rPr>
          <w:rFonts w:ascii="Times New Roman" w:hAnsi="Times New Roman" w:cs="Times New Roman" w:eastAsia="Times New Roman" w:hint="default"/>
          <w:spacing w:val="-2"/>
        </w:rPr>
        <w:t>SaaS</w:t>
      </w:r>
      <w:r>
        <w:rPr>
          <w:spacing w:val="-2"/>
        </w:rPr>
        <w:t>服务，致力于成为中国领先的企</w:t>
      </w:r>
    </w:p>
    <w:p>
      <w:pPr>
        <w:pStyle w:val="BodyText"/>
        <w:spacing w:line="300" w:lineRule="auto"/>
        <w:ind w:left="514" w:right="1033" w:hanging="360"/>
        <w:jc w:val="left"/>
      </w:pPr>
      <w:r>
        <w:rPr/>
        <w:t>业通信服务商和企业</w:t>
      </w:r>
      <w:r>
        <w:rPr>
          <w:rFonts w:ascii="Times New Roman" w:hAnsi="Times New Roman" w:cs="Times New Roman" w:eastAsia="Times New Roman" w:hint="default"/>
        </w:rPr>
        <w:t>SaaS</w:t>
      </w:r>
      <w:r>
        <w:rPr/>
        <w:t>服务商。 </w:t>
      </w:r>
      <w:r>
        <w:rPr>
          <w:spacing w:val="-2"/>
        </w:rPr>
        <w:t>在个人客户市场，公司在全球华人跨境通信领域，为海外华人家庭提供互联网综合通信服务，为全球商旅华人和海外华</w:t>
      </w:r>
    </w:p>
    <w:p>
      <w:pPr>
        <w:pStyle w:val="BodyText"/>
        <w:spacing w:line="240" w:lineRule="auto" w:before="31"/>
        <w:ind w:left="154" w:right="1033"/>
        <w:jc w:val="left"/>
      </w:pPr>
      <w:r>
        <w:rPr/>
        <w:t>人提供虚拟移动通信服务（</w:t>
      </w:r>
      <w:r>
        <w:rPr>
          <w:rFonts w:ascii="Times New Roman" w:hAnsi="Times New Roman" w:cs="Times New Roman" w:eastAsia="Times New Roman" w:hint="default"/>
        </w:rPr>
        <w:t>MVNO</w:t>
      </w:r>
      <w:r>
        <w:rPr/>
        <w:t>），致力于成为全球华人通信服务商。</w:t>
      </w:r>
    </w:p>
    <w:p>
      <w:pPr>
        <w:spacing w:line="240" w:lineRule="auto" w:before="9"/>
        <w:rPr>
          <w:rFonts w:ascii="宋体" w:hAnsi="宋体" w:cs="宋体" w:eastAsia="宋体" w:hint="default"/>
          <w:sz w:val="26"/>
          <w:szCs w:val="26"/>
        </w:rPr>
      </w:pPr>
    </w:p>
    <w:p>
      <w:pPr>
        <w:pStyle w:val="Heading4"/>
        <w:spacing w:line="240" w:lineRule="auto"/>
        <w:ind w:right="1033"/>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年经营计划</w:t>
      </w:r>
      <w:r>
        <w:rPr>
          <w:b w:val="0"/>
          <w:bCs w:val="0"/>
        </w:rPr>
      </w:r>
    </w:p>
    <w:p>
      <w:pPr>
        <w:pStyle w:val="BodyText"/>
        <w:spacing w:line="300" w:lineRule="auto" w:before="46"/>
        <w:ind w:left="574" w:right="1033" w:hanging="420"/>
        <w:jc w:val="left"/>
      </w:pPr>
      <w:r>
        <w:rPr/>
        <w:t>（</w:t>
      </w:r>
      <w:r>
        <w:rPr>
          <w:rFonts w:ascii="Times New Roman" w:hAnsi="Times New Roman" w:cs="Times New Roman" w:eastAsia="Times New Roman" w:hint="default"/>
        </w:rPr>
        <w:t>1</w:t>
      </w:r>
      <w:r>
        <w:rPr/>
        <w:t>）、企业通信业务 公司企业通信业务已经形成了基于邮件、网盘、即时通信、电话会议、网络会议和网络直播等企业数据通信的全线产</w:t>
      </w:r>
    </w:p>
    <w:p>
      <w:pPr>
        <w:pStyle w:val="BodyText"/>
        <w:spacing w:line="307" w:lineRule="auto" w:before="31"/>
        <w:ind w:right="1132"/>
        <w:jc w:val="both"/>
      </w:pPr>
      <w:r>
        <w:rPr/>
        <w:t>品服务能力，公司将这些产品与</w:t>
      </w:r>
      <w:r>
        <w:rPr>
          <w:rFonts w:ascii="Times New Roman" w:hAnsi="Times New Roman" w:cs="Times New Roman" w:eastAsia="Times New Roman" w:hint="default"/>
        </w:rPr>
        <w:t>263</w:t>
      </w:r>
      <w:r>
        <w:rPr/>
        <w:t>云通信深度融合</w:t>
      </w:r>
      <w:r>
        <w:rPr>
          <w:rFonts w:ascii="Times New Roman" w:hAnsi="Times New Roman" w:cs="Times New Roman" w:eastAsia="Times New Roman" w:hint="default"/>
        </w:rPr>
        <w:t>,</w:t>
      </w:r>
      <w:r>
        <w:rPr/>
        <w:t>形成基于</w:t>
      </w:r>
      <w:r>
        <w:rPr>
          <w:rFonts w:ascii="Times New Roman" w:hAnsi="Times New Roman" w:cs="Times New Roman" w:eastAsia="Times New Roman" w:hint="default"/>
        </w:rPr>
        <w:t>263</w:t>
      </w:r>
      <w:r>
        <w:rPr/>
        <w:t>云通信平台的企业通信与协同办公整体解决方案，致力于</w:t>
      </w:r>
      <w:r>
        <w:rPr>
          <w:spacing w:val="-46"/>
        </w:rPr>
        <w:t> </w:t>
      </w:r>
      <w:r>
        <w:rPr>
          <w:spacing w:val="-46"/>
        </w:rPr>
      </w:r>
      <w:r>
        <w:rPr>
          <w:spacing w:val="-2"/>
        </w:rPr>
        <w:t>为企业客户提供高性价比的企业通信和协同办公服务，帮助企业客户在企业互联时代的云端生态圈中实现智慧连接，共赢先</w:t>
      </w:r>
      <w:r>
        <w:rPr>
          <w:spacing w:val="-64"/>
        </w:rPr>
        <w:t> </w:t>
      </w:r>
      <w:r>
        <w:rPr>
          <w:spacing w:val="-64"/>
        </w:rPr>
      </w:r>
      <w:r>
        <w:rPr/>
        <w:t>机。</w:t>
      </w:r>
      <w:r>
        <w:rPr>
          <w:rFonts w:ascii="Times New Roman" w:hAnsi="Times New Roman" w:cs="Times New Roman" w:eastAsia="Times New Roman" w:hint="default"/>
        </w:rPr>
        <w:t>263</w:t>
      </w:r>
      <w:r>
        <w:rPr/>
        <w:t>云通信致力于</w:t>
      </w:r>
      <w:r>
        <w:rPr>
          <w:rFonts w:ascii="Times New Roman" w:hAnsi="Times New Roman" w:cs="Times New Roman" w:eastAsia="Times New Roman" w:hint="default"/>
        </w:rPr>
        <w:t>“</w:t>
      </w:r>
      <w:r>
        <w:rPr/>
        <w:t>做企业互联网时代的连接器</w:t>
      </w:r>
      <w:r>
        <w:rPr>
          <w:rFonts w:ascii="Times New Roman" w:hAnsi="Times New Roman" w:cs="Times New Roman" w:eastAsia="Times New Roman" w:hint="default"/>
        </w:rPr>
        <w:t>”</w:t>
      </w:r>
      <w:r>
        <w:rPr/>
        <w:t>，进一步实现企业经营管理中的四个统一（统一人员沟通、统一工作协</w:t>
      </w:r>
      <w:r>
        <w:rPr>
          <w:spacing w:val="-68"/>
        </w:rPr>
        <w:t> </w:t>
      </w:r>
      <w:r>
        <w:rPr>
          <w:spacing w:val="-68"/>
        </w:rPr>
      </w:r>
      <w:r>
        <w:rPr/>
        <w:t>同、统一内容存储、统一应用接入），让企业办公更轻松，让企业员工轻松办公、快乐生活。</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904" w:lineRule="exact"/>
        <w:ind w:left="89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180421" cy="184404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180421" cy="184404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2"/>
        <w:rPr>
          <w:rFonts w:ascii="宋体" w:hAnsi="宋体" w:cs="宋体" w:eastAsia="宋体" w:hint="default"/>
          <w:sz w:val="5"/>
          <w:szCs w:val="5"/>
        </w:rPr>
      </w:pPr>
    </w:p>
    <w:p>
      <w:pPr>
        <w:pStyle w:val="BodyText"/>
        <w:spacing w:line="309" w:lineRule="auto" w:before="44"/>
        <w:ind w:right="1132" w:firstLine="360"/>
        <w:jc w:val="both"/>
      </w:pPr>
      <w:r>
        <w:rPr>
          <w:spacing w:val="-2"/>
        </w:rPr>
        <w:t>公司将在已有的行业大客户样本基础上，着重从以下四个方向寻找新的突破点：以金融、物流、教育、外贸为主的行业</w:t>
      </w:r>
      <w:r>
        <w:rPr/>
        <w:t> 突破；以混合云存储、企业语音集成为主的模式突破；以</w:t>
      </w:r>
      <w:r>
        <w:rPr>
          <w:rFonts w:ascii="Times New Roman" w:hAnsi="Times New Roman" w:cs="Times New Roman" w:eastAsia="Times New Roman" w:hint="default"/>
        </w:rPr>
        <w:t>HR</w:t>
      </w:r>
      <w:r>
        <w:rPr/>
        <w:t>、</w:t>
      </w:r>
      <w:r>
        <w:rPr>
          <w:rFonts w:ascii="Times New Roman" w:hAnsi="Times New Roman" w:cs="Times New Roman" w:eastAsia="Times New Roman" w:hint="default"/>
        </w:rPr>
        <w:t>CRM</w:t>
      </w:r>
      <w:r>
        <w:rPr/>
        <w:t>等</w:t>
      </w:r>
      <w:r>
        <w:rPr>
          <w:rFonts w:ascii="Times New Roman" w:hAnsi="Times New Roman" w:cs="Times New Roman" w:eastAsia="Times New Roman" w:hint="default"/>
        </w:rPr>
        <w:t>SaaS</w:t>
      </w:r>
      <w:r>
        <w:rPr/>
        <w:t>服务为主的应用突破；以兼容现有</w:t>
      </w:r>
      <w:r>
        <w:rPr>
          <w:rFonts w:ascii="Times New Roman" w:hAnsi="Times New Roman" w:cs="Times New Roman" w:eastAsia="Times New Roman" w:hint="default"/>
        </w:rPr>
        <w:t>OA</w:t>
      </w:r>
      <w:r>
        <w:rPr/>
        <w:t>产品合作</w:t>
      </w:r>
      <w:r>
        <w:rPr>
          <w:spacing w:val="-13"/>
        </w:rPr>
        <w:t> </w:t>
      </w:r>
      <w:r>
        <w:rPr/>
        <w:t>的集成突破。</w:t>
      </w:r>
    </w:p>
    <w:p>
      <w:pPr>
        <w:pStyle w:val="BodyText"/>
        <w:spacing w:line="307" w:lineRule="auto" w:before="24"/>
        <w:ind w:right="1131" w:firstLine="360"/>
        <w:jc w:val="both"/>
      </w:pPr>
      <w:r>
        <w:rPr/>
        <w:t>在</w:t>
      </w:r>
      <w:r>
        <w:rPr>
          <w:rFonts w:ascii="Times New Roman" w:hAnsi="Times New Roman" w:cs="Times New Roman" w:eastAsia="Times New Roman" w:hint="default"/>
        </w:rPr>
        <w:t>263</w:t>
      </w:r>
      <w:r>
        <w:rPr/>
        <w:t>云通信的各产品服务方面，公司将继续致力于保持邮件业务的行业领先地位，注重运营效率；加强网络直播产品 </w:t>
      </w:r>
      <w:r>
        <w:rPr>
          <w:spacing w:val="-2"/>
        </w:rPr>
        <w:t>的研发，扩大行业领先优势；电话会议将不断优化产品易用性及稳定性，不断提升收入规模；网络会议对产品推陈出新，迅</w:t>
      </w:r>
      <w:r>
        <w:rPr>
          <w:spacing w:val="-66"/>
        </w:rPr>
        <w:t> </w:t>
      </w:r>
      <w:r>
        <w:rPr>
          <w:spacing w:val="-66"/>
        </w:rPr>
      </w:r>
      <w:r>
        <w:rPr>
          <w:spacing w:val="-5"/>
        </w:rPr>
        <w:t>速扩大用户数量；网盘将强化以公有云模式为主的销售，迅速占领市场；即时通信将持续进行技术创新，在</w:t>
      </w:r>
      <w:r>
        <w:rPr>
          <w:rFonts w:ascii="Times New Roman" w:hAnsi="Times New Roman" w:cs="Times New Roman" w:eastAsia="Times New Roman" w:hint="default"/>
          <w:spacing w:val="-5"/>
        </w:rPr>
        <w:t>PC</w:t>
      </w:r>
      <w:r>
        <w:rPr>
          <w:spacing w:val="-5"/>
        </w:rPr>
        <w:t>、</w:t>
      </w:r>
      <w:r>
        <w:rPr>
          <w:rFonts w:ascii="Times New Roman" w:hAnsi="Times New Roman" w:cs="Times New Roman" w:eastAsia="Times New Roman" w:hint="default"/>
          <w:spacing w:val="-5"/>
        </w:rPr>
        <w:t>IOS</w:t>
      </w:r>
      <w:r>
        <w:rPr>
          <w:spacing w:val="-5"/>
        </w:rPr>
        <w:t>及</w:t>
      </w:r>
      <w:r>
        <w:rPr>
          <w:rFonts w:ascii="Times New Roman" w:hAnsi="Times New Roman" w:cs="Times New Roman" w:eastAsia="Times New Roman" w:hint="default"/>
          <w:spacing w:val="-5"/>
        </w:rPr>
        <w:t>Android</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不断推出新版本，满足客户日常办公协作需求。</w:t>
      </w:r>
    </w:p>
    <w:p>
      <w:pPr>
        <w:pStyle w:val="BodyText"/>
        <w:spacing w:line="316" w:lineRule="auto" w:before="26"/>
        <w:ind w:right="1131" w:firstLine="360"/>
        <w:jc w:val="both"/>
      </w:pPr>
      <w:r>
        <w:rPr>
          <w:spacing w:val="-2"/>
        </w:rPr>
        <w:t>针对大型企业客户的集成通信服务，随着需求对应能力的形成，该业务将迎来用户实施部署的快速增长，并在物流行业</w:t>
      </w:r>
      <w:r>
        <w:rPr/>
        <w:t> </w:t>
      </w:r>
      <w:r>
        <w:rPr>
          <w:spacing w:val="-2"/>
        </w:rPr>
        <w:t>客户扩展的基础上探索其他行业大客户方向。同时，该业务将不仅满足客户对通信使用本身的管控需求，还将进一步关注与</w:t>
      </w:r>
      <w:r>
        <w:rPr>
          <w:spacing w:val="-66"/>
        </w:rPr>
        <w:t> </w:t>
      </w:r>
      <w:r>
        <w:rPr>
          <w:spacing w:val="-66"/>
        </w:rPr>
      </w:r>
      <w:r>
        <w:rPr>
          <w:spacing w:val="-2"/>
        </w:rPr>
        <w:t>沟通密切相关的企业自身业务管理需求，在基础通信服务上，推出增值和管理等产品功能，通过满足企业的深度需求，提高</w:t>
      </w:r>
      <w:r>
        <w:rPr>
          <w:spacing w:val="-66"/>
        </w:rPr>
        <w:t> </w:t>
      </w:r>
      <w:r>
        <w:rPr>
          <w:spacing w:val="-66"/>
        </w:rPr>
      </w:r>
      <w:r>
        <w:rPr/>
        <w:t>用户</w:t>
      </w:r>
      <w:r>
        <w:rPr>
          <w:rFonts w:ascii="Times New Roman" w:hAnsi="Times New Roman" w:cs="Times New Roman" w:eastAsia="Times New Roman" w:hint="default"/>
        </w:rPr>
        <w:t>ARPU</w:t>
      </w:r>
      <w:r>
        <w:rPr/>
        <w:t>值。</w:t>
      </w:r>
    </w:p>
    <w:p>
      <w:pPr>
        <w:pStyle w:val="BodyText"/>
        <w:spacing w:line="312" w:lineRule="auto"/>
        <w:ind w:left="154" w:right="1131" w:firstLine="360"/>
        <w:jc w:val="both"/>
      </w:pPr>
      <w:r>
        <w:rPr>
          <w:spacing w:val="-2"/>
        </w:rPr>
        <w:t>企业</w:t>
      </w:r>
      <w:r>
        <w:rPr>
          <w:rFonts w:ascii="Times New Roman" w:hAnsi="Times New Roman" w:cs="Times New Roman" w:eastAsia="Times New Roman" w:hint="default"/>
          <w:spacing w:val="-2"/>
        </w:rPr>
        <w:t>VPN</w:t>
      </w:r>
      <w:r>
        <w:rPr>
          <w:spacing w:val="-2"/>
        </w:rPr>
        <w:t>业务。</w:t>
      </w:r>
      <w:r>
        <w:rPr>
          <w:rFonts w:ascii="Times New Roman" w:hAnsi="Times New Roman" w:cs="Times New Roman" w:eastAsia="Times New Roman" w:hint="default"/>
          <w:spacing w:val="-2"/>
        </w:rPr>
        <w:t>2016</w:t>
      </w:r>
      <w:r>
        <w:rPr>
          <w:spacing w:val="-2"/>
        </w:rPr>
        <w:t>年随着全网通芯片组的普及，移动终端将迎来升级换代潮，行业格局面临重新洗牌，公司无线</w:t>
      </w:r>
      <w:r>
        <w:rPr>
          <w:rFonts w:ascii="Times New Roman" w:hAnsi="Times New Roman" w:cs="Times New Roman" w:eastAsia="Times New Roman" w:hint="default"/>
          <w:spacing w:val="-2"/>
        </w:rPr>
        <w:t>VPN</w:t>
      </w:r>
      <w:r>
        <w:rPr>
          <w:rFonts w:ascii="Times New Roman" w:hAnsi="Times New Roman" w:cs="Times New Roman" w:eastAsia="Times New Roman" w:hint="default"/>
          <w:spacing w:val="-1"/>
          <w:w w:val="99"/>
        </w:rPr>
        <w:t> </w:t>
      </w:r>
      <w:r>
        <w:rPr>
          <w:spacing w:val="-2"/>
        </w:rPr>
        <w:t>业务将顺势而为积极拓展既有行业，扩大收入规模；在移动互联网和云计算产业迅猛发展的背景下，市场对于基础通信互联</w:t>
      </w:r>
      <w:r>
        <w:rPr>
          <w:spacing w:val="-66"/>
        </w:rPr>
        <w:t> </w:t>
      </w:r>
      <w:r>
        <w:rPr>
          <w:spacing w:val="-66"/>
        </w:rPr>
      </w:r>
      <w:r>
        <w:rPr>
          <w:spacing w:val="-2"/>
        </w:rPr>
        <w:t>网大带宽接入的需求持续增加，公司企业专网业务将扩大互联网接入服务的收入占比，加强与国际运营商的合作，聚焦互联</w:t>
      </w:r>
      <w:r>
        <w:rPr>
          <w:spacing w:val="-66"/>
        </w:rPr>
        <w:t> </w:t>
      </w:r>
      <w:r>
        <w:rPr>
          <w:spacing w:val="-66"/>
        </w:rPr>
      </w:r>
      <w:r>
        <w:rPr/>
        <w:t>网大带宽需求的细分市场。</w:t>
      </w:r>
    </w:p>
    <w:p>
      <w:pPr>
        <w:spacing w:line="240" w:lineRule="auto" w:before="7"/>
        <w:rPr>
          <w:rFonts w:ascii="宋体" w:hAnsi="宋体" w:cs="宋体" w:eastAsia="宋体" w:hint="default"/>
          <w:sz w:val="25"/>
          <w:szCs w:val="25"/>
        </w:rPr>
      </w:pPr>
    </w:p>
    <w:p>
      <w:pPr>
        <w:pStyle w:val="BodyText"/>
        <w:spacing w:line="300" w:lineRule="auto"/>
        <w:ind w:left="574" w:right="1033" w:hanging="60"/>
        <w:jc w:val="left"/>
      </w:pPr>
      <w:r>
        <w:rPr/>
        <w:t>（</w:t>
      </w:r>
      <w:r>
        <w:rPr>
          <w:rFonts w:ascii="Times New Roman" w:hAnsi="Times New Roman" w:cs="Times New Roman" w:eastAsia="Times New Roman" w:hint="default"/>
        </w:rPr>
        <w:t>2</w:t>
      </w:r>
      <w:r>
        <w:rPr/>
        <w:t>）、个人通信业务 面向海外华人家庭的互联网综合通信服务。公司将加强新媒体渠道建设，加大力度投入微博、微信等社交媒体运营，</w:t>
      </w:r>
    </w:p>
    <w:p>
      <w:pPr>
        <w:pStyle w:val="BodyText"/>
        <w:spacing w:line="316" w:lineRule="auto" w:before="31"/>
        <w:ind w:left="154" w:right="1032"/>
        <w:jc w:val="left"/>
      </w:pPr>
      <w:r>
        <w:rPr/>
        <w:t>以为海外华人提供实用的生活信息等优质内容为基础，以粉丝互动参与为引爆点，开发线上线下相结合的品牌活动新模式，</w:t>
      </w:r>
      <w:r>
        <w:rPr>
          <w:spacing w:val="-85"/>
        </w:rPr>
        <w:t> </w:t>
      </w:r>
      <w:r>
        <w:rPr>
          <w:spacing w:val="-85"/>
        </w:rPr>
      </w:r>
      <w:r>
        <w:rPr/>
        <w:t>进一步提升品牌知名度和影响力；通过捆绑销售、开辟电商和社交媒体等新销售方式和渠道、提升用户体验等方法，加强</w:t>
      </w:r>
      <w:r>
        <w:rPr>
          <w:spacing w:val="-9"/>
        </w:rPr>
        <w:t> </w:t>
      </w:r>
      <w:r>
        <w:rPr>
          <w:spacing w:val="-9"/>
        </w:rPr>
      </w:r>
      <w:r>
        <w:rPr>
          <w:rFonts w:ascii="Times New Roman" w:hAnsi="Times New Roman" w:cs="Times New Roman" w:eastAsia="Times New Roman" w:hint="default"/>
        </w:rPr>
        <w:t>VoIP</w:t>
      </w:r>
      <w:r>
        <w:rPr/>
        <w:t>销售；增加电影新片等中文电视内容，推出中文电视移动</w:t>
      </w:r>
      <w:r>
        <w:rPr>
          <w:rFonts w:ascii="Times New Roman" w:hAnsi="Times New Roman" w:cs="Times New Roman" w:eastAsia="Times New Roman" w:hint="default"/>
        </w:rPr>
        <w:t>APP</w:t>
      </w:r>
      <w:r>
        <w:rPr/>
        <w:t>，利用门店优势加强</w:t>
      </w:r>
      <w:r>
        <w:rPr>
          <w:rFonts w:ascii="Times New Roman" w:hAnsi="Times New Roman" w:cs="Times New Roman" w:eastAsia="Times New Roman" w:hint="default"/>
        </w:rPr>
        <w:t>IPTV</w:t>
      </w:r>
      <w:r>
        <w:rPr/>
        <w:t>业务销售。</w:t>
      </w:r>
    </w:p>
    <w:p>
      <w:pPr>
        <w:pStyle w:val="BodyText"/>
        <w:spacing w:line="316" w:lineRule="auto"/>
        <w:ind w:right="1133" w:firstLine="420"/>
        <w:jc w:val="both"/>
      </w:pPr>
      <w:r>
        <w:rPr/>
        <w:t>虚拟移动通信服务将以全球华人跨境通信需求为基础，以自建核心网和相关系统为框架，形成三个业务群组：环球通 业务、中外通业务、系统业务（为运营商提供漫游系统解决方案与服务）。</w:t>
      </w:r>
    </w:p>
    <w:p>
      <w:pPr>
        <w:pStyle w:val="BodyText"/>
        <w:spacing w:line="240" w:lineRule="auto" w:before="19"/>
        <w:ind w:left="513" w:right="1033"/>
        <w:jc w:val="left"/>
      </w:pPr>
      <w:r>
        <w:rPr/>
        <w:t>环球通业务针对移动数据漫游需求，将综合运用战略合作、渠道接入、开放</w:t>
      </w:r>
      <w:r>
        <w:rPr>
          <w:rFonts w:ascii="Times New Roman" w:hAnsi="Times New Roman" w:cs="Times New Roman" w:eastAsia="Times New Roman" w:hint="default"/>
        </w:rPr>
        <w:t>API</w:t>
      </w:r>
      <w:r>
        <w:rPr/>
        <w:t>等形式，大力拓展产品品类，完成通信</w:t>
      </w:r>
    </w:p>
    <w:p>
      <w:pPr>
        <w:pStyle w:val="BodyText"/>
        <w:spacing w:line="309" w:lineRule="auto" w:before="63"/>
        <w:ind w:right="1130"/>
        <w:jc w:val="both"/>
      </w:pPr>
      <w:r>
        <w:rPr>
          <w:rFonts w:ascii="Times New Roman" w:hAnsi="Times New Roman" w:cs="Times New Roman" w:eastAsia="Times New Roman" w:hint="default"/>
        </w:rPr>
        <w:t>+</w:t>
      </w:r>
      <w:r>
        <w:rPr/>
        <w:t>互联网形态产品生态布局。环球通业务将加快改进与用户体验紧密相关的产品核心模块，让用户可以在任何时间、任何地 </w:t>
      </w:r>
      <w:r>
        <w:rPr>
          <w:spacing w:val="-5"/>
        </w:rPr>
        <w:t>点享受移动漫游服务；联手终端、旅游、金融、物联网和互联网行业企业，有效利用热点，将品牌营销和事件营销有机结合，</w:t>
      </w:r>
      <w:r>
        <w:rPr>
          <w:spacing w:val="-81"/>
        </w:rPr>
        <w:t> </w:t>
      </w:r>
      <w:r>
        <w:rPr>
          <w:spacing w:val="-81"/>
        </w:rPr>
      </w:r>
      <w:r>
        <w:rPr/>
        <w:t>广泛提升</w:t>
      </w:r>
      <w:r>
        <w:rPr>
          <w:rFonts w:ascii="Times New Roman" w:hAnsi="Times New Roman" w:cs="Times New Roman" w:eastAsia="Times New Roman" w:hint="default"/>
        </w:rPr>
        <w:t>263</w:t>
      </w:r>
      <w:r>
        <w:rPr/>
        <w:t>漫游产品的品牌形象；建立完善的平台体系，面向线上线下渠道，不断引入新的优质漫游资源；关注海外漫游</w:t>
      </w:r>
      <w:r>
        <w:rPr>
          <w:spacing w:val="-83"/>
        </w:rPr>
        <w:t> </w:t>
      </w:r>
      <w:r>
        <w:rPr>
          <w:spacing w:val="-83"/>
        </w:rPr>
      </w:r>
      <w:r>
        <w:rPr>
          <w:spacing w:val="-5"/>
        </w:rPr>
        <w:t>合作商及合作伙伴引进流程、评估机制不断标准化、公开化；关注运营体系建设、产品运作、产品推广渠道拓展等关键路径；</w:t>
      </w:r>
      <w:r>
        <w:rPr>
          <w:spacing w:val="-79"/>
        </w:rPr>
        <w:t> </w:t>
      </w:r>
      <w:r>
        <w:rPr>
          <w:spacing w:val="-79"/>
        </w:rPr>
      </w:r>
      <w:r>
        <w:rPr/>
        <w:t>精细运营分析已有漫游数据，根据用户画像定向提供高附加值产品。</w:t>
      </w:r>
    </w:p>
    <w:p>
      <w:pPr>
        <w:pStyle w:val="BodyText"/>
        <w:spacing w:line="314" w:lineRule="auto" w:before="24"/>
        <w:ind w:left="154" w:right="1130" w:firstLine="360"/>
        <w:jc w:val="both"/>
      </w:pPr>
      <w:r>
        <w:rPr>
          <w:spacing w:val="-2"/>
        </w:rPr>
        <w:t>中外通业务将依托国内移动转售资源和跨境通信互通整合技术，叠加多国海外移动虚商资源，提供</w:t>
      </w:r>
      <w:r>
        <w:rPr>
          <w:rFonts w:ascii="Times New Roman" w:hAnsi="Times New Roman" w:cs="Times New Roman" w:eastAsia="Times New Roman" w:hint="default"/>
          <w:spacing w:val="-2"/>
        </w:rPr>
        <w:t>“</w:t>
      </w:r>
      <w:r>
        <w:rPr>
          <w:spacing w:val="-2"/>
        </w:rPr>
        <w:t>统一、无界、平权</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的跨境、跨网移动通信创新服务，满足出国留学、跨境商旅、海外华人的个性化移动通信需求。中外通业务将实现跨境业务</w:t>
      </w:r>
      <w:r>
        <w:rPr>
          <w:spacing w:val="-66"/>
        </w:rPr>
        <w:t> </w:t>
      </w:r>
      <w:r>
        <w:rPr>
          <w:spacing w:val="-66"/>
        </w:rPr>
      </w:r>
      <w:r>
        <w:rPr>
          <w:spacing w:val="-2"/>
        </w:rPr>
        <w:t>基础产品的线上服务和自主在线营销，形成跨境业务的核心能力和基础业务；依托跨境基础业务，展开与海外运营商、互联</w:t>
      </w:r>
      <w:r>
        <w:rPr>
          <w:spacing w:val="-66"/>
        </w:rPr>
        <w:t> </w:t>
      </w:r>
      <w:r>
        <w:rPr>
          <w:spacing w:val="-66"/>
        </w:rPr>
      </w:r>
      <w:r>
        <w:rPr>
          <w:spacing w:val="-2"/>
        </w:rPr>
        <w:t>网社交平台的合作，寻求基础业务在合作模式上的突破，释放核心能力和基础业务的业务价值；直接构建海外留学地的虚商</w:t>
      </w:r>
      <w:r>
        <w:rPr>
          <w:spacing w:val="-66"/>
        </w:rPr>
        <w:t> </w:t>
      </w:r>
      <w:r>
        <w:rPr>
          <w:spacing w:val="-66"/>
        </w:rPr>
      </w:r>
      <w:r>
        <w:rPr>
          <w:spacing w:val="-2"/>
        </w:rPr>
        <w:t>资源，取得</w:t>
      </w:r>
      <w:r>
        <w:rPr>
          <w:rFonts w:ascii="Times New Roman" w:hAnsi="Times New Roman" w:cs="Times New Roman" w:eastAsia="Times New Roman" w:hint="default"/>
          <w:spacing w:val="-2"/>
        </w:rPr>
        <w:t>“</w:t>
      </w:r>
      <w:r>
        <w:rPr>
          <w:spacing w:val="-2"/>
        </w:rPr>
        <w:t>一卡双号</w:t>
      </w:r>
      <w:r>
        <w:rPr>
          <w:rFonts w:ascii="Times New Roman" w:hAnsi="Times New Roman" w:cs="Times New Roman" w:eastAsia="Times New Roman" w:hint="default"/>
          <w:spacing w:val="-2"/>
        </w:rPr>
        <w:t>”</w:t>
      </w:r>
      <w:r>
        <w:rPr>
          <w:spacing w:val="-2"/>
        </w:rPr>
        <w:t>产品制成及跨网互通配合；搭建覆盖国内及业务开通地的完整产品运营体系，组织面向出国留学生的</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033" w:hanging="360"/>
        <w:jc w:val="left"/>
      </w:pPr>
      <w:r>
        <w:rPr/>
        <w:t>国内营销体系。 </w:t>
      </w:r>
      <w:r>
        <w:rPr>
          <w:spacing w:val="-2"/>
        </w:rPr>
        <w:t>系统业务将继续向国内及海外运营商提供丰富的通信产品，创新的业务平台和专业的管理平台，帮助运营商提升服务水</w:t>
      </w:r>
    </w:p>
    <w:p>
      <w:pPr>
        <w:pStyle w:val="BodyText"/>
        <w:spacing w:line="316" w:lineRule="auto" w:before="19"/>
        <w:ind w:left="513" w:right="1033" w:hanging="360"/>
        <w:jc w:val="left"/>
      </w:pPr>
      <w:r>
        <w:rPr/>
        <w:t>平，为业务开通和测试提高效率、降低成本，实现双赢。 </w:t>
      </w:r>
      <w:r>
        <w:rPr>
          <w:spacing w:val="-1"/>
        </w:rPr>
        <w:t>虚拟移动通信业务将以</w:t>
      </w:r>
      <w:r>
        <w:rPr>
          <w:rFonts w:ascii="Times New Roman" w:hAnsi="Times New Roman" w:cs="Times New Roman" w:eastAsia="Times New Roman" w:hint="default"/>
          <w:spacing w:val="-1"/>
        </w:rPr>
        <w:t>“263</w:t>
      </w:r>
      <w:r>
        <w:rPr>
          <w:spacing w:val="-1"/>
        </w:rPr>
        <w:t>移动通信</w:t>
      </w:r>
      <w:r>
        <w:rPr>
          <w:rFonts w:ascii="Times New Roman" w:hAnsi="Times New Roman" w:cs="Times New Roman" w:eastAsia="Times New Roman" w:hint="default"/>
          <w:spacing w:val="-1"/>
        </w:rPr>
        <w:t>”</w:t>
      </w:r>
      <w:r>
        <w:rPr>
          <w:spacing w:val="-1"/>
        </w:rPr>
        <w:t>互联网模式全球移动通信运营商的品牌为首要基础，打造</w:t>
      </w:r>
      <w:r>
        <w:rPr>
          <w:rFonts w:ascii="Times New Roman" w:hAnsi="Times New Roman" w:cs="Times New Roman" w:eastAsia="Times New Roman" w:hint="default"/>
          <w:spacing w:val="-1"/>
        </w:rPr>
        <w:t>“263</w:t>
      </w:r>
      <w:r>
        <w:rPr>
          <w:spacing w:val="-1"/>
        </w:rPr>
        <w:t>环球通</w:t>
      </w:r>
      <w:r>
        <w:rPr>
          <w:rFonts w:ascii="Times New Roman" w:hAnsi="Times New Roman" w:cs="Times New Roman" w:eastAsia="Times New Roman" w:hint="default"/>
          <w:spacing w:val="-1"/>
        </w:rPr>
        <w:t>”</w:t>
      </w:r>
      <w:r>
        <w:rPr>
          <w:spacing w:val="-1"/>
        </w:rPr>
        <w:t>全球数据漫</w:t>
      </w:r>
    </w:p>
    <w:p>
      <w:pPr>
        <w:pStyle w:val="BodyText"/>
        <w:spacing w:line="300" w:lineRule="auto"/>
        <w:ind w:right="1130"/>
        <w:jc w:val="both"/>
      </w:pPr>
      <w:r>
        <w:rPr>
          <w:spacing w:val="-1"/>
        </w:rPr>
        <w:t>游行业第一的品牌形象，通过官方</w:t>
      </w:r>
      <w:r>
        <w:rPr>
          <w:rFonts w:ascii="Times New Roman" w:hAnsi="Times New Roman" w:cs="Times New Roman" w:eastAsia="Times New Roman" w:hint="default"/>
          <w:spacing w:val="-1"/>
        </w:rPr>
        <w:t>APP</w:t>
      </w:r>
      <w:r>
        <w:rPr>
          <w:spacing w:val="-1"/>
        </w:rPr>
        <w:t>、官网、自媒体运营、媒体宣传、业务宣传视频、搭建市场资源数据库等方式综合营</w:t>
      </w:r>
      <w:r>
        <w:rPr/>
        <w:t> 销。</w:t>
      </w:r>
    </w:p>
    <w:p>
      <w:pPr>
        <w:spacing w:line="240" w:lineRule="auto" w:before="4"/>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、风险及应对</w:t>
      </w:r>
      <w:r>
        <w:rPr>
          <w:b w:val="0"/>
          <w:bCs w:val="0"/>
        </w:rPr>
      </w:r>
    </w:p>
    <w:p>
      <w:pPr>
        <w:pStyle w:val="BodyText"/>
        <w:spacing w:line="300" w:lineRule="auto" w:before="46"/>
        <w:ind w:left="513" w:right="1033"/>
        <w:jc w:val="left"/>
      </w:pPr>
      <w:r>
        <w:rPr/>
        <w:t>（</w:t>
      </w:r>
      <w:r>
        <w:rPr>
          <w:rFonts w:ascii="Times New Roman" w:hAnsi="Times New Roman" w:cs="Times New Roman" w:eastAsia="Times New Roman" w:hint="default"/>
        </w:rPr>
        <w:t>1</w:t>
      </w:r>
      <w:r>
        <w:rPr/>
        <w:t>）、技术发展带来的技术革新风险 </w:t>
      </w:r>
      <w:r>
        <w:rPr>
          <w:spacing w:val="-2"/>
        </w:rPr>
        <w:t>通信技术、信息技术的快速发展，带来用户需求的快速变化，通信行业新技术、新产品、新模式、新服务不断涌现，如</w:t>
      </w:r>
    </w:p>
    <w:p>
      <w:pPr>
        <w:pStyle w:val="BodyText"/>
        <w:spacing w:line="316" w:lineRule="auto" w:before="31"/>
        <w:ind w:right="1131"/>
        <w:jc w:val="both"/>
      </w:pPr>
      <w:r>
        <w:rPr>
          <w:spacing w:val="-2"/>
        </w:rPr>
        <w:t>果公司不能跟随信息通信技术的革新、适应市场需求的变化，优化、提升、丰富公司的产品和服务，将会使公司在竞争中处</w:t>
      </w:r>
      <w:r>
        <w:rPr>
          <w:spacing w:val="-66"/>
        </w:rPr>
        <w:t> </w:t>
      </w:r>
      <w:r>
        <w:rPr>
          <w:spacing w:val="-66"/>
        </w:rPr>
      </w:r>
      <w:r>
        <w:rPr>
          <w:spacing w:val="-2"/>
        </w:rPr>
        <w:t>于不利地位。公司将立足企业通信市场、华人跨境通信市场，紧密关注信息通信技术变化引致的用户需求变化，加强产品设</w:t>
      </w:r>
      <w:r>
        <w:rPr>
          <w:spacing w:val="-66"/>
        </w:rPr>
        <w:t> </w:t>
      </w:r>
      <w:r>
        <w:rPr>
          <w:spacing w:val="-66"/>
        </w:rPr>
      </w:r>
      <w:r>
        <w:rPr/>
        <w:t>计、研发能力，及时跟进满足用户需求。</w:t>
      </w:r>
    </w:p>
    <w:p>
      <w:pPr>
        <w:spacing w:line="240" w:lineRule="auto" w:before="4"/>
        <w:rPr>
          <w:rFonts w:ascii="宋体" w:hAnsi="宋体" w:cs="宋体" w:eastAsia="宋体" w:hint="default"/>
          <w:sz w:val="25"/>
          <w:szCs w:val="25"/>
        </w:rPr>
      </w:pPr>
    </w:p>
    <w:p>
      <w:pPr>
        <w:pStyle w:val="BodyText"/>
        <w:spacing w:line="300" w:lineRule="auto"/>
        <w:ind w:left="513" w:right="1033"/>
        <w:jc w:val="left"/>
      </w:pPr>
      <w:r>
        <w:rPr/>
        <w:t>（</w:t>
      </w:r>
      <w:r>
        <w:rPr>
          <w:rFonts w:ascii="Times New Roman" w:hAnsi="Times New Roman" w:cs="Times New Roman" w:eastAsia="Times New Roman" w:hint="default"/>
        </w:rPr>
        <w:t>2</w:t>
      </w:r>
      <w:r>
        <w:rPr/>
        <w:t>）、集团化经营下的管理控制风险 </w:t>
      </w:r>
      <w:r>
        <w:rPr>
          <w:spacing w:val="-2"/>
        </w:rPr>
        <w:t>公司已经发展为一家跨国经营的集团化企业，集团总部加四家业务子公司、两大业务线（企业通信和个人通信）的架构</w:t>
      </w:r>
    </w:p>
    <w:p>
      <w:pPr>
        <w:pStyle w:val="BodyText"/>
        <w:spacing w:line="316" w:lineRule="auto" w:before="31"/>
        <w:ind w:right="1130"/>
        <w:jc w:val="both"/>
      </w:pPr>
      <w:r>
        <w:rPr>
          <w:spacing w:val="-2"/>
        </w:rPr>
        <w:t>已经形成，经营地域覆盖中国、美国、加拿大、澳大利亚、新加坡等国，业务种类繁多且仍在不断增加，公司规模迅速扩张</w:t>
      </w:r>
      <w:r>
        <w:rPr>
          <w:spacing w:val="-72"/>
        </w:rPr>
        <w:t> </w:t>
      </w:r>
      <w:r>
        <w:rPr>
          <w:spacing w:val="-72"/>
        </w:rPr>
      </w:r>
      <w:r>
        <w:rPr>
          <w:spacing w:val="-2"/>
        </w:rPr>
        <w:t>和跨国集团化经营对公司的管理能力提出了更高的要求，公司的管理控制水平将可能影响公司的整体运营效率和业务持续发</w:t>
      </w:r>
      <w:r>
        <w:rPr>
          <w:spacing w:val="-64"/>
        </w:rPr>
        <w:t> </w:t>
      </w:r>
      <w:r>
        <w:rPr>
          <w:spacing w:val="-64"/>
        </w:rPr>
      </w:r>
      <w:r>
        <w:rPr>
          <w:spacing w:val="-2"/>
        </w:rPr>
        <w:t>展。为适应公司组织架构调整、规模迅速扩大的新情况，公司将针对性地调整、落实各项管理制度，包括财务管理制度、人</w:t>
      </w:r>
      <w:r>
        <w:rPr>
          <w:spacing w:val="-67"/>
        </w:rPr>
        <w:t> </w:t>
      </w:r>
      <w:r>
        <w:rPr>
          <w:spacing w:val="-67"/>
        </w:rPr>
      </w:r>
      <w:r>
        <w:rPr>
          <w:spacing w:val="-2"/>
        </w:rPr>
        <w:t>力资源管理制度、信息通报制度、例会制度等；公司将充分发挥集团各职能管理部门的管理、监督作用，并通过信息化建设</w:t>
      </w:r>
      <w:r>
        <w:rPr>
          <w:spacing w:val="-66"/>
        </w:rPr>
        <w:t> </w:t>
      </w:r>
      <w:r>
        <w:rPr>
          <w:spacing w:val="-66"/>
        </w:rPr>
      </w:r>
      <w:r>
        <w:rPr/>
        <w:t>进一步加强集团化管控的体系化、规范化。</w:t>
      </w:r>
    </w:p>
    <w:p>
      <w:pPr>
        <w:spacing w:line="240" w:lineRule="auto" w:before="4"/>
        <w:rPr>
          <w:rFonts w:ascii="宋体" w:hAnsi="宋体" w:cs="宋体" w:eastAsia="宋体" w:hint="default"/>
          <w:sz w:val="25"/>
          <w:szCs w:val="25"/>
        </w:rPr>
      </w:pPr>
    </w:p>
    <w:p>
      <w:pPr>
        <w:pStyle w:val="BodyText"/>
        <w:spacing w:line="300" w:lineRule="auto"/>
        <w:ind w:left="514" w:right="1033"/>
        <w:jc w:val="left"/>
      </w:pPr>
      <w:r>
        <w:rPr/>
        <w:t>（</w:t>
      </w:r>
      <w:r>
        <w:rPr>
          <w:rFonts w:ascii="Times New Roman" w:hAnsi="Times New Roman" w:cs="Times New Roman" w:eastAsia="Times New Roman" w:hint="default"/>
        </w:rPr>
        <w:t>3</w:t>
      </w:r>
      <w:r>
        <w:rPr/>
        <w:t>）、汇率变动风险 </w:t>
      </w:r>
      <w:r>
        <w:rPr>
          <w:spacing w:val="-2"/>
        </w:rPr>
        <w:t>公司海外业务收入占公司整体收入比重较大，公司有美元、加币、澳元等外币结算的收入和各项开支，各币种之间汇率</w:t>
      </w:r>
    </w:p>
    <w:p>
      <w:pPr>
        <w:pStyle w:val="BodyText"/>
        <w:spacing w:line="316" w:lineRule="auto" w:before="31"/>
        <w:ind w:left="154" w:right="1132"/>
        <w:jc w:val="both"/>
      </w:pPr>
      <w:r>
        <w:rPr>
          <w:spacing w:val="-2"/>
        </w:rPr>
        <w:t>的大幅波动有可能对公司经营业绩造成影响。公司将密切关注相关币种的汇率波动，采取可能的措施规避汇率波动造成的不</w:t>
      </w:r>
      <w:r>
        <w:rPr>
          <w:spacing w:val="-64"/>
        </w:rPr>
        <w:t> </w:t>
      </w:r>
      <w:r>
        <w:rPr>
          <w:spacing w:val="-64"/>
        </w:rPr>
      </w:r>
      <w:r>
        <w:rPr/>
        <w:t>利影响。</w:t>
      </w:r>
    </w:p>
    <w:p>
      <w:pPr>
        <w:spacing w:line="240" w:lineRule="auto" w:before="4"/>
        <w:rPr>
          <w:rFonts w:ascii="宋体" w:hAnsi="宋体" w:cs="宋体" w:eastAsia="宋体" w:hint="default"/>
          <w:sz w:val="25"/>
          <w:szCs w:val="25"/>
        </w:rPr>
      </w:pPr>
    </w:p>
    <w:p>
      <w:pPr>
        <w:pStyle w:val="BodyText"/>
        <w:spacing w:line="300" w:lineRule="auto"/>
        <w:ind w:left="514" w:right="1033"/>
        <w:jc w:val="left"/>
      </w:pPr>
      <w:r>
        <w:rPr/>
        <w:t>（</w:t>
      </w:r>
      <w:r>
        <w:rPr>
          <w:rFonts w:ascii="Times New Roman" w:hAnsi="Times New Roman" w:cs="Times New Roman" w:eastAsia="Times New Roman" w:hint="default"/>
        </w:rPr>
        <w:t>4</w:t>
      </w:r>
      <w:r>
        <w:rPr/>
        <w:t>）、募投项目实施风险 </w:t>
      </w:r>
      <w:r>
        <w:rPr>
          <w:spacing w:val="-2"/>
        </w:rPr>
        <w:t>公司在确定投资本次各募集资金投资项目之前对项目必要性和可行性已经进行了充分论证，但相关结论均是基于当时的</w:t>
      </w:r>
    </w:p>
    <w:p>
      <w:pPr>
        <w:pStyle w:val="BodyText"/>
        <w:spacing w:line="316" w:lineRule="auto" w:before="31"/>
        <w:ind w:left="154" w:right="1131"/>
        <w:jc w:val="both"/>
      </w:pPr>
      <w:r>
        <w:rPr>
          <w:spacing w:val="-2"/>
        </w:rPr>
        <w:t>市场环境、竞争状况、技术发展状况等条件做出的。由于未来市场情况具有较大不确定性，项目投产后仍存在不能达到预期</w:t>
      </w:r>
      <w:r>
        <w:rPr>
          <w:spacing w:val="-66"/>
        </w:rPr>
        <w:t> </w:t>
      </w:r>
      <w:r>
        <w:rPr>
          <w:spacing w:val="-66"/>
        </w:rPr>
      </w:r>
      <w:r>
        <w:rPr>
          <w:spacing w:val="-2"/>
        </w:rPr>
        <w:t>的收入和利润目标的风险。另外，在项目实施过程中，还可能存在各种不可预见因素或不可抗力因素，有可能导致项目不能</w:t>
      </w:r>
      <w:r>
        <w:rPr>
          <w:spacing w:val="-65"/>
        </w:rPr>
        <w:t> </w:t>
      </w:r>
      <w:r>
        <w:rPr>
          <w:spacing w:val="-65"/>
        </w:rPr>
      </w:r>
      <w:r>
        <w:rPr>
          <w:spacing w:val="-2"/>
        </w:rPr>
        <w:t>按时、按质完工，从而影响公司本次募集资金投资项目效益的实现和未来发展战略的实施。公司将密切关注市场变化，积极</w:t>
      </w:r>
      <w:r>
        <w:rPr>
          <w:spacing w:val="-66"/>
        </w:rPr>
        <w:t> </w:t>
      </w:r>
      <w:r>
        <w:rPr>
          <w:spacing w:val="-66"/>
        </w:rPr>
      </w:r>
      <w:r>
        <w:rPr/>
        <w:t>组织和调配公司资源，大力推进募集资金投资项目的开展。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54"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报告期末至披露日期间接待调研、沟通、采访等活动登记表" w:id="61"/>
      <w:bookmarkEnd w:id="61"/>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公司报告期期末至披露日期间未发生接待调研、沟通、采访等活动。</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10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报告期内普通股利润分配政策，特别是现金分红政策的制定、执行或调整情况</w:t>
      </w:r>
    </w:p>
    <w:p>
      <w:pPr>
        <w:pStyle w:val="BodyText"/>
        <w:spacing w:line="338" w:lineRule="auto" w:before="117"/>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经大华会计师事务所（特殊普通合伙）审计，公司</w:t>
      </w:r>
      <w:r>
        <w:rPr>
          <w:rFonts w:ascii="Times New Roman" w:hAnsi="Times New Roman" w:cs="Times New Roman" w:eastAsia="Times New Roman" w:hint="default"/>
          <w:spacing w:val="-1"/>
        </w:rPr>
        <w:t>2015</w:t>
      </w:r>
      <w:r>
        <w:rPr>
          <w:spacing w:val="-1"/>
        </w:rPr>
        <w:t>年度归属于上市公司股东的净利润为</w:t>
      </w:r>
      <w:r>
        <w:rPr>
          <w:rFonts w:ascii="Times New Roman" w:hAnsi="Times New Roman" w:cs="Times New Roman" w:eastAsia="Times New Roman" w:hint="default"/>
          <w:spacing w:val="-1"/>
        </w:rPr>
        <w:t>58,918,497.10</w:t>
      </w:r>
      <w:r>
        <w:rPr>
          <w:spacing w:val="-1"/>
        </w:rPr>
        <w:t>元，母公司净</w:t>
      </w:r>
    </w:p>
    <w:p>
      <w:pPr>
        <w:pStyle w:val="BodyText"/>
        <w:spacing w:line="230" w:lineRule="exact"/>
        <w:ind w:left="154" w:right="1033"/>
        <w:jc w:val="left"/>
      </w:pPr>
      <w:r>
        <w:rPr/>
        <w:t>利润为</w:t>
      </w:r>
      <w:r>
        <w:rPr>
          <w:rFonts w:ascii="Times New Roman" w:hAnsi="Times New Roman" w:cs="Times New Roman" w:eastAsia="Times New Roman" w:hint="default"/>
        </w:rPr>
        <w:t>132,549,946.47</w:t>
      </w:r>
      <w:r>
        <w:rPr/>
        <w:t>元。按《公司章程》规定，以</w:t>
      </w:r>
      <w:r>
        <w:rPr>
          <w:rFonts w:ascii="Times New Roman" w:hAnsi="Times New Roman" w:cs="Times New Roman" w:eastAsia="Times New Roman" w:hint="default"/>
        </w:rPr>
        <w:t>2015</w:t>
      </w:r>
      <w:r>
        <w:rPr/>
        <w:t>年度实现的母公司净利润</w:t>
      </w:r>
      <w:r>
        <w:rPr>
          <w:rFonts w:ascii="Times New Roman" w:hAnsi="Times New Roman" w:cs="Times New Roman" w:eastAsia="Times New Roman" w:hint="default"/>
        </w:rPr>
        <w:t>132,549,946.47</w:t>
      </w:r>
      <w:r>
        <w:rPr/>
        <w:t>元为基数，提取</w:t>
      </w:r>
      <w:r>
        <w:rPr>
          <w:rFonts w:ascii="Times New Roman" w:hAnsi="Times New Roman" w:cs="Times New Roman" w:eastAsia="Times New Roman" w:hint="default"/>
        </w:rPr>
        <w:t>10%</w:t>
      </w:r>
      <w:r>
        <w:rPr/>
        <w:t>法定盈</w:t>
      </w:r>
    </w:p>
    <w:p>
      <w:pPr>
        <w:pStyle w:val="BodyText"/>
        <w:spacing w:line="300" w:lineRule="auto" w:before="63"/>
        <w:ind w:left="513" w:right="1033" w:hanging="360"/>
        <w:jc w:val="left"/>
      </w:pPr>
      <w:r>
        <w:rPr/>
        <w:t>余公积金</w:t>
      </w:r>
      <w:r>
        <w:rPr>
          <w:rFonts w:ascii="Times New Roman" w:hAnsi="Times New Roman" w:cs="Times New Roman" w:eastAsia="Times New Roman" w:hint="default"/>
        </w:rPr>
        <w:t>13,254,994.65</w:t>
      </w:r>
      <w:r>
        <w:rPr/>
        <w:t>元后，截止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日母公司未分配利润为</w:t>
      </w:r>
      <w:r>
        <w:rPr>
          <w:rFonts w:ascii="Times New Roman" w:hAnsi="Times New Roman" w:cs="Times New Roman" w:eastAsia="Times New Roman" w:hint="default"/>
        </w:rPr>
        <w:t>121,822,120.34</w:t>
      </w:r>
      <w:r>
        <w:rPr/>
        <w:t>元。本次利润分配方案为： </w:t>
      </w:r>
      <w:r>
        <w:rPr>
          <w:spacing w:val="-2"/>
        </w:rPr>
        <w:t>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rFonts w:ascii="Times New Roman" w:hAnsi="Times New Roman" w:cs="Times New Roman" w:eastAsia="Times New Roman" w:hint="default"/>
          <w:spacing w:val="-2"/>
        </w:rPr>
        <w:t>798,420,393</w:t>
      </w:r>
      <w:r>
        <w:rPr>
          <w:spacing w:val="-2"/>
        </w:rPr>
        <w:t>股，扣除拟回购注销的限制性股票</w:t>
      </w:r>
      <w:r>
        <w:rPr>
          <w:rFonts w:ascii="Times New Roman" w:hAnsi="Times New Roman" w:cs="Times New Roman" w:eastAsia="Times New Roman" w:hint="default"/>
          <w:spacing w:val="-2"/>
        </w:rPr>
        <w:t>1,513,173</w:t>
      </w:r>
      <w:r>
        <w:rPr>
          <w:spacing w:val="-2"/>
        </w:rPr>
        <w:t>股，即</w:t>
      </w:r>
      <w:r>
        <w:rPr>
          <w:rFonts w:ascii="Times New Roman" w:hAnsi="Times New Roman" w:cs="Times New Roman" w:eastAsia="Times New Roman" w:hint="default"/>
          <w:spacing w:val="-2"/>
        </w:rPr>
        <w:t>796,907,220</w:t>
      </w:r>
      <w:r>
        <w:rPr>
          <w:spacing w:val="-2"/>
        </w:rPr>
        <w:t>股为基数，向</w:t>
      </w:r>
    </w:p>
    <w:p>
      <w:pPr>
        <w:pStyle w:val="BodyText"/>
        <w:spacing w:line="240" w:lineRule="auto" w:before="13"/>
        <w:ind w:right="1033"/>
        <w:jc w:val="left"/>
      </w:pPr>
      <w:r>
        <w:rPr/>
        <w:t>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元（含税），送红股 </w:t>
      </w:r>
      <w:r>
        <w:rPr>
          <w:rFonts w:ascii="Times New Roman" w:hAnsi="Times New Roman" w:cs="Times New Roman" w:eastAsia="Times New Roman" w:hint="default"/>
        </w:rPr>
        <w:t>0</w:t>
      </w:r>
      <w:r>
        <w:rPr>
          <w:rFonts w:ascii="Times New Roman" w:hAnsi="Times New Roman" w:cs="Times New Roman" w:eastAsia="Times New Roman" w:hint="default"/>
          <w:spacing w:val="43"/>
        </w:rPr>
        <w:t> </w:t>
      </w:r>
      <w:r>
        <w:rPr/>
        <w:t>股（含税），不以公积金转增股本。</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26"/>
        </w:rPr>
        <w:t> </w:t>
      </w:r>
      <w:r>
        <w:rPr/>
        <w:t>年度利润分配及资本公积金转增股本方案：</w:t>
      </w:r>
    </w:p>
    <w:p>
      <w:pPr>
        <w:pStyle w:val="BodyText"/>
        <w:spacing w:line="300" w:lineRule="auto" w:before="63"/>
        <w:ind w:left="154" w:right="1122"/>
        <w:jc w:val="left"/>
      </w:pPr>
      <w:r>
        <w:rPr/>
        <w:t>以公司总股本 </w:t>
      </w:r>
      <w:r>
        <w:rPr>
          <w:rFonts w:ascii="Times New Roman" w:hAnsi="Times New Roman" w:cs="Times New Roman" w:eastAsia="Times New Roman" w:hint="default"/>
        </w:rPr>
        <w:t>241,227,000 </w:t>
      </w:r>
      <w:r>
        <w:rPr/>
        <w:t>股为基数，向全体股东每 </w:t>
      </w:r>
      <w:r>
        <w:rPr>
          <w:rFonts w:ascii="Times New Roman" w:hAnsi="Times New Roman" w:cs="Times New Roman" w:eastAsia="Times New Roman" w:hint="default"/>
        </w:rPr>
        <w:t>10 </w:t>
      </w:r>
      <w:r>
        <w:rPr/>
        <w:t>股派</w:t>
      </w:r>
      <w:r>
        <w:rPr>
          <w:spacing w:val="-45"/>
        </w:rPr>
        <w:t> </w:t>
      </w:r>
      <w:r>
        <w:rPr>
          <w:rFonts w:ascii="Times New Roman" w:hAnsi="Times New Roman" w:cs="Times New Roman" w:eastAsia="Times New Roman" w:hint="default"/>
        </w:rPr>
        <w:t>4.000663</w:t>
      </w:r>
      <w:r>
        <w:rPr/>
        <w:t>元人民币现金（含税）；同时，以资本公积金向全体 股东每 </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10.001650</w:t>
      </w:r>
      <w:r>
        <w:rPr>
          <w:rFonts w:ascii="Times New Roman" w:hAnsi="Times New Roman" w:cs="Times New Roman" w:eastAsia="Times New Roman" w:hint="default"/>
          <w:spacing w:val="-14"/>
        </w:rPr>
        <w:t> </w:t>
      </w:r>
      <w:r>
        <w:rPr/>
        <w:t>股。</w:t>
      </w:r>
    </w:p>
    <w:p>
      <w:pPr>
        <w:pStyle w:val="BodyText"/>
        <w:spacing w:line="300" w:lineRule="auto" w:before="13"/>
        <w:ind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年度利润分配及资本公积转增股本方案： </w:t>
      </w:r>
      <w:r>
        <w:rPr>
          <w:spacing w:val="-3"/>
        </w:rPr>
        <w:t>以公司截止到</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日的总股本</w:t>
      </w:r>
      <w:r>
        <w:rPr>
          <w:rFonts w:ascii="Times New Roman" w:hAnsi="Times New Roman" w:cs="Times New Roman" w:eastAsia="Times New Roman" w:hint="default"/>
          <w:spacing w:val="-3"/>
        </w:rPr>
        <w:t>482,238,782</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1.80</w:t>
      </w:r>
      <w:r>
        <w:rPr>
          <w:spacing w:val="-3"/>
        </w:rPr>
        <w:t>元人民币（含税）；同时，</w:t>
      </w:r>
      <w:r>
        <w:rPr>
          <w:spacing w:val="-26"/>
        </w:rPr>
        <w:t> </w:t>
      </w:r>
      <w:r>
        <w:rPr>
          <w:spacing w:val="-26"/>
        </w:rPr>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300" w:lineRule="auto" w:before="13"/>
        <w:ind w:right="10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年度利润分配及资本公积转增股本方案： </w:t>
      </w:r>
      <w:r>
        <w:rPr>
          <w:spacing w:val="-2"/>
        </w:rPr>
        <w:t>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rFonts w:ascii="Times New Roman" w:hAnsi="Times New Roman" w:cs="Times New Roman" w:eastAsia="Times New Roman" w:hint="default"/>
          <w:spacing w:val="-2"/>
        </w:rPr>
        <w:t>798,420,393</w:t>
      </w:r>
      <w:r>
        <w:rPr>
          <w:spacing w:val="-2"/>
        </w:rPr>
        <w:t>股，扣除拟回购注销的限制性股票</w:t>
      </w:r>
      <w:r>
        <w:rPr>
          <w:rFonts w:ascii="Times New Roman" w:hAnsi="Times New Roman" w:cs="Times New Roman" w:eastAsia="Times New Roman" w:hint="default"/>
          <w:spacing w:val="-2"/>
        </w:rPr>
        <w:t>1,513,173</w:t>
      </w:r>
      <w:r>
        <w:rPr>
          <w:spacing w:val="-2"/>
        </w:rPr>
        <w:t>股，即</w:t>
      </w:r>
      <w:r>
        <w:rPr>
          <w:rFonts w:ascii="Times New Roman" w:hAnsi="Times New Roman" w:cs="Times New Roman" w:eastAsia="Times New Roman" w:hint="default"/>
          <w:spacing w:val="-2"/>
        </w:rPr>
        <w:t>796,907,220</w:t>
      </w:r>
      <w:r>
        <w:rPr>
          <w:spacing w:val="-2"/>
        </w:rPr>
        <w:t>股为基数，向全体</w:t>
      </w:r>
      <w:r>
        <w:rPr>
          <w:spacing w:val="-27"/>
        </w:rPr>
        <w:t> </w:t>
      </w:r>
      <w:r>
        <w:rPr>
          <w:spacing w:val="-27"/>
        </w:rPr>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元（含税），送红股 </w:t>
      </w:r>
      <w:r>
        <w:rPr>
          <w:rFonts w:ascii="Times New Roman" w:hAnsi="Times New Roman" w:cs="Times New Roman" w:eastAsia="Times New Roman" w:hint="default"/>
        </w:rPr>
        <w:t>0</w:t>
      </w:r>
      <w:r>
        <w:rPr>
          <w:rFonts w:ascii="Times New Roman" w:hAnsi="Times New Roman" w:cs="Times New Roman" w:eastAsia="Times New Roman" w:hint="default"/>
          <w:spacing w:val="44"/>
        </w:rPr>
        <w:t> </w:t>
      </w:r>
      <w:r>
        <w:rPr/>
        <w:t>股（含税），不以公积金转增股本。</w:t>
      </w:r>
    </w:p>
    <w:p>
      <w:pPr>
        <w:spacing w:line="240" w:lineRule="auto" w:before="7"/>
        <w:rPr>
          <w:rFonts w:ascii="宋体" w:hAnsi="宋体" w:cs="宋体" w:eastAsia="宋体" w:hint="default"/>
          <w:sz w:val="24"/>
          <w:szCs w:val="24"/>
        </w:rPr>
      </w:pPr>
    </w:p>
    <w:p>
      <w:pPr>
        <w:pStyle w:val="BodyText"/>
        <w:spacing w:line="240" w:lineRule="auto" w:before="44"/>
        <w:ind w:right="1033"/>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31,876,288.80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58,918,497.10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54.10%</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86,802,980.76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147,862,351.01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137,791,122.41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公司报告期内盈利且母公司可供普通股股东分配利润为正但未提出普通股现金红利分配预案</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153" w:right="1033"/>
        <w:jc w:val="left"/>
        <w:rPr>
          <w:b w:val="0"/>
          <w:bCs w:val="0"/>
        </w:rPr>
      </w:pPr>
      <w:bookmarkStart w:name="1、公司、股东、实际控制人、收购人、董事、监事、高级管理人员或其他关联方在报告期" w:id="67"/>
      <w:bookmarkEnd w:id="67"/>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7" w:right="190"/>
              <w:jc w:val="both"/>
              <w:rPr>
                <w:rFonts w:ascii="宋体" w:hAnsi="宋体" w:cs="宋体" w:eastAsia="宋体" w:hint="default"/>
                <w:sz w:val="18"/>
                <w:szCs w:val="18"/>
              </w:rPr>
            </w:pPr>
            <w:r>
              <w:rPr>
                <w:rFonts w:ascii="宋体" w:hAnsi="宋体" w:cs="宋体" w:eastAsia="宋体" w:hint="default"/>
                <w:sz w:val="18"/>
                <w:szCs w:val="18"/>
              </w:rPr>
              <w:t>公司董监高 人员及管理 团队成员</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月内，承诺通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过深圳证券 交易所证券 交易系统从 二级市场购 买本公司股 票合计不少 于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40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8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为保证公司 重大资产购 买的顺利进 </w:t>
            </w:r>
            <w:r>
              <w:rPr>
                <w:rFonts w:ascii="宋体" w:hAnsi="宋体" w:cs="宋体" w:eastAsia="宋体" w:hint="default"/>
                <w:spacing w:val="-2"/>
                <w:sz w:val="18"/>
                <w:szCs w:val="18"/>
              </w:rPr>
              <w:t>行，降低公司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重大资产收 </w:t>
            </w:r>
            <w:r>
              <w:rPr>
                <w:rFonts w:ascii="宋体" w:hAnsi="宋体" w:cs="宋体" w:eastAsia="宋体" w:hint="default"/>
                <w:spacing w:val="-2"/>
                <w:sz w:val="18"/>
                <w:szCs w:val="18"/>
              </w:rPr>
              <w:t>购的风险，基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于对</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Global</w:t>
            </w:r>
          </w:p>
          <w:p>
            <w:pPr>
              <w:pStyle w:val="TableParagraph"/>
              <w:spacing w:line="312" w:lineRule="auto" w:before="39"/>
              <w:ind w:left="22"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Communicatio ns Inc.</w:t>
            </w:r>
            <w:r>
              <w:rPr>
                <w:rFonts w:ascii="宋体" w:hAnsi="宋体" w:cs="宋体" w:eastAsia="宋体" w:hint="default"/>
                <w:sz w:val="18"/>
                <w:szCs w:val="18"/>
              </w:rPr>
              <w:t>未来发 展的信心，公 司控股股东、 实际控制人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85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80011pt;margin-top:72.47998pt;width:89pt;height:686.5pt;mso-position-horizontal-relative:page;mso-position-vertical-relative:page;z-index:-1504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0"/>
                    <w:ind w:left="0" w:right="0"/>
                    <w:jc w:val="left"/>
                  </w:pPr>
                  <w:r>
                    <w:rPr/>
                    <w:t>万美元，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李小龙先生</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与本公司签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署《关于</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iTalk</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Global</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Communicatio</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度利润预测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补偿协议</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李小龙先生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向本公司承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诺并保证北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京二六三网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络科技有限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润不低于如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下净利润目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标：</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万美元，</w:t>
            </w:r>
            <w:r>
              <w:rPr>
                <w:rFonts w:ascii="Times New Roman" w:hAnsi="Times New Roman" w:cs="Times New Roman" w:eastAsia="Times New Roman" w:hint="default"/>
                <w:sz w:val="18"/>
                <w:szCs w:val="18"/>
              </w:rPr>
              <w:t>2013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1,300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美元。若北京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二六三网络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司未达到以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上净利润目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标，则李小龙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先生应向本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公司进行赔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偿。由于</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iTalk</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Holdings,LLC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在股权购买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协议中已同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意并承诺对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北京二六三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网络科技有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未达盈利目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标部分进行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赔偿，李小龙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先生仅对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目标承担赔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2.</w:t>
            </w:r>
            <w:r>
              <w:rPr>
                <w:rFonts w:ascii="宋体" w:hAnsi="宋体" w:cs="宋体" w:eastAsia="宋体" w:hint="default"/>
                <w:sz w:val="18"/>
                <w:szCs w:val="18"/>
              </w:rPr>
              <w:t>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iTalk</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Global</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Communicatio</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度利润预测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补偿协议》中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李小龙先生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所承担的赔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偿责任的履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行，李小龙先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生承诺自愿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发生送股、转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增股本等行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为，上述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万股股票数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为进一步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明确《</w:t>
            </w:r>
            <w:r>
              <w:rPr>
                <w:rFonts w:ascii="Times New Roman" w:hAnsi="Times New Roman" w:cs="Times New Roman" w:eastAsia="Times New Roman" w:hint="default"/>
                <w:sz w:val="18"/>
                <w:szCs w:val="18"/>
              </w:rPr>
              <w:t>iTalk</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Global</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Communicatio</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度利润预测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补偿协议》中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利润预测补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偿承诺涉及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李小龙先生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签订了《关于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Global</w:t>
            </w:r>
            <w:r>
              <w:rPr>
                <w:rFonts w:ascii="Times New Roman" w:hAnsi="Times New Roman" w:cs="Times New Roman" w:eastAsia="Times New Roman" w:hint="default"/>
                <w:sz w:val="18"/>
                <w:szCs w:val="18"/>
              </w:rPr>
              <w:t> Communicatio</w:t>
            </w:r>
          </w:p>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ns Inc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度利润预测 补偿协议的 </w:t>
            </w:r>
            <w:r>
              <w:rPr>
                <w:rFonts w:ascii="宋体" w:hAnsi="宋体" w:cs="宋体" w:eastAsia="宋体" w:hint="default"/>
                <w:spacing w:val="-2"/>
                <w:sz w:val="18"/>
                <w:szCs w:val="18"/>
              </w:rPr>
              <w:t>补充协议》即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双方在协议 中约定的</w:t>
            </w:r>
            <w:r>
              <w:rPr>
                <w:rFonts w:ascii="Times New Roman" w:hAnsi="Times New Roman" w:cs="Times New Roman" w:eastAsia="Times New Roman" w:hint="default"/>
                <w:sz w:val="18"/>
                <w:szCs w:val="18"/>
              </w:rPr>
              <w:t>“</w:t>
            </w:r>
            <w:r>
              <w:rPr>
                <w:rFonts w:ascii="宋体" w:hAnsi="宋体" w:cs="宋体" w:eastAsia="宋体" w:hint="default"/>
                <w:sz w:val="18"/>
                <w:szCs w:val="18"/>
              </w:rPr>
              <w:t>净 利润目标</w:t>
            </w:r>
            <w:r>
              <w:rPr>
                <w:rFonts w:ascii="Times New Roman" w:hAnsi="Times New Roman" w:cs="Times New Roman" w:eastAsia="Times New Roman" w:hint="default"/>
                <w:sz w:val="18"/>
                <w:szCs w:val="18"/>
              </w:rPr>
              <w:t>”</w:t>
            </w:r>
            <w:r>
              <w:rPr>
                <w:rFonts w:ascii="宋体" w:hAnsi="宋体" w:cs="宋体" w:eastAsia="宋体" w:hint="default"/>
                <w:sz w:val="18"/>
                <w:szCs w:val="18"/>
              </w:rPr>
              <w:t>不 包括北京二 六三网络科 技有限公司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收购北 京首都在线 网络技术有 限公司和北 京二六三网 络科技有限 公司利用其 海外全资子 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Global</w:t>
            </w:r>
          </w:p>
          <w:p>
            <w:pPr>
              <w:pStyle w:val="TableParagraph"/>
              <w:spacing w:line="307" w:lineRule="auto" w:before="41"/>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Communicatio ns Inc.</w:t>
            </w:r>
            <w:r>
              <w:rPr>
                <w:rFonts w:ascii="宋体" w:hAnsi="宋体" w:cs="宋体" w:eastAsia="宋体" w:hint="default"/>
                <w:sz w:val="18"/>
                <w:szCs w:val="18"/>
              </w:rPr>
              <w:t>对外投 资参股</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iTalk</w:t>
            </w:r>
          </w:p>
          <w:p>
            <w:pPr>
              <w:pStyle w:val="TableParagraph"/>
              <w:spacing w:line="338" w:lineRule="auto" w:before="47"/>
              <w:ind w:left="22"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Media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而产生的投</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李小龙；</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公司首次公 开发行时担 任公司董事、 监事、高级管 理人员的股 东黄明生、张 大庆、孙文 超、芦兵、张 靖海、肖瑗、 刘江涛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管理其已直 接和间接持 有的发行人 </w:t>
            </w:r>
            <w:r>
              <w:rPr>
                <w:rFonts w:ascii="宋体" w:hAnsi="宋体" w:cs="宋体" w:eastAsia="宋体" w:hint="default"/>
                <w:spacing w:val="-2"/>
                <w:sz w:val="18"/>
                <w:szCs w:val="18"/>
              </w:rPr>
              <w:t>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发行人回购 其持有的股 </w:t>
            </w:r>
            <w:r>
              <w:rPr>
                <w:rFonts w:ascii="宋体" w:hAnsi="宋体" w:cs="宋体" w:eastAsia="宋体" w:hint="default"/>
                <w:spacing w:val="-2"/>
                <w:sz w:val="18"/>
                <w:szCs w:val="18"/>
              </w:rPr>
              <w:t>份。承诺期限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届满后在其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三十六个 月；</w:t>
            </w:r>
            <w:r>
              <w:rPr>
                <w:rFonts w:ascii="Times New Roman" w:hAnsi="Times New Roman" w:cs="Times New Roman" w:eastAsia="Times New Roman" w:hint="default"/>
                <w:sz w:val="18"/>
                <w:szCs w:val="18"/>
              </w:rPr>
              <w:t>2.</w:t>
            </w:r>
            <w:r>
              <w:rPr>
                <w:rFonts w:ascii="宋体" w:hAnsi="宋体" w:cs="宋体" w:eastAsia="宋体" w:hint="default"/>
                <w:sz w:val="18"/>
                <w:szCs w:val="18"/>
              </w:rPr>
              <w:t>长期有 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3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任职期间每 年转让的股 份不超过其 所持有发行 人股份总数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转让其所持 有的发行人 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自公 司股票上市 之日起十二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 他人管理其 已直接和间 接持有的发 </w:t>
            </w:r>
            <w:r>
              <w:rPr>
                <w:rFonts w:ascii="宋体" w:hAnsi="宋体" w:cs="宋体" w:eastAsia="宋体" w:hint="default"/>
                <w:spacing w:val="-2"/>
                <w:sz w:val="18"/>
                <w:szCs w:val="18"/>
              </w:rPr>
              <w:t>行人股份，也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回购其持有 </w:t>
            </w:r>
            <w:r>
              <w:rPr>
                <w:rFonts w:ascii="宋体" w:hAnsi="宋体" w:cs="宋体" w:eastAsia="宋体" w:hint="default"/>
                <w:spacing w:val="-2"/>
                <w:sz w:val="18"/>
                <w:szCs w:val="18"/>
              </w:rPr>
              <w:t>的股份，在上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述禁售承诺 </w:t>
            </w:r>
            <w:r>
              <w:rPr>
                <w:rFonts w:ascii="宋体" w:hAnsi="宋体" w:cs="宋体" w:eastAsia="宋体" w:hint="default"/>
                <w:spacing w:val="-2"/>
                <w:sz w:val="18"/>
                <w:szCs w:val="18"/>
              </w:rPr>
              <w:t>期过后，在其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任职期间每 年转让的股 份不超过其 所持有发行 人股份总数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转让其所持 有的发行人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 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 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 </w:t>
            </w:r>
            <w:r>
              <w:rPr>
                <w:rFonts w:ascii="宋体" w:hAnsi="宋体" w:cs="宋体" w:eastAsia="宋体" w:hint="default"/>
                <w:spacing w:val="-2"/>
                <w:sz w:val="18"/>
                <w:szCs w:val="18"/>
              </w:rPr>
              <w:t>业（以下统称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3"/>
                <w:w w:val="100"/>
                <w:sz w:val="18"/>
                <w:szCs w:val="18"/>
              </w:rPr>
              <w:t>“</w:t>
            </w:r>
            <w:r>
              <w:rPr>
                <w:rFonts w:ascii="宋体" w:hAnsi="宋体" w:cs="宋体" w:eastAsia="宋体" w:hint="default"/>
                <w:spacing w:val="-23"/>
                <w:w w:val="100"/>
                <w:sz w:val="18"/>
                <w:szCs w:val="18"/>
              </w:rPr>
              <w:t>附属企业</w:t>
            </w:r>
            <w:r>
              <w:rPr>
                <w:rFonts w:ascii="Times New Roman" w:hAnsi="Times New Roman" w:cs="Times New Roman" w:eastAsia="Times New Roman" w:hint="default"/>
                <w:spacing w:val="-23"/>
                <w:w w:val="100"/>
                <w:sz w:val="18"/>
                <w:szCs w:val="18"/>
              </w:rPr>
              <w:t>”</w:t>
            </w:r>
            <w:r>
              <w:rPr>
                <w:rFonts w:ascii="宋体" w:hAnsi="宋体" w:cs="宋体" w:eastAsia="宋体" w:hint="default"/>
                <w:spacing w:val="-23"/>
                <w:w w:val="100"/>
                <w:sz w:val="18"/>
                <w:szCs w:val="18"/>
              </w:rPr>
              <w:t>），</w:t>
            </w:r>
            <w:r>
              <w:rPr>
                <w:rFonts w:ascii="宋体" w:hAnsi="宋体" w:cs="宋体" w:eastAsia="宋体" w:hint="default"/>
                <w:sz w:val="18"/>
                <w:szCs w:val="18"/>
              </w:rPr>
              <w:t>目前并没有</w:t>
            </w:r>
            <w:r>
              <w:rPr>
                <w:rFonts w:ascii="宋体" w:hAnsi="宋体" w:cs="宋体" w:eastAsia="宋体" w:hint="default"/>
                <w:sz w:val="18"/>
                <w:szCs w:val="18"/>
              </w:rPr>
              <w:t> 直接或间接 地从事任何 与股份公司 目前正在经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营的或今后 准备从事的 增值电信业 务存在竞争 的任何业务 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及附属企业 在今后的任 何时间不会 直接或间接 地以任何方 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 限于自营、合 资或联营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 与或进行与 股份公司目 前正在经营 的或今后准 备从事的增 值电信业务 存在直接或 间接竞争的 任何业务活 动。凡本人及 附属企业有 任何商业机 会可从事、参 与或入股任 何可能会与 股份公司生 产经营构成 竞争的业务， 本人会安排 将上述商业 机会让予股 份公司。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0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3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03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年度未发生会计政策变化</w:t>
      </w:r>
    </w:p>
    <w:p>
      <w:pPr>
        <w:pStyle w:val="BodyText"/>
        <w:spacing w:line="300" w:lineRule="auto" w:before="63"/>
        <w:ind w:left="513"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年度会计估计变化如下： </w:t>
      </w:r>
      <w:r>
        <w:rPr>
          <w:color w:val="0D0D0D"/>
          <w:spacing w:val="-2"/>
        </w:rPr>
        <w:t>本公司于</w:t>
      </w:r>
      <w:r>
        <w:rPr>
          <w:rFonts w:ascii="Times New Roman" w:hAnsi="Times New Roman" w:cs="Times New Roman" w:eastAsia="Times New Roman" w:hint="default"/>
          <w:color w:val="0D0D0D"/>
          <w:spacing w:val="-2"/>
        </w:rPr>
        <w:t>2015</w:t>
      </w:r>
      <w:r>
        <w:rPr>
          <w:color w:val="0D0D0D"/>
          <w:spacing w:val="-2"/>
        </w:rPr>
        <w:t>年</w:t>
      </w:r>
      <w:r>
        <w:rPr>
          <w:rFonts w:ascii="Times New Roman" w:hAnsi="Times New Roman" w:cs="Times New Roman" w:eastAsia="Times New Roman" w:hint="default"/>
          <w:color w:val="0D0D0D"/>
          <w:spacing w:val="-2"/>
        </w:rPr>
        <w:t>12</w:t>
      </w:r>
      <w:r>
        <w:rPr>
          <w:color w:val="0D0D0D"/>
          <w:spacing w:val="-2"/>
        </w:rPr>
        <w:t>月</w:t>
      </w:r>
      <w:r>
        <w:rPr>
          <w:rFonts w:ascii="Times New Roman" w:hAnsi="Times New Roman" w:cs="Times New Roman" w:eastAsia="Times New Roman" w:hint="default"/>
          <w:color w:val="0D0D0D"/>
          <w:spacing w:val="-2"/>
        </w:rPr>
        <w:t>25</w:t>
      </w:r>
      <w:r>
        <w:rPr>
          <w:color w:val="0D0D0D"/>
          <w:spacing w:val="-2"/>
        </w:rPr>
        <w:t>日召开了第五届董事会第八次会议，审议通过了《关于会计估计变更的议案》，鉴于通信行业的</w:t>
      </w:r>
      <w:r>
        <w:rPr>
          <w:spacing w:val="-2"/>
        </w:rPr>
      </w:r>
    </w:p>
    <w:p>
      <w:pPr>
        <w:pStyle w:val="BodyText"/>
        <w:spacing w:line="316" w:lineRule="auto" w:before="13"/>
        <w:ind w:left="154" w:right="1033"/>
        <w:jc w:val="left"/>
      </w:pPr>
      <w:r>
        <w:rPr>
          <w:color w:val="0D0D0D"/>
          <w:spacing w:val="-2"/>
        </w:rPr>
        <w:t>快速的技术更新换代和公司旗下新收购业务的增加，及公司对各类别客户信用管理的经验积累，公司各项应收款项信用风险</w:t>
      </w:r>
      <w:r>
        <w:rPr>
          <w:color w:val="0D0D0D"/>
          <w:spacing w:val="-64"/>
        </w:rPr>
        <w:t> </w:t>
      </w:r>
      <w:r>
        <w:rPr>
          <w:color w:val="0D0D0D"/>
          <w:spacing w:val="-64"/>
        </w:rPr>
      </w:r>
      <w:r>
        <w:rPr>
          <w:color w:val="0D0D0D"/>
        </w:rPr>
        <w:t>特征存在不同的组合。</w:t>
      </w:r>
      <w:r>
        <w:rPr/>
      </w:r>
    </w:p>
    <w:p>
      <w:pPr>
        <w:pStyle w:val="BodyText"/>
        <w:spacing w:line="316" w:lineRule="auto" w:before="19"/>
        <w:ind w:left="154" w:right="1131" w:firstLine="360"/>
        <w:jc w:val="both"/>
        <w:rPr>
          <w:rFonts w:ascii="Times New Roman" w:hAnsi="Times New Roman" w:cs="Times New Roman" w:eastAsia="Times New Roman" w:hint="default"/>
        </w:rPr>
      </w:pPr>
      <w:r>
        <w:rPr>
          <w:color w:val="0D0D0D"/>
          <w:spacing w:val="-2"/>
        </w:rPr>
        <w:t>为更加客观真实地反映公司的财务状况和经营成果，使公司的应收债权更接近公司目前签约合同约定的结算情况、销售</w:t>
      </w:r>
      <w:r>
        <w:rPr>
          <w:color w:val="0D0D0D"/>
        </w:rPr>
        <w:t> </w:t>
      </w:r>
      <w:r>
        <w:rPr>
          <w:color w:val="0D0D0D"/>
          <w:spacing w:val="-2"/>
        </w:rPr>
        <w:t>服务款实际回收情况和风险状况，根据《企业会计准则》的规定，结合公司实际情况，本着谨慎性原则，公司对风险组合中</w:t>
      </w:r>
      <w:r>
        <w:rPr>
          <w:color w:val="0D0D0D"/>
          <w:spacing w:val="-70"/>
        </w:rPr>
        <w:t> </w:t>
      </w:r>
      <w:r>
        <w:rPr>
          <w:color w:val="0D0D0D"/>
          <w:spacing w:val="-70"/>
        </w:rPr>
      </w:r>
      <w:r>
        <w:rPr>
          <w:color w:val="0D0D0D"/>
        </w:rPr>
        <w:t>采用账龄分析法计提坏账准备的应收账款的坏账准备计提比例进行修改</w:t>
      </w:r>
      <w:r>
        <w:rPr>
          <w:rFonts w:ascii="Times New Roman" w:hAnsi="Times New Roman" w:cs="Times New Roman" w:eastAsia="Times New Roman" w:hint="default"/>
          <w:color w:val="0D0D0D"/>
        </w:rPr>
        <w:t>:</w:t>
      </w:r>
      <w:r>
        <w:rPr>
          <w:rFonts w:ascii="Times New Roman" w:hAnsi="Times New Roman" w:cs="Times New Roman" w:eastAsia="Times New Roman" w:hint="default"/>
        </w:rPr>
      </w:r>
    </w:p>
    <w:p>
      <w:pPr>
        <w:pStyle w:val="BodyText"/>
        <w:spacing w:line="235" w:lineRule="exact"/>
        <w:ind w:left="513" w:right="1033"/>
        <w:jc w:val="left"/>
      </w:pPr>
      <w:r>
        <w:rPr>
          <w:color w:val="0D0D0D"/>
        </w:rPr>
        <w:t>修改后的计提比例如下：</w:t>
      </w:r>
      <w:r>
        <w:rPr/>
      </w:r>
    </w:p>
    <w:p>
      <w:pPr>
        <w:spacing w:line="240" w:lineRule="auto" w:before="0"/>
        <w:rPr>
          <w:rFonts w:ascii="宋体" w:hAnsi="宋体" w:cs="宋体" w:eastAsia="宋体" w:hint="default"/>
          <w:sz w:val="5"/>
          <w:szCs w:val="5"/>
        </w:rPr>
      </w:pPr>
    </w:p>
    <w:tbl>
      <w:tblPr>
        <w:tblW w:w="0" w:type="auto"/>
        <w:jc w:val="left"/>
        <w:tblInd w:w="1036" w:type="dxa"/>
        <w:tblLayout w:type="fixed"/>
        <w:tblCellMar>
          <w:top w:w="0" w:type="dxa"/>
          <w:left w:w="0" w:type="dxa"/>
          <w:bottom w:w="0" w:type="dxa"/>
          <w:right w:w="0" w:type="dxa"/>
        </w:tblCellMar>
        <w:tblLook w:val="01E0"/>
      </w:tblPr>
      <w:tblGrid>
        <w:gridCol w:w="2460"/>
        <w:gridCol w:w="1080"/>
        <w:gridCol w:w="1080"/>
        <w:gridCol w:w="1080"/>
        <w:gridCol w:w="1080"/>
        <w:gridCol w:w="1080"/>
      </w:tblGrid>
      <w:tr>
        <w:trPr>
          <w:trHeight w:val="347" w:hRule="exact"/>
        </w:trPr>
        <w:tc>
          <w:tcPr>
            <w:tcW w:w="246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风险特征</w:t>
            </w:r>
          </w:p>
        </w:tc>
      </w:tr>
      <w:tr>
        <w:trPr>
          <w:trHeight w:val="347" w:hRule="exact"/>
        </w:trPr>
        <w:tc>
          <w:tcPr>
            <w:tcW w:w="2460" w:type="dxa"/>
            <w:vMerge/>
            <w:tcBorders>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r>
      <w:tr>
        <w:trPr>
          <w:trHeight w:val="34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企业客户应收账款计提比例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个人客户应收账款计提比例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50.00%</w:t>
            </w:r>
          </w:p>
        </w:tc>
        <w:tc>
          <w:tcPr>
            <w:tcW w:w="21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9" w:lineRule="auto" w:before="10"/>
        <w:ind w:left="204" w:right="1179" w:firstLine="360"/>
        <w:jc w:val="both"/>
      </w:pPr>
      <w:r>
        <w:rPr>
          <w:color w:val="0D0D0D"/>
        </w:rPr>
        <w:t>根据《企业会计准则第</w:t>
      </w:r>
      <w:r>
        <w:rPr>
          <w:rFonts w:ascii="Times New Roman" w:hAnsi="Times New Roman" w:cs="Times New Roman" w:eastAsia="Times New Roman" w:hint="default"/>
          <w:color w:val="0D0D0D"/>
        </w:rPr>
        <w:t>28</w:t>
      </w:r>
      <w:r>
        <w:rPr>
          <w:color w:val="0D0D0D"/>
        </w:rPr>
        <w:t>号</w:t>
      </w:r>
      <w:r>
        <w:rPr>
          <w:rFonts w:ascii="Times New Roman" w:hAnsi="Times New Roman" w:cs="Times New Roman" w:eastAsia="Times New Roman" w:hint="default"/>
          <w:color w:val="0D0D0D"/>
        </w:rPr>
        <w:t>—</w:t>
      </w:r>
      <w:r>
        <w:rPr>
          <w:color w:val="0D0D0D"/>
        </w:rPr>
        <w:t>会计政策、会计估计变更和差错更正》的相关规定，本次会计估计变更采用未来适用法 进行会计处理，不追溯调整，公司自本次董事会通过之日起，采用新的坏账准备计提比例对应收账款余额计提坏账准备， 不会对披露的</w:t>
      </w:r>
      <w:r>
        <w:rPr>
          <w:rFonts w:ascii="Times New Roman" w:hAnsi="Times New Roman" w:cs="Times New Roman" w:eastAsia="Times New Roman" w:hint="default"/>
          <w:color w:val="0D0D0D"/>
        </w:rPr>
        <w:t>2014</w:t>
      </w:r>
      <w:r>
        <w:rPr>
          <w:color w:val="0D0D0D"/>
        </w:rPr>
        <w:t>年度财务状况和经营成果产生影响。</w:t>
      </w:r>
      <w:r>
        <w:rPr/>
      </w:r>
    </w:p>
    <w:p>
      <w:pPr>
        <w:pStyle w:val="BodyText"/>
        <w:spacing w:line="300" w:lineRule="auto" w:before="5"/>
        <w:ind w:right="1184" w:firstLine="360"/>
        <w:jc w:val="both"/>
      </w:pPr>
      <w:r>
        <w:rPr/>
        <w:t>由于上述会计估计变更对截止到</w:t>
      </w:r>
      <w:r>
        <w:rPr>
          <w:rFonts w:ascii="Times New Roman" w:hAnsi="Times New Roman" w:cs="Times New Roman" w:eastAsia="Times New Roman" w:hint="default"/>
        </w:rPr>
        <w:t>2015</w:t>
      </w:r>
      <w:r>
        <w:rPr>
          <w:rFonts w:ascii="Times New Roman" w:hAnsi="Times New Roman" w:cs="Times New Roman" w:eastAsia="Times New Roman" w:hint="default"/>
          <w:spacing w:val="43"/>
        </w:rPr>
        <w:t> </w:t>
      </w:r>
      <w:r>
        <w:rPr/>
        <w:t>年度财务状况和经营业绩影响为：增加应收账款坏帐准备余额</w:t>
      </w:r>
      <w:r>
        <w:rPr>
          <w:rFonts w:ascii="Times New Roman" w:hAnsi="Times New Roman" w:cs="Times New Roman" w:eastAsia="Times New Roman" w:hint="default"/>
        </w:rPr>
        <w:t>369.81</w:t>
      </w:r>
      <w:r>
        <w:rPr/>
        <w:t>万元，减少 其他应收账款坏账准备余额</w:t>
      </w:r>
      <w:r>
        <w:rPr>
          <w:rFonts w:ascii="Times New Roman" w:hAnsi="Times New Roman" w:cs="Times New Roman" w:eastAsia="Times New Roman" w:hint="default"/>
        </w:rPr>
        <w:t>1.31</w:t>
      </w:r>
      <w:r>
        <w:rPr/>
        <w:t>万元，扣除所得税</w:t>
      </w:r>
      <w:r>
        <w:rPr>
          <w:rFonts w:ascii="Times New Roman" w:hAnsi="Times New Roman" w:cs="Times New Roman" w:eastAsia="Times New Roman" w:hint="default"/>
        </w:rPr>
        <w:t>46.06</w:t>
      </w:r>
      <w:r>
        <w:rPr/>
        <w:t>万元影响后共计减少本年度净利润</w:t>
      </w:r>
      <w:r>
        <w:rPr>
          <w:rFonts w:ascii="Times New Roman" w:hAnsi="Times New Roman" w:cs="Times New Roman" w:eastAsia="Times New Roman" w:hint="default"/>
        </w:rPr>
        <w:t>322.44</w:t>
      </w:r>
      <w:r>
        <w:rPr/>
        <w:t>万元。</w:t>
      </w:r>
    </w:p>
    <w:p>
      <w:pPr>
        <w:pStyle w:val="BodyText"/>
        <w:spacing w:line="240" w:lineRule="auto" w:before="13"/>
        <w:ind w:left="514" w:right="10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年度未发生核算方法的变化</w:t>
      </w:r>
    </w:p>
    <w:p>
      <w:pPr>
        <w:spacing w:line="240" w:lineRule="auto" w:before="1"/>
        <w:rPr>
          <w:rFonts w:ascii="宋体" w:hAnsi="宋体" w:cs="宋体" w:eastAsia="宋体" w:hint="default"/>
          <w:sz w:val="24"/>
          <w:szCs w:val="24"/>
        </w:rPr>
      </w:pPr>
    </w:p>
    <w:p>
      <w:pPr>
        <w:pStyle w:val="Heading3"/>
        <w:spacing w:line="240" w:lineRule="auto"/>
        <w:ind w:right="103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1033"/>
        <w:jc w:val="left"/>
      </w:pPr>
      <w:r>
        <w:rPr/>
        <w:t>本公司之孙公司</w:t>
      </w:r>
      <w:r>
        <w:rPr>
          <w:rFonts w:ascii="Times New Roman" w:hAnsi="Times New Roman" w:cs="Times New Roman" w:eastAsia="Times New Roman" w:hint="default"/>
        </w:rPr>
        <w:t>iTalk  Global  Communications  Inc.</w:t>
      </w:r>
      <w:r>
        <w:rPr/>
        <w:t>（以下简称</w:t>
      </w:r>
      <w:r>
        <w:rPr>
          <w:rFonts w:ascii="Times New Roman" w:hAnsi="Times New Roman" w:cs="Times New Roman" w:eastAsia="Times New Roman" w:hint="default"/>
        </w:rPr>
        <w:t>“iTalk </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公司）在海外向个人客户提供家庭网络电话</w:t>
      </w:r>
    </w:p>
    <w:p>
      <w:pPr>
        <w:pStyle w:val="BodyText"/>
        <w:spacing w:line="300" w:lineRule="auto" w:before="63"/>
        <w:ind w:right="1033"/>
        <w:jc w:val="left"/>
      </w:pPr>
      <w:r>
        <w:rPr/>
        <w:t>（</w:t>
      </w:r>
      <w:r>
        <w:rPr>
          <w:rFonts w:ascii="Times New Roman" w:hAnsi="Times New Roman" w:cs="Times New Roman" w:eastAsia="Times New Roman" w:hint="default"/>
        </w:rPr>
        <w:t>VoIP</w:t>
      </w:r>
      <w:r>
        <w:rPr/>
        <w:t>）服务时，</w:t>
      </w:r>
      <w:r>
        <w:rPr>
          <w:rFonts w:ascii="Times New Roman" w:hAnsi="Times New Roman" w:cs="Times New Roman" w:eastAsia="Times New Roman" w:hint="default"/>
        </w:rPr>
        <w:t>iTalk Global</w:t>
      </w:r>
      <w:r>
        <w:rPr/>
        <w:t>公司向客户收取了综合费（</w:t>
      </w:r>
      <w:r>
        <w:rPr>
          <w:rFonts w:ascii="Times New Roman" w:hAnsi="Times New Roman" w:cs="Times New Roman" w:eastAsia="Times New Roman" w:hint="default"/>
        </w:rPr>
        <w:t>Applicable Regulatory/Compliance Fees and</w:t>
      </w:r>
      <w:r>
        <w:rPr>
          <w:rFonts w:ascii="Times New Roman" w:hAnsi="Times New Roman" w:cs="Times New Roman" w:eastAsia="Times New Roman" w:hint="default"/>
          <w:spacing w:val="-26"/>
        </w:rPr>
        <w:t> </w:t>
      </w:r>
      <w:r>
        <w:rPr>
          <w:rFonts w:ascii="Times New Roman" w:hAnsi="Times New Roman" w:cs="Times New Roman" w:eastAsia="Times New Roman" w:hint="default"/>
        </w:rPr>
        <w:t>Charges</w:t>
      </w:r>
      <w:r>
        <w:rPr/>
        <w:t>）用于弥补支付 </w:t>
      </w:r>
      <w:r>
        <w:rPr>
          <w:spacing w:val="-3"/>
        </w:rPr>
        <w:t>给联邦和各级政府以及第三方的监管费（</w:t>
      </w:r>
      <w:r>
        <w:rPr>
          <w:rFonts w:ascii="Times New Roman" w:hAnsi="Times New Roman" w:cs="Times New Roman" w:eastAsia="Times New Roman" w:hint="default"/>
          <w:spacing w:val="-3"/>
        </w:rPr>
        <w:t>Regulatory</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3"/>
          <w:w w:val="99"/>
        </w:rPr>
        <w:t>Fees</w:t>
      </w:r>
      <w:r>
        <w:rPr>
          <w:spacing w:val="-13"/>
          <w:w w:val="99"/>
        </w:rPr>
        <w:t>）、附加费（</w:t>
      </w:r>
      <w:r>
        <w:rPr>
          <w:rFonts w:ascii="Times New Roman" w:hAnsi="Times New Roman" w:cs="Times New Roman" w:eastAsia="Times New Roman" w:hint="default"/>
          <w:spacing w:val="-13"/>
          <w:w w:val="99"/>
        </w:rPr>
        <w:t>Surcharges</w:t>
      </w:r>
      <w:r>
        <w:rPr>
          <w:spacing w:val="-13"/>
          <w:w w:val="99"/>
        </w:rPr>
        <w:t>）、紧急电话拨打费（</w:t>
      </w:r>
      <w:r>
        <w:rPr>
          <w:rFonts w:ascii="Times New Roman" w:hAnsi="Times New Roman" w:cs="Times New Roman" w:eastAsia="Times New Roman" w:hint="default"/>
          <w:spacing w:val="-13"/>
          <w:w w:val="99"/>
        </w:rPr>
        <w:t>emergency</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
        </w:rPr>
        <w:t>dialing</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0"/>
          <w:w w:val="99"/>
        </w:rPr>
        <w:t>charges</w:t>
      </w:r>
      <w:r>
        <w:rPr>
          <w:spacing w:val="-10"/>
          <w:w w:val="99"/>
        </w:rPr>
        <w:t>）、</w:t>
      </w:r>
      <w:r>
        <w:rPr>
          <w:spacing w:val="-88"/>
          <w:w w:val="99"/>
        </w:rPr>
        <w:t> </w:t>
      </w:r>
      <w:r>
        <w:rPr>
          <w:spacing w:val="-88"/>
          <w:w w:val="99"/>
        </w:rPr>
      </w:r>
      <w:r>
        <w:rPr/>
        <w:t>系统访问费（</w:t>
      </w:r>
      <w:r>
        <w:rPr>
          <w:rFonts w:ascii="Times New Roman" w:hAnsi="Times New Roman" w:cs="Times New Roman" w:eastAsia="Times New Roman" w:hint="default"/>
        </w:rPr>
        <w:t>System Access Charges</w:t>
      </w:r>
      <w:r>
        <w:rPr/>
        <w:t>）、 客户设备维护</w:t>
      </w:r>
      <w:r>
        <w:rPr>
          <w:rFonts w:ascii="Times New Roman" w:hAnsi="Times New Roman" w:cs="Times New Roman" w:eastAsia="Times New Roman" w:hint="default"/>
        </w:rPr>
        <w:t>/</w:t>
      </w:r>
      <w:r>
        <w:rPr/>
        <w:t>管理费（</w:t>
      </w:r>
      <w:r>
        <w:rPr>
          <w:rFonts w:ascii="Times New Roman" w:hAnsi="Times New Roman" w:cs="Times New Roman" w:eastAsia="Times New Roman" w:hint="default"/>
        </w:rPr>
        <w:t>Customer Equipment Maintenance /Management</w:t>
      </w:r>
      <w:r>
        <w:rPr>
          <w:rFonts w:ascii="Times New Roman" w:hAnsi="Times New Roman" w:cs="Times New Roman" w:eastAsia="Times New Roman" w:hint="default"/>
          <w:spacing w:val="33"/>
        </w:rPr>
        <w:t> </w:t>
      </w:r>
      <w:r>
        <w:rPr>
          <w:rFonts w:ascii="Times New Roman" w:hAnsi="Times New Roman" w:cs="Times New Roman" w:eastAsia="Times New Roman" w:hint="default"/>
        </w:rPr>
        <w:t>Charges</w:t>
      </w:r>
      <w:r>
        <w:rPr/>
        <w:t>）、 知识产权</w:t>
      </w:r>
      <w:r>
        <w:rPr>
          <w:rFonts w:ascii="Times New Roman" w:hAnsi="Times New Roman" w:cs="Times New Roman" w:eastAsia="Times New Roman" w:hint="default"/>
        </w:rPr>
        <w:t>/</w:t>
      </w:r>
      <w:r>
        <w:rPr/>
        <w:t>法律顾问费（</w:t>
      </w:r>
      <w:r>
        <w:rPr>
          <w:rFonts w:ascii="Times New Roman" w:hAnsi="Times New Roman" w:cs="Times New Roman" w:eastAsia="Times New Roman" w:hint="default"/>
        </w:rPr>
        <w:t>Intellectual Property /Legal Compliance</w:t>
      </w:r>
      <w:r>
        <w:rPr>
          <w:rFonts w:ascii="Times New Roman" w:hAnsi="Times New Roman" w:cs="Times New Roman" w:eastAsia="Times New Roman" w:hint="default"/>
          <w:spacing w:val="-10"/>
        </w:rPr>
        <w:t> </w:t>
      </w:r>
      <w:r>
        <w:rPr>
          <w:rFonts w:ascii="Times New Roman" w:hAnsi="Times New Roman" w:cs="Times New Roman" w:eastAsia="Times New Roman" w:hint="default"/>
        </w:rPr>
        <w:t>Fees</w:t>
      </w:r>
      <w:r>
        <w:rPr/>
        <w:t>）等费用。</w:t>
      </w:r>
    </w:p>
    <w:p>
      <w:pPr>
        <w:pStyle w:val="BodyText"/>
        <w:spacing w:line="300" w:lineRule="auto" w:before="13"/>
        <w:ind w:right="1132" w:firstLine="450"/>
        <w:jc w:val="both"/>
        <w:rPr>
          <w:rFonts w:ascii="Times New Roman" w:hAnsi="Times New Roman" w:cs="Times New Roman" w:eastAsia="Times New Roman" w:hint="default"/>
        </w:rPr>
      </w:pPr>
      <w:r>
        <w:rPr/>
        <w:t>依</w:t>
      </w:r>
      <w:r>
        <w:rPr>
          <w:rFonts w:ascii="Times New Roman" w:hAnsi="Times New Roman" w:cs="Times New Roman" w:eastAsia="Times New Roman" w:hint="default"/>
        </w:rPr>
        <w:t>iTalk</w:t>
      </w:r>
      <w:r>
        <w:rPr>
          <w:rFonts w:ascii="Times New Roman" w:hAnsi="Times New Roman" w:cs="Times New Roman" w:eastAsia="Times New Roman" w:hint="default"/>
          <w:spacing w:val="-15"/>
        </w:rPr>
        <w:t> </w:t>
      </w:r>
      <w:r>
        <w:rPr>
          <w:rFonts w:ascii="Times New Roman" w:hAnsi="Times New Roman" w:cs="Times New Roman" w:eastAsia="Times New Roman" w:hint="default"/>
        </w:rPr>
        <w:t>Global</w:t>
      </w:r>
      <w:r>
        <w:rPr/>
        <w:t>公司与客户间的服务协议判断，</w:t>
      </w:r>
      <w:r>
        <w:rPr>
          <w:rFonts w:ascii="Times New Roman" w:hAnsi="Times New Roman" w:cs="Times New Roman" w:eastAsia="Times New Roman" w:hint="default"/>
        </w:rPr>
        <w:t>iTalk</w:t>
      </w:r>
      <w:r>
        <w:rPr>
          <w:rFonts w:ascii="Times New Roman" w:hAnsi="Times New Roman" w:cs="Times New Roman" w:eastAsia="Times New Roman" w:hint="default"/>
          <w:spacing w:val="-14"/>
        </w:rPr>
        <w:t> </w:t>
      </w:r>
      <w:r>
        <w:rPr>
          <w:rFonts w:ascii="Times New Roman" w:hAnsi="Times New Roman" w:cs="Times New Roman" w:eastAsia="Times New Roman" w:hint="default"/>
        </w:rPr>
        <w:t>Global</w:t>
      </w:r>
      <w:r>
        <w:rPr/>
        <w:t>公司与客户间具有独立的商务关系。</w:t>
      </w:r>
      <w:r>
        <w:rPr>
          <w:rFonts w:ascii="Times New Roman" w:hAnsi="Times New Roman" w:cs="Times New Roman" w:eastAsia="Times New Roman" w:hint="default"/>
        </w:rPr>
        <w:t>iTalk</w:t>
      </w:r>
      <w:r>
        <w:rPr>
          <w:rFonts w:ascii="Times New Roman" w:hAnsi="Times New Roman" w:cs="Times New Roman" w:eastAsia="Times New Roman" w:hint="default"/>
          <w:spacing w:val="-14"/>
        </w:rPr>
        <w:t> </w:t>
      </w:r>
      <w:r>
        <w:rPr>
          <w:rFonts w:ascii="Times New Roman" w:hAnsi="Times New Roman" w:cs="Times New Roman" w:eastAsia="Times New Roman" w:hint="default"/>
        </w:rPr>
        <w:t>Global</w:t>
      </w:r>
      <w:r>
        <w:rPr/>
        <w:t>公司向客户 收取的综合费（</w:t>
      </w:r>
      <w:r>
        <w:rPr>
          <w:rFonts w:ascii="Times New Roman" w:hAnsi="Times New Roman" w:cs="Times New Roman" w:eastAsia="Times New Roman" w:hint="default"/>
        </w:rPr>
        <w:t>Applicable Regulatory/Compliance Fees and</w:t>
      </w:r>
      <w:r>
        <w:rPr>
          <w:rFonts w:ascii="Times New Roman" w:hAnsi="Times New Roman" w:cs="Times New Roman" w:eastAsia="Times New Roman" w:hint="default"/>
          <w:spacing w:val="1"/>
        </w:rPr>
        <w:t> </w:t>
      </w:r>
      <w:r>
        <w:rPr>
          <w:rFonts w:ascii="Times New Roman" w:hAnsi="Times New Roman" w:cs="Times New Roman" w:eastAsia="Times New Roman" w:hint="default"/>
        </w:rPr>
        <w:t>Charges</w:t>
      </w:r>
      <w:r>
        <w:rPr/>
        <w:t>）符合企业会计准则中收入的定义（收入是指企业在日常 </w:t>
      </w:r>
      <w:r>
        <w:rPr>
          <w:spacing w:val="-2"/>
        </w:rPr>
        <w:t>活动中形成的、会导致所有者权益增加的、与所有者投入资本无关的经济利益的总流入），应予确认为营业收入。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p>
    <w:p>
      <w:pPr>
        <w:spacing w:after="0" w:line="30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9" w:lineRule="auto" w:before="44"/>
        <w:ind w:left="453" w:right="1132"/>
        <w:jc w:val="both"/>
      </w:pP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月间，本公司仅从综合费（</w:t>
      </w:r>
      <w:r>
        <w:rPr>
          <w:rFonts w:ascii="Times New Roman" w:hAnsi="Times New Roman" w:cs="Times New Roman" w:eastAsia="Times New Roman" w:hint="default"/>
        </w:rPr>
        <w:t>Applicable Regulatory/Compliance Fees and</w:t>
      </w:r>
      <w:r>
        <w:rPr>
          <w:rFonts w:ascii="Times New Roman" w:hAnsi="Times New Roman" w:cs="Times New Roman" w:eastAsia="Times New Roman" w:hint="default"/>
          <w:spacing w:val="3"/>
        </w:rPr>
        <w:t> </w:t>
      </w:r>
      <w:r>
        <w:rPr>
          <w:rFonts w:ascii="Times New Roman" w:hAnsi="Times New Roman" w:cs="Times New Roman" w:eastAsia="Times New Roman" w:hint="default"/>
        </w:rPr>
        <w:t>Charges</w:t>
      </w:r>
      <w:r>
        <w:rPr/>
        <w:t>）的收取用途（用于弥补上述支 </w:t>
      </w:r>
      <w:r>
        <w:rPr>
          <w:spacing w:val="-5"/>
        </w:rPr>
        <w:t>出）进行判断，误将其作为营业成本的冲减处理，造成营业收入与营业成本及现金流量表相关表项的列示不准确，现予更正。</w:t>
      </w:r>
      <w:r>
        <w:rPr>
          <w:spacing w:val="-81"/>
        </w:rPr>
        <w:t> </w:t>
      </w:r>
      <w:r>
        <w:rPr>
          <w:spacing w:val="-81"/>
        </w:rPr>
      </w:r>
      <w:r>
        <w:rPr/>
        <w:t>本次更正事项对历年净利润没有影响。</w:t>
      </w:r>
    </w:p>
    <w:p>
      <w:pPr>
        <w:pStyle w:val="BodyText"/>
        <w:spacing w:line="240" w:lineRule="auto" w:before="24"/>
        <w:ind w:left="813" w:right="399"/>
        <w:jc w:val="left"/>
      </w:pPr>
      <w:r>
        <w:rPr/>
        <w:t>本公司对上述前期差错采用追溯重述法进行处理，影响的</w:t>
      </w:r>
      <w:r>
        <w:rPr>
          <w:rFonts w:ascii="Times New Roman" w:hAnsi="Times New Roman" w:cs="Times New Roman" w:eastAsia="Times New Roman" w:hint="default"/>
        </w:rPr>
        <w:t>2014</w:t>
      </w:r>
      <w:r>
        <w:rPr/>
        <w:t>年报表项目及影响金额如下：</w:t>
      </w:r>
    </w:p>
    <w:p>
      <w:pPr>
        <w:pStyle w:val="BodyText"/>
        <w:spacing w:line="240" w:lineRule="auto" w:before="63"/>
        <w:ind w:left="0" w:right="1810"/>
        <w:jc w:val="right"/>
      </w:pPr>
      <w:r>
        <w:rPr/>
        <w:t>单位：元</w:t>
      </w:r>
    </w:p>
    <w:p>
      <w:pPr>
        <w:spacing w:line="240" w:lineRule="auto" w:before="6"/>
        <w:rPr>
          <w:rFonts w:ascii="宋体" w:hAnsi="宋体" w:cs="宋体" w:eastAsia="宋体" w:hint="default"/>
          <w:sz w:val="5"/>
          <w:szCs w:val="5"/>
        </w:rPr>
      </w:pPr>
    </w:p>
    <w:tbl>
      <w:tblPr>
        <w:tblW w:w="0" w:type="auto"/>
        <w:jc w:val="left"/>
        <w:tblInd w:w="874" w:type="dxa"/>
        <w:tblLayout w:type="fixed"/>
        <w:tblCellMar>
          <w:top w:w="0" w:type="dxa"/>
          <w:left w:w="0" w:type="dxa"/>
          <w:bottom w:w="0" w:type="dxa"/>
          <w:right w:w="0" w:type="dxa"/>
        </w:tblCellMar>
        <w:tblLook w:val="01E0"/>
      </w:tblPr>
      <w:tblGrid>
        <w:gridCol w:w="3800"/>
        <w:gridCol w:w="1661"/>
        <w:gridCol w:w="1660"/>
        <w:gridCol w:w="1660"/>
      </w:tblGrid>
      <w:tr>
        <w:trPr>
          <w:trHeight w:val="346" w:hRule="exact"/>
        </w:trPr>
        <w:tc>
          <w:tcPr>
            <w:tcW w:w="38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548"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6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548"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6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684,897,755.79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745,412,766.48</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215,592,158.39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276,107,169.08</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144,571,919.11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144,571,919.11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156,074,250.16</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156,074,250.16</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147,862,351.01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147,862,351.01</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705,126,453.49</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762,799,896.62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57,673,443.13</w:t>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204,401,000.17</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262,074,443.30</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57,673,443.13</w:t>
            </w:r>
          </w:p>
        </w:tc>
      </w:tr>
      <w:tr>
        <w:trPr>
          <w:trHeight w:val="352"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200,866,658.92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200,866,658.92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218,220,778.92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5" w:right="-1"/>
              <w:jc w:val="left"/>
              <w:rPr>
                <w:rFonts w:ascii="Times New Roman" w:hAnsi="Times New Roman" w:cs="Times New Roman" w:eastAsia="Times New Roman" w:hint="default"/>
                <w:sz w:val="18"/>
                <w:szCs w:val="18"/>
              </w:rPr>
            </w:pPr>
            <w:r>
              <w:rPr>
                <w:rFonts w:ascii="Times New Roman"/>
                <w:sz w:val="18"/>
              </w:rPr>
              <w:t>218,220,778.92</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00" w:lineRule="auto" w:before="10"/>
        <w:ind w:left="453" w:right="399" w:firstLine="345"/>
        <w:jc w:val="left"/>
      </w:pPr>
      <w:r>
        <w:rPr>
          <w:spacing w:val="-2"/>
        </w:rPr>
        <w:t>本公司对上述前期差错采用追溯重述法进行处理，影响的</w:t>
      </w:r>
      <w:r>
        <w:rPr>
          <w:rFonts w:ascii="Times New Roman" w:hAnsi="Times New Roman" w:cs="Times New Roman" w:eastAsia="Times New Roman" w:hint="default"/>
          <w:spacing w:val="-2"/>
        </w:rPr>
        <w:t>2015</w:t>
      </w:r>
      <w:r>
        <w:rPr>
          <w:spacing w:val="-2"/>
        </w:rPr>
        <w:t>年度第一季度报告、半年报、第三季度报告、业绩快报中</w:t>
      </w:r>
      <w:r>
        <w:rPr/>
        <w:t> 年初至期末累计营业收入的影响金额如下：</w:t>
      </w:r>
    </w:p>
    <w:p>
      <w:pPr>
        <w:pStyle w:val="BodyText"/>
        <w:spacing w:line="240" w:lineRule="auto" w:before="31"/>
        <w:ind w:left="0" w:right="1130"/>
        <w:jc w:val="right"/>
      </w:pPr>
      <w:r>
        <w:rPr/>
        <w:t>单位：元</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27"/>
        <w:gridCol w:w="2681"/>
        <w:gridCol w:w="2651"/>
        <w:gridCol w:w="2834"/>
      </w:tblGrid>
      <w:tr>
        <w:trPr>
          <w:trHeight w:val="653" w:hRule="exact"/>
        </w:trPr>
        <w:tc>
          <w:tcPr>
            <w:tcW w:w="21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71" w:right="297" w:hanging="585"/>
              <w:jc w:val="left"/>
              <w:rPr>
                <w:rFonts w:ascii="宋体" w:hAnsi="宋体" w:cs="宋体" w:eastAsia="宋体" w:hint="default"/>
                <w:sz w:val="18"/>
                <w:szCs w:val="18"/>
              </w:rPr>
            </w:pPr>
            <w:r>
              <w:rPr>
                <w:rFonts w:ascii="宋体" w:hAnsi="宋体" w:cs="宋体" w:eastAsia="宋体" w:hint="default"/>
                <w:sz w:val="18"/>
                <w:szCs w:val="18"/>
              </w:rPr>
              <w:t>年初至期末累计营业收入 原始数据</w:t>
            </w:r>
          </w:p>
        </w:tc>
        <w:tc>
          <w:tcPr>
            <w:tcW w:w="2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047" w:right="281" w:hanging="675"/>
              <w:jc w:val="left"/>
              <w:rPr>
                <w:rFonts w:ascii="宋体" w:hAnsi="宋体" w:cs="宋体" w:eastAsia="宋体" w:hint="default"/>
                <w:sz w:val="18"/>
                <w:szCs w:val="18"/>
              </w:rPr>
            </w:pPr>
            <w:r>
              <w:rPr>
                <w:rFonts w:ascii="宋体" w:hAnsi="宋体" w:cs="宋体" w:eastAsia="宋体" w:hint="default"/>
                <w:sz w:val="18"/>
                <w:szCs w:val="18"/>
              </w:rPr>
              <w:t>年初至期末累计营业收入 调整数</w:t>
            </w:r>
          </w:p>
        </w:tc>
        <w:tc>
          <w:tcPr>
            <w:tcW w:w="28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959" w:right="373" w:hanging="496"/>
              <w:jc w:val="left"/>
              <w:rPr>
                <w:rFonts w:ascii="宋体" w:hAnsi="宋体" w:cs="宋体" w:eastAsia="宋体" w:hint="default"/>
                <w:sz w:val="18"/>
                <w:szCs w:val="18"/>
              </w:rPr>
            </w:pPr>
            <w:r>
              <w:rPr>
                <w:rFonts w:ascii="宋体" w:hAnsi="宋体" w:cs="宋体" w:eastAsia="宋体" w:hint="default"/>
                <w:sz w:val="18"/>
                <w:szCs w:val="18"/>
              </w:rPr>
              <w:t>年初至期末累计营业收入 修正后数据</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159,717,038.09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324,059,962.83</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30,179,753.86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354,239,716.69</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年第三季度报告</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494,876,420.07</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45,575,617.41</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540,452,037.48</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年业绩快报</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657,470,316.59</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spacing w:line="240" w:lineRule="auto" w:before="3"/>
        <w:rPr>
          <w:rFonts w:ascii="宋体" w:hAnsi="宋体" w:cs="宋体" w:eastAsia="宋体" w:hint="default"/>
          <w:sz w:val="21"/>
          <w:szCs w:val="21"/>
        </w:rPr>
      </w:pPr>
    </w:p>
    <w:p>
      <w:pPr>
        <w:pStyle w:val="BodyText"/>
        <w:spacing w:line="240" w:lineRule="auto" w:before="44"/>
        <w:ind w:left="706" w:right="399"/>
        <w:jc w:val="left"/>
      </w:pPr>
      <w:r>
        <w:rPr/>
        <w:t>本公司</w:t>
      </w:r>
      <w:r>
        <w:rPr>
          <w:rFonts w:ascii="Times New Roman" w:hAnsi="Times New Roman" w:cs="Times New Roman" w:eastAsia="Times New Roman" w:hint="default"/>
        </w:rPr>
        <w:t>2015</w:t>
      </w:r>
      <w:r>
        <w:rPr/>
        <w:t>年调整前后各季度营业收入如下：</w:t>
      </w:r>
    </w:p>
    <w:p>
      <w:pPr>
        <w:pStyle w:val="BodyText"/>
        <w:spacing w:line="240" w:lineRule="auto" w:before="63"/>
        <w:ind w:left="0" w:right="1310"/>
        <w:jc w:val="right"/>
      </w:pPr>
      <w:r>
        <w:rPr/>
        <w:t>单位：元</w:t>
      </w:r>
    </w:p>
    <w:p>
      <w:pPr>
        <w:spacing w:line="240" w:lineRule="auto" w:before="6"/>
        <w:rPr>
          <w:rFonts w:ascii="宋体" w:hAnsi="宋体" w:cs="宋体" w:eastAsia="宋体" w:hint="default"/>
          <w:sz w:val="5"/>
          <w:szCs w:val="5"/>
        </w:rPr>
      </w:pPr>
    </w:p>
    <w:tbl>
      <w:tblPr>
        <w:tblW w:w="0" w:type="auto"/>
        <w:jc w:val="left"/>
        <w:tblInd w:w="615" w:type="dxa"/>
        <w:tblLayout w:type="fixed"/>
        <w:tblCellMar>
          <w:top w:w="0" w:type="dxa"/>
          <w:left w:w="0" w:type="dxa"/>
          <w:bottom w:w="0" w:type="dxa"/>
          <w:right w:w="0" w:type="dxa"/>
        </w:tblCellMar>
        <w:tblLook w:val="01E0"/>
      </w:tblPr>
      <w:tblGrid>
        <w:gridCol w:w="1620"/>
        <w:gridCol w:w="2800"/>
        <w:gridCol w:w="2381"/>
        <w:gridCol w:w="2500"/>
      </w:tblGrid>
      <w:tr>
        <w:trPr>
          <w:trHeight w:val="653" w:hRule="exact"/>
        </w:trPr>
        <w:tc>
          <w:tcPr>
            <w:tcW w:w="1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1031" w:right="717" w:hanging="225"/>
              <w:jc w:val="left"/>
              <w:rPr>
                <w:rFonts w:ascii="宋体" w:hAnsi="宋体" w:cs="宋体" w:eastAsia="宋体" w:hint="default"/>
                <w:sz w:val="18"/>
                <w:szCs w:val="18"/>
              </w:rPr>
            </w:pPr>
            <w:r>
              <w:rPr>
                <w:rFonts w:ascii="宋体" w:hAnsi="宋体" w:cs="宋体" w:eastAsia="宋体" w:hint="default"/>
                <w:sz w:val="18"/>
                <w:szCs w:val="18"/>
              </w:rPr>
              <w:t>各季度营业收入 原始数据</w:t>
            </w:r>
          </w:p>
        </w:tc>
        <w:tc>
          <w:tcPr>
            <w:tcW w:w="23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821" w:right="506" w:hanging="225"/>
              <w:jc w:val="left"/>
              <w:rPr>
                <w:rFonts w:ascii="宋体" w:hAnsi="宋体" w:cs="宋体" w:eastAsia="宋体" w:hint="default"/>
                <w:sz w:val="18"/>
                <w:szCs w:val="18"/>
              </w:rPr>
            </w:pPr>
            <w:r>
              <w:rPr>
                <w:rFonts w:ascii="宋体" w:hAnsi="宋体" w:cs="宋体" w:eastAsia="宋体" w:hint="default"/>
                <w:sz w:val="18"/>
                <w:szCs w:val="18"/>
              </w:rPr>
              <w:t>各季度营业收入 调整数据</w:t>
            </w:r>
          </w:p>
        </w:tc>
        <w:tc>
          <w:tcPr>
            <w:tcW w:w="25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792" w:right="565" w:hanging="135"/>
              <w:jc w:val="left"/>
              <w:rPr>
                <w:rFonts w:ascii="宋体" w:hAnsi="宋体" w:cs="宋体" w:eastAsia="宋体" w:hint="default"/>
                <w:sz w:val="18"/>
                <w:szCs w:val="18"/>
              </w:rPr>
            </w:pPr>
            <w:r>
              <w:rPr>
                <w:rFonts w:ascii="宋体" w:hAnsi="宋体" w:cs="宋体" w:eastAsia="宋体" w:hint="default"/>
                <w:sz w:val="18"/>
                <w:szCs w:val="18"/>
              </w:rPr>
              <w:t>各季度营业收入 修正后数据</w:t>
            </w:r>
          </w:p>
        </w:tc>
      </w:tr>
      <w:tr>
        <w:trPr>
          <w:trHeight w:val="34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年一季度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159,717,038.09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14,829,053.17</w:t>
            </w:r>
          </w:p>
        </w:tc>
        <w:tc>
          <w:tcPr>
            <w:tcW w:w="25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174,546,091.26</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年二季度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164,342,924.74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15,350,700.69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179,693,625.43</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年三季度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170,816,457.24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15,395,863.55</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186,212,320.79</w:t>
            </w:r>
          </w:p>
        </w:tc>
      </w:tr>
      <w:tr>
        <w:trPr>
          <w:trHeight w:val="34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年四季度</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162,593,896.52</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13,315,823.32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175,909,719.84</w:t>
            </w:r>
          </w:p>
        </w:tc>
      </w:tr>
      <w:tr>
        <w:trPr>
          <w:trHeight w:val="34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年全年累计</w:t>
            </w:r>
          </w:p>
        </w:tc>
        <w:tc>
          <w:tcPr>
            <w:tcW w:w="2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657,470,316.59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58,891,440.73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716,361,757.32</w:t>
            </w:r>
          </w:p>
        </w:tc>
      </w:tr>
    </w:tbl>
    <w:p>
      <w:pPr>
        <w:spacing w:line="240" w:lineRule="auto" w:before="2"/>
        <w:rPr>
          <w:rFonts w:ascii="宋体" w:hAnsi="宋体" w:cs="宋体" w:eastAsia="宋体" w:hint="default"/>
          <w:sz w:val="18"/>
          <w:szCs w:val="18"/>
        </w:rPr>
      </w:pPr>
    </w:p>
    <w:p>
      <w:pPr>
        <w:pStyle w:val="Heading3"/>
        <w:spacing w:line="240" w:lineRule="auto" w:before="26"/>
        <w:ind w:left="454" w:right="399"/>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53" w:right="3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02" w:type="dxa"/>
        <w:tblLayout w:type="fixed"/>
        <w:tblCellMar>
          <w:top w:w="0" w:type="dxa"/>
          <w:left w:w="0" w:type="dxa"/>
          <w:bottom w:w="0" w:type="dxa"/>
          <w:right w:w="0" w:type="dxa"/>
        </w:tblCellMar>
        <w:tblLook w:val="01E0"/>
      </w:tblPr>
      <w:tblGrid>
        <w:gridCol w:w="5211"/>
        <w:gridCol w:w="3317"/>
      </w:tblGrid>
      <w:tr>
        <w:trPr>
          <w:trHeight w:val="34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年设立</w:t>
            </w:r>
          </w:p>
        </w:tc>
      </w:tr>
      <w:tr>
        <w:trPr>
          <w:trHeight w:val="348"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二六三移动通信（香港）有限公司</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年设立</w:t>
            </w:r>
          </w:p>
        </w:tc>
      </w:tr>
    </w:tbl>
    <w:p>
      <w:pPr>
        <w:spacing w:after="0" w:line="240" w:lineRule="auto"/>
        <w:jc w:val="center"/>
        <w:rPr>
          <w:rFonts w:ascii="宋体" w:hAnsi="宋体" w:cs="宋体" w:eastAsia="宋体" w:hint="default"/>
          <w:sz w:val="18"/>
          <w:szCs w:val="18"/>
        </w:rPr>
        <w:sectPr>
          <w:pgSz w:w="11910" w:h="16840"/>
          <w:pgMar w:header="747" w:footer="979" w:top="1060" w:bottom="1160" w:left="680" w:right="0"/>
        </w:sectPr>
      </w:pPr>
    </w:p>
    <w:p>
      <w:pPr>
        <w:spacing w:line="240" w:lineRule="auto" w:before="6"/>
        <w:rPr>
          <w:rFonts w:ascii="宋体" w:hAnsi="宋体" w:cs="宋体" w:eastAsia="宋体" w:hint="default"/>
          <w:sz w:val="28"/>
          <w:szCs w:val="28"/>
        </w:rPr>
      </w:pPr>
    </w:p>
    <w:tbl>
      <w:tblPr>
        <w:tblW w:w="0" w:type="auto"/>
        <w:jc w:val="left"/>
        <w:tblInd w:w="702" w:type="dxa"/>
        <w:tblLayout w:type="fixed"/>
        <w:tblCellMar>
          <w:top w:w="0" w:type="dxa"/>
          <w:left w:w="0" w:type="dxa"/>
          <w:bottom w:w="0" w:type="dxa"/>
          <w:right w:w="0" w:type="dxa"/>
        </w:tblCellMar>
        <w:tblLook w:val="01E0"/>
      </w:tblPr>
      <w:tblGrid>
        <w:gridCol w:w="5211"/>
        <w:gridCol w:w="3317"/>
      </w:tblGrid>
      <w:tr>
        <w:trPr>
          <w:trHeight w:val="34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迪讯（香港）有限公司（英文名：</w:t>
            </w:r>
            <w:r>
              <w:rPr>
                <w:rFonts w:ascii="Times New Roman" w:hAnsi="Times New Roman" w:cs="Times New Roman" w:eastAsia="Times New Roman" w:hint="default"/>
                <w:sz w:val="18"/>
                <w:szCs w:val="18"/>
              </w:rPr>
              <w:t>Delcom (HK)</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年收购</w:t>
            </w:r>
          </w:p>
        </w:tc>
      </w:tr>
      <w:tr>
        <w:trPr>
          <w:trHeight w:val="34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前海迪迅（深圳）有限公司</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年收购</w:t>
            </w:r>
          </w:p>
        </w:tc>
      </w:tr>
      <w:tr>
        <w:trPr>
          <w:trHeight w:val="348"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5"/>
                <w:sz w:val="18"/>
              </w:rPr>
              <w:t> </w:t>
            </w:r>
            <w:r>
              <w:rPr>
                <w:rFonts w:ascii="Times New Roman"/>
                <w:sz w:val="18"/>
              </w:rPr>
              <w:t>L.L.C</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年收购</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王书阁、邓军</w:t>
            </w:r>
          </w:p>
        </w:tc>
      </w:tr>
    </w:tbl>
    <w:p>
      <w:pPr>
        <w:pStyle w:val="BodyText"/>
        <w:spacing w:line="240" w:lineRule="auto" w:before="51"/>
        <w:ind w:left="154" w:right="1033"/>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本年度，公司因非公开发行股票事项，聘请中信建投证券股份有限公司为保荐机构，期间共支付保荐承销费</w:t>
      </w:r>
      <w:r>
        <w:rPr>
          <w:rFonts w:ascii="Times New Roman" w:hAnsi="Times New Roman" w:cs="Times New Roman" w:eastAsia="Times New Roman" w:hint="default"/>
        </w:rPr>
        <w:t>1700</w:t>
      </w:r>
      <w:r>
        <w:rPr/>
        <w:t>万元。</w:t>
      </w:r>
    </w:p>
    <w:p>
      <w:pPr>
        <w:spacing w:line="240" w:lineRule="auto" w:before="11"/>
        <w:rPr>
          <w:rFonts w:ascii="宋体" w:hAnsi="宋体" w:cs="宋体" w:eastAsia="宋体" w:hint="default"/>
          <w:sz w:val="17"/>
          <w:szCs w:val="17"/>
        </w:rPr>
      </w:pPr>
    </w:p>
    <w:p>
      <w:pPr>
        <w:pStyle w:val="Heading3"/>
        <w:spacing w:line="240" w:lineRule="auto"/>
        <w:ind w:right="10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10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0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日分别召开了第五届董事会第一次会议和第五届监事会第一次会议，审议通过了关于《二六三网络</w:t>
      </w:r>
    </w:p>
    <w:p>
      <w:pPr>
        <w:pStyle w:val="BodyText"/>
        <w:spacing w:line="231" w:lineRule="exact"/>
        <w:ind w:left="154" w:right="0"/>
        <w:jc w:val="both"/>
      </w:pPr>
      <w:r>
        <w:rPr>
          <w:spacing w:val="-3"/>
        </w:rPr>
        <w:t>通信股份有限公司</w:t>
      </w:r>
      <w:r>
        <w:rPr>
          <w:rFonts w:ascii="Times New Roman" w:hAnsi="Times New Roman" w:cs="Times New Roman" w:eastAsia="Times New Roman" w:hint="default"/>
          <w:spacing w:val="-3"/>
        </w:rPr>
        <w:t>2015</w:t>
      </w:r>
      <w:r>
        <w:rPr>
          <w:spacing w:val="-3"/>
        </w:rPr>
        <w:t>年限制性股票激励计划（草案）》及其摘要的议案，</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日召开了第五届董事会第二次会议，</w:t>
      </w:r>
    </w:p>
    <w:p>
      <w:pPr>
        <w:pStyle w:val="BodyText"/>
        <w:spacing w:line="302" w:lineRule="auto" w:before="63"/>
        <w:ind w:right="1130"/>
        <w:jc w:val="both"/>
      </w:pPr>
      <w:r>
        <w:rPr/>
        <w:t>审议通过了《关于就公司</w:t>
      </w:r>
      <w:r>
        <w:rPr>
          <w:rFonts w:ascii="Times New Roman" w:hAnsi="Times New Roman" w:cs="Times New Roman" w:eastAsia="Times New Roman" w:hint="default"/>
        </w:rPr>
        <w:t>2015</w:t>
      </w:r>
      <w:r>
        <w:rPr/>
        <w:t>年股权激励事项召开</w:t>
      </w:r>
      <w:r>
        <w:rPr>
          <w:rFonts w:ascii="Times New Roman" w:hAnsi="Times New Roman" w:cs="Times New Roman" w:eastAsia="Times New Roman" w:hint="default"/>
        </w:rPr>
        <w:t>2015</w:t>
      </w:r>
      <w:r>
        <w:rPr/>
        <w:t>年第四次临时股东大会的议案》，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w:t>
      </w:r>
      <w:r>
        <w:rPr>
          <w:rFonts w:ascii="Times New Roman" w:hAnsi="Times New Roman" w:cs="Times New Roman" w:eastAsia="Times New Roman" w:hint="default"/>
        </w:rPr>
        <w:t>2015</w:t>
      </w:r>
      <w:r>
        <w:rPr/>
        <w:t>年第四次 </w:t>
      </w:r>
      <w:r>
        <w:rPr>
          <w:spacing w:val="-2"/>
        </w:rPr>
        <w:t>临时股东大会，审议通过了《二六三网络通信股份有限公司</w:t>
      </w:r>
      <w:r>
        <w:rPr>
          <w:rFonts w:ascii="Times New Roman" w:hAnsi="Times New Roman" w:cs="Times New Roman" w:eastAsia="Times New Roman" w:hint="default"/>
          <w:spacing w:val="-2"/>
        </w:rPr>
        <w:t>2015</w:t>
      </w:r>
      <w:r>
        <w:rPr>
          <w:spacing w:val="-2"/>
        </w:rPr>
        <w:t>年限制性股票激励计划（草案）》及其摘要的议案、《二六</w:t>
      </w:r>
      <w:r>
        <w:rPr>
          <w:spacing w:val="-65"/>
        </w:rPr>
        <w:t> </w:t>
      </w:r>
      <w:r>
        <w:rPr>
          <w:spacing w:val="-65"/>
        </w:rPr>
      </w:r>
      <w:r>
        <w:rPr>
          <w:spacing w:val="-2"/>
        </w:rPr>
        <w:t>三网络通信股份有限公司</w:t>
      </w:r>
      <w:r>
        <w:rPr>
          <w:rFonts w:ascii="Times New Roman" w:hAnsi="Times New Roman" w:cs="Times New Roman" w:eastAsia="Times New Roman" w:hint="default"/>
          <w:spacing w:val="-2"/>
        </w:rPr>
        <w:t>2015</w:t>
      </w:r>
      <w:r>
        <w:rPr>
          <w:spacing w:val="-2"/>
        </w:rPr>
        <w:t>年限制性股票激励计划实施考核管理办法》的议案以及提请股东大会授权董事会办理公司限制</w:t>
      </w:r>
      <w:r>
        <w:rPr>
          <w:spacing w:val="-60"/>
        </w:rPr>
        <w:t> </w:t>
      </w:r>
      <w:r>
        <w:rPr>
          <w:spacing w:val="-60"/>
        </w:rPr>
      </w:r>
      <w:r>
        <w:rPr>
          <w:spacing w:val="-2"/>
        </w:rPr>
        <w:t>性股票激励计划相关事宜的议案。董事会被授权确定限制性股票授予日、在激励对象符合条件时向激励对象授予限制性股票</w:t>
      </w:r>
      <w:r>
        <w:rPr>
          <w:spacing w:val="-64"/>
        </w:rPr>
        <w:t> </w:t>
      </w:r>
      <w:r>
        <w:rPr>
          <w:spacing w:val="-64"/>
        </w:rPr>
      </w:r>
      <w:r>
        <w:rPr/>
        <w:t>并办理授予限制性股票所必须的全部事宜，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日分别召开第五届董事会第三次会议和第五届监事会第二次会议， </w:t>
      </w:r>
      <w:r>
        <w:rPr>
          <w:spacing w:val="-8"/>
        </w:rPr>
        <w:t>审议通过了《关于调整</w:t>
      </w:r>
      <w:r>
        <w:rPr>
          <w:rFonts w:ascii="Times New Roman" w:hAnsi="Times New Roman" w:cs="Times New Roman" w:eastAsia="Times New Roman" w:hint="default"/>
          <w:spacing w:val="-8"/>
        </w:rPr>
        <w:t>2015</w:t>
      </w:r>
      <w:r>
        <w:rPr>
          <w:spacing w:val="-8"/>
        </w:rPr>
        <w:t>年限制性股票激励计划授予对象、授予数量的议案》、《关于向激励对象授予限制性股票的议案》，</w:t>
      </w:r>
      <w:r>
        <w:rPr>
          <w:spacing w:val="-71"/>
        </w:rPr>
        <w:t> </w:t>
      </w:r>
      <w:r>
        <w:rPr>
          <w:spacing w:val="-71"/>
        </w:rPr>
      </w:r>
      <w:r>
        <w:rPr/>
        <w:t>确定以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日作为公司限制性股票激励计划的授予日，向 </w:t>
      </w:r>
      <w:r>
        <w:rPr>
          <w:rFonts w:ascii="Times New Roman" w:hAnsi="Times New Roman" w:cs="Times New Roman" w:eastAsia="Times New Roman" w:hint="default"/>
        </w:rPr>
        <w:t>202 </w:t>
      </w:r>
      <w:r>
        <w:rPr/>
        <w:t>名激励对象授予 </w:t>
      </w:r>
      <w:r>
        <w:rPr>
          <w:rFonts w:ascii="Times New Roman" w:hAnsi="Times New Roman" w:cs="Times New Roman" w:eastAsia="Times New Roman" w:hint="default"/>
        </w:rPr>
        <w:t>1332.7</w:t>
      </w:r>
      <w:r>
        <w:rPr>
          <w:rFonts w:ascii="Times New Roman" w:hAnsi="Times New Roman" w:cs="Times New Roman" w:eastAsia="Times New Roman" w:hint="default"/>
          <w:spacing w:val="16"/>
        </w:rPr>
        <w:t> </w:t>
      </w:r>
      <w:r>
        <w:rPr/>
        <w:t>万股限性股票，授予价格为 </w:t>
      </w:r>
      <w:r>
        <w:rPr>
          <w:rFonts w:ascii="Times New Roman" w:hAnsi="Times New Roman" w:cs="Times New Roman" w:eastAsia="Times New Roman" w:hint="default"/>
          <w:spacing w:val="-2"/>
        </w:rPr>
        <w:t>7.12</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日，公司在巨潮资讯网（</w:t>
      </w:r>
      <w:hyperlink r:id="rId11">
        <w:r>
          <w:rPr>
            <w:rFonts w:ascii="Times New Roman" w:hAnsi="Times New Roman" w:cs="Times New Roman" w:eastAsia="Times New Roman" w:hint="default"/>
            <w:spacing w:val="-2"/>
          </w:rPr>
          <w:t>www.cninfo.com.cn</w:t>
        </w:r>
      </w:hyperlink>
      <w:r>
        <w:rPr>
          <w:spacing w:val="-2"/>
        </w:rPr>
        <w:t>）披露了编号为</w:t>
      </w:r>
      <w:r>
        <w:rPr>
          <w:rFonts w:ascii="Times New Roman" w:hAnsi="Times New Roman" w:cs="Times New Roman" w:eastAsia="Times New Roman" w:hint="default"/>
          <w:spacing w:val="-2"/>
        </w:rPr>
        <w:t>2015-088</w:t>
      </w:r>
      <w:r>
        <w:rPr>
          <w:spacing w:val="-2"/>
        </w:rPr>
        <w:t>的《关于限制性股票授予完成</w:t>
      </w:r>
      <w:r>
        <w:rPr>
          <w:spacing w:val="-31"/>
        </w:rPr>
        <w:t> </w:t>
      </w:r>
      <w:r>
        <w:rPr>
          <w:spacing w:val="-31"/>
        </w:rPr>
      </w:r>
      <w:r>
        <w:rPr/>
        <w:t>的公告》。由于公司财务负责人董桂英女士在本次限制性股票授予之日前</w:t>
      </w:r>
      <w:r>
        <w:rPr>
          <w:rFonts w:ascii="Times New Roman" w:hAnsi="Times New Roman" w:cs="Times New Roman" w:eastAsia="Times New Roman" w:hint="default"/>
        </w:rPr>
        <w:t>6</w:t>
      </w:r>
      <w:r>
        <w:rPr/>
        <w:t>个月内发生减持公司股票的行为，因此董桂英的</w:t>
      </w:r>
      <w:r>
        <w:rPr>
          <w:w w:val="99"/>
        </w:rPr>
        <w:t> </w:t>
      </w:r>
      <w:r>
        <w:rPr>
          <w:spacing w:val="-1"/>
        </w:rPr>
        <w:t>限制性股票将自其最后一次减持本公司股票之日起</w:t>
      </w:r>
      <w:r>
        <w:rPr>
          <w:rFonts w:ascii="Times New Roman" w:hAnsi="Times New Roman" w:cs="Times New Roman" w:eastAsia="Times New Roman" w:hint="default"/>
          <w:spacing w:val="-1"/>
        </w:rPr>
        <w:t>6</w:t>
      </w:r>
      <w:r>
        <w:rPr>
          <w:spacing w:val="-1"/>
        </w:rPr>
        <w:t>个月后授予，授予数量为</w:t>
      </w:r>
      <w:r>
        <w:rPr>
          <w:rFonts w:ascii="Times New Roman" w:hAnsi="Times New Roman" w:cs="Times New Roman" w:eastAsia="Times New Roman" w:hint="default"/>
          <w:spacing w:val="-1"/>
        </w:rPr>
        <w:t>10</w:t>
      </w:r>
      <w:r>
        <w:rPr>
          <w:spacing w:val="-1"/>
        </w:rPr>
        <w:t>万股限制性股票。</w:t>
      </w:r>
      <w:r>
        <w:rPr>
          <w:spacing w:val="-31"/>
        </w:rPr>
        <w:t>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日召开了第</w:t>
      </w:r>
      <w:r>
        <w:rPr>
          <w:spacing w:val="-85"/>
        </w:rPr>
        <w:t> </w:t>
      </w:r>
      <w:r>
        <w:rPr>
          <w:spacing w:val="-2"/>
          <w:w w:val="99"/>
        </w:rPr>
        <w:t>五届董事会第八次会议，审议通过了以</w:t>
      </w:r>
      <w:r>
        <w:rPr>
          <w:rFonts w:ascii="Times New Roman" w:hAnsi="Times New Roman" w:cs="Times New Roman" w:eastAsia="Times New Roman" w:hint="default"/>
          <w:spacing w:val="-2"/>
          <w:w w:val="99"/>
        </w:rPr>
        <w:t>2015</w:t>
      </w:r>
      <w:r>
        <w:rPr>
          <w:spacing w:val="-2"/>
          <w:w w:val="99"/>
        </w:rPr>
        <w:t>年</w:t>
      </w:r>
      <w:r>
        <w:rPr>
          <w:rFonts w:ascii="Times New Roman" w:hAnsi="Times New Roman" w:cs="Times New Roman" w:eastAsia="Times New Roman" w:hint="default"/>
          <w:spacing w:val="-2"/>
          <w:w w:val="99"/>
        </w:rPr>
        <w:t>12</w:t>
      </w:r>
      <w:r>
        <w:rPr>
          <w:spacing w:val="-2"/>
          <w:w w:val="99"/>
        </w:rPr>
        <w:t>月</w:t>
      </w:r>
      <w:r>
        <w:rPr>
          <w:rFonts w:ascii="Times New Roman" w:hAnsi="Times New Roman" w:cs="Times New Roman" w:eastAsia="Times New Roman" w:hint="default"/>
          <w:spacing w:val="-2"/>
          <w:w w:val="99"/>
        </w:rPr>
        <w:t>25</w:t>
      </w:r>
      <w:r>
        <w:rPr>
          <w:spacing w:val="-2"/>
          <w:w w:val="99"/>
        </w:rPr>
        <w:t>日为授予日将第五届董事会第三次会议审议通过的授予董桂英女士的</w:t>
      </w:r>
      <w:r>
        <w:rPr>
          <w:rFonts w:ascii="Times New Roman" w:hAnsi="Times New Roman" w:cs="Times New Roman" w:eastAsia="Times New Roman" w:hint="default"/>
          <w:spacing w:val="-2"/>
          <w:w w:val="99"/>
        </w:rPr>
        <w:t>10</w:t>
      </w:r>
      <w:r>
        <w:rPr>
          <w:rFonts w:ascii="Times New Roman" w:hAnsi="Times New Roman" w:cs="Times New Roman" w:eastAsia="Times New Roman" w:hint="default"/>
          <w:spacing w:val="-9"/>
          <w:w w:val="99"/>
        </w:rPr>
        <w:t> </w:t>
      </w:r>
      <w:r>
        <w:rPr/>
        <w:t>万股限制性股票授予董桂英女士，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日，公司在巨潮资讯网（</w:t>
      </w:r>
      <w:hyperlink r:id="rId11">
        <w:r>
          <w:rPr>
            <w:rFonts w:ascii="Times New Roman" w:hAnsi="Times New Roman" w:cs="Times New Roman" w:eastAsia="Times New Roman" w:hint="default"/>
            <w:spacing w:val="-2"/>
          </w:rPr>
          <w:t>www.cninfo.com.cn</w:t>
        </w:r>
      </w:hyperlink>
      <w:r>
        <w:rPr>
          <w:spacing w:val="-2"/>
        </w:rPr>
        <w:t>）披露了编号为</w:t>
      </w:r>
      <w:r>
        <w:rPr>
          <w:rFonts w:ascii="Times New Roman" w:hAnsi="Times New Roman" w:cs="Times New Roman" w:eastAsia="Times New Roman" w:hint="default"/>
          <w:spacing w:val="-2"/>
        </w:rPr>
        <w:t>2016-001</w:t>
      </w:r>
      <w:r>
        <w:rPr>
          <w:spacing w:val="-2"/>
        </w:rPr>
        <w:t>的《关</w:t>
      </w:r>
      <w:r>
        <w:rPr>
          <w:spacing w:val="-67"/>
        </w:rPr>
        <w:t> </w:t>
      </w:r>
      <w:r>
        <w:rPr>
          <w:spacing w:val="-67"/>
        </w:rPr>
      </w:r>
      <w:r>
        <w:rPr/>
        <w:t>于限制性股票授予完成的公告》。</w:t>
      </w:r>
    </w:p>
    <w:p>
      <w:pPr>
        <w:spacing w:line="240" w:lineRule="auto" w:before="8"/>
        <w:rPr>
          <w:rFonts w:ascii="宋体" w:hAnsi="宋体" w:cs="宋体" w:eastAsia="宋体" w:hint="default"/>
          <w:sz w:val="21"/>
          <w:szCs w:val="21"/>
        </w:rPr>
      </w:pPr>
    </w:p>
    <w:p>
      <w:pPr>
        <w:pStyle w:val="Heading3"/>
        <w:spacing w:line="240" w:lineRule="auto"/>
        <w:ind w:left="154" w:right="0"/>
        <w:jc w:val="both"/>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left="153" w:right="0"/>
        <w:jc w:val="both"/>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left="153" w:right="0"/>
        <w:jc w:val="both"/>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left="153" w:right="0"/>
        <w:jc w:val="both"/>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公司报告期无其他重大关联交易。</w:t>
      </w:r>
    </w:p>
    <w:p>
      <w:pPr>
        <w:spacing w:line="240" w:lineRule="auto" w:before="13"/>
        <w:rPr>
          <w:rFonts w:ascii="宋体" w:hAnsi="宋体" w:cs="宋体" w:eastAsia="宋体" w:hint="default"/>
          <w:sz w:val="24"/>
          <w:szCs w:val="24"/>
        </w:rPr>
      </w:pPr>
    </w:p>
    <w:p>
      <w:pPr>
        <w:pStyle w:val="Heading3"/>
        <w:spacing w:line="240" w:lineRule="auto"/>
        <w:ind w:right="10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left="153" w:right="10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left="153" w:right="10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hanging="1"/>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9"/>
                <w:sz w:val="18"/>
                <w:szCs w:val="18"/>
              </w:rPr>
              <w:t>金额（如</w:t>
            </w:r>
            <w:r>
              <w:rPr>
                <w:rFonts w:ascii="宋体" w:hAnsi="宋体" w:cs="宋体" w:eastAsia="宋体" w:hint="default"/>
                <w:sz w:val="18"/>
                <w:szCs w:val="18"/>
              </w:rPr>
              <w:t> 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招行银行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保本浮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北京朝阳 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动收益</w:t>
            </w:r>
            <w:r>
              <w:rPr>
                <w:rFonts w:ascii="Times New Roman" w:hAnsi="Times New Roman" w:cs="Times New Roman" w:eastAsia="Times New Roman" w:hint="default"/>
                <w:sz w:val="18"/>
                <w:szCs w:val="18"/>
              </w:rPr>
              <w:t>"</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1,219</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109</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12.12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保本保收</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黄寺支行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0.07</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977</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1,000.34</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1,000.7</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招行银行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北京朝阳 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0.96</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招行银行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北京朝阳 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13.88</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保本固定</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黄寺支行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996.6</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905</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保本固定</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黄寺支行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1.96</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招行银行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北京朝阳 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0.26</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招行银行 北京朝阳</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2.11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2.11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浦发银行 黄寺支行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招行银行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907"/>
        <w:gridCol w:w="701"/>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北京朝阳 门支行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0.06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0.72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0.06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0.88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招行银行 北京朝阳 门支行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0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267,940.64</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247,340.64</w:t>
            </w:r>
          </w:p>
        </w:tc>
        <w:tc>
          <w:tcPr>
            <w:tcW w:w="70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470.79</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二六三 网络通 信股份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北京凌 云悦翔 科技有 限公 司、北 京致远 协创软 件有限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北京慧 友云商 科技有 限公司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14.268</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1,500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312" w:lineRule="auto" w:before="65"/>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《对 外投资 的公 告》</w:t>
            </w:r>
          </w:p>
        </w:tc>
      </w:tr>
      <w:tr>
        <w:trPr>
          <w:trHeight w:val="60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二六三 移动通 信（香 港）有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中熙有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迪讯</w:t>
            </w:r>
          </w:p>
          <w:p>
            <w:pPr>
              <w:pStyle w:val="TableParagraph"/>
              <w:spacing w:line="316" w:lineRule="auto" w:before="75"/>
              <w:ind w:left="22" w:right="65"/>
              <w:jc w:val="left"/>
              <w:rPr>
                <w:rFonts w:ascii="宋体" w:hAnsi="宋体" w:cs="宋体" w:eastAsia="宋体" w:hint="default"/>
                <w:sz w:val="18"/>
                <w:szCs w:val="18"/>
              </w:rPr>
            </w:pPr>
            <w:r>
              <w:rPr>
                <w:rFonts w:ascii="宋体" w:hAnsi="宋体" w:cs="宋体" w:eastAsia="宋体" w:hint="default"/>
                <w:sz w:val="18"/>
                <w:szCs w:val="18"/>
              </w:rPr>
              <w:t>（香 港）有 限公司</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收益法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314"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《关 于公司 全资孙 公司收 购迪讯</w:t>
            </w:r>
          </w:p>
          <w:p>
            <w:pPr>
              <w:pStyle w:val="TableParagraph"/>
              <w:spacing w:line="316" w:lineRule="auto" w:before="20"/>
              <w:ind w:left="22" w:right="61"/>
              <w:jc w:val="left"/>
              <w:rPr>
                <w:rFonts w:ascii="宋体" w:hAnsi="宋体" w:cs="宋体" w:eastAsia="宋体" w:hint="default"/>
                <w:sz w:val="18"/>
                <w:szCs w:val="18"/>
              </w:rPr>
            </w:pPr>
            <w:r>
              <w:rPr>
                <w:rFonts w:ascii="宋体" w:hAnsi="宋体" w:cs="宋体" w:eastAsia="宋体" w:hint="default"/>
                <w:sz w:val="18"/>
                <w:szCs w:val="18"/>
              </w:rPr>
              <w:t>（香 港）有 限公司</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319" w:lineRule="auto" w:before="65"/>
              <w:ind w:left="22" w:right="61"/>
              <w:jc w:val="left"/>
              <w:rPr>
                <w:rFonts w:ascii="宋体" w:hAnsi="宋体" w:cs="宋体" w:eastAsia="宋体" w:hint="default"/>
                <w:sz w:val="18"/>
                <w:szCs w:val="18"/>
              </w:rPr>
            </w:pPr>
            <w:r>
              <w:rPr>
                <w:rFonts w:ascii="宋体" w:hAnsi="宋体" w:cs="宋体" w:eastAsia="宋体" w:hint="default"/>
                <w:sz w:val="18"/>
                <w:szCs w:val="18"/>
              </w:rPr>
              <w:t>股权的 公告》</w:t>
            </w:r>
          </w:p>
        </w:tc>
      </w:tr>
      <w:tr>
        <w:trPr>
          <w:trHeight w:val="71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3"/>
              <w:jc w:val="left"/>
              <w:rPr>
                <w:rFonts w:ascii="宋体" w:hAnsi="宋体" w:cs="宋体" w:eastAsia="宋体" w:hint="default"/>
                <w:sz w:val="18"/>
                <w:szCs w:val="18"/>
              </w:rPr>
            </w:pPr>
            <w:r>
              <w:rPr>
                <w:rFonts w:ascii="宋体" w:hAnsi="宋体" w:cs="宋体" w:eastAsia="宋体" w:hint="default"/>
                <w:sz w:val="18"/>
                <w:szCs w:val="18"/>
              </w:rPr>
              <w:t>广州二 六三移</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奇酷互 联网络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597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both"/>
              <w:rPr>
                <w:rFonts w:ascii="宋体" w:hAnsi="宋体" w:cs="宋体" w:eastAsia="宋体" w:hint="default"/>
                <w:sz w:val="18"/>
                <w:szCs w:val="18"/>
              </w:rPr>
            </w:pPr>
            <w:r>
              <w:rPr>
                <w:rFonts w:ascii="宋体" w:hAnsi="宋体" w:cs="宋体" w:eastAsia="宋体" w:hint="default"/>
                <w:sz w:val="18"/>
                <w:szCs w:val="18"/>
              </w:rPr>
              <w:t>动通信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（深 圳）有 限公司</w:t>
            </w: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314"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宋体" w:hAnsi="宋体" w:cs="宋体" w:eastAsia="宋体" w:hint="default"/>
                <w:sz w:val="18"/>
                <w:szCs w:val="18"/>
              </w:rPr>
              <w:t>《关 于控股 子公司 与奇酷 互联网 络科技</w:t>
            </w:r>
          </w:p>
          <w:p>
            <w:pPr>
              <w:pStyle w:val="TableParagraph"/>
              <w:spacing w:line="319" w:lineRule="auto" w:before="20"/>
              <w:ind w:left="22" w:right="61"/>
              <w:jc w:val="left"/>
              <w:rPr>
                <w:rFonts w:ascii="宋体" w:hAnsi="宋体" w:cs="宋体" w:eastAsia="宋体" w:hint="default"/>
                <w:sz w:val="18"/>
                <w:szCs w:val="18"/>
              </w:rPr>
            </w:pPr>
            <w:r>
              <w:rPr>
                <w:rFonts w:ascii="宋体" w:hAnsi="宋体" w:cs="宋体" w:eastAsia="宋体" w:hint="default"/>
                <w:sz w:val="18"/>
                <w:szCs w:val="18"/>
              </w:rPr>
              <w:t>（深 圳）有 限公司 签订合 作协议 的公 告》</w:t>
            </w:r>
          </w:p>
        </w:tc>
      </w:tr>
      <w:tr>
        <w:trPr>
          <w:trHeight w:val="445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二六三 网络通 信股份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北京众 信国际 旅行社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3"/>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2015-0</w:t>
            </w:r>
          </w:p>
          <w:p>
            <w:pPr>
              <w:pStyle w:val="TableParagraph"/>
              <w:spacing w:line="314"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《关 于签署 战略合 作协议 的公</w:t>
            </w:r>
          </w:p>
          <w:p>
            <w:pPr>
              <w:pStyle w:val="TableParagraph"/>
              <w:spacing w:line="240" w:lineRule="auto" w:before="22"/>
              <w:ind w:left="22" w:right="0"/>
              <w:jc w:val="both"/>
              <w:rPr>
                <w:rFonts w:ascii="宋体" w:hAnsi="宋体" w:cs="宋体" w:eastAsia="宋体" w:hint="default"/>
                <w:sz w:val="18"/>
                <w:szCs w:val="18"/>
              </w:rPr>
            </w:pPr>
            <w:r>
              <w:rPr>
                <w:rFonts w:ascii="宋体" w:hAnsi="宋体" w:cs="宋体" w:eastAsia="宋体" w:hint="default"/>
                <w:sz w:val="18"/>
                <w:szCs w:val="18"/>
              </w:rPr>
              <w:t>告 》</w:t>
            </w:r>
          </w:p>
        </w:tc>
      </w:tr>
      <w:tr>
        <w:trPr>
          <w:trHeight w:val="348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63"/>
              <w:jc w:val="both"/>
              <w:rPr>
                <w:rFonts w:ascii="宋体" w:hAnsi="宋体" w:cs="宋体" w:eastAsia="宋体" w:hint="default"/>
                <w:sz w:val="18"/>
                <w:szCs w:val="18"/>
              </w:rPr>
            </w:pPr>
            <w:r>
              <w:rPr>
                <w:rFonts w:ascii="宋体" w:hAnsi="宋体" w:cs="宋体" w:eastAsia="宋体" w:hint="default"/>
                <w:sz w:val="18"/>
                <w:szCs w:val="18"/>
              </w:rPr>
              <w:t>北京二 六三企 业通信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陈海 滨、北 京视音 互联科 技中心 等 </w:t>
            </w:r>
            <w:r>
              <w:rPr>
                <w:rFonts w:ascii="Times New Roman" w:hAnsi="Times New Roman" w:cs="Times New Roman" w:eastAsia="Times New Roman" w:hint="default"/>
                <w:sz w:val="18"/>
                <w:szCs w:val="18"/>
              </w:rPr>
              <w:t>8 </w:t>
            </w:r>
            <w:r>
              <w:rPr>
                <w:rFonts w:ascii="宋体" w:hAnsi="宋体" w:cs="宋体" w:eastAsia="宋体" w:hint="default"/>
                <w:sz w:val="18"/>
                <w:szCs w:val="18"/>
              </w:rPr>
              <w:t>名股 东、住 友商事 亚洲资 本股份</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展动科 技（北 京）有 限公司</w:t>
            </w:r>
          </w:p>
          <w:p>
            <w:pPr>
              <w:pStyle w:val="TableParagraph"/>
              <w:spacing w:line="240" w:lineRule="auto" w:before="59"/>
              <w:ind w:left="22" w:right="0"/>
              <w:jc w:val="both"/>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62"/>
              <w:jc w:val="both"/>
              <w:rPr>
                <w:rFonts w:ascii="宋体" w:hAnsi="宋体" w:cs="宋体" w:eastAsia="宋体" w:hint="default"/>
                <w:sz w:val="18"/>
                <w:szCs w:val="18"/>
              </w:rPr>
            </w:pPr>
            <w:r>
              <w:rPr>
                <w:rFonts w:ascii="宋体" w:hAnsi="宋体" w:cs="宋体" w:eastAsia="宋体" w:hint="default"/>
                <w:sz w:val="18"/>
                <w:szCs w:val="18"/>
              </w:rPr>
              <w:t>收益法 和资产 基础法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2015-0</w:t>
            </w:r>
          </w:p>
          <w:p>
            <w:pPr>
              <w:pStyle w:val="TableParagraph"/>
              <w:spacing w:line="309"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96</w:t>
            </w:r>
            <w:r>
              <w:rPr>
                <w:rFonts w:ascii="宋体" w:hAnsi="宋体" w:cs="宋体" w:eastAsia="宋体" w:hint="default"/>
                <w:sz w:val="18"/>
                <w:szCs w:val="18"/>
              </w:rPr>
              <w:t>《全 资子公 司对外</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有限公 司、二 六三网 络通信 股份有 限公司</w:t>
            </w: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7"/>
              <w:jc w:val="both"/>
              <w:rPr>
                <w:rFonts w:ascii="宋体" w:hAnsi="宋体" w:cs="宋体" w:eastAsia="宋体" w:hint="default"/>
                <w:sz w:val="18"/>
                <w:szCs w:val="18"/>
              </w:rPr>
            </w:pPr>
            <w:r>
              <w:rPr>
                <w:rFonts w:ascii="宋体" w:hAnsi="宋体" w:cs="宋体" w:eastAsia="宋体" w:hint="default"/>
                <w:sz w:val="18"/>
                <w:szCs w:val="18"/>
              </w:rPr>
              <w:t>投资的 提示性 公告 》</w:t>
            </w:r>
          </w:p>
        </w:tc>
      </w:tr>
      <w:tr>
        <w:trPr>
          <w:trHeight w:val="414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二六三 网络通 信股份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用友网 络科技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48"/>
              <w:jc w:val="both"/>
              <w:rPr>
                <w:rFonts w:ascii="宋体" w:hAnsi="宋体" w:cs="宋体" w:eastAsia="宋体" w:hint="default"/>
                <w:sz w:val="18"/>
                <w:szCs w:val="18"/>
              </w:rPr>
            </w:pPr>
            <w:r>
              <w:rPr>
                <w:rFonts w:ascii="宋体" w:hAnsi="宋体" w:cs="宋体" w:eastAsia="宋体" w:hint="default"/>
                <w:sz w:val="18"/>
                <w:szCs w:val="18"/>
              </w:rPr>
              <w:t>北京致 远协创 软件有 限公司 </w:t>
            </w:r>
            <w:r>
              <w:rPr>
                <w:rFonts w:ascii="Times New Roman" w:hAnsi="Times New Roman" w:cs="Times New Roman" w:eastAsia="Times New Roman" w:hint="default"/>
                <w:sz w:val="18"/>
                <w:szCs w:val="18"/>
              </w:rPr>
              <w:t>7.5%</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2"/>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5,250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5"/>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2015-1</w:t>
            </w:r>
          </w:p>
          <w:p>
            <w:pPr>
              <w:pStyle w:val="TableParagraph"/>
              <w:spacing w:line="312"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宋体" w:hAnsi="宋体" w:cs="宋体" w:eastAsia="宋体" w:hint="default"/>
                <w:sz w:val="18"/>
                <w:szCs w:val="18"/>
              </w:rPr>
              <w:t>《关 于对外 投资的 公</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告  》</w:t>
            </w:r>
          </w:p>
        </w:tc>
      </w:tr>
      <w:tr>
        <w:trPr>
          <w:trHeight w:val="445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二六三 香港控 股有限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62" w:lineRule="auto"/>
              <w:ind w:left="22" w:right="115"/>
              <w:jc w:val="left"/>
              <w:rPr>
                <w:rFonts w:ascii="Times New Roman" w:hAnsi="Times New Roman" w:cs="Times New Roman" w:eastAsia="Times New Roman" w:hint="default"/>
                <w:sz w:val="18"/>
                <w:szCs w:val="18"/>
              </w:rPr>
            </w:pPr>
            <w:r>
              <w:rPr>
                <w:rFonts w:ascii="Times New Roman"/>
                <w:sz w:val="18"/>
              </w:rPr>
              <w:t>GLOB</w:t>
            </w:r>
            <w:r>
              <w:rPr>
                <w:rFonts w:ascii="Times New Roman"/>
                <w:w w:val="99"/>
                <w:sz w:val="18"/>
              </w:rPr>
              <w:t> </w:t>
            </w:r>
            <w:r>
              <w:rPr>
                <w:rFonts w:ascii="Times New Roman"/>
                <w:sz w:val="18"/>
              </w:rPr>
              <w:t>ETOU</w:t>
            </w:r>
            <w:r>
              <w:rPr>
                <w:rFonts w:ascii="Times New Roman"/>
                <w:w w:val="99"/>
                <w:sz w:val="18"/>
              </w:rPr>
              <w:t> </w:t>
            </w:r>
            <w:r>
              <w:rPr>
                <w:rFonts w:ascii="Times New Roman"/>
                <w:sz w:val="18"/>
              </w:rPr>
              <w:t>CH</w:t>
            </w:r>
            <w:r>
              <w:rPr>
                <w:rFonts w:ascii="Times New Roman"/>
                <w:w w:val="99"/>
                <w:sz w:val="18"/>
              </w:rPr>
              <w:t> </w:t>
            </w:r>
            <w:r>
              <w:rPr>
                <w:rFonts w:ascii="Times New Roman"/>
                <w:sz w:val="18"/>
              </w:rPr>
              <w:t>INC.</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60" w:lineRule="auto"/>
              <w:ind w:left="22" w:right="68"/>
              <w:jc w:val="both"/>
              <w:rPr>
                <w:rFonts w:ascii="Times New Roman" w:hAnsi="Times New Roman" w:cs="Times New Roman" w:eastAsia="Times New Roman" w:hint="default"/>
                <w:sz w:val="18"/>
                <w:szCs w:val="18"/>
              </w:rPr>
            </w:pPr>
            <w:r>
              <w:rPr>
                <w:rFonts w:ascii="Times New Roman"/>
                <w:sz w:val="18"/>
              </w:rPr>
              <w:t>GLOB</w:t>
            </w:r>
            <w:r>
              <w:rPr>
                <w:rFonts w:ascii="Times New Roman"/>
                <w:w w:val="99"/>
                <w:sz w:val="18"/>
              </w:rPr>
              <w:t> </w:t>
            </w:r>
            <w:r>
              <w:rPr>
                <w:rFonts w:ascii="Times New Roman"/>
                <w:sz w:val="18"/>
              </w:rPr>
              <w:t>ETOU</w:t>
            </w:r>
            <w:r>
              <w:rPr>
                <w:rFonts w:ascii="Times New Roman"/>
                <w:w w:val="99"/>
                <w:sz w:val="18"/>
              </w:rPr>
              <w:t> </w:t>
            </w:r>
            <w:r>
              <w:rPr>
                <w:rFonts w:ascii="Times New Roman"/>
                <w:sz w:val="18"/>
              </w:rPr>
              <w:t>CH</w:t>
            </w:r>
          </w:p>
          <w:p>
            <w:pPr>
              <w:pStyle w:val="TableParagraph"/>
              <w:spacing w:line="215"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INC.</w:t>
            </w:r>
            <w:r>
              <w:rPr>
                <w:rFonts w:ascii="宋体" w:hAnsi="宋体" w:cs="宋体" w:eastAsia="宋体" w:hint="default"/>
                <w:sz w:val="18"/>
                <w:szCs w:val="18"/>
              </w:rPr>
              <w:t>股</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3"/>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2015-1</w:t>
            </w:r>
          </w:p>
          <w:p>
            <w:pPr>
              <w:pStyle w:val="TableParagraph"/>
              <w:spacing w:line="314" w:lineRule="auto" w:before="65"/>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《关 于公司 子公司 对外投 资的公 告 》</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1033"/>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1033"/>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33"/>
        <w:jc w:val="left"/>
        <w:rPr>
          <w:b w:val="0"/>
          <w:bCs w:val="0"/>
        </w:rPr>
      </w:pPr>
      <w:bookmarkStart w:name="二十、社会责任情况" w:id="99"/>
      <w:bookmarkEnd w:id="99"/>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二十一、公司债券相关情况" w:id="100"/>
      <w:bookmarkEnd w:id="100"/>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33"/>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967"/>
        <w:gridCol w:w="702"/>
        <w:gridCol w:w="866"/>
        <w:gridCol w:w="416"/>
        <w:gridCol w:w="956"/>
        <w:gridCol w:w="865"/>
        <w:gridCol w:w="957"/>
        <w:gridCol w:w="956"/>
        <w:gridCol w:w="701"/>
      </w:tblGrid>
      <w:tr>
        <w:trPr>
          <w:trHeight w:val="205"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3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669" w:type="dxa"/>
            <w:gridSpan w:val="2"/>
            <w:vMerge/>
            <w:tcBorders>
              <w:left w:val="single" w:sz="4" w:space="0" w:color="000000"/>
              <w:bottom w:val="single" w:sz="4" w:space="0" w:color="000000"/>
              <w:right w:val="single" w:sz="4" w:space="0" w:color="000000"/>
            </w:tcBorders>
            <w:shd w:val="clear" w:color="auto" w:fill="D2D2D2"/>
          </w:tcPr>
          <w:p>
            <w:pPr/>
          </w:p>
        </w:tc>
        <w:tc>
          <w:tcPr>
            <w:tcW w:w="4060" w:type="dxa"/>
            <w:gridSpan w:val="5"/>
            <w:vMerge/>
            <w:tcBorders>
              <w:left w:val="single" w:sz="4" w:space="0" w:color="000000"/>
              <w:bottom w:val="single" w:sz="4" w:space="0" w:color="000000"/>
              <w:right w:val="single" w:sz="4" w:space="0" w:color="000000"/>
            </w:tcBorders>
            <w:shd w:val="clear" w:color="auto" w:fill="D2D2D2"/>
          </w:tcPr>
          <w:p>
            <w:pPr/>
          </w:p>
        </w:tc>
        <w:tc>
          <w:tcPr>
            <w:tcW w:w="165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702"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416"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86,102,284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61,635,220</w:t>
            </w: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42,824,962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13,071,980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117,532,162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203,634,446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86,102,284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61,635,220</w:t>
            </w: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42,824,962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13,071,980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117,532,162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203,634,446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86,102,284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61,635,220</w:t>
            </w: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42,824,962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13,071,980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117,532,162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203,634,446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396,391,518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82.15%</w:t>
            </w:r>
          </w:p>
        </w:tc>
        <w:tc>
          <w:tcPr>
            <w:tcW w:w="8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198,294,429</w:t>
            </w:r>
          </w:p>
        </w:tc>
        <w:tc>
          <w:tcPr>
            <w:tcW w:w="86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198,294,429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594,685,947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396,391,518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82.15%</w:t>
            </w:r>
          </w:p>
        </w:tc>
        <w:tc>
          <w:tcPr>
            <w:tcW w:w="8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198,294,429</w:t>
            </w:r>
          </w:p>
        </w:tc>
        <w:tc>
          <w:tcPr>
            <w:tcW w:w="86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198,294,429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594,685,947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482,493,802</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61,635,220</w:t>
            </w:r>
          </w:p>
        </w:tc>
        <w:tc>
          <w:tcPr>
            <w:tcW w:w="4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241,119,391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13,071,980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315,826,591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798,320,393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033"/>
        <w:jc w:val="left"/>
      </w:pPr>
      <w:r>
        <w:rPr/>
        <w:t>股份变动的原因</w:t>
      </w:r>
    </w:p>
    <w:p>
      <w:pPr>
        <w:pStyle w:val="BodyText"/>
        <w:spacing w:line="319" w:lineRule="auto" w:before="117"/>
        <w:ind w:right="10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日，公司第四届董事会第二十七次会议和第四届监事会第十五次会议审议通过了《关于回购注销已离职股权</w:t>
      </w:r>
      <w:r>
        <w:rPr>
          <w:spacing w:val="-58"/>
        </w:rPr>
        <w:t> </w:t>
      </w:r>
      <w:r>
        <w:rPr>
          <w:spacing w:val="-58"/>
        </w:rPr>
      </w:r>
      <w:r>
        <w:rPr>
          <w:spacing w:val="-5"/>
        </w:rPr>
        <w:t>激励对象所持已获授但尚未解锁的限制性股票的议案》，决定回购注销已离职股权激励对象白彦清、邹婧玮、奚立、潘永焕、</w:t>
      </w:r>
      <w:r>
        <w:rPr>
          <w:spacing w:val="-78"/>
        </w:rPr>
        <w:t> </w:t>
      </w:r>
      <w:r>
        <w:rPr>
          <w:spacing w:val="-78"/>
        </w:rPr>
      </w:r>
      <w:r>
        <w:rPr/>
        <w:t>俞晟、刘文献、朱力、赵红梅、杨祖荣及胡家远十人所持</w:t>
      </w:r>
      <w:r>
        <w:rPr>
          <w:rFonts w:ascii="Times New Roman" w:hAnsi="Times New Roman" w:cs="Times New Roman" w:eastAsia="Times New Roman" w:hint="default"/>
        </w:rPr>
        <w:t>255,020</w:t>
      </w:r>
      <w:r>
        <w:rPr/>
        <w:t>股已获授但尚未解锁的限制性股票。</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w:t>
      </w:r>
    </w:p>
    <w:p>
      <w:pPr>
        <w:pStyle w:val="BodyText"/>
        <w:spacing w:line="300" w:lineRule="auto"/>
        <w:ind w:right="1122"/>
        <w:jc w:val="left"/>
      </w:pPr>
      <w:r>
        <w:rPr/>
        <w:t>公司完成了对上述已离职股权激励对象所持已获授但尚未解锁的限制性股票共计 </w:t>
      </w:r>
      <w:r>
        <w:rPr>
          <w:rFonts w:ascii="Times New Roman" w:hAnsi="Times New Roman" w:cs="Times New Roman" w:eastAsia="Times New Roman" w:hint="default"/>
        </w:rPr>
        <w:t>255,020</w:t>
      </w:r>
      <w:r>
        <w:rPr>
          <w:rFonts w:ascii="Times New Roman" w:hAnsi="Times New Roman" w:cs="Times New Roman" w:eastAsia="Times New Roman" w:hint="default"/>
          <w:spacing w:val="11"/>
        </w:rPr>
        <w:t> </w:t>
      </w:r>
      <w:r>
        <w:rPr/>
        <w:t>股的回购注销。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年年度权益分派方案为：以公司现有总股本</w:t>
      </w:r>
      <w:r>
        <w:rPr>
          <w:rFonts w:ascii="Times New Roman" w:hAnsi="Times New Roman" w:cs="Times New Roman" w:eastAsia="Times New Roman" w:hint="default"/>
        </w:rPr>
        <w:t>482,238,782</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1.80</w:t>
      </w:r>
      <w:r>
        <w:rPr/>
        <w:t>元人民币现金（含 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1.62</w:t>
      </w:r>
      <w:r>
        <w:rPr/>
        <w:t>元；持有非股改、非首发</w:t>
      </w:r>
      <w:r>
        <w:rPr>
          <w:w w:val="99"/>
        </w:rPr>
        <w:t> </w:t>
      </w:r>
      <w:r>
        <w:rPr>
          <w:spacing w:val="-1"/>
        </w:rPr>
        <w:t>限售股及无限售流通股的个人、证券投资基金股息红利税实行差别化税率征收，先按每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1.71</w:t>
      </w:r>
      <w:r>
        <w:rPr>
          <w:spacing w:val="-1"/>
        </w:rPr>
        <w:t>元，权益登记日后根据投</w:t>
      </w:r>
      <w:r>
        <w:rPr>
          <w:spacing w:val="-74"/>
        </w:rPr>
        <w:t> </w:t>
      </w:r>
      <w:r>
        <w:rPr>
          <w:spacing w:val="-74"/>
        </w:rPr>
      </w:r>
      <w:r>
        <w:rPr>
          <w:spacing w:val="-1"/>
        </w:rPr>
        <w:t>资者减持股票情况，再按实际持股期限补缴税款</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外的其他非居民企业，本公司未代扣代缴所得税，由纳</w:t>
      </w:r>
      <w:r>
        <w:rPr>
          <w:spacing w:val="-88"/>
        </w:rPr>
        <w:t> </w:t>
      </w:r>
      <w:r>
        <w:rPr>
          <w:spacing w:val="-88"/>
        </w:rPr>
      </w:r>
      <w:r>
        <w:rPr/>
        <w:t>税人在所得发生地缴纳。）；同时，以资本公积金向全体股东每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w:t>
      </w: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2015</w:t>
      </w:r>
      <w:r>
        <w:rPr/>
        <w:t>年第四次临时股东大会审议通过的《二六三网络通信股份有限公司</w:t>
      </w:r>
      <w:r>
        <w:rPr>
          <w:rFonts w:ascii="Times New Roman" w:hAnsi="Times New Roman" w:cs="Times New Roman" w:eastAsia="Times New Roman" w:hint="default"/>
        </w:rPr>
        <w:t>2015</w:t>
      </w:r>
      <w:r>
        <w:rPr/>
        <w:t>年限制性股票激励计划（草案）》 </w:t>
      </w:r>
      <w:r>
        <w:rPr>
          <w:spacing w:val="-2"/>
        </w:rPr>
        <w:t>及其摘要以及第五届董事会第一次会议和第五届监事会第一次会议相关决议，公司限制性股票拟授予数量为</w:t>
      </w:r>
      <w:r>
        <w:rPr>
          <w:rFonts w:ascii="Times New Roman" w:hAnsi="Times New Roman" w:cs="Times New Roman" w:eastAsia="Times New Roman" w:hint="default"/>
          <w:spacing w:val="-2"/>
        </w:rPr>
        <w:t>1409</w:t>
      </w:r>
      <w:r>
        <w:rPr>
          <w:spacing w:val="-2"/>
        </w:rPr>
        <w:t>万股，授予</w:t>
      </w:r>
      <w:r>
        <w:rPr>
          <w:spacing w:val="-59"/>
        </w:rPr>
        <w:t> </w:t>
      </w:r>
      <w:r>
        <w:rPr>
          <w:spacing w:val="-59"/>
        </w:rPr>
      </w:r>
      <w:r>
        <w:rPr>
          <w:spacing w:val="-2"/>
        </w:rPr>
        <w:t>激励对象共</w:t>
      </w:r>
      <w:r>
        <w:rPr>
          <w:rFonts w:ascii="Times New Roman" w:hAnsi="Times New Roman" w:cs="Times New Roman" w:eastAsia="Times New Roman" w:hint="default"/>
          <w:spacing w:val="-2"/>
        </w:rPr>
        <w:t>225</w:t>
      </w:r>
      <w:r>
        <w:rPr>
          <w:spacing w:val="-2"/>
        </w:rPr>
        <w:t>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日，公司召开了第五届董事会第三次会议和第五届监事会第二次会议决议，审议通过了《关</w:t>
      </w:r>
      <w:r>
        <w:rPr>
          <w:spacing w:val="-56"/>
        </w:rPr>
        <w:t> </w:t>
      </w:r>
      <w:r>
        <w:rPr>
          <w:spacing w:val="-56"/>
        </w:rPr>
      </w:r>
      <w:r>
        <w:rPr/>
        <w:t>于调整</w:t>
      </w:r>
      <w:r>
        <w:rPr>
          <w:rFonts w:ascii="Times New Roman" w:hAnsi="Times New Roman" w:cs="Times New Roman" w:eastAsia="Times New Roman" w:hint="default"/>
        </w:rPr>
        <w:t>2015</w:t>
      </w:r>
      <w:r>
        <w:rPr/>
        <w:t>年限制性股票激励计划授予对象、授予数量的议案》</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公司董事会在授予限制性股票的过程中，原</w:t>
      </w:r>
      <w:r>
        <w:rPr>
          <w:rFonts w:ascii="Times New Roman" w:hAnsi="Times New Roman" w:cs="Times New Roman" w:eastAsia="Times New Roman" w:hint="default"/>
        </w:rPr>
        <w:t>225</w:t>
      </w:r>
      <w:r>
        <w:rPr/>
        <w:t>名激励对 </w:t>
      </w:r>
      <w:r>
        <w:rPr>
          <w:spacing w:val="-2"/>
        </w:rPr>
        <w:t>象中，有</w:t>
      </w:r>
      <w:r>
        <w:rPr>
          <w:rFonts w:ascii="Times New Roman" w:hAnsi="Times New Roman" w:cs="Times New Roman" w:eastAsia="Times New Roman" w:hint="default"/>
          <w:spacing w:val="-2"/>
        </w:rPr>
        <w:t>22</w:t>
      </w:r>
      <w:r>
        <w:rPr>
          <w:spacing w:val="-2"/>
        </w:rPr>
        <w:t>名激励对象因个人原因自愿放弃认购限制性股票。本次调整后，公司此次激励对象人数由</w:t>
      </w:r>
      <w:r>
        <w:rPr>
          <w:rFonts w:ascii="Times New Roman" w:hAnsi="Times New Roman" w:cs="Times New Roman" w:eastAsia="Times New Roman" w:hint="default"/>
          <w:spacing w:val="-2"/>
        </w:rPr>
        <w:t>225</w:t>
      </w:r>
      <w:r>
        <w:rPr>
          <w:spacing w:val="-2"/>
        </w:rPr>
        <w:t>名变更为</w:t>
      </w:r>
      <w:r>
        <w:rPr>
          <w:rFonts w:ascii="Times New Roman" w:hAnsi="Times New Roman" w:cs="Times New Roman" w:eastAsia="Times New Roman" w:hint="default"/>
          <w:spacing w:val="-2"/>
        </w:rPr>
        <w:t>203</w:t>
      </w:r>
      <w:r>
        <w:rPr>
          <w:spacing w:val="-2"/>
        </w:rPr>
        <w:t>名，调</w:t>
      </w:r>
      <w:r>
        <w:rPr>
          <w:spacing w:val="-58"/>
        </w:rPr>
        <w:t> </w:t>
      </w:r>
      <w:r>
        <w:rPr>
          <w:spacing w:val="-58"/>
        </w:rPr>
      </w:r>
      <w:r>
        <w:rPr>
          <w:spacing w:val="-2"/>
        </w:rPr>
        <w:t>整后的激励对象均为公司</w:t>
      </w:r>
      <w:r>
        <w:rPr>
          <w:rFonts w:ascii="Times New Roman" w:hAnsi="Times New Roman" w:cs="Times New Roman" w:eastAsia="Times New Roman" w:hint="default"/>
          <w:spacing w:val="-2"/>
        </w:rPr>
        <w:t>2015</w:t>
      </w:r>
      <w:r>
        <w:rPr>
          <w:spacing w:val="-2"/>
        </w:rPr>
        <w:t>年第四次临时股东大会审议通过的《二六三网络通信股份有限公司</w:t>
      </w:r>
      <w:r>
        <w:rPr>
          <w:rFonts w:ascii="Times New Roman" w:hAnsi="Times New Roman" w:cs="Times New Roman" w:eastAsia="Times New Roman" w:hint="default"/>
          <w:spacing w:val="-2"/>
        </w:rPr>
        <w:t>2015</w:t>
      </w:r>
      <w:r>
        <w:rPr>
          <w:spacing w:val="-2"/>
        </w:rPr>
        <w:t>年限制性股票激励计划</w:t>
      </w:r>
    </w:p>
    <w:p>
      <w:pPr>
        <w:pStyle w:val="BodyText"/>
        <w:spacing w:line="300" w:lineRule="auto" w:before="13"/>
        <w:ind w:right="1034"/>
        <w:jc w:val="left"/>
      </w:pPr>
      <w:r>
        <w:rPr>
          <w:spacing w:val="-4"/>
        </w:rPr>
        <w:t>（草案）》中确定的人员。调整后，计划授予的限制性股票数量由</w:t>
      </w:r>
      <w:r>
        <w:rPr>
          <w:rFonts w:ascii="Times New Roman" w:hAnsi="Times New Roman" w:cs="Times New Roman" w:eastAsia="Times New Roman" w:hint="default"/>
          <w:spacing w:val="-4"/>
        </w:rPr>
        <w:t>1409</w:t>
      </w:r>
      <w:r>
        <w:rPr>
          <w:spacing w:val="-4"/>
        </w:rPr>
        <w:t>万股变更为</w:t>
      </w:r>
      <w:r>
        <w:rPr>
          <w:rFonts w:ascii="Times New Roman" w:hAnsi="Times New Roman" w:cs="Times New Roman" w:eastAsia="Times New Roman" w:hint="default"/>
          <w:spacing w:val="-4"/>
        </w:rPr>
        <w:t>1342.7</w:t>
      </w:r>
      <w:r>
        <w:rPr>
          <w:spacing w:val="-4"/>
        </w:rPr>
        <w:t>万股。本次激励计划的授予日为</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日，授予股份的上市日期为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 </w:t>
      </w:r>
      <w:r>
        <w:rPr>
          <w:rFonts w:ascii="Times New Roman" w:hAnsi="Times New Roman" w:cs="Times New Roman" w:eastAsia="Times New Roman" w:hint="default"/>
          <w:spacing w:val="-4"/>
        </w:rPr>
        <w:t>4</w:t>
      </w:r>
      <w:r>
        <w:rPr>
          <w:spacing w:val="-4"/>
        </w:rPr>
        <w:t>、经中国证券监督管理委员会《关于核准二六三网络通信股份有限公司非公开发行股票的批复》（证监许可</w:t>
      </w:r>
      <w:r>
        <w:rPr>
          <w:rFonts w:ascii="Times New Roman" w:hAnsi="Times New Roman" w:cs="Times New Roman" w:eastAsia="Times New Roman" w:hint="default"/>
          <w:spacing w:val="-4"/>
        </w:rPr>
        <w:t>[2015]2587</w:t>
      </w:r>
      <w:r>
        <w:rPr>
          <w:rFonts w:ascii="Times New Roman" w:hAnsi="Times New Roman" w:cs="Times New Roman" w:eastAsia="Times New Roman" w:hint="default"/>
        </w:rPr>
        <w:t> </w:t>
      </w:r>
      <w:r>
        <w:rPr/>
        <w:t>号）</w:t>
      </w:r>
      <w:r>
        <w:rPr>
          <w:spacing w:val="-61"/>
        </w:rPr>
        <w:t> </w:t>
      </w:r>
      <w:r>
        <w:rPr/>
        <w:t>核准，公司向 </w:t>
      </w:r>
      <w:r>
        <w:rPr>
          <w:rFonts w:ascii="Times New Roman" w:hAnsi="Times New Roman" w:cs="Times New Roman" w:eastAsia="Times New Roman" w:hint="default"/>
        </w:rPr>
        <w:t>8  </w:t>
      </w:r>
      <w:r>
        <w:rPr/>
        <w:t>名特定投资者非公开发行股票</w:t>
      </w:r>
      <w:r>
        <w:rPr>
          <w:rFonts w:ascii="Times New Roman" w:hAnsi="Times New Roman" w:cs="Times New Roman" w:eastAsia="Times New Roman" w:hint="default"/>
        </w:rPr>
        <w:t>61,635,220  </w:t>
      </w:r>
      <w:r>
        <w:rPr/>
        <w:t>股，发行价格为 </w:t>
      </w:r>
      <w:r>
        <w:rPr>
          <w:rFonts w:ascii="Times New Roman" w:hAnsi="Times New Roman" w:cs="Times New Roman" w:eastAsia="Times New Roman" w:hint="default"/>
        </w:rPr>
        <w:t>12.72  </w:t>
      </w:r>
      <w:r>
        <w:rPr/>
        <w:t>元</w:t>
      </w:r>
      <w:r>
        <w:rPr>
          <w:rFonts w:ascii="Times New Roman" w:hAnsi="Times New Roman" w:cs="Times New Roman" w:eastAsia="Times New Roman" w:hint="default"/>
        </w:rPr>
        <w:t>/</w:t>
      </w:r>
      <w:r>
        <w:rPr/>
        <w:t>股，募集资金总额 </w:t>
      </w:r>
      <w:r>
        <w:rPr>
          <w:rFonts w:ascii="Times New Roman" w:hAnsi="Times New Roman" w:cs="Times New Roman" w:eastAsia="Times New Roman" w:hint="default"/>
        </w:rPr>
        <w:t>783,999,998.40</w:t>
      </w:r>
      <w:r>
        <w:rPr>
          <w:rFonts w:ascii="Times New Roman" w:hAnsi="Times New Roman" w:cs="Times New Roman" w:eastAsia="Times New Roman" w:hint="default"/>
          <w:spacing w:val="-6"/>
        </w:rPr>
        <w:t> </w:t>
      </w:r>
      <w:r>
        <w:rPr/>
        <w:t>元，</w:t>
      </w:r>
    </w:p>
    <w:p>
      <w:pPr>
        <w:pStyle w:val="BodyText"/>
        <w:spacing w:line="240" w:lineRule="auto" w:before="13"/>
        <w:ind w:right="1033"/>
        <w:jc w:val="left"/>
      </w:pPr>
      <w:r>
        <w:rPr/>
        <w:t>募集资金净额 </w:t>
      </w:r>
      <w:r>
        <w:rPr>
          <w:rFonts w:ascii="Times New Roman" w:hAnsi="Times New Roman" w:cs="Times New Roman" w:eastAsia="Times New Roman" w:hint="default"/>
        </w:rPr>
        <w:t>765,233,120.26 </w:t>
      </w:r>
      <w:r>
        <w:rPr>
          <w:spacing w:val="-5"/>
        </w:rPr>
        <w:t>元。本次发行新增 </w:t>
      </w:r>
      <w:r>
        <w:rPr>
          <w:rFonts w:ascii="Times New Roman" w:hAnsi="Times New Roman" w:cs="Times New Roman" w:eastAsia="Times New Roman" w:hint="default"/>
        </w:rPr>
        <w:t>61,635,220 </w:t>
      </w:r>
      <w:r>
        <w:rPr/>
        <w:t>股股份已于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日在中国证券登记结算有限责任</w:t>
      </w:r>
    </w:p>
    <w:p>
      <w:pPr>
        <w:pStyle w:val="BodyText"/>
        <w:spacing w:line="240" w:lineRule="auto" w:before="63"/>
        <w:ind w:right="1033"/>
        <w:jc w:val="left"/>
      </w:pPr>
      <w:r>
        <w:rPr/>
        <w:t>公司深圳分公司办理完毕登记托管手续。</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日为本次发行新增股份的上市首日。</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股份变动的批准情况</w:t>
      </w:r>
    </w:p>
    <w:p>
      <w:pPr>
        <w:pStyle w:val="BodyText"/>
        <w:spacing w:line="319" w:lineRule="auto" w:before="116"/>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日，公司第四届董事会第二十七次会议和第四届监事会第十五次会议审议通过了《关于回购注销已离职股权</w:t>
      </w:r>
      <w:r>
        <w:rPr>
          <w:spacing w:val="-58"/>
        </w:rPr>
        <w:t> </w:t>
      </w:r>
      <w:r>
        <w:rPr>
          <w:spacing w:val="-58"/>
        </w:rPr>
      </w:r>
      <w:r>
        <w:rPr>
          <w:spacing w:val="-5"/>
        </w:rPr>
        <w:t>激励对象所持已获授但尚未解锁的限制性股票的议案》，决定回购注销已离职股权激励对象白彦清、邹婧玮、奚立、潘永焕、</w:t>
      </w:r>
      <w:r>
        <w:rPr>
          <w:spacing w:val="-78"/>
        </w:rPr>
        <w:t> </w:t>
      </w:r>
      <w:r>
        <w:rPr>
          <w:spacing w:val="-78"/>
        </w:rPr>
      </w:r>
      <w:r>
        <w:rPr/>
        <w:t>俞晟、刘文献、朱力、赵红梅、杨祖荣及胡家远十人所持</w:t>
      </w:r>
      <w:r>
        <w:rPr>
          <w:rFonts w:ascii="Times New Roman" w:hAnsi="Times New Roman" w:cs="Times New Roman" w:eastAsia="Times New Roman" w:hint="default"/>
        </w:rPr>
        <w:t>255,020</w:t>
      </w:r>
      <w:r>
        <w:rPr/>
        <w:t>股已获授但尚未解锁的限制性股票。</w:t>
      </w:r>
    </w:p>
    <w:p>
      <w:pPr>
        <w:pStyle w:val="BodyText"/>
        <w:spacing w:line="300" w:lineRule="auto"/>
        <w:ind w:right="1122"/>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21</w:t>
      </w:r>
      <w:r>
        <w:rPr>
          <w:spacing w:val="-5"/>
        </w:rPr>
        <w:t>日，公司</w:t>
      </w:r>
      <w:r>
        <w:rPr>
          <w:rFonts w:ascii="Times New Roman" w:hAnsi="Times New Roman" w:cs="Times New Roman" w:eastAsia="Times New Roman" w:hint="default"/>
          <w:spacing w:val="-5"/>
        </w:rPr>
        <w:t>2014</w:t>
      </w:r>
      <w:r>
        <w:rPr>
          <w:spacing w:val="-5"/>
        </w:rPr>
        <w:t>年年度股东大会审议通过了关于公司《</w:t>
      </w:r>
      <w:r>
        <w:rPr>
          <w:rFonts w:ascii="Times New Roman" w:hAnsi="Times New Roman" w:cs="Times New Roman" w:eastAsia="Times New Roman" w:hint="default"/>
          <w:spacing w:val="-5"/>
        </w:rPr>
        <w:t>2014</w:t>
      </w:r>
      <w:r>
        <w:rPr>
          <w:spacing w:val="-5"/>
        </w:rPr>
        <w:t>年度利润分配及资本公积金转增股本方案》的议案。</w:t>
      </w:r>
      <w:r>
        <w:rPr>
          <w:spacing w:val="-41"/>
        </w:rPr>
        <w:t> </w:t>
      </w:r>
      <w:r>
        <w:rPr>
          <w:spacing w:val="-41"/>
        </w:rPr>
      </w:r>
      <w:r>
        <w:rPr>
          <w:spacing w:val="-1"/>
        </w:rPr>
        <w:t>同意公司</w:t>
      </w:r>
      <w:r>
        <w:rPr>
          <w:rFonts w:ascii="Times New Roman" w:hAnsi="Times New Roman" w:cs="Times New Roman" w:eastAsia="Times New Roman" w:hint="default"/>
          <w:spacing w:val="-1"/>
        </w:rPr>
        <w:t>2014</w:t>
      </w:r>
      <w:r>
        <w:rPr>
          <w:spacing w:val="-1"/>
        </w:rPr>
        <w:t>年年度权益分派方案为：以公司现有总股本</w:t>
      </w:r>
      <w:r>
        <w:rPr>
          <w:rFonts w:ascii="Times New Roman" w:hAnsi="Times New Roman" w:cs="Times New Roman" w:eastAsia="Times New Roman" w:hint="default"/>
          <w:spacing w:val="-1"/>
        </w:rPr>
        <w:t>482,238,782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1.80</w:t>
      </w:r>
      <w:r>
        <w:rPr>
          <w:spacing w:val="-1"/>
        </w:rPr>
        <w:t>元人民币现金（含</w:t>
      </w:r>
      <w:r>
        <w:rPr>
          <w:spacing w:val="-67"/>
        </w:rPr>
        <w:t> </w:t>
      </w:r>
      <w:r>
        <w:rPr>
          <w:spacing w:val="-67"/>
        </w:rPr>
      </w:r>
      <w:r>
        <w:rPr/>
        <w:t>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1.62</w:t>
      </w:r>
      <w:r>
        <w:rPr/>
        <w:t>元；持有非股改、非首发</w:t>
      </w:r>
      <w:r>
        <w:rPr>
          <w:w w:val="99"/>
        </w:rPr>
        <w:t> </w:t>
      </w:r>
      <w:r>
        <w:rPr>
          <w:spacing w:val="-1"/>
        </w:rPr>
        <w:t>限售股及无限售流通股的个人、证券投资基金股息红利税实行差别化税率征收，先按每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1.71</w:t>
      </w:r>
      <w:r>
        <w:rPr>
          <w:spacing w:val="-1"/>
        </w:rPr>
        <w:t>元，权益登记日后根据投</w:t>
      </w:r>
      <w:r>
        <w:rPr>
          <w:spacing w:val="-74"/>
        </w:rPr>
        <w:t> </w:t>
      </w:r>
      <w:r>
        <w:rPr>
          <w:spacing w:val="-74"/>
        </w:rPr>
      </w:r>
      <w:r>
        <w:rPr>
          <w:spacing w:val="-1"/>
        </w:rPr>
        <w:t>资者减持股票情况，再按实际持股期限补缴税款</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外的其他非居民企业，本公司未代扣代缴所得税，由纳</w:t>
      </w:r>
      <w:r>
        <w:rPr>
          <w:spacing w:val="-88"/>
        </w:rPr>
        <w:t> </w:t>
      </w:r>
      <w:r>
        <w:rPr>
          <w:spacing w:val="-88"/>
        </w:rPr>
      </w:r>
      <w:r>
        <w:rPr/>
        <w:t>税人在所得发生地缴纳。）；同时，以资本公积金向全体股东每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w:t>
      </w: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2015</w:t>
      </w:r>
      <w:r>
        <w:rPr/>
        <w:t>年第四次临时股东大会审议通过的《二六三网络通信股份有限公司</w:t>
      </w:r>
      <w:r>
        <w:rPr>
          <w:rFonts w:ascii="Times New Roman" w:hAnsi="Times New Roman" w:cs="Times New Roman" w:eastAsia="Times New Roman" w:hint="default"/>
        </w:rPr>
        <w:t>2015</w:t>
      </w:r>
      <w:r>
        <w:rPr/>
        <w:t>年限制性股票激励计划（草案）》 </w:t>
      </w:r>
      <w:r>
        <w:rPr>
          <w:spacing w:val="-2"/>
        </w:rPr>
        <w:t>及其摘要以及第五届董事会第一次会议和第五届监事会第一次会议相关决议，公司限制性股票拟授予数量为</w:t>
      </w:r>
      <w:r>
        <w:rPr>
          <w:rFonts w:ascii="Times New Roman" w:hAnsi="Times New Roman" w:cs="Times New Roman" w:eastAsia="Times New Roman" w:hint="default"/>
          <w:spacing w:val="-2"/>
        </w:rPr>
        <w:t>1409</w:t>
      </w:r>
      <w:r>
        <w:rPr>
          <w:spacing w:val="-2"/>
        </w:rPr>
        <w:t>万股，授予</w:t>
      </w:r>
      <w:r>
        <w:rPr>
          <w:spacing w:val="-59"/>
        </w:rPr>
        <w:t> </w:t>
      </w:r>
      <w:r>
        <w:rPr>
          <w:spacing w:val="-59"/>
        </w:rPr>
      </w:r>
      <w:r>
        <w:rPr>
          <w:spacing w:val="-2"/>
        </w:rPr>
        <w:t>激励对象共</w:t>
      </w:r>
      <w:r>
        <w:rPr>
          <w:rFonts w:ascii="Times New Roman" w:hAnsi="Times New Roman" w:cs="Times New Roman" w:eastAsia="Times New Roman" w:hint="default"/>
          <w:spacing w:val="-2"/>
        </w:rPr>
        <w:t>225</w:t>
      </w:r>
      <w:r>
        <w:rPr>
          <w:spacing w:val="-2"/>
        </w:rPr>
        <w:t>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日，公司召开了第五届董事会第三次会议和第五届监事会第二次会议决议，审议通过了《关</w:t>
      </w:r>
      <w:r>
        <w:rPr>
          <w:spacing w:val="-56"/>
        </w:rPr>
        <w:t> </w:t>
      </w:r>
      <w:r>
        <w:rPr>
          <w:spacing w:val="-56"/>
        </w:rPr>
      </w:r>
      <w:r>
        <w:rPr/>
        <w:t>于调整</w:t>
      </w:r>
      <w:r>
        <w:rPr>
          <w:rFonts w:ascii="Times New Roman" w:hAnsi="Times New Roman" w:cs="Times New Roman" w:eastAsia="Times New Roman" w:hint="default"/>
        </w:rPr>
        <w:t>2015</w:t>
      </w:r>
      <w:r>
        <w:rPr/>
        <w:t>年限制性股票激励计划授予对象、授予数量的议案》</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公司董事会在授予限制性股票的过程中，原</w:t>
      </w:r>
      <w:r>
        <w:rPr>
          <w:rFonts w:ascii="Times New Roman" w:hAnsi="Times New Roman" w:cs="Times New Roman" w:eastAsia="Times New Roman" w:hint="default"/>
        </w:rPr>
        <w:t>225</w:t>
      </w:r>
      <w:r>
        <w:rPr/>
        <w:t>名激励对 </w:t>
      </w:r>
      <w:r>
        <w:rPr>
          <w:spacing w:val="-2"/>
        </w:rPr>
        <w:t>象中，有</w:t>
      </w:r>
      <w:r>
        <w:rPr>
          <w:rFonts w:ascii="Times New Roman" w:hAnsi="Times New Roman" w:cs="Times New Roman" w:eastAsia="Times New Roman" w:hint="default"/>
          <w:spacing w:val="-2"/>
        </w:rPr>
        <w:t>22</w:t>
      </w:r>
      <w:r>
        <w:rPr>
          <w:spacing w:val="-2"/>
        </w:rPr>
        <w:t>名激励对象因个人原因自愿放弃认购限制性股票。本次调整后，公司此次激励对象人数由</w:t>
      </w:r>
      <w:r>
        <w:rPr>
          <w:rFonts w:ascii="Times New Roman" w:hAnsi="Times New Roman" w:cs="Times New Roman" w:eastAsia="Times New Roman" w:hint="default"/>
          <w:spacing w:val="-2"/>
        </w:rPr>
        <w:t>225</w:t>
      </w:r>
      <w:r>
        <w:rPr>
          <w:spacing w:val="-2"/>
        </w:rPr>
        <w:t>名变更为</w:t>
      </w:r>
      <w:r>
        <w:rPr>
          <w:rFonts w:ascii="Times New Roman" w:hAnsi="Times New Roman" w:cs="Times New Roman" w:eastAsia="Times New Roman" w:hint="default"/>
          <w:spacing w:val="-2"/>
        </w:rPr>
        <w:t>203</w:t>
      </w:r>
      <w:r>
        <w:rPr>
          <w:spacing w:val="-2"/>
        </w:rPr>
        <w:t>名，调</w:t>
      </w:r>
      <w:r>
        <w:rPr>
          <w:spacing w:val="-58"/>
        </w:rPr>
        <w:t> </w:t>
      </w:r>
      <w:r>
        <w:rPr>
          <w:spacing w:val="-58"/>
        </w:rPr>
      </w:r>
      <w:r>
        <w:rPr>
          <w:spacing w:val="-2"/>
        </w:rPr>
        <w:t>整后的激励对象均为公司</w:t>
      </w:r>
      <w:r>
        <w:rPr>
          <w:rFonts w:ascii="Times New Roman" w:hAnsi="Times New Roman" w:cs="Times New Roman" w:eastAsia="Times New Roman" w:hint="default"/>
          <w:spacing w:val="-2"/>
        </w:rPr>
        <w:t>2015</w:t>
      </w:r>
      <w:r>
        <w:rPr>
          <w:spacing w:val="-2"/>
        </w:rPr>
        <w:t>年第四次临时股东大会审议通过的《二六三网络通信股份有限公司</w:t>
      </w:r>
      <w:r>
        <w:rPr>
          <w:rFonts w:ascii="Times New Roman" w:hAnsi="Times New Roman" w:cs="Times New Roman" w:eastAsia="Times New Roman" w:hint="default"/>
          <w:spacing w:val="-2"/>
        </w:rPr>
        <w:t>2015</w:t>
      </w:r>
      <w:r>
        <w:rPr>
          <w:spacing w:val="-2"/>
        </w:rPr>
        <w:t>年限制性股票激励计划</w:t>
      </w:r>
    </w:p>
    <w:p>
      <w:pPr>
        <w:pStyle w:val="BodyText"/>
        <w:spacing w:line="300" w:lineRule="auto" w:before="13"/>
        <w:ind w:right="1031"/>
        <w:jc w:val="left"/>
      </w:pPr>
      <w:r>
        <w:rPr/>
        <w:t>（草案）》中确定的人员。调整后，计划授予的限制性股票数量由</w:t>
      </w:r>
      <w:r>
        <w:rPr>
          <w:rFonts w:ascii="Times New Roman" w:hAnsi="Times New Roman" w:cs="Times New Roman" w:eastAsia="Times New Roman" w:hint="default"/>
        </w:rPr>
        <w:t>1409</w:t>
      </w:r>
      <w:r>
        <w:rPr/>
        <w:t>万股变更为</w:t>
      </w:r>
      <w:r>
        <w:rPr>
          <w:rFonts w:ascii="Times New Roman" w:hAnsi="Times New Roman" w:cs="Times New Roman" w:eastAsia="Times New Roman" w:hint="default"/>
        </w:rPr>
        <w:t>1342.7</w:t>
      </w:r>
      <w:r>
        <w:rPr/>
        <w:t>万股。 </w:t>
      </w:r>
      <w:r>
        <w:rPr>
          <w:rFonts w:ascii="Times New Roman" w:hAnsi="Times New Roman" w:cs="Times New Roman" w:eastAsia="Times New Roman" w:hint="default"/>
        </w:rPr>
        <w:t>4</w:t>
      </w:r>
      <w:r>
        <w:rPr/>
        <w:t>、公司本次非公开发行申请于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 </w:t>
      </w:r>
      <w:r>
        <w:rPr/>
        <w:t>日由中国证券监督管理委员会受理，于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日获得中国证监 会发行审核委员会审核通过。</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日，公司收到中国证券监督管理委员会核发《关于核准二六三网络通信股份 有限公司非公开发行股票的批复》（证监许可</w:t>
      </w:r>
      <w:r>
        <w:rPr>
          <w:rFonts w:ascii="Times New Roman" w:hAnsi="Times New Roman" w:cs="Times New Roman" w:eastAsia="Times New Roman" w:hint="default"/>
        </w:rPr>
        <w:t>[2015]2587 </w:t>
      </w:r>
      <w:r>
        <w:rPr/>
        <w:t>号），核准公司非公开发行合计不超过 </w:t>
      </w:r>
      <w:r>
        <w:rPr>
          <w:rFonts w:ascii="Times New Roman" w:hAnsi="Times New Roman" w:cs="Times New Roman" w:eastAsia="Times New Roman" w:hint="default"/>
        </w:rPr>
        <w:t>76,938,200  </w:t>
      </w:r>
      <w:r>
        <w:rPr/>
        <w:t>股 </w:t>
      </w:r>
      <w:r>
        <w:rPr>
          <w:rFonts w:ascii="Times New Roman" w:hAnsi="Times New Roman" w:cs="Times New Roman" w:eastAsia="Times New Roman" w:hint="default"/>
        </w:rPr>
        <w:t>A</w:t>
      </w:r>
      <w:r>
        <w:rPr>
          <w:rFonts w:ascii="Times New Roman" w:hAnsi="Times New Roman" w:cs="Times New Roman" w:eastAsia="Times New Roman" w:hint="default"/>
          <w:spacing w:val="22"/>
        </w:rPr>
        <w:t> </w:t>
      </w:r>
      <w:r>
        <w:rPr/>
        <w:t>股股票。</w:t>
      </w:r>
    </w:p>
    <w:p>
      <w:pPr>
        <w:pStyle w:val="BodyText"/>
        <w:spacing w:line="240" w:lineRule="auto" w:before="53"/>
        <w:ind w:right="1033"/>
        <w:jc w:val="left"/>
      </w:pPr>
      <w:r>
        <w:rPr/>
        <w:t>股份变动的过户情况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2"/>
        <w:jc w:val="both"/>
      </w:pPr>
      <w:r>
        <w:rPr>
          <w:rFonts w:ascii="Times New Roman" w:hAnsi="Times New Roman" w:cs="Times New Roman" w:eastAsia="Times New Roman" w:hint="default"/>
        </w:rPr>
        <w:t>1</w:t>
      </w:r>
      <w:r>
        <w:rPr/>
        <w:t>、根据大华会计师事务所（特殊普通合伙）出具的大华验字</w:t>
      </w:r>
      <w:r>
        <w:rPr>
          <w:rFonts w:ascii="Times New Roman" w:hAnsi="Times New Roman" w:cs="Times New Roman" w:eastAsia="Times New Roman" w:hint="default"/>
        </w:rPr>
        <w:t>[2015]000079</w:t>
      </w:r>
      <w:r>
        <w:rPr>
          <w:rFonts w:ascii="Times New Roman" w:hAnsi="Times New Roman" w:cs="Times New Roman" w:eastAsia="Times New Roman" w:hint="default"/>
          <w:spacing w:val="26"/>
        </w:rPr>
        <w:t> </w:t>
      </w:r>
      <w:r>
        <w:rPr/>
        <w:t>号验资报告，截至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日止，公司实际 归还白彦清、邹婧玮、奚立、潘永焕、俞晟、刘文献、朱力、赵红梅、杨祖荣及胡家远十人资金</w:t>
      </w:r>
      <w:r>
        <w:rPr>
          <w:rFonts w:ascii="Times New Roman" w:hAnsi="Times New Roman" w:cs="Times New Roman" w:eastAsia="Times New Roman" w:hint="default"/>
        </w:rPr>
        <w:t>1,337,459.96</w:t>
      </w:r>
      <w:r>
        <w:rPr/>
        <w:t>元，同时公司 减少股本</w:t>
      </w:r>
      <w:r>
        <w:rPr>
          <w:rFonts w:ascii="Times New Roman" w:hAnsi="Times New Roman" w:cs="Times New Roman" w:eastAsia="Times New Roman" w:hint="default"/>
        </w:rPr>
        <w:t>255,020</w:t>
      </w:r>
      <w:r>
        <w:rPr/>
        <w:t>股。</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日，公司完成了对上述已离职股权激励对象所持已获授但尚未解锁的限制性股票共计</w:t>
      </w:r>
    </w:p>
    <w:p>
      <w:pPr>
        <w:pStyle w:val="BodyText"/>
        <w:spacing w:line="240" w:lineRule="auto" w:before="13"/>
        <w:ind w:right="1033"/>
        <w:jc w:val="left"/>
      </w:pPr>
      <w:r>
        <w:rPr>
          <w:rFonts w:ascii="Times New Roman" w:hAnsi="Times New Roman" w:cs="Times New Roman" w:eastAsia="Times New Roman" w:hint="default"/>
        </w:rPr>
        <w:t>255,020</w:t>
      </w:r>
      <w:r>
        <w:rPr>
          <w:rFonts w:ascii="Times New Roman" w:hAnsi="Times New Roman" w:cs="Times New Roman" w:eastAsia="Times New Roman" w:hint="default"/>
          <w:spacing w:val="26"/>
        </w:rPr>
        <w:t> </w:t>
      </w:r>
      <w:r>
        <w:rPr/>
        <w:t>股的回购注销。</w:t>
      </w:r>
    </w:p>
    <w:p>
      <w:pPr>
        <w:pStyle w:val="BodyText"/>
        <w:spacing w:line="304" w:lineRule="auto" w:before="63"/>
        <w:ind w:right="102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年度权益分派所转股份于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日直接记入股东证券账户。在转股过程中产生的不足</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股的部分，按小数点后 尾数由大到小排序依次向股东派发</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股（若尾数相同时则在尾数相同者中由系统随机排序派发），直至实际转股总数与本次 </w:t>
      </w:r>
      <w:r>
        <w:rPr>
          <w:spacing w:val="-3"/>
        </w:rPr>
        <w:t>转股总数一致。公司此次委托中国结算深圳分公司代派的现金红利于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6</w:t>
      </w:r>
      <w:r>
        <w:rPr>
          <w:spacing w:val="-3"/>
        </w:rPr>
        <w:t>日通过股东托管证券公司（或其他托管机构）</w:t>
      </w:r>
      <w:r>
        <w:rPr/>
        <w:t> 直接划入其资金账户。 </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日止，公司已收到由忻卫敏等</w:t>
      </w:r>
      <w:r>
        <w:rPr>
          <w:rFonts w:ascii="Times New Roman" w:hAnsi="Times New Roman" w:cs="Times New Roman" w:eastAsia="Times New Roman" w:hint="default"/>
        </w:rPr>
        <w:t>202</w:t>
      </w:r>
      <w:r>
        <w:rPr/>
        <w:t>名授予股权的激励对象缴纳的出资款人民币</w:t>
      </w:r>
      <w:r>
        <w:rPr>
          <w:rFonts w:ascii="Times New Roman" w:hAnsi="Times New Roman" w:cs="Times New Roman" w:eastAsia="Times New Roman" w:hint="default"/>
        </w:rPr>
        <w:t>94,888,240.00</w:t>
      </w:r>
      <w:r>
        <w:rPr/>
        <w:t>元，其中新 增股本合计</w:t>
      </w:r>
      <w:r>
        <w:rPr>
          <w:rFonts w:ascii="Times New Roman" w:hAnsi="Times New Roman" w:cs="Times New Roman" w:eastAsia="Times New Roman" w:hint="default"/>
        </w:rPr>
        <w:t>13,327,000</w:t>
      </w:r>
      <w:r>
        <w:rPr/>
        <w:t>股。本次激励计划的授予日为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日，授予股份的上市日期为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p>
    <w:p>
      <w:pPr>
        <w:pStyle w:val="BodyText"/>
        <w:spacing w:line="300" w:lineRule="auto" w:before="9"/>
        <w:ind w:right="1033"/>
        <w:jc w:val="left"/>
      </w:pPr>
      <w:r>
        <w:rPr>
          <w:rFonts w:ascii="Times New Roman" w:hAnsi="Times New Roman" w:cs="Times New Roman" w:eastAsia="Times New Roman" w:hint="default"/>
          <w:spacing w:val="-5"/>
        </w:rPr>
        <w:t>4</w:t>
      </w:r>
      <w:r>
        <w:rPr>
          <w:spacing w:val="-5"/>
        </w:rPr>
        <w:t>、截至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9 </w:t>
      </w:r>
      <w:r>
        <w:rPr/>
        <w:t>日止，发行对象已分别将认购资金共计 </w:t>
      </w:r>
      <w:r>
        <w:rPr>
          <w:rFonts w:ascii="Times New Roman" w:hAnsi="Times New Roman" w:cs="Times New Roman" w:eastAsia="Times New Roman" w:hint="default"/>
        </w:rPr>
        <w:t>783,999,998.40</w:t>
      </w:r>
      <w:r>
        <w:rPr/>
        <w:t>元缴付主承销商指定的账户内。</w:t>
      </w:r>
      <w:r>
        <w:rPr>
          <w:rFonts w:ascii="Times New Roman" w:hAnsi="Times New Roman" w:cs="Times New Roman" w:eastAsia="Times New Roman" w:hint="default"/>
        </w:rPr>
        <w:t>2015 </w:t>
      </w:r>
      <w:r>
        <w:rPr/>
        <w:t>年</w:t>
      </w:r>
      <w:r>
        <w:rPr>
          <w:spacing w:val="-14"/>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9 </w:t>
      </w:r>
      <w:r>
        <w:rPr/>
        <w:t>日，大华会计师事务所（特殊普通合伙）出具大华验字</w:t>
      </w:r>
      <w:r>
        <w:rPr>
          <w:rFonts w:ascii="Times New Roman" w:hAnsi="Times New Roman" w:cs="Times New Roman" w:eastAsia="Times New Roman" w:hint="default"/>
        </w:rPr>
        <w:t>[2015]001254</w:t>
      </w:r>
      <w:r>
        <w:rPr>
          <w:rFonts w:ascii="Times New Roman" w:hAnsi="Times New Roman" w:cs="Times New Roman" w:eastAsia="Times New Roman" w:hint="default"/>
          <w:spacing w:val="-11"/>
        </w:rPr>
        <w:t> </w:t>
      </w:r>
      <w:r>
        <w:rPr/>
        <w:t>号《关于二六三网络通信股份有限公司非公开发 </w:t>
      </w:r>
      <w:r>
        <w:rPr>
          <w:spacing w:val="-5"/>
        </w:rPr>
        <w:t>行人民币普通股（</w:t>
      </w:r>
      <w:r>
        <w:rPr>
          <w:rFonts w:ascii="Times New Roman" w:hAnsi="Times New Roman" w:cs="Times New Roman" w:eastAsia="Times New Roman" w:hint="default"/>
          <w:spacing w:val="-5"/>
        </w:rPr>
        <w:t>A</w:t>
      </w:r>
      <w:r>
        <w:rPr>
          <w:spacing w:val="-5"/>
        </w:rPr>
        <w:t>）股认购资金总额的验资报告》，确认上述发行对象已将认购资金缴付至保荐人的指定账户。</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9"/>
        </w:rPr>
        <w:t> </w:t>
      </w:r>
      <w:r>
        <w:rPr/>
        <w:t>年</w:t>
      </w:r>
      <w:r>
        <w:rPr>
          <w:spacing w:val="-7"/>
        </w:rPr>
        <w:t>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月 </w:t>
      </w:r>
      <w:r>
        <w:rPr>
          <w:rFonts w:ascii="Times New Roman" w:hAnsi="Times New Roman" w:cs="Times New Roman" w:eastAsia="Times New Roman" w:hint="default"/>
        </w:rPr>
        <w:t>14 </w:t>
      </w:r>
      <w:r>
        <w:rPr/>
        <w:t>日，大华会计师事务所（特殊普通合伙）出具大华验字</w:t>
      </w:r>
      <w:r>
        <w:rPr>
          <w:rFonts w:ascii="Times New Roman" w:hAnsi="Times New Roman" w:cs="Times New Roman" w:eastAsia="Times New Roman" w:hint="default"/>
        </w:rPr>
        <w:t>[2015]001255</w:t>
      </w:r>
      <w:r>
        <w:rPr>
          <w:rFonts w:ascii="Times New Roman" w:hAnsi="Times New Roman" w:cs="Times New Roman" w:eastAsia="Times New Roman" w:hint="default"/>
          <w:spacing w:val="14"/>
        </w:rPr>
        <w:t> </w:t>
      </w:r>
      <w:r>
        <w:rPr/>
        <w:t>号《二六三网络通信股份有限公司验资报告》， 确认截至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 </w:t>
      </w:r>
      <w:r>
        <w:rPr/>
        <w:t>日止，二六三共募集货币资金人民币 </w:t>
      </w:r>
      <w:r>
        <w:rPr>
          <w:rFonts w:ascii="Times New Roman" w:hAnsi="Times New Roman" w:cs="Times New Roman" w:eastAsia="Times New Roman" w:hint="default"/>
        </w:rPr>
        <w:t>783,999,998.40</w:t>
      </w:r>
      <w:r>
        <w:rPr>
          <w:rFonts w:ascii="Times New Roman" w:hAnsi="Times New Roman" w:cs="Times New Roman" w:eastAsia="Times New Roman" w:hint="default"/>
          <w:spacing w:val="3"/>
        </w:rPr>
        <w:t> </w:t>
      </w:r>
      <w:r>
        <w:rPr/>
        <w:t>元，扣除与发行有关的费用合计人民币</w:t>
      </w:r>
    </w:p>
    <w:p>
      <w:pPr>
        <w:pStyle w:val="BodyText"/>
        <w:spacing w:line="240" w:lineRule="auto" w:before="13"/>
        <w:ind w:right="1033"/>
        <w:jc w:val="left"/>
      </w:pPr>
      <w:r>
        <w:rPr>
          <w:rFonts w:ascii="Times New Roman" w:hAnsi="Times New Roman" w:cs="Times New Roman" w:eastAsia="Times New Roman" w:hint="default"/>
        </w:rPr>
        <w:t>18,766,878.14 </w:t>
      </w:r>
      <w:r>
        <w:rPr/>
        <w:t>元后</w:t>
      </w:r>
      <w:r>
        <w:rPr>
          <w:rFonts w:ascii="Times New Roman" w:hAnsi="Times New Roman" w:cs="Times New Roman" w:eastAsia="Times New Roman" w:hint="default"/>
        </w:rPr>
        <w:t>(</w:t>
      </w:r>
      <w:r>
        <w:rPr/>
        <w:t>扣除进项税</w:t>
      </w:r>
      <w:r>
        <w:rPr>
          <w:rFonts w:ascii="Times New Roman" w:hAnsi="Times New Roman" w:cs="Times New Roman" w:eastAsia="Times New Roman" w:hint="default"/>
        </w:rPr>
        <w:t>)</w:t>
      </w:r>
      <w:r>
        <w:rPr/>
        <w:t>，募集资金净额</w:t>
      </w:r>
      <w:r>
        <w:rPr>
          <w:rFonts w:ascii="Times New Roman" w:hAnsi="Times New Roman" w:cs="Times New Roman" w:eastAsia="Times New Roman" w:hint="default"/>
        </w:rPr>
        <w:t>765,233,120.26 </w:t>
      </w:r>
      <w:r>
        <w:rPr/>
        <w:t>元，其中：新增注册资本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 </w:t>
      </w:r>
      <w:r>
        <w:rPr>
          <w:rFonts w:ascii="Times New Roman" w:hAnsi="Times New Roman" w:cs="Times New Roman" w:eastAsia="Times New Roman" w:hint="default"/>
        </w:rPr>
        <w:t>61,635,220.00</w:t>
      </w:r>
      <w:r>
        <w:rPr>
          <w:rFonts w:ascii="Times New Roman" w:hAnsi="Times New Roman" w:cs="Times New Roman" w:eastAsia="Times New Roman" w:hint="default"/>
          <w:spacing w:val="31"/>
        </w:rPr>
        <w:t> </w:t>
      </w:r>
      <w:r>
        <w:rPr/>
        <w:t>元，余</w:t>
      </w:r>
    </w:p>
    <w:p>
      <w:pPr>
        <w:pStyle w:val="BodyText"/>
        <w:spacing w:line="300" w:lineRule="auto" w:before="63"/>
        <w:ind w:left="154" w:right="1033"/>
        <w:jc w:val="left"/>
      </w:pPr>
      <w:r>
        <w:rPr/>
        <w:t>额人民币 </w:t>
      </w:r>
      <w:r>
        <w:rPr>
          <w:rFonts w:ascii="Times New Roman" w:hAnsi="Times New Roman" w:cs="Times New Roman" w:eastAsia="Times New Roman" w:hint="default"/>
        </w:rPr>
        <w:t>703,597,900.26 </w:t>
      </w:r>
      <w:r>
        <w:rPr/>
        <w:t>元计入资本公积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。本次发行新增股份已于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t>日在中国证券登记结算有 限责任公司深圳分公司办理完毕登记托管相关事宜。</w:t>
      </w:r>
    </w:p>
    <w:p>
      <w:pPr>
        <w:pStyle w:val="BodyText"/>
        <w:spacing w:line="240" w:lineRule="auto" w:before="72"/>
        <w:ind w:left="154" w:right="1033"/>
        <w:jc w:val="left"/>
      </w:pPr>
      <w:r>
        <w:rPr/>
        <w:t>股份变动对最近一年和最近一期基本每股收益和稀释每股收益、归属于公司普通股股东的每股净资产等财务指标的影响</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shape style="position:absolute;margin-left:92.217003pt;margin-top:331.399994pt;width:101.1pt;height:15.6pt;mso-position-horizontal-relative:page;mso-position-vertical-relative:page;z-index:-1504936" type="#_x0000_t202" filled="false" stroked="false">
            <v:textbox inset="0,0,0,0">
              <w:txbxContent>
                <w:p>
                  <w:pPr>
                    <w:pStyle w:val="BodyText"/>
                    <w:spacing w:line="240" w:lineRule="auto" w:before="51"/>
                    <w:ind w:left="0" w:right="0"/>
                    <w:jc w:val="left"/>
                  </w:pPr>
                  <w:r>
                    <w:rPr/>
                    <w:t>（上海）</w:t>
                  </w:r>
                </w:p>
              </w:txbxContent>
            </v:textbox>
            <w10:wrap type="none"/>
          </v:shape>
        </w:pict>
      </w:r>
      <w:r>
        <w:rPr/>
        <w:pict>
          <v:group style="position:absolute;margin-left:125.419998pt;margin-top:331.399994pt;width:67.9pt;height:15.6pt;mso-position-horizontal-relative:page;mso-position-vertical-relative:page;z-index:-1504912" coordorigin="2508,6628" coordsize="1358,312">
            <v:shape style="position:absolute;left:2508;top:6628;width:1358;height:312" coordorigin="2508,6628" coordsize="1358,312" path="m2508,6940l3866,6940,3866,6628,2508,6628,2508,6940xe" filled="true" fillcolor="#ffffff" stroked="false">
              <v:path arrowok="t"/>
              <v:fill type="solid"/>
            </v:shape>
            <w10:wrap type="none"/>
          </v:group>
        </w:pict>
      </w:r>
    </w:p>
    <w:p>
      <w:pPr>
        <w:pStyle w:val="BodyText"/>
        <w:spacing w:line="316" w:lineRule="auto" w:before="44"/>
        <w:ind w:right="1033"/>
        <w:jc w:val="left"/>
      </w:pPr>
      <w:r>
        <w:rPr>
          <w:spacing w:val="-2"/>
        </w:rPr>
        <w:t>限制性股票回购注销、权益分派、限制性股票授予、非公开发行股票后，基本每股收益和稀释每股收益、归属于公司普通股</w:t>
      </w:r>
      <w:r>
        <w:rPr>
          <w:spacing w:val="-66"/>
        </w:rPr>
        <w:t> </w:t>
      </w:r>
      <w:r>
        <w:rPr>
          <w:spacing w:val="-66"/>
        </w:rPr>
      </w:r>
      <w:r>
        <w:rPr/>
        <w:t>股东的每股净资产相应变动。</w:t>
      </w:r>
    </w:p>
    <w:p>
      <w:pPr>
        <w:pStyle w:val="BodyText"/>
        <w:spacing w:line="240" w:lineRule="auto" w:before="59"/>
        <w:ind w:left="154" w:right="1033"/>
        <w:jc w:val="left"/>
      </w:pPr>
      <w:r>
        <w:rPr/>
        <w:t>公司认为必要或证券监管机构要求披露的其他内容</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655"/>
        <w:gridCol w:w="712"/>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68,905,714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34,648,007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103,553,721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10,808,548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16,235,322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12,327,044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12,327,044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申万菱信 资产管理有限公 司</w:t>
            </w:r>
          </w:p>
        </w:tc>
        <w:tc>
          <w:tcPr>
            <w:tcW w:w="655" w:type="dxa"/>
            <w:tcBorders>
              <w:top w:val="single" w:sz="4" w:space="0" w:color="000000"/>
              <w:left w:val="single" w:sz="4" w:space="0" w:color="000000"/>
              <w:bottom w:val="single" w:sz="4" w:space="0" w:color="000000"/>
              <w:right w:val="nil" w:sz="6" w:space="0" w:color="auto"/>
            </w:tcBorders>
          </w:tcPr>
          <w:p>
            <w:pPr/>
          </w:p>
        </w:tc>
        <w:tc>
          <w:tcPr>
            <w:tcW w:w="7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10,220,125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10,220,125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申万菱信基金管 理有限公司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华泰柏瑞基金管 理有限公司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7,232,704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7,232,704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第一创业证券股 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恒泰证券股份有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6,194,968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6,194,968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1,909,098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4,048,672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5,759,844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13,651,209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19,411,053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高管锁定股、股 权激励限售股、 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12" w:right="0"/>
              <w:jc w:val="left"/>
              <w:rPr>
                <w:rFonts w:ascii="Times New Roman" w:hAnsi="Times New Roman" w:cs="Times New Roman" w:eastAsia="Times New Roman" w:hint="default"/>
                <w:sz w:val="18"/>
                <w:szCs w:val="18"/>
              </w:rPr>
            </w:pPr>
            <w:r>
              <w:rPr>
                <w:rFonts w:ascii="Times New Roman"/>
                <w:sz w:val="18"/>
              </w:rPr>
              <w:t>87,383,204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116,997,637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204,380,841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13,427,000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61,635,220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61,635,220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54" w:right="1033"/>
        <w:jc w:val="left"/>
      </w:pPr>
      <w:r>
        <w:rPr/>
        <w:t>报告期内证券发行（不含优先股）情况的说明</w:t>
      </w:r>
    </w:p>
    <w:p>
      <w:pPr>
        <w:pStyle w:val="BodyText"/>
        <w:spacing w:line="300" w:lineRule="auto" w:before="116"/>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年第四次临时股东大会审议通过的《二六三网络通信股份有限公司</w:t>
      </w:r>
      <w:r>
        <w:rPr>
          <w:rFonts w:ascii="Times New Roman" w:hAnsi="Times New Roman" w:cs="Times New Roman" w:eastAsia="Times New Roman" w:hint="default"/>
        </w:rPr>
        <w:t>2015</w:t>
      </w:r>
      <w:r>
        <w:rPr/>
        <w:t>年限制性股票激励计划（草案）》及其 摘要以及第五届董事会第一次会议和第五届监事会第一次会议相关决议，公司限制性股票拟授予数量为</w:t>
      </w:r>
      <w:r>
        <w:rPr>
          <w:rFonts w:ascii="Times New Roman" w:hAnsi="Times New Roman" w:cs="Times New Roman" w:eastAsia="Times New Roman" w:hint="default"/>
        </w:rPr>
        <w:t>1409</w:t>
      </w:r>
      <w:r>
        <w:rPr/>
        <w:t>万股，授予激励 对象共</w:t>
      </w:r>
      <w:r>
        <w:rPr>
          <w:rFonts w:ascii="Times New Roman" w:hAnsi="Times New Roman" w:cs="Times New Roman" w:eastAsia="Times New Roman" w:hint="default"/>
        </w:rPr>
        <w:t>225</w:t>
      </w:r>
      <w:r>
        <w:rPr/>
        <w:t>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日，公司召开了第五届董事会第三次会议和第五届监事会第二次会议决议，审议通过了《关于调 </w:t>
      </w:r>
      <w:r>
        <w:rPr>
          <w:spacing w:val="-3"/>
        </w:rPr>
        <w:t>整</w:t>
      </w:r>
      <w:r>
        <w:rPr>
          <w:rFonts w:ascii="Times New Roman" w:hAnsi="Times New Roman" w:cs="Times New Roman" w:eastAsia="Times New Roman" w:hint="default"/>
          <w:spacing w:val="-3"/>
        </w:rPr>
        <w:t>2015</w:t>
      </w:r>
      <w:r>
        <w:rPr>
          <w:spacing w:val="-3"/>
        </w:rPr>
        <w:t>年限制性股票激励计划授予对象、授予数量的议案》</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1"/>
        </w:rPr>
        <w:t> </w:t>
      </w:r>
      <w:r>
        <w:rPr/>
        <w:t>公司董事会在授予限制性股票的过程中，原</w:t>
      </w:r>
      <w:r>
        <w:rPr>
          <w:rFonts w:ascii="Times New Roman" w:hAnsi="Times New Roman" w:cs="Times New Roman" w:eastAsia="Times New Roman" w:hint="default"/>
        </w:rPr>
        <w:t>225</w:t>
      </w:r>
      <w:r>
        <w:rPr/>
        <w:t>名激励对象中， 有</w:t>
      </w:r>
      <w:r>
        <w:rPr>
          <w:rFonts w:ascii="Times New Roman" w:hAnsi="Times New Roman" w:cs="Times New Roman" w:eastAsia="Times New Roman" w:hint="default"/>
        </w:rPr>
        <w:t>22</w:t>
      </w:r>
      <w:r>
        <w:rPr/>
        <w:t>名激励对象因个人原因自愿放弃认购限制性股票。本次调整后，公司此次激励对象人数由</w:t>
      </w:r>
      <w:r>
        <w:rPr>
          <w:rFonts w:ascii="Times New Roman" w:hAnsi="Times New Roman" w:cs="Times New Roman" w:eastAsia="Times New Roman" w:hint="default"/>
        </w:rPr>
        <w:t>225</w:t>
      </w:r>
      <w:r>
        <w:rPr/>
        <w:t>名变更为</w:t>
      </w:r>
      <w:r>
        <w:rPr>
          <w:rFonts w:ascii="Times New Roman" w:hAnsi="Times New Roman" w:cs="Times New Roman" w:eastAsia="Times New Roman" w:hint="default"/>
        </w:rPr>
        <w:t>203</w:t>
      </w:r>
      <w:r>
        <w:rPr/>
        <w:t>名，调整后的 </w:t>
      </w:r>
      <w:r>
        <w:rPr>
          <w:spacing w:val="-5"/>
        </w:rPr>
        <w:t>激励对象均为公司</w:t>
      </w:r>
      <w:r>
        <w:rPr>
          <w:rFonts w:ascii="Times New Roman" w:hAnsi="Times New Roman" w:cs="Times New Roman" w:eastAsia="Times New Roman" w:hint="default"/>
          <w:spacing w:val="-5"/>
        </w:rPr>
        <w:t>2015</w:t>
      </w:r>
      <w:r>
        <w:rPr>
          <w:spacing w:val="-5"/>
        </w:rPr>
        <w:t>年第四次临时股东大会审议通过的《二六三网络通信股份有限公司</w:t>
      </w:r>
      <w:r>
        <w:rPr>
          <w:rFonts w:ascii="Times New Roman" w:hAnsi="Times New Roman" w:cs="Times New Roman" w:eastAsia="Times New Roman" w:hint="default"/>
          <w:spacing w:val="-5"/>
        </w:rPr>
        <w:t>2015</w:t>
      </w:r>
      <w:r>
        <w:rPr>
          <w:spacing w:val="-5"/>
        </w:rPr>
        <w:t>年限制性股票激励计划（草案）》</w:t>
      </w:r>
      <w:r>
        <w:rPr>
          <w:spacing w:val="-54"/>
        </w:rPr>
        <w:t> </w:t>
      </w:r>
      <w:r>
        <w:rPr>
          <w:spacing w:val="-54"/>
        </w:rPr>
      </w:r>
      <w:r>
        <w:rPr/>
        <w:t>中确定的人员。调整后，计划授予的限制性股票数量由</w:t>
      </w:r>
      <w:r>
        <w:rPr>
          <w:rFonts w:ascii="Times New Roman" w:hAnsi="Times New Roman" w:cs="Times New Roman" w:eastAsia="Times New Roman" w:hint="default"/>
        </w:rPr>
        <w:t>1409</w:t>
      </w:r>
      <w:r>
        <w:rPr/>
        <w:t>万股变更为</w:t>
      </w:r>
      <w:r>
        <w:rPr>
          <w:rFonts w:ascii="Times New Roman" w:hAnsi="Times New Roman" w:cs="Times New Roman" w:eastAsia="Times New Roman" w:hint="default"/>
        </w:rPr>
        <w:t>1342.7</w:t>
      </w:r>
      <w:r>
        <w:rPr/>
        <w:t>万股。</w:t>
      </w:r>
    </w:p>
    <w:p>
      <w:pPr>
        <w:pStyle w:val="BodyText"/>
        <w:spacing w:line="240" w:lineRule="auto" w:before="13"/>
        <w:ind w:right="1033"/>
        <w:jc w:val="left"/>
      </w:pPr>
      <w:r>
        <w:rPr>
          <w:rFonts w:ascii="Times New Roman" w:hAnsi="Times New Roman" w:cs="Times New Roman" w:eastAsia="Times New Roman" w:hint="default"/>
        </w:rPr>
        <w:t>2</w:t>
      </w:r>
      <w:r>
        <w:rPr>
          <w:spacing w:val="-89"/>
        </w:rPr>
        <w:t>、</w:t>
      </w:r>
      <w:r>
        <w:rPr>
          <w:rFonts w:ascii="Times New Roman" w:hAnsi="Times New Roman" w:cs="Times New Roman" w:eastAsia="Times New Roman" w:hint="default"/>
        </w:rPr>
        <w:t>2015 </w:t>
      </w:r>
      <w:r>
        <w:rPr>
          <w:rFonts w:ascii="Times New Roman" w:hAnsi="Times New Roman" w:cs="Times New Roman" w:eastAsia="Times New Roman" w:hint="default"/>
          <w:spacing w:val="-17"/>
        </w:rPr>
        <w:t> </w:t>
      </w:r>
      <w:r>
        <w:rPr/>
        <w:t>年</w:t>
      </w:r>
      <w:r>
        <w:rPr>
          <w:spacing w:val="-18"/>
        </w:rPr>
        <w:t> </w:t>
      </w: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t>月</w:t>
      </w:r>
      <w:r>
        <w:rPr>
          <w:spacing w:val="-18"/>
        </w:rPr>
        <w:t> </w:t>
      </w:r>
      <w:r>
        <w:rPr>
          <w:rFonts w:ascii="Times New Roman" w:hAnsi="Times New Roman" w:cs="Times New Roman" w:eastAsia="Times New Roman" w:hint="default"/>
        </w:rPr>
        <w:t>14 </w:t>
      </w:r>
      <w:r>
        <w:rPr>
          <w:rFonts w:ascii="Times New Roman" w:hAnsi="Times New Roman" w:cs="Times New Roman" w:eastAsia="Times New Roman" w:hint="default"/>
          <w:spacing w:val="-19"/>
        </w:rPr>
        <w:t> </w:t>
      </w:r>
      <w:r>
        <w:rPr/>
        <w:t>日</w:t>
      </w:r>
      <w:r>
        <w:rPr>
          <w:spacing w:val="-89"/>
        </w:rPr>
        <w:t>，</w:t>
      </w:r>
      <w:r>
        <w:rPr/>
        <w:t>发行</w:t>
      </w:r>
      <w:r>
        <w:rPr>
          <w:spacing w:val="-2"/>
        </w:rPr>
        <w:t>人</w:t>
      </w:r>
      <w:r>
        <w:rPr/>
        <w:t>召开第四届董事会第二十九次会议</w:t>
      </w:r>
      <w:r>
        <w:rPr>
          <w:spacing w:val="-89"/>
        </w:rPr>
        <w:t>，</w:t>
      </w:r>
      <w:r>
        <w:rPr/>
        <w:t>审议通过</w:t>
      </w:r>
      <w:r>
        <w:rPr>
          <w:spacing w:val="-89"/>
        </w:rPr>
        <w:t>了</w:t>
      </w:r>
      <w:r>
        <w:rPr/>
        <w:t>《关于公司符合非公开发行股票条件的议案</w:t>
      </w:r>
      <w:r>
        <w:rPr>
          <w:spacing w:val="-89"/>
        </w:rPr>
        <w:t>》</w:t>
      </w:r>
      <w:r>
        <w:rPr/>
        <w:t>、</w:t>
      </w:r>
    </w:p>
    <w:p>
      <w:pPr>
        <w:pStyle w:val="BodyText"/>
        <w:spacing w:line="312" w:lineRule="auto" w:before="63"/>
        <w:ind w:right="1117"/>
        <w:jc w:val="left"/>
      </w:pPr>
      <w:r>
        <w:rPr>
          <w:spacing w:val="-2"/>
        </w:rPr>
        <w:t>《关于公司本次非公开发行股票方案的议案》、《关于公司本次非公开发行股票预案的议案》、《关于公司非公开发行股票</w:t>
      </w:r>
      <w:r>
        <w:rPr>
          <w:spacing w:val="-68"/>
        </w:rPr>
        <w:t> </w:t>
      </w:r>
      <w:r>
        <w:rPr>
          <w:spacing w:val="-68"/>
        </w:rPr>
      </w:r>
      <w:r>
        <w:rPr>
          <w:spacing w:val="-2"/>
        </w:rPr>
        <w:t>募集资金使用可行性分析报告的议案》、《关于公司前次募集资金使用情况专项报告的议案》、《关于提请股东大会授权董</w:t>
      </w:r>
      <w:r>
        <w:rPr>
          <w:spacing w:val="-68"/>
        </w:rPr>
        <w:t> </w:t>
      </w:r>
      <w:r>
        <w:rPr>
          <w:spacing w:val="-68"/>
        </w:rPr>
      </w:r>
      <w:r>
        <w:rPr/>
        <w:t>事会全权办理本次非公开发行股票相关事宜的议案》、《关于修订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的议案》等相关议案，就本次发行的具体方 案、本次募集资金使用的可行性及其他必须明确的事项作出决议，并提请股东大会批准。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18"/>
        </w:rPr>
        <w:t> </w:t>
      </w:r>
      <w:r>
        <w:rPr>
          <w:spacing w:val="-3"/>
        </w:rPr>
        <w:t>日，发行人召开</w:t>
      </w:r>
    </w:p>
    <w:p>
      <w:pPr>
        <w:pStyle w:val="BodyText"/>
        <w:spacing w:line="304" w:lineRule="auto" w:before="3"/>
        <w:ind w:right="1129"/>
        <w:jc w:val="both"/>
      </w:pPr>
      <w:r>
        <w:rPr>
          <w:rFonts w:ascii="Times New Roman" w:hAnsi="Times New Roman" w:cs="Times New Roman" w:eastAsia="Times New Roman" w:hint="default"/>
        </w:rPr>
        <w:t>2014 </w:t>
      </w:r>
      <w:r>
        <w:rPr/>
        <w:t>年年度股东大会，审议通过了与本次非公开发行相关的议案。</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日，由于现金分红、资本公积转增等原 </w:t>
      </w:r>
      <w:r>
        <w:rPr>
          <w:spacing w:val="-2"/>
        </w:rPr>
        <w:t>因，发行人召开第四届董事会第三十三次会议，审议通过了《关于调整非公开发行股票发行底价和发行数量的议案》、《关</w:t>
      </w:r>
      <w:r>
        <w:rPr>
          <w:spacing w:val="-65"/>
        </w:rPr>
        <w:t> </w:t>
      </w:r>
      <w:r>
        <w:rPr>
          <w:spacing w:val="-65"/>
        </w:rPr>
      </w:r>
      <w:r>
        <w:rPr>
          <w:spacing w:val="-2"/>
        </w:rPr>
        <w:t>于公司非公开发行股票预案（修订稿）的议案》、《关于公司非公开发行股票募集资金使用可行性分析报告（修订稿）》等</w:t>
      </w:r>
      <w:r>
        <w:rPr>
          <w:spacing w:val="-68"/>
        </w:rPr>
        <w:t> </w:t>
      </w:r>
      <w:r>
        <w:rPr>
          <w:spacing w:val="-68"/>
        </w:rPr>
      </w:r>
      <w:r>
        <w:rPr/>
        <w:t>相关议案。 公司本次非公开发行申请于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 </w:t>
      </w:r>
      <w:r>
        <w:rPr/>
        <w:t>日由中国证券监督管理委员会受理，于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2"/>
        </w:rPr>
        <w:t> </w:t>
      </w:r>
      <w:r>
        <w:rPr/>
        <w:t>日获得 中国证监会发行审核委员会审核通过。</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日，公司收到中国证券监督管理委员会核发《关于核准二六三网络 </w:t>
      </w:r>
      <w:r>
        <w:rPr>
          <w:spacing w:val="-4"/>
        </w:rPr>
        <w:t>通信股份有限公司非公开发行股票的批复》（证监许可</w:t>
      </w:r>
      <w:r>
        <w:rPr>
          <w:rFonts w:ascii="Times New Roman" w:hAnsi="Times New Roman" w:cs="Times New Roman" w:eastAsia="Times New Roman" w:hint="default"/>
          <w:spacing w:val="-4"/>
        </w:rPr>
        <w:t>[2015]2587</w:t>
      </w:r>
      <w:r>
        <w:rPr>
          <w:rFonts w:ascii="Times New Roman" w:hAnsi="Times New Roman" w:cs="Times New Roman" w:eastAsia="Times New Roman" w:hint="default"/>
        </w:rPr>
        <w:t> </w:t>
      </w:r>
      <w:r>
        <w:rPr>
          <w:spacing w:val="-8"/>
        </w:rPr>
        <w:t>号），核准公司非公开发行合计不超过</w:t>
      </w:r>
      <w:r>
        <w:rPr/>
        <w:t> </w:t>
      </w:r>
      <w:r>
        <w:rPr>
          <w:rFonts w:ascii="Times New Roman" w:hAnsi="Times New Roman" w:cs="Times New Roman" w:eastAsia="Times New Roman" w:hint="default"/>
          <w:spacing w:val="-1"/>
        </w:rPr>
        <w:t>76,938,200</w:t>
      </w:r>
      <w:r>
        <w:rPr>
          <w:rFonts w:ascii="Times New Roman" w:hAnsi="Times New Roman" w:cs="Times New Roman" w:eastAsia="Times New Roman" w:hint="default"/>
        </w:rPr>
        <w:t> </w:t>
      </w:r>
      <w:r>
        <w:rPr/>
        <w:t>股 </w:t>
      </w:r>
      <w:r>
        <w:rPr>
          <w:rFonts w:ascii="Times New Roman" w:hAnsi="Times New Roman" w:cs="Times New Roman" w:eastAsia="Times New Roman" w:hint="default"/>
          <w:w w:val="99"/>
        </w:rPr>
        <w:t>A</w:t>
      </w:r>
      <w:r>
        <w:rPr>
          <w:rFonts w:ascii="Times New Roman" w:hAnsi="Times New Roman" w:cs="Times New Roman" w:eastAsia="Times New Roman" w:hint="default"/>
          <w:spacing w:val="-13"/>
          <w:w w:val="99"/>
        </w:rPr>
        <w:t> </w:t>
      </w:r>
      <w:r>
        <w:rPr/>
        <w:t>股 股票。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日，公司共收到</w:t>
      </w:r>
      <w:r>
        <w:rPr>
          <w:rFonts w:ascii="Times New Roman" w:hAnsi="Times New Roman" w:cs="Times New Roman" w:eastAsia="Times New Roman" w:hint="default"/>
        </w:rPr>
        <w:t>8</w:t>
      </w:r>
      <w:r>
        <w:rPr/>
        <w:t>名申购投资者的获配金额共为</w:t>
      </w:r>
      <w:r>
        <w:rPr>
          <w:rFonts w:ascii="Times New Roman" w:hAnsi="Times New Roman" w:cs="Times New Roman" w:eastAsia="Times New Roman" w:hint="default"/>
        </w:rPr>
        <w:t>783,999,998.40 </w:t>
      </w:r>
      <w:r>
        <w:rPr/>
        <w:t>元，获配股数共为 </w:t>
      </w:r>
      <w:r>
        <w:rPr>
          <w:rFonts w:ascii="Times New Roman" w:hAnsi="Times New Roman" w:cs="Times New Roman" w:eastAsia="Times New Roman" w:hint="default"/>
        </w:rPr>
        <w:t>61,635,220</w:t>
      </w:r>
      <w:r>
        <w:rPr>
          <w:rFonts w:ascii="Times New Roman" w:hAnsi="Times New Roman" w:cs="Times New Roman" w:eastAsia="Times New Roman" w:hint="default"/>
          <w:spacing w:val="14"/>
        </w:rPr>
        <w:t> </w:t>
      </w:r>
      <w:r>
        <w:rPr/>
        <w:t>股， 发行价格为</w:t>
      </w:r>
      <w:r>
        <w:rPr>
          <w:rFonts w:ascii="Times New Roman" w:hAnsi="Times New Roman" w:cs="Times New Roman" w:eastAsia="Times New Roman" w:hint="default"/>
        </w:rPr>
        <w:t>12.72</w:t>
      </w:r>
      <w:r>
        <w:rPr/>
        <w:t>元</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1"/>
          <w:szCs w:val="21"/>
        </w:rPr>
      </w:pPr>
    </w:p>
    <w:p>
      <w:pPr>
        <w:pStyle w:val="Heading4"/>
        <w:spacing w:line="240" w:lineRule="auto"/>
        <w:ind w:right="1033"/>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33"/>
        <w:jc w:val="left"/>
      </w:pPr>
      <w:r>
        <w:rPr>
          <w:rFonts w:ascii="Times New Roman" w:hAnsi="Times New Roman" w:cs="Times New Roman" w:eastAsia="Times New Roman" w:hint="default"/>
        </w:rPr>
        <w:t>1</w:t>
      </w:r>
      <w:r>
        <w:rPr/>
        <w:t>、报告期内，公司实施了限制性股票激励计划，本次限制性股票授予完成后，公司股份总数由原来的 </w:t>
      </w:r>
      <w:r>
        <w:rPr>
          <w:rFonts w:ascii="Times New Roman" w:hAnsi="Times New Roman" w:cs="Times New Roman" w:eastAsia="Times New Roman" w:hint="default"/>
        </w:rPr>
        <w:t>723,358,173</w:t>
      </w:r>
      <w:r>
        <w:rPr>
          <w:rFonts w:ascii="Times New Roman" w:hAnsi="Times New Roman" w:cs="Times New Roman" w:eastAsia="Times New Roman" w:hint="default"/>
          <w:spacing w:val="8"/>
        </w:rPr>
        <w:t> </w:t>
      </w:r>
      <w:r>
        <w:rPr/>
        <w:t>股增加</w:t>
      </w:r>
    </w:p>
    <w:p>
      <w:pPr>
        <w:pStyle w:val="BodyText"/>
        <w:spacing w:line="240" w:lineRule="auto" w:before="63"/>
        <w:ind w:right="1033"/>
        <w:jc w:val="left"/>
      </w:pPr>
      <w:r>
        <w:rPr/>
        <w:t>至</w:t>
      </w:r>
      <w:r>
        <w:rPr>
          <w:spacing w:val="-43"/>
        </w:rPr>
        <w:t> </w:t>
      </w:r>
      <w:r>
        <w:rPr>
          <w:rFonts w:ascii="Times New Roman" w:hAnsi="Times New Roman" w:cs="Times New Roman" w:eastAsia="Times New Roman" w:hint="default"/>
        </w:rPr>
        <w:t>736,685,173</w:t>
      </w:r>
      <w:r>
        <w:rPr>
          <w:rFonts w:ascii="Times New Roman" w:hAnsi="Times New Roman" w:cs="Times New Roman" w:eastAsia="Times New Roman" w:hint="default"/>
          <w:spacing w:val="1"/>
        </w:rPr>
        <w:t> </w:t>
      </w:r>
      <w:r>
        <w:rPr/>
        <w:t>股，导致公司控股股东持股比例发生了变动。公司控股股东、实际控制人李小龙先生在授予完成前持有公司</w:t>
      </w:r>
    </w:p>
    <w:p>
      <w:pPr>
        <w:pStyle w:val="BodyText"/>
        <w:spacing w:line="240" w:lineRule="auto" w:before="63"/>
        <w:ind w:right="1033"/>
        <w:jc w:val="left"/>
      </w:pPr>
      <w:r>
        <w:rPr>
          <w:rFonts w:ascii="Times New Roman" w:hAnsi="Times New Roman" w:cs="Times New Roman" w:eastAsia="Times New Roman" w:hint="default"/>
        </w:rPr>
        <w:t>136,471,631  </w:t>
      </w:r>
      <w:r>
        <w:rPr/>
        <w:t>股份，占授予完成前公司股份总额比例为 </w:t>
      </w:r>
      <w:r>
        <w:rPr>
          <w:rFonts w:ascii="Times New Roman" w:hAnsi="Times New Roman" w:cs="Times New Roman" w:eastAsia="Times New Roman" w:hint="default"/>
        </w:rPr>
        <w:t>18.87%</w:t>
      </w:r>
      <w:r>
        <w:rPr/>
        <w:t>，授予完成后，占公司股份总额比例为</w:t>
      </w:r>
      <w:r>
        <w:rPr>
          <w:spacing w:val="-56"/>
        </w:rPr>
        <w:t> </w:t>
      </w:r>
      <w:r>
        <w:rPr>
          <w:rFonts w:ascii="Times New Roman" w:hAnsi="Times New Roman" w:cs="Times New Roman" w:eastAsia="Times New Roman" w:hint="default"/>
        </w:rPr>
        <w:t>18.53%</w:t>
      </w:r>
      <w:r>
        <w:rPr/>
        <w:t>。</w:t>
      </w:r>
    </w:p>
    <w:p>
      <w:pPr>
        <w:pStyle w:val="BodyText"/>
        <w:spacing w:line="300" w:lineRule="auto" w:before="63"/>
        <w:ind w:right="1132"/>
        <w:jc w:val="both"/>
      </w:pPr>
      <w:r>
        <w:rPr>
          <w:rFonts w:ascii="Times New Roman" w:hAnsi="Times New Roman" w:cs="Times New Roman" w:eastAsia="Times New Roman" w:hint="default"/>
        </w:rPr>
        <w:t>2</w:t>
      </w:r>
      <w:r>
        <w:rPr/>
        <w:t>、报告期内，公司完成了非公开发行股票募集资金事项，</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日，公司在中国证券登记结算有限责任公司深 </w:t>
      </w:r>
      <w:r>
        <w:rPr>
          <w:spacing w:val="-1"/>
        </w:rPr>
        <w:t>圳分公司完成股份登记托管手续，</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日，公司本次新增股份</w:t>
      </w:r>
      <w:r>
        <w:rPr>
          <w:rFonts w:ascii="Times New Roman" w:hAnsi="Times New Roman" w:cs="Times New Roman" w:eastAsia="Times New Roman" w:hint="default"/>
          <w:spacing w:val="-1"/>
        </w:rPr>
        <w:t>61,635,220</w:t>
      </w:r>
      <w:r>
        <w:rPr>
          <w:spacing w:val="-1"/>
        </w:rPr>
        <w:t>股获准在深圳证券交易所上市。</w:t>
      </w:r>
      <w:r>
        <w:rPr>
          <w:spacing w:val="-30"/>
        </w:rPr>
        <w:t> </w:t>
      </w:r>
      <w:r>
        <w:rPr/>
        <w:t>本次非公</w:t>
      </w:r>
      <w:r>
        <w:rPr>
          <w:spacing w:val="-88"/>
        </w:rPr>
        <w:t> </w:t>
      </w:r>
      <w:r>
        <w:rPr>
          <w:spacing w:val="-88"/>
        </w:rPr>
      </w:r>
      <w:r>
        <w:rPr>
          <w:spacing w:val="-2"/>
        </w:rPr>
        <w:t>开发行，公司总股本由</w:t>
      </w:r>
      <w:r>
        <w:rPr>
          <w:rFonts w:ascii="Times New Roman" w:hAnsi="Times New Roman" w:cs="Times New Roman" w:eastAsia="Times New Roman" w:hint="default"/>
          <w:spacing w:val="-2"/>
        </w:rPr>
        <w:t>736,685,173</w:t>
      </w:r>
      <w:r>
        <w:rPr>
          <w:spacing w:val="-2"/>
        </w:rPr>
        <w:t>股变为</w:t>
      </w:r>
      <w:r>
        <w:rPr>
          <w:rFonts w:ascii="Times New Roman" w:hAnsi="Times New Roman" w:cs="Times New Roman" w:eastAsia="Times New Roman" w:hint="default"/>
          <w:spacing w:val="-2"/>
        </w:rPr>
        <w:t>798,320,393</w:t>
      </w:r>
      <w:r>
        <w:rPr>
          <w:spacing w:val="-2"/>
        </w:rPr>
        <w:t>股。本次新增股份发行后，公司实际控制人李小龙的持股比例由</w:t>
      </w:r>
      <w:r>
        <w:rPr>
          <w:rFonts w:ascii="Times New Roman" w:hAnsi="Times New Roman" w:cs="Times New Roman" w:eastAsia="Times New Roman" w:hint="default"/>
          <w:spacing w:val="-2"/>
        </w:rPr>
        <w:t>18.53%</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变为</w:t>
      </w:r>
      <w:r>
        <w:rPr>
          <w:rFonts w:ascii="Times New Roman" w:hAnsi="Times New Roman" w:cs="Times New Roman" w:eastAsia="Times New Roman" w:hint="default"/>
        </w:rPr>
        <w:t>17.09%</w:t>
      </w:r>
      <w:r>
        <w:rPr/>
        <w:t>。</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63.856995pt;margin-top:70.551689pt;width:76pt;height:31.2pt;mso-position-horizontal-relative:page;mso-position-vertical-relative:paragraph;z-index:-1504888"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96.980011pt;margin-top:70.551689pt;width:42.85pt;height:31.2pt;mso-position-horizontal-relative:page;mso-position-vertical-relative:paragraph;z-index:-1504864" coordorigin="9940,1411" coordsize="857,624">
            <v:shape style="position:absolute;left:9940;top:1411;width:857;height:624" coordorigin="9940,1411" coordsize="857,624" path="m9940,2035l10796,2035,10796,1411,9940,1411,9940,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97"/>
        <w:gridCol w:w="637"/>
        <w:gridCol w:w="1045"/>
        <w:gridCol w:w="1052"/>
        <w:gridCol w:w="1064"/>
        <w:gridCol w:w="1206"/>
        <w:gridCol w:w="1088"/>
        <w:gridCol w:w="1306"/>
        <w:gridCol w:w="411"/>
        <w:gridCol w:w="461"/>
      </w:tblGrid>
      <w:tr>
        <w:trPr>
          <w:trHeight w:val="161" w:hRule="exact"/>
        </w:trPr>
        <w:tc>
          <w:tcPr>
            <w:tcW w:w="1397" w:type="dxa"/>
            <w:vMerge w:val="restart"/>
            <w:tcBorders>
              <w:top w:val="single" w:sz="4" w:space="0" w:color="000000"/>
              <w:left w:val="single" w:sz="4" w:space="0" w:color="000000"/>
              <w:right w:val="single" w:sz="4" w:space="0" w:color="000000"/>
            </w:tcBorders>
            <w:shd w:val="clear" w:color="auto" w:fill="D2D2D2"/>
          </w:tcPr>
          <w:p>
            <w:pPr/>
          </w:p>
        </w:tc>
        <w:tc>
          <w:tcPr>
            <w:tcW w:w="63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57,817</w:t>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69,460</w:t>
            </w:r>
          </w:p>
        </w:tc>
        <w:tc>
          <w:tcPr>
            <w:tcW w:w="2270" w:type="dxa"/>
            <w:gridSpan w:val="2"/>
            <w:vMerge w:val="restart"/>
            <w:tcBorders>
              <w:top w:val="single" w:sz="4" w:space="0" w:color="000000"/>
              <w:left w:val="single" w:sz="4" w:space="0" w:color="000000"/>
              <w:right w:val="single" w:sz="4" w:space="0" w:color="000000"/>
            </w:tcBorders>
            <w:shd w:val="clear" w:color="auto" w:fill="D2D2D2"/>
          </w:tcPr>
          <w:p>
            <w:pPr/>
          </w:p>
        </w:tc>
        <w:tc>
          <w:tcPr>
            <w:tcW w:w="1088"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17"/>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11" w:type="dxa"/>
            <w:tcBorders>
              <w:top w:val="single" w:sz="4" w:space="0" w:color="000000"/>
              <w:left w:val="single" w:sz="13" w:space="0" w:color="D2D2D2"/>
              <w:bottom w:val="nil" w:sz="6" w:space="0" w:color="auto"/>
              <w:right w:val="nil" w:sz="6" w:space="0" w:color="auto"/>
            </w:tcBorders>
          </w:tcPr>
          <w:p>
            <w:pPr/>
          </w:p>
        </w:tc>
        <w:tc>
          <w:tcPr>
            <w:tcW w:w="46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right w:val="single" w:sz="4" w:space="0" w:color="000000"/>
            </w:tcBorders>
            <w:shd w:val="clear" w:color="auto" w:fill="D2D2D2"/>
          </w:tcPr>
          <w:p>
            <w:pPr/>
          </w:p>
        </w:tc>
        <w:tc>
          <w:tcPr>
            <w:tcW w:w="637" w:type="dxa"/>
            <w:vMerge/>
            <w:tcBorders>
              <w:left w:val="single" w:sz="9" w:space="0" w:color="D2D2D2"/>
              <w:right w:val="single" w:sz="9" w:space="0" w:color="D2D2D2"/>
            </w:tcBorders>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 w:right="115"/>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052" w:type="dxa"/>
            <w:vMerge/>
            <w:tcBorders>
              <w:left w:val="single" w:sz="9" w:space="0" w:color="D2D2D2"/>
              <w:right w:val="single" w:sz="9" w:space="0" w:color="D2D2D2"/>
            </w:tcBorders>
          </w:tcPr>
          <w:p>
            <w:pPr/>
          </w:p>
        </w:tc>
        <w:tc>
          <w:tcPr>
            <w:tcW w:w="2270" w:type="dxa"/>
            <w:gridSpan w:val="2"/>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9"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411" w:type="dxa"/>
            <w:vMerge w:val="restart"/>
            <w:tcBorders>
              <w:top w:val="nil" w:sz="6" w:space="0" w:color="auto"/>
              <w:left w:val="single" w:sz="13" w:space="0" w:color="D2D2D2"/>
              <w:right w:val="nil" w:sz="6" w:space="0" w:color="auto"/>
            </w:tcBorders>
          </w:tcPr>
          <w:p>
            <w:pPr/>
          </w:p>
        </w:tc>
        <w:tc>
          <w:tcPr>
            <w:tcW w:w="4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637" w:type="dxa"/>
            <w:vMerge/>
            <w:tcBorders>
              <w:left w:val="single" w:sz="9" w:space="0" w:color="D2D2D2"/>
              <w:right w:val="single" w:sz="9" w:space="0" w:color="D2D2D2"/>
            </w:tcBorders>
          </w:tcPr>
          <w:p>
            <w:pPr/>
          </w:p>
        </w:tc>
        <w:tc>
          <w:tcPr>
            <w:tcW w:w="1045" w:type="dxa"/>
            <w:vMerge/>
            <w:tcBorders>
              <w:left w:val="single" w:sz="4" w:space="0" w:color="000000"/>
              <w:right w:val="single" w:sz="4" w:space="0" w:color="000000"/>
            </w:tcBorders>
            <w:shd w:val="clear" w:color="auto" w:fill="D2D2D2"/>
          </w:tcPr>
          <w:p>
            <w:pPr/>
          </w:p>
        </w:tc>
        <w:tc>
          <w:tcPr>
            <w:tcW w:w="1052" w:type="dxa"/>
            <w:vMerge/>
            <w:tcBorders>
              <w:left w:val="single" w:sz="9" w:space="0" w:color="D2D2D2"/>
              <w:right w:val="single" w:sz="9" w:space="0" w:color="D2D2D2"/>
            </w:tcBorders>
          </w:tcPr>
          <w:p>
            <w:pPr/>
          </w:p>
        </w:tc>
        <w:tc>
          <w:tcPr>
            <w:tcW w:w="22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 w:right="15"/>
              <w:jc w:val="left"/>
              <w:rPr>
                <w:rFonts w:ascii="宋体" w:hAnsi="宋体" w:cs="宋体" w:eastAsia="宋体" w:hint="default"/>
                <w:sz w:val="18"/>
                <w:szCs w:val="18"/>
              </w:rPr>
            </w:pPr>
            <w:r>
              <w:rPr>
                <w:rFonts w:ascii="宋体" w:hAnsi="宋体" w:cs="宋体" w:eastAsia="宋体" w:hint="default"/>
                <w:sz w:val="18"/>
                <w:szCs w:val="18"/>
              </w:rPr>
              <w:t>报告期末表决权恢复的优先 </w:t>
            </w:r>
            <w:r>
              <w:rPr>
                <w:rFonts w:ascii="宋体" w:hAnsi="宋体" w:cs="宋体" w:eastAsia="宋体" w:hint="default"/>
                <w:spacing w:val="-9"/>
                <w:sz w:val="18"/>
                <w:szCs w:val="18"/>
              </w:rPr>
              <w:t>股股东总数（如有）（参见注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8" w:type="dxa"/>
            <w:vMerge/>
            <w:tcBorders>
              <w:left w:val="single" w:sz="9"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411" w:type="dxa"/>
            <w:vMerge/>
            <w:tcBorders>
              <w:left w:val="single" w:sz="13" w:space="0" w:color="D2D2D2"/>
              <w:right w:val="nil" w:sz="6" w:space="0" w:color="auto"/>
            </w:tcBorders>
          </w:tcPr>
          <w:p>
            <w:pPr/>
          </w:p>
        </w:tc>
        <w:tc>
          <w:tcPr>
            <w:tcW w:w="46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637" w:type="dxa"/>
            <w:vMerge/>
            <w:tcBorders>
              <w:left w:val="single" w:sz="9" w:space="0" w:color="D2D2D2"/>
              <w:right w:val="single" w:sz="9" w:space="0" w:color="D2D2D2"/>
            </w:tcBorders>
          </w:tcPr>
          <w:p>
            <w:pPr/>
          </w:p>
        </w:tc>
        <w:tc>
          <w:tcPr>
            <w:tcW w:w="1045" w:type="dxa"/>
            <w:vMerge/>
            <w:tcBorders>
              <w:left w:val="single" w:sz="4" w:space="0" w:color="000000"/>
              <w:right w:val="single" w:sz="4" w:space="0" w:color="000000"/>
            </w:tcBorders>
            <w:shd w:val="clear" w:color="auto" w:fill="D2D2D2"/>
          </w:tcPr>
          <w:p>
            <w:pPr/>
          </w:p>
        </w:tc>
        <w:tc>
          <w:tcPr>
            <w:tcW w:w="1052" w:type="dxa"/>
            <w:vMerge/>
            <w:tcBorders>
              <w:left w:val="single" w:sz="9" w:space="0" w:color="D2D2D2"/>
              <w:right w:val="single" w:sz="9" w:space="0" w:color="D2D2D2"/>
            </w:tcBorders>
          </w:tcPr>
          <w:p>
            <w:pPr/>
          </w:p>
        </w:tc>
        <w:tc>
          <w:tcPr>
            <w:tcW w:w="2270" w:type="dxa"/>
            <w:gridSpan w:val="2"/>
            <w:vMerge/>
            <w:tcBorders>
              <w:left w:val="single" w:sz="4" w:space="0" w:color="000000"/>
              <w:right w:val="single" w:sz="4" w:space="0" w:color="000000"/>
            </w:tcBorders>
            <w:shd w:val="clear" w:color="auto" w:fill="D2D2D2"/>
          </w:tcPr>
          <w:p>
            <w:pPr/>
          </w:p>
        </w:tc>
        <w:tc>
          <w:tcPr>
            <w:tcW w:w="1088" w:type="dxa"/>
            <w:vMerge/>
            <w:tcBorders>
              <w:left w:val="single" w:sz="9"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411" w:type="dxa"/>
            <w:vMerge/>
            <w:tcBorders>
              <w:left w:val="single" w:sz="13" w:space="0" w:color="D2D2D2"/>
              <w:right w:val="nil" w:sz="6" w:space="0" w:color="auto"/>
            </w:tcBorders>
          </w:tcPr>
          <w:p>
            <w:pPr/>
          </w:p>
        </w:tc>
        <w:tc>
          <w:tcPr>
            <w:tcW w:w="46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97" w:type="dxa"/>
            <w:vMerge w:val="restart"/>
            <w:tcBorders>
              <w:top w:val="nil" w:sz="6" w:space="0" w:color="auto"/>
              <w:left w:val="single" w:sz="4" w:space="0" w:color="000000"/>
              <w:right w:val="single" w:sz="4" w:space="0" w:color="000000"/>
            </w:tcBorders>
            <w:shd w:val="clear" w:color="auto" w:fill="D2D2D2"/>
          </w:tcPr>
          <w:p>
            <w:pPr/>
          </w:p>
        </w:tc>
        <w:tc>
          <w:tcPr>
            <w:tcW w:w="637" w:type="dxa"/>
            <w:vMerge/>
            <w:tcBorders>
              <w:left w:val="single" w:sz="9" w:space="0" w:color="D2D2D2"/>
              <w:right w:val="single" w:sz="9" w:space="0" w:color="D2D2D2"/>
            </w:tcBorders>
          </w:tcPr>
          <w:p>
            <w:pPr/>
          </w:p>
        </w:tc>
        <w:tc>
          <w:tcPr>
            <w:tcW w:w="1045" w:type="dxa"/>
            <w:vMerge/>
            <w:tcBorders>
              <w:left w:val="single" w:sz="4" w:space="0" w:color="000000"/>
              <w:right w:val="single" w:sz="4" w:space="0" w:color="000000"/>
            </w:tcBorders>
            <w:shd w:val="clear" w:color="auto" w:fill="D2D2D2"/>
          </w:tcPr>
          <w:p>
            <w:pPr/>
          </w:p>
        </w:tc>
        <w:tc>
          <w:tcPr>
            <w:tcW w:w="1052" w:type="dxa"/>
            <w:vMerge/>
            <w:tcBorders>
              <w:left w:val="single" w:sz="9" w:space="0" w:color="D2D2D2"/>
              <w:right w:val="single" w:sz="9" w:space="0" w:color="D2D2D2"/>
            </w:tcBorders>
          </w:tcPr>
          <w:p>
            <w:pPr/>
          </w:p>
        </w:tc>
        <w:tc>
          <w:tcPr>
            <w:tcW w:w="2270" w:type="dxa"/>
            <w:gridSpan w:val="2"/>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9"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411" w:type="dxa"/>
            <w:vMerge/>
            <w:tcBorders>
              <w:left w:val="single" w:sz="13" w:space="0" w:color="D2D2D2"/>
              <w:right w:val="nil" w:sz="6" w:space="0" w:color="auto"/>
            </w:tcBorders>
          </w:tcPr>
          <w:p>
            <w:pPr/>
          </w:p>
        </w:tc>
        <w:tc>
          <w:tcPr>
            <w:tcW w:w="4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right w:val="single" w:sz="4" w:space="0" w:color="000000"/>
            </w:tcBorders>
            <w:shd w:val="clear" w:color="auto" w:fill="D2D2D2"/>
          </w:tcPr>
          <w:p>
            <w:pPr/>
          </w:p>
        </w:tc>
        <w:tc>
          <w:tcPr>
            <w:tcW w:w="637" w:type="dxa"/>
            <w:vMerge/>
            <w:tcBorders>
              <w:left w:val="single" w:sz="9" w:space="0" w:color="D2D2D2"/>
              <w:right w:val="single" w:sz="9" w:space="0" w:color="D2D2D2"/>
            </w:tcBorders>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9" w:space="0" w:color="D2D2D2"/>
              <w:right w:val="single" w:sz="9" w:space="0" w:color="D2D2D2"/>
            </w:tcBorders>
          </w:tcPr>
          <w:p>
            <w:pPr/>
          </w:p>
        </w:tc>
        <w:tc>
          <w:tcPr>
            <w:tcW w:w="2270" w:type="dxa"/>
            <w:gridSpan w:val="2"/>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9"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411" w:type="dxa"/>
            <w:vMerge/>
            <w:tcBorders>
              <w:left w:val="single" w:sz="13" w:space="0" w:color="D2D2D2"/>
              <w:right w:val="nil" w:sz="6" w:space="0" w:color="auto"/>
            </w:tcBorders>
          </w:tcPr>
          <w:p>
            <w:pPr/>
          </w:p>
        </w:tc>
        <w:tc>
          <w:tcPr>
            <w:tcW w:w="46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637" w:type="dxa"/>
            <w:vMerge/>
            <w:tcBorders>
              <w:left w:val="single" w:sz="9" w:space="0" w:color="D2D2D2"/>
              <w:bottom w:val="single" w:sz="4" w:space="0" w:color="000000"/>
              <w:right w:val="single" w:sz="9" w:space="0" w:color="D2D2D2"/>
            </w:tcBorders>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9" w:space="0" w:color="D2D2D2"/>
              <w:bottom w:val="single" w:sz="4" w:space="0" w:color="000000"/>
              <w:right w:val="single" w:sz="9" w:space="0" w:color="D2D2D2"/>
            </w:tcBorders>
          </w:tcPr>
          <w:p>
            <w:pPr/>
          </w:p>
        </w:tc>
        <w:tc>
          <w:tcPr>
            <w:tcW w:w="2270" w:type="dxa"/>
            <w:gridSpan w:val="2"/>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9" w:space="0" w:color="D2D2D2"/>
              <w:bottom w:val="single" w:sz="4" w:space="0" w:color="000000"/>
              <w:right w:val="single" w:sz="13" w:space="0" w:color="D2D2D2"/>
            </w:tcBorders>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411" w:type="dxa"/>
            <w:vMerge/>
            <w:tcBorders>
              <w:left w:val="single" w:sz="13" w:space="0" w:color="D2D2D2"/>
              <w:bottom w:val="single" w:sz="4" w:space="0" w:color="000000"/>
              <w:right w:val="nil" w:sz="6" w:space="0" w:color="auto"/>
            </w:tcBorders>
          </w:tcPr>
          <w:p>
            <w:pPr/>
          </w:p>
        </w:tc>
        <w:tc>
          <w:tcPr>
            <w:tcW w:w="46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66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97" w:type="dxa"/>
            <w:vMerge w:val="restart"/>
            <w:tcBorders>
              <w:top w:val="single" w:sz="4" w:space="0" w:color="000000"/>
              <w:left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9" w:right="8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6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9" w:right="45"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1045"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3" w:right="7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 w:right="53"/>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088" w:type="dxa"/>
            <w:vMerge/>
            <w:tcBorders>
              <w:left w:val="single" w:sz="4" w:space="0" w:color="000000"/>
              <w:right w:val="single" w:sz="4" w:space="0" w:color="000000"/>
            </w:tcBorders>
            <w:shd w:val="clear" w:color="auto" w:fill="D2D2D2"/>
          </w:tcPr>
          <w:p>
            <w:pPr/>
          </w:p>
        </w:tc>
        <w:tc>
          <w:tcPr>
            <w:tcW w:w="2178" w:type="dxa"/>
            <w:gridSpan w:val="3"/>
            <w:vMerge/>
            <w:tcBorders>
              <w:left w:val="single" w:sz="4" w:space="0" w:color="000000"/>
              <w:right w:val="single" w:sz="4" w:space="0" w:color="000000"/>
            </w:tcBorders>
            <w:shd w:val="clear" w:color="auto" w:fill="D2D2D2"/>
          </w:tcPr>
          <w:p>
            <w:pPr/>
          </w:p>
        </w:tc>
      </w:tr>
      <w:tr>
        <w:trPr>
          <w:trHeight w:val="140" w:hRule="exact"/>
        </w:trPr>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637" w:type="dxa"/>
            <w:vMerge/>
            <w:tcBorders>
              <w:left w:val="single" w:sz="4" w:space="0" w:color="000000"/>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2"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2178"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8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5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97" w:type="dxa"/>
            <w:vMerge w:val="restart"/>
            <w:tcBorders>
              <w:top w:val="nil" w:sz="6" w:space="0" w:color="auto"/>
              <w:left w:val="single" w:sz="4" w:space="0" w:color="000000"/>
              <w:right w:val="single" w:sz="4" w:space="0" w:color="000000"/>
            </w:tcBorders>
            <w:shd w:val="clear" w:color="auto" w:fill="D2D2D2"/>
          </w:tcPr>
          <w:p>
            <w:pPr/>
          </w:p>
        </w:tc>
        <w:tc>
          <w:tcPr>
            <w:tcW w:w="637"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right w:val="single" w:sz="4" w:space="0" w:color="000000"/>
            </w:tcBorders>
            <w:shd w:val="clear" w:color="auto" w:fill="D2D2D2"/>
          </w:tcPr>
          <w:p>
            <w:pPr/>
          </w:p>
        </w:tc>
        <w:tc>
          <w:tcPr>
            <w:tcW w:w="872" w:type="dxa"/>
            <w:gridSpan w:val="2"/>
            <w:vMerge/>
            <w:tcBorders>
              <w:left w:val="single" w:sz="4" w:space="0" w:color="000000"/>
              <w:right w:val="single" w:sz="4" w:space="0" w:color="000000"/>
            </w:tcBorders>
            <w:shd w:val="clear" w:color="auto" w:fill="D2D2D2"/>
          </w:tcPr>
          <w:p>
            <w:pPr/>
          </w:p>
        </w:tc>
      </w:tr>
      <w:tr>
        <w:trPr>
          <w:trHeight w:val="161"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6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872"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17.09%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136,471,631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44,597,344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103,553,721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32,917,910</w:t>
            </w:r>
          </w:p>
        </w:tc>
        <w:tc>
          <w:tcPr>
            <w:tcW w:w="1306" w:type="dxa"/>
            <w:tcBorders>
              <w:top w:val="single" w:sz="45" w:space="0" w:color="D2D2D2"/>
              <w:left w:val="single" w:sz="4" w:space="0" w:color="000000"/>
              <w:bottom w:val="single" w:sz="4" w:space="0" w:color="000000"/>
              <w:right w:val="single" w:sz="4" w:space="0" w:color="000000"/>
            </w:tcBorders>
          </w:tcPr>
          <w:p>
            <w:pPr/>
          </w:p>
        </w:tc>
        <w:tc>
          <w:tcPr>
            <w:tcW w:w="872" w:type="dxa"/>
            <w:gridSpan w:val="2"/>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38,957,900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10,799,500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38,957,900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36,563,625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12,437,275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36,563,625</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胡维新</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26,964,757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8,988,252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26,964,757</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21,647,096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7,235,699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16,235,322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5,411,774</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13,514,714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13,514,714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13,514,714</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12,327,044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6,326,549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12,327,044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11,353,500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3,703,500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11,353,500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申万菱信资产－ 招商银行－华润 深国投信托－瑞 华定增对冲基金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10,220,125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10,220,125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10,220,125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06" w:type="dxa"/>
            <w:tcBorders>
              <w:top w:val="single" w:sz="4" w:space="0" w:color="000000"/>
              <w:left w:val="single" w:sz="4" w:space="0" w:color="000000"/>
              <w:bottom w:val="single" w:sz="4" w:space="0" w:color="000000"/>
              <w:right w:val="single" w:sz="4" w:space="0" w:color="000000"/>
            </w:tcBorders>
          </w:tcPr>
          <w:p>
            <w:pPr/>
          </w:p>
        </w:tc>
        <w:tc>
          <w:tcPr>
            <w:tcW w:w="87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97"/>
        <w:gridCol w:w="631"/>
        <w:gridCol w:w="1056"/>
        <w:gridCol w:w="1041"/>
        <w:gridCol w:w="1069"/>
        <w:gridCol w:w="1212"/>
        <w:gridCol w:w="1077"/>
        <w:gridCol w:w="1318"/>
        <w:gridCol w:w="866"/>
      </w:tblGrid>
      <w:tr>
        <w:trPr>
          <w:trHeight w:val="36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托计划</w:t>
            </w:r>
          </w:p>
        </w:tc>
        <w:tc>
          <w:tcPr>
            <w:tcW w:w="63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中国工商银行股 份有限公司－华 泰柏瑞惠利灵活 配置混合型证券 投资基金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1.18%</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9,433,962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9,433,962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9,433,962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639" w:type="dxa"/>
            <w:gridSpan w:val="7"/>
            <w:tcBorders>
              <w:top w:val="single" w:sz="4" w:space="0" w:color="000000"/>
              <w:left w:val="single" w:sz="13" w:space="0" w:color="D2D2D2"/>
              <w:bottom w:val="single" w:sz="4" w:space="0" w:color="000000"/>
              <w:right w:val="single" w:sz="4" w:space="0" w:color="000000"/>
            </w:tcBorders>
          </w:tcPr>
          <w:p>
            <w:pPr>
              <w:pStyle w:val="TableParagraph"/>
              <w:spacing w:line="300" w:lineRule="auto" w:before="51"/>
              <w:ind w:left="11" w:right="43"/>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名股东中的张彤和张大庆是胞兄弟关系，除上述情况外，本公司未知其他前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 是否存在关联关系。</w:t>
            </w:r>
          </w:p>
        </w:tc>
      </w:tr>
      <w:tr>
        <w:trPr>
          <w:trHeight w:val="402" w:hRule="exact"/>
        </w:trPr>
        <w:tc>
          <w:tcPr>
            <w:tcW w:w="96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0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45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0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45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84"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28" w:type="dxa"/>
            <w:gridSpan w:val="2"/>
            <w:vMerge/>
            <w:tcBorders>
              <w:left w:val="single" w:sz="4" w:space="0" w:color="000000"/>
              <w:bottom w:val="nil" w:sz="6" w:space="0" w:color="auto"/>
              <w:right w:val="single" w:sz="4" w:space="0" w:color="000000"/>
            </w:tcBorders>
            <w:shd w:val="clear" w:color="auto" w:fill="D2D2D2"/>
          </w:tcPr>
          <w:p>
            <w:pPr/>
          </w:p>
        </w:tc>
        <w:tc>
          <w:tcPr>
            <w:tcW w:w="5455" w:type="dxa"/>
            <w:gridSpan w:val="5"/>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0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45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38,957,900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38,957,900</w:t>
            </w: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36,563,625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36,563,625</w:t>
            </w: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32,917,910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32,917,910</w:t>
            </w: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胡维新</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26,964,757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26,964,757</w:t>
            </w:r>
          </w:p>
        </w:tc>
      </w:tr>
      <w:tr>
        <w:trPr>
          <w:trHeight w:val="1026"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w:t>
            </w:r>
          </w:p>
          <w:p>
            <w:pPr>
              <w:pStyle w:val="TableParagraph"/>
              <w:spacing w:line="319" w:lineRule="auto" w:before="75"/>
              <w:ind w:left="22" w:right="195"/>
              <w:jc w:val="left"/>
              <w:rPr>
                <w:rFonts w:ascii="宋体" w:hAnsi="宋体" w:cs="宋体" w:eastAsia="宋体" w:hint="default"/>
                <w:sz w:val="18"/>
                <w:szCs w:val="18"/>
              </w:rPr>
            </w:pPr>
            <w:r>
              <w:rPr>
                <w:rFonts w:ascii="宋体" w:hAnsi="宋体" w:cs="宋体" w:eastAsia="宋体" w:hint="default"/>
                <w:sz w:val="18"/>
                <w:szCs w:val="18"/>
              </w:rPr>
              <w:t>－富国低碳环保混合型 证券投资基金</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13,514,714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13,514,714</w:t>
            </w: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11,353,500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11,353,500</w:t>
            </w:r>
          </w:p>
        </w:tc>
      </w:tr>
      <w:tr>
        <w:trPr>
          <w:trHeight w:val="714"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北京利平科技开发有限 公司</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7,711,671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7,711,671</w:t>
            </w:r>
          </w:p>
        </w:tc>
      </w:tr>
      <w:tr>
        <w:trPr>
          <w:trHeight w:val="714"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7,426,900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7,426,900</w:t>
            </w:r>
          </w:p>
        </w:tc>
      </w:tr>
      <w:tr>
        <w:trPr>
          <w:trHeight w:val="1338"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中国建设银行股份有限 公司－易方达创新驱动 灵活配置混合型证券投 资基金</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7,026,297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7,026,297</w:t>
            </w:r>
          </w:p>
        </w:tc>
      </w:tr>
      <w:tr>
        <w:trPr>
          <w:trHeight w:val="402"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5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6,550,000</w:t>
            </w:r>
          </w:p>
        </w:tc>
      </w:tr>
      <w:tr>
        <w:trPr>
          <w:trHeight w:val="1650" w:hRule="exact"/>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p>
            <w:pPr>
              <w:pStyle w:val="TableParagraph"/>
              <w:spacing w:line="309" w:lineRule="auto" w:before="63"/>
              <w:ind w:left="22" w:right="149"/>
              <w:jc w:val="both"/>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76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名无限售流通股股东中的张彤和张大庆是胞兄弟关系，除上述情况外，本公司未知其他无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限售条件前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名股东中是否存在关联关系。</w:t>
            </w:r>
          </w:p>
        </w:tc>
      </w:tr>
    </w:tbl>
    <w:p>
      <w:pPr>
        <w:pStyle w:val="BodyText"/>
        <w:spacing w:line="240" w:lineRule="auto" w:before="51"/>
        <w:ind w:left="154"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日起至今担任二六三网络通信股份有限公司任董事长，</w:t>
            </w:r>
            <w:r>
              <w:rPr>
                <w:rFonts w:ascii="Times New Roman" w:hAnsi="Times New Roman" w:cs="Times New Roman" w:eastAsia="Times New Roman" w:hint="default"/>
                <w:sz w:val="18"/>
                <w:szCs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月，受聘成为工业和信息化部电信经济专家委员会第四届委员。</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03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left="153" w:right="1033"/>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日起至今担任二六三网络通信股份有限公司任董事长，</w:t>
            </w:r>
            <w:r>
              <w:rPr>
                <w:rFonts w:ascii="Times New Roman" w:hAnsi="Times New Roman" w:cs="Times New Roman" w:eastAsia="Times New Roman" w:hint="default"/>
                <w:sz w:val="18"/>
                <w:szCs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月，受聘成为工业和信息化部电信经济专家委员会第四届委员。</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033"/>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6"/>
          <w:szCs w:val="16"/>
        </w:rPr>
      </w:pPr>
    </w:p>
    <w:p>
      <w:pPr>
        <w:spacing w:line="3045" w:lineRule="exact"/>
        <w:ind w:left="1373"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91050" cy="19335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4591050"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
        <w:rPr>
          <w:rFonts w:ascii="宋体" w:hAnsi="宋体" w:cs="宋体" w:eastAsia="宋体" w:hint="default"/>
          <w:sz w:val="19"/>
          <w:szCs w:val="19"/>
        </w:rPr>
      </w:pPr>
    </w:p>
    <w:p>
      <w:pPr>
        <w:pStyle w:val="BodyText"/>
        <w:spacing w:line="240" w:lineRule="auto"/>
        <w:ind w:right="1033"/>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33"/>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33"/>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1033"/>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602"/>
        <w:gridCol w:w="994"/>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9,874,287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127,937,1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14,411,397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7,205,699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21,647,09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2,176,598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2,688,299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4,864,897</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1,300,107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2,450,161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602"/>
        <w:gridCol w:w="994"/>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222,747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21,374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244,121</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何薇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119,610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59,805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179,415</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180,014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Paul</w:t>
            </w:r>
            <w:r>
              <w:rPr>
                <w:rFonts w:ascii="Times New Roman"/>
                <w:spacing w:val="-1"/>
                <w:sz w:val="18"/>
              </w:rPr>
              <w:t> </w:t>
            </w:r>
            <w:r>
              <w:rPr>
                <w:rFonts w:ascii="Times New Roman"/>
                <w:sz w:val="18"/>
              </w:rPr>
              <w:t>Zhu</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郭月霞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44,300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540,045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1,070,023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1,676,068</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200,216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1,300,108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1,600,324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801,636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1,702,454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225,034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1,312,518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1,537,552</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602"/>
        <w:gridCol w:w="994"/>
        <w:gridCol w:w="798"/>
        <w:gridCol w:w="798"/>
        <w:gridCol w:w="798"/>
        <w:gridCol w:w="798"/>
      </w:tblGrid>
      <w:tr>
        <w:trPr>
          <w:trHeight w:val="986"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董桂英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22,501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70" w:right="0"/>
              <w:jc w:val="left"/>
              <w:rPr>
                <w:rFonts w:ascii="Times New Roman" w:hAnsi="Times New Roman" w:cs="Times New Roman" w:eastAsia="Times New Roman" w:hint="default"/>
                <w:sz w:val="18"/>
                <w:szCs w:val="18"/>
              </w:rPr>
            </w:pPr>
            <w:r>
              <w:rPr>
                <w:rFonts w:ascii="Times New Roman"/>
                <w:sz w:val="18"/>
              </w:rPr>
              <w:t>30,002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70" w:right="0"/>
              <w:jc w:val="left"/>
              <w:rPr>
                <w:rFonts w:ascii="Times New Roman" w:hAnsi="Times New Roman" w:cs="Times New Roman" w:eastAsia="Times New Roman" w:hint="default"/>
                <w:sz w:val="18"/>
                <w:szCs w:val="18"/>
              </w:rPr>
            </w:pPr>
            <w:r>
              <w:rPr>
                <w:rFonts w:ascii="Times New Roman"/>
                <w:sz w:val="18"/>
              </w:rPr>
              <w:t>67,506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30,051,692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1,622,501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1033"/>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Paul</w:t>
            </w:r>
            <w:r>
              <w:rPr>
                <w:rFonts w:ascii="Times New Roman"/>
                <w:spacing w:val="-1"/>
                <w:sz w:val="18"/>
              </w:rPr>
              <w:t> </w:t>
            </w:r>
            <w:r>
              <w:rPr>
                <w:rFonts w:ascii="Times New Roman"/>
                <w:sz w:val="18"/>
              </w:rPr>
              <w:t>Zhu</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郭月霞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因个人原因请辞</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1033"/>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公司现任董事、监事、高级管理人员专业背景、主要工作经历以及目前在公司的主要职责</w:t>
      </w:r>
    </w:p>
    <w:p>
      <w:pPr>
        <w:pStyle w:val="BodyText"/>
        <w:spacing w:line="240" w:lineRule="auto" w:before="116"/>
        <w:ind w:right="1033"/>
        <w:jc w:val="left"/>
      </w:pPr>
      <w:r>
        <w:rPr/>
        <w:t>（一）董事</w:t>
      </w:r>
    </w:p>
    <w:p>
      <w:pPr>
        <w:pStyle w:val="BodyText"/>
        <w:spacing w:line="240" w:lineRule="auto" w:before="76"/>
        <w:ind w:right="1033"/>
        <w:jc w:val="left"/>
      </w:pPr>
      <w:r>
        <w:rPr>
          <w:rFonts w:ascii="Times New Roman" w:hAnsi="Times New Roman" w:cs="Times New Roman" w:eastAsia="Times New Roman" w:hint="default"/>
        </w:rPr>
        <w:t>1.</w:t>
      </w:r>
      <w:r>
        <w:rPr/>
        <w:t>李小龙先生，</w:t>
      </w:r>
      <w:r>
        <w:rPr>
          <w:rFonts w:ascii="Times New Roman" w:hAnsi="Times New Roman" w:cs="Times New Roman" w:eastAsia="Times New Roman" w:hint="default"/>
        </w:rPr>
        <w:t>1965</w:t>
      </w:r>
      <w:r>
        <w:rPr/>
        <w:t>年出生，中国国籍，大学本科学历。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日起至今担任二六三网络通信股份有限公司董事长。</w:t>
      </w:r>
    </w:p>
    <w:p>
      <w:pPr>
        <w:pStyle w:val="BodyText"/>
        <w:spacing w:line="240" w:lineRule="auto" w:before="63"/>
        <w:ind w:left="154" w:right="1033"/>
        <w:jc w:val="left"/>
      </w:pPr>
      <w:r>
        <w:rPr>
          <w:rFonts w:ascii="Times New Roman" w:hAnsi="Times New Roman" w:cs="Times New Roman" w:eastAsia="Times New Roman" w:hint="default"/>
        </w:rPr>
        <w:t>2.</w:t>
      </w:r>
      <w:r>
        <w:rPr/>
        <w:t>黄明生先生，</w:t>
      </w:r>
      <w:r>
        <w:rPr>
          <w:rFonts w:ascii="Times New Roman" w:hAnsi="Times New Roman" w:cs="Times New Roman" w:eastAsia="Times New Roman" w:hint="default"/>
        </w:rPr>
        <w:t>1963</w:t>
      </w:r>
      <w:r>
        <w:rPr/>
        <w:t>年出生，中国国籍，大学本科学历，高级工程师，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月起任二六三网络通信股份有限公司董事。</w:t>
      </w:r>
    </w:p>
    <w:p>
      <w:pPr>
        <w:pStyle w:val="BodyText"/>
        <w:spacing w:line="300" w:lineRule="auto" w:before="63"/>
        <w:ind w:left="154" w:right="1033"/>
        <w:jc w:val="left"/>
      </w:pPr>
      <w:r>
        <w:rPr>
          <w:rFonts w:ascii="Times New Roman" w:hAnsi="Times New Roman" w:cs="Times New Roman" w:eastAsia="Times New Roman" w:hint="default"/>
        </w:rPr>
        <w:t>3.</w:t>
      </w:r>
      <w:r>
        <w:rPr/>
        <w:t>芦兵先生，</w:t>
      </w:r>
      <w:r>
        <w:rPr>
          <w:rFonts w:ascii="Times New Roman" w:hAnsi="Times New Roman" w:cs="Times New Roman" w:eastAsia="Times New Roman" w:hint="default"/>
        </w:rPr>
        <w:t>1965</w:t>
      </w:r>
      <w:r>
        <w:rPr/>
        <w:t>年出生，中国国籍，理学硕士。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月加入二六三网络通信股份有限公司，历任广州分公司总经理、</w:t>
      </w:r>
      <w:r>
        <w:rPr>
          <w:spacing w:val="-48"/>
        </w:rPr>
        <w:t> </w:t>
      </w:r>
      <w:r>
        <w:rPr>
          <w:spacing w:val="-48"/>
        </w:rPr>
      </w:r>
      <w:r>
        <w:rPr/>
        <w:t>公司副总经理职务，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月起担任公司董事，现任公司总裁。</w:t>
      </w:r>
    </w:p>
    <w:p>
      <w:pPr>
        <w:pStyle w:val="BodyText"/>
        <w:spacing w:line="300" w:lineRule="auto" w:before="13"/>
        <w:ind w:right="1033"/>
        <w:jc w:val="left"/>
      </w:pPr>
      <w:r>
        <w:rPr>
          <w:rFonts w:ascii="Times New Roman" w:hAnsi="Times New Roman" w:cs="Times New Roman" w:eastAsia="Times New Roman" w:hint="default"/>
        </w:rPr>
        <w:t>4.Jie</w:t>
      </w:r>
      <w:r>
        <w:rPr>
          <w:rFonts w:ascii="Times New Roman" w:hAnsi="Times New Roman" w:cs="Times New Roman" w:eastAsia="Times New Roman" w:hint="default"/>
          <w:spacing w:val="24"/>
        </w:rPr>
        <w:t> </w:t>
      </w:r>
      <w:r>
        <w:rPr>
          <w:rFonts w:ascii="Times New Roman" w:hAnsi="Times New Roman" w:cs="Times New Roman" w:eastAsia="Times New Roman" w:hint="default"/>
        </w:rPr>
        <w:t>Zhao</w:t>
      </w:r>
      <w:r>
        <w:rPr>
          <w:rFonts w:ascii="Times New Roman" w:hAnsi="Times New Roman" w:cs="Times New Roman" w:eastAsia="Times New Roman" w:hint="default"/>
          <w:spacing w:val="-23"/>
        </w:rPr>
        <w:t> </w:t>
      </w:r>
      <w:r>
        <w:rPr>
          <w:spacing w:val="13"/>
        </w:rPr>
        <w:t>先生，</w:t>
      </w:r>
      <w:r>
        <w:rPr>
          <w:spacing w:val="-68"/>
        </w:rPr>
        <w:t> </w:t>
      </w:r>
      <w:r>
        <w:rPr>
          <w:rFonts w:ascii="Times New Roman" w:hAnsi="Times New Roman" w:cs="Times New Roman" w:eastAsia="Times New Roman" w:hint="default"/>
        </w:rPr>
        <w:t>1959</w:t>
      </w:r>
      <w:r>
        <w:rPr>
          <w:rFonts w:ascii="Times New Roman" w:hAnsi="Times New Roman" w:cs="Times New Roman" w:eastAsia="Times New Roman" w:hint="default"/>
          <w:spacing w:val="-24"/>
        </w:rPr>
        <w:t> </w:t>
      </w:r>
      <w:r>
        <w:rPr>
          <w:spacing w:val="20"/>
        </w:rPr>
        <w:t>年出生，美国国籍，美国辛辛那提大学计算机科学应用硕士。</w:t>
      </w:r>
      <w:r>
        <w:rPr>
          <w:spacing w:val="-6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spacing w:val="10"/>
        </w:rPr>
        <w:t>年至今担任</w:t>
      </w:r>
      <w:r>
        <w:rPr>
          <w:rFonts w:ascii="Times New Roman" w:hAnsi="Times New Roman" w:cs="Times New Roman" w:eastAsia="Times New Roman" w:hint="default"/>
          <w:spacing w:val="10"/>
        </w:rPr>
        <w:t>iTalk</w:t>
      </w:r>
      <w:r>
        <w:rPr>
          <w:rFonts w:ascii="Times New Roman" w:hAnsi="Times New Roman" w:cs="Times New Roman" w:eastAsia="Times New Roman" w:hint="default"/>
          <w:spacing w:val="14"/>
        </w:rPr>
        <w:t> </w:t>
      </w:r>
      <w:r>
        <w:rPr>
          <w:rFonts w:ascii="Times New Roman" w:hAnsi="Times New Roman" w:cs="Times New Roman" w:eastAsia="Times New Roman" w:hint="default"/>
        </w:rPr>
        <w:t>Global</w:t>
      </w:r>
      <w:r>
        <w:rPr>
          <w:rFonts w:ascii="Times New Roman" w:hAnsi="Times New Roman" w:cs="Times New Roman" w:eastAsia="Times New Roman" w:hint="default"/>
        </w:rPr>
        <w:t> Communicationgs,Inc.CEO</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月起任公司董事，现兼任公司副总裁。 </w:t>
      </w:r>
      <w:r>
        <w:rPr>
          <w:rFonts w:ascii="Times New Roman" w:hAnsi="Times New Roman" w:cs="Times New Roman" w:eastAsia="Times New Roman" w:hint="default"/>
          <w:spacing w:val="-1"/>
        </w:rPr>
        <w:t>5.</w:t>
      </w:r>
      <w:r>
        <w:rPr>
          <w:spacing w:val="-1"/>
        </w:rPr>
        <w:t>应华江先生，</w:t>
      </w:r>
      <w:r>
        <w:rPr>
          <w:rFonts w:ascii="Times New Roman" w:hAnsi="Times New Roman" w:cs="Times New Roman" w:eastAsia="Times New Roman" w:hint="default"/>
          <w:spacing w:val="-1"/>
        </w:rPr>
        <w:t>1969</w:t>
      </w:r>
      <w:r>
        <w:rPr>
          <w:spacing w:val="-1"/>
        </w:rPr>
        <w:t>年出生，中国国籍，</w:t>
      </w:r>
      <w:r>
        <w:rPr>
          <w:rFonts w:ascii="Times New Roman" w:hAnsi="Times New Roman" w:cs="Times New Roman" w:eastAsia="Times New Roman" w:hint="default"/>
          <w:spacing w:val="-1"/>
        </w:rPr>
        <w:t>1990</w:t>
      </w:r>
      <w:r>
        <w:rPr>
          <w:spacing w:val="-1"/>
        </w:rPr>
        <w:t>年毕业于北京大学。</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月至今任北明软件有限公司董事、总裁。</w:t>
      </w:r>
      <w:r>
        <w:rPr>
          <w:rFonts w:ascii="Times New Roman" w:hAnsi="Times New Roman" w:cs="Times New Roman" w:eastAsia="Times New Roman" w:hint="default"/>
          <w:spacing w:val="-1"/>
        </w:rPr>
        <w:t>2011</w:t>
      </w:r>
      <w:r>
        <w:rPr>
          <w:spacing w:val="-1"/>
        </w:rPr>
        <w:t>年</w:t>
      </w:r>
    </w:p>
    <w:p>
      <w:pPr>
        <w:pStyle w:val="BodyText"/>
        <w:spacing w:line="240" w:lineRule="auto" w:before="13"/>
        <w:ind w:right="1033"/>
        <w:jc w:val="left"/>
      </w:pPr>
      <w:r>
        <w:rPr>
          <w:rFonts w:ascii="Times New Roman" w:hAnsi="Times New Roman" w:cs="Times New Roman" w:eastAsia="Times New Roman" w:hint="default"/>
        </w:rPr>
        <w:t>2</w:t>
      </w:r>
      <w:r>
        <w:rPr/>
        <w:t>月起任本公司独立董事。</w:t>
      </w:r>
    </w:p>
    <w:p>
      <w:pPr>
        <w:pStyle w:val="BodyText"/>
        <w:spacing w:line="300" w:lineRule="auto" w:before="63"/>
        <w:ind w:right="1033"/>
        <w:jc w:val="left"/>
      </w:pPr>
      <w:r>
        <w:rPr>
          <w:rFonts w:ascii="Times New Roman" w:hAnsi="Times New Roman" w:cs="Times New Roman" w:eastAsia="Times New Roman" w:hint="default"/>
          <w:spacing w:val="-1"/>
        </w:rPr>
        <w:t>6.</w:t>
      </w:r>
      <w:r>
        <w:rPr>
          <w:spacing w:val="-1"/>
        </w:rPr>
        <w:t>张克先生，</w:t>
      </w:r>
      <w:r>
        <w:rPr>
          <w:rFonts w:ascii="Times New Roman" w:hAnsi="Times New Roman" w:cs="Times New Roman" w:eastAsia="Times New Roman" w:hint="default"/>
          <w:spacing w:val="-1"/>
        </w:rPr>
        <w:t>1953</w:t>
      </w:r>
      <w:r>
        <w:rPr>
          <w:spacing w:val="-1"/>
        </w:rPr>
        <w:t>年出生，中国国籍，大学本科学历。中国注册会计师、高级会计师、澳洲会计师公会荣誉会员。</w:t>
      </w:r>
      <w:r>
        <w:rPr>
          <w:rFonts w:ascii="Times New Roman" w:hAnsi="Times New Roman" w:cs="Times New Roman" w:eastAsia="Times New Roman" w:hint="default"/>
          <w:spacing w:val="-1"/>
        </w:rPr>
        <w:t>1999</w:t>
      </w:r>
      <w:r>
        <w:rPr>
          <w:spacing w:val="-1"/>
        </w:rPr>
        <w:t>年至</w:t>
      </w:r>
      <w:r>
        <w:rPr>
          <w:spacing w:val="-71"/>
        </w:rPr>
        <w:t> </w:t>
      </w:r>
      <w:r>
        <w:rPr/>
        <w:t>今任信永中和会计师事务所董事长职务、首席合伙人。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月起任公司独立董事。 </w:t>
      </w:r>
      <w:r>
        <w:rPr>
          <w:rFonts w:ascii="Times New Roman" w:hAnsi="Times New Roman" w:cs="Times New Roman" w:eastAsia="Times New Roman" w:hint="default"/>
        </w:rPr>
        <w:t>7.</w:t>
      </w:r>
      <w:r>
        <w:rPr/>
        <w:t>金玉丹先生，</w:t>
      </w:r>
      <w:r>
        <w:rPr>
          <w:rFonts w:ascii="Times New Roman" w:hAnsi="Times New Roman" w:cs="Times New Roman" w:eastAsia="Times New Roman" w:hint="default"/>
        </w:rPr>
        <w:t>1957</w:t>
      </w:r>
      <w:r>
        <w:rPr/>
        <w:t>年出生，中国国籍，硕士。</w:t>
      </w:r>
      <w:r>
        <w:rPr>
          <w:rFonts w:ascii="Times New Roman" w:hAnsi="Times New Roman" w:cs="Times New Roman" w:eastAsia="Times New Roman" w:hint="default"/>
        </w:rPr>
        <w:t>2008</w:t>
      </w:r>
      <w:r>
        <w:rPr/>
        <w:t>年至今任北京软银赛富投资顾问有限公司合伙人。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月起任公司</w:t>
      </w:r>
      <w:r>
        <w:rPr>
          <w:spacing w:val="-45"/>
        </w:rPr>
        <w:t> </w:t>
      </w:r>
      <w:r>
        <w:rPr>
          <w:spacing w:val="-45"/>
        </w:rPr>
      </w:r>
      <w:r>
        <w:rPr/>
        <w:t>独立董事。</w:t>
      </w:r>
    </w:p>
    <w:p>
      <w:pPr>
        <w:pStyle w:val="BodyText"/>
        <w:spacing w:line="302" w:lineRule="auto" w:before="31"/>
        <w:ind w:right="1129"/>
        <w:jc w:val="left"/>
      </w:pPr>
      <w:r>
        <w:rPr/>
        <w:t>（二）监事 </w:t>
      </w:r>
      <w:r>
        <w:rPr>
          <w:rFonts w:ascii="Times New Roman" w:hAnsi="Times New Roman" w:cs="Times New Roman" w:eastAsia="Times New Roman" w:hint="default"/>
          <w:spacing w:val="-1"/>
        </w:rPr>
        <w:t>1.</w:t>
      </w:r>
      <w:r>
        <w:rPr>
          <w:spacing w:val="-1"/>
        </w:rPr>
        <w:t>汪学思先生，</w:t>
      </w:r>
      <w:r>
        <w:rPr>
          <w:rFonts w:ascii="Times New Roman" w:hAnsi="Times New Roman" w:cs="Times New Roman" w:eastAsia="Times New Roman" w:hint="default"/>
          <w:spacing w:val="-1"/>
        </w:rPr>
        <w:t>1964</w:t>
      </w:r>
      <w:r>
        <w:rPr>
          <w:spacing w:val="-1"/>
        </w:rPr>
        <w:t>年出生，中国国籍，大学本科学历。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月创立并任武汉星彦信息技术有限公司（后更名为</w:t>
      </w:r>
      <w:r>
        <w:rPr>
          <w:rFonts w:ascii="Times New Roman" w:hAnsi="Times New Roman" w:cs="Times New Roman" w:eastAsia="Times New Roman" w:hint="default"/>
          <w:spacing w:val="-1"/>
        </w:rPr>
        <w:t>“</w:t>
      </w:r>
      <w:r>
        <w:rPr>
          <w:spacing w:val="-1"/>
        </w:rPr>
        <w:t>乌鲁木</w:t>
      </w:r>
      <w:r>
        <w:rPr>
          <w:spacing w:val="-63"/>
        </w:rPr>
        <w:t> </w:t>
      </w:r>
      <w:r>
        <w:rPr>
          <w:spacing w:val="-63"/>
        </w:rPr>
      </w:r>
      <w:r>
        <w:rPr/>
        <w:t>齐星彦投资有限公司</w:t>
      </w:r>
      <w:r>
        <w:rPr>
          <w:rFonts w:ascii="Times New Roman" w:hAnsi="Times New Roman" w:cs="Times New Roman" w:eastAsia="Times New Roman" w:hint="default"/>
        </w:rPr>
        <w:t>”</w:t>
      </w:r>
      <w:r>
        <w:rPr/>
        <w:t>）董事长至今。现任公司第五届监事会监事会主席。 </w:t>
      </w:r>
      <w:r>
        <w:rPr>
          <w:rFonts w:ascii="Times New Roman" w:hAnsi="Times New Roman" w:cs="Times New Roman" w:eastAsia="Times New Roman" w:hint="default"/>
          <w:spacing w:val="-1"/>
        </w:rPr>
        <w:t>2.</w:t>
      </w:r>
      <w:r>
        <w:rPr>
          <w:spacing w:val="-1"/>
        </w:rPr>
        <w:t>董尚雯女士，</w:t>
      </w:r>
      <w:r>
        <w:rPr>
          <w:rFonts w:ascii="Times New Roman" w:hAnsi="Times New Roman" w:cs="Times New Roman" w:eastAsia="Times New Roman" w:hint="default"/>
          <w:spacing w:val="-1"/>
        </w:rPr>
        <w:t>1974</w:t>
      </w:r>
      <w:r>
        <w:rPr>
          <w:spacing w:val="-1"/>
        </w:rPr>
        <w:t>年出生，中国国籍，博士研究生，</w:t>
      </w:r>
      <w:r>
        <w:rPr>
          <w:rFonts w:ascii="Times New Roman" w:hAnsi="Times New Roman" w:cs="Times New Roman" w:eastAsia="Times New Roman" w:hint="default"/>
          <w:spacing w:val="-1"/>
        </w:rPr>
        <w:t>2008</w:t>
      </w:r>
      <w:r>
        <w:rPr>
          <w:spacing w:val="-1"/>
        </w:rPr>
        <w:t>年至</w:t>
      </w:r>
      <w:r>
        <w:rPr>
          <w:rFonts w:ascii="Times New Roman" w:hAnsi="Times New Roman" w:cs="Times New Roman" w:eastAsia="Times New Roman" w:hint="default"/>
          <w:spacing w:val="-1"/>
        </w:rPr>
        <w:t>2015</w:t>
      </w:r>
      <w:r>
        <w:rPr>
          <w:spacing w:val="-1"/>
        </w:rPr>
        <w:t>年在中国人民大学劳动人事学院博士在读。在此期间兼</w:t>
      </w:r>
      <w:r>
        <w:rPr>
          <w:spacing w:val="-68"/>
        </w:rPr>
        <w:t> </w:t>
      </w:r>
      <w:r>
        <w:rPr>
          <w:spacing w:val="-68"/>
        </w:rPr>
      </w:r>
      <w:r>
        <w:rPr/>
        <w:t>职北京理工大学管理与经济学院客座讲师</w:t>
      </w:r>
      <w:r>
        <w:rPr>
          <w:rFonts w:ascii="Times New Roman" w:hAnsi="Times New Roman" w:cs="Times New Roman" w:eastAsia="Times New Roman" w:hint="default"/>
        </w:rPr>
        <w:t>-</w:t>
      </w:r>
      <w:r>
        <w:rPr/>
        <w:t>人力资源方向；中国人民大学领导力与政策研究中心副主任；天慕众和企业管理</w:t>
      </w:r>
      <w:r>
        <w:rPr>
          <w:spacing w:val="-56"/>
        </w:rPr>
        <w:t> </w:t>
      </w:r>
      <w:r>
        <w:rPr>
          <w:spacing w:val="-56"/>
        </w:rPr>
      </w:r>
      <w:r>
        <w:rPr/>
        <w:t>咨询（北京）有限公司资深咨询师；龙星化工股份有限公司独立董事；中国人力资源开发协会专家组成员职务。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spacing w:val="-81"/>
        </w:rPr>
        <w:t> </w:t>
      </w:r>
      <w:r>
        <w:rPr/>
        <w:t>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月任公司监事。</w:t>
      </w:r>
    </w:p>
    <w:p>
      <w:pPr>
        <w:pStyle w:val="BodyText"/>
        <w:spacing w:line="240" w:lineRule="auto" w:before="11"/>
        <w:ind w:left="154" w:right="1033"/>
        <w:jc w:val="left"/>
        <w:rPr>
          <w:rFonts w:ascii="Times New Roman" w:hAnsi="Times New Roman" w:cs="Times New Roman" w:eastAsia="Times New Roman" w:hint="default"/>
        </w:rPr>
      </w:pPr>
      <w:r>
        <w:rPr>
          <w:rFonts w:ascii="Times New Roman" w:hAnsi="Times New Roman" w:cs="Times New Roman" w:eastAsia="Times New Roman" w:hint="default"/>
          <w:spacing w:val="-6"/>
        </w:rPr>
        <w:t>3.</w:t>
      </w:r>
      <w:r>
        <w:rPr>
          <w:spacing w:val="-6"/>
        </w:rPr>
        <w:t>吴一彬女士，</w:t>
      </w:r>
      <w:r>
        <w:rPr>
          <w:rFonts w:ascii="Times New Roman" w:hAnsi="Times New Roman" w:cs="Times New Roman" w:eastAsia="Times New Roman" w:hint="default"/>
          <w:spacing w:val="-6"/>
        </w:rPr>
        <w:t>1968</w:t>
      </w:r>
      <w:r>
        <w:rPr>
          <w:spacing w:val="-6"/>
        </w:rPr>
        <w:t>年出生，中国国籍，大学本科学历，</w:t>
      </w:r>
      <w:r>
        <w:rPr>
          <w:rFonts w:ascii="Times New Roman" w:hAnsi="Times New Roman" w:cs="Times New Roman" w:eastAsia="Times New Roman" w:hint="default"/>
          <w:spacing w:val="-6"/>
        </w:rPr>
        <w:t>1990  </w:t>
      </w:r>
      <w:r>
        <w:rPr/>
        <w:t>年 </w:t>
      </w:r>
      <w:r>
        <w:rPr>
          <w:rFonts w:ascii="Times New Roman" w:hAnsi="Times New Roman" w:cs="Times New Roman" w:eastAsia="Times New Roman" w:hint="default"/>
        </w:rPr>
        <w:t>9  </w:t>
      </w:r>
      <w:r>
        <w:rPr/>
        <w:t>月至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4 </w:t>
      </w:r>
      <w:r>
        <w:rPr>
          <w:rFonts w:ascii="Times New Roman" w:hAnsi="Times New Roman" w:cs="Times New Roman" w:eastAsia="Times New Roman" w:hint="default"/>
          <w:spacing w:val="26"/>
        </w:rPr>
        <w:t> </w:t>
      </w:r>
      <w:r>
        <w:rPr/>
        <w:t>月任北京国营七零零厂企管办干部</w:t>
      </w:r>
      <w:r>
        <w:rPr>
          <w:rFonts w:ascii="Times New Roman" w:hAnsi="Times New Roman" w:cs="Times New Roman" w:eastAsia="Times New Roman" w:hint="default"/>
        </w:rPr>
        <w:t>;1992</w:t>
      </w:r>
    </w:p>
    <w:p>
      <w:pPr>
        <w:pStyle w:val="BodyText"/>
        <w:spacing w:line="240" w:lineRule="auto" w:before="63"/>
        <w:ind w:right="1033"/>
        <w:jc w:val="left"/>
      </w:pP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7  </w:t>
      </w:r>
      <w:r>
        <w:rPr/>
        <w:t>月在北京富豪食品有限公司任会计</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7  </w:t>
      </w:r>
      <w:r>
        <w:rPr/>
        <w:t>月至 </w:t>
      </w:r>
      <w:r>
        <w:rPr>
          <w:rFonts w:ascii="Times New Roman" w:hAnsi="Times New Roman" w:cs="Times New Roman" w:eastAsia="Times New Roman" w:hint="default"/>
        </w:rPr>
        <w:t>2005  </w:t>
      </w:r>
      <w:r>
        <w:rPr/>
        <w:t>年</w:t>
      </w:r>
      <w:r>
        <w:rPr>
          <w:spacing w:val="40"/>
        </w:rPr>
        <w:t> </w:t>
      </w:r>
      <w:r>
        <w:rPr>
          <w:rFonts w:ascii="Times New Roman" w:hAnsi="Times New Roman" w:cs="Times New Roman" w:eastAsia="Times New Roman" w:hint="default"/>
        </w:rPr>
        <w:t>4</w:t>
      </w:r>
      <w:r>
        <w:rPr/>
        <w:t>月任北京海诚电讯技术有限公司财务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3"/>
        <w:jc w:val="left"/>
      </w:pPr>
      <w:r>
        <w:rPr/>
        <w:t>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4 </w:t>
      </w:r>
      <w:r>
        <w:rPr>
          <w:spacing w:val="2"/>
        </w:rPr>
        <w:t>月在北京首都在线科技发展有限公司会计部担任总监</w:t>
      </w:r>
      <w:r>
        <w:rPr>
          <w:rFonts w:ascii="Times New Roman" w:hAnsi="Times New Roman" w:cs="Times New Roman" w:eastAsia="Times New Roman" w:hint="default"/>
          <w:spacing w:val="2"/>
        </w:rPr>
        <w:t>;2006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 任职北京海诚电讯技术有限公司财务总监</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月至今任二六三网络通信股份有限公司董事长助理。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月起任公 司监事。 </w:t>
      </w:r>
      <w:r>
        <w:rPr>
          <w:rFonts w:ascii="Times New Roman" w:hAnsi="Times New Roman" w:cs="Times New Roman" w:eastAsia="Times New Roman" w:hint="default"/>
        </w:rPr>
        <w:t>4.</w:t>
      </w:r>
      <w:r>
        <w:rPr/>
        <w:t>何薇女士，</w:t>
      </w:r>
      <w:r>
        <w:rPr>
          <w:rFonts w:ascii="Times New Roman" w:hAnsi="Times New Roman" w:cs="Times New Roman" w:eastAsia="Times New Roman" w:hint="default"/>
        </w:rPr>
        <w:t>1978</w:t>
      </w:r>
      <w:r>
        <w:rPr/>
        <w:t>年出生，中国国籍，大学本科学历。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月加入公司，历任在线业务部个人邮件业务推广专员、董事</w:t>
      </w:r>
      <w:r>
        <w:rPr>
          <w:spacing w:val="-48"/>
        </w:rPr>
        <w:t> </w:t>
      </w:r>
      <w:r>
        <w:rPr>
          <w:spacing w:val="-48"/>
        </w:rPr>
      </w:r>
      <w:r>
        <w:rPr>
          <w:spacing w:val="-2"/>
        </w:rPr>
        <w:t>长秘书，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11</w:t>
      </w:r>
      <w:r>
        <w:rPr>
          <w:spacing w:val="-2"/>
        </w:rPr>
        <w:t>月任公司行政人事部行政经理，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月至今担任公司物业管理分公司负责人，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月起兼任</w:t>
      </w:r>
      <w:r>
        <w:rPr>
          <w:spacing w:val="-48"/>
        </w:rPr>
        <w:t> </w:t>
      </w:r>
      <w:r>
        <w:rPr/>
        <w:t>公司集团办公室主任，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月起任公司职工代表监事。 </w:t>
      </w:r>
      <w:r>
        <w:rPr>
          <w:rFonts w:ascii="Times New Roman" w:hAnsi="Times New Roman" w:cs="Times New Roman" w:eastAsia="Times New Roman" w:hint="default"/>
          <w:spacing w:val="-2"/>
        </w:rPr>
        <w:t>5.</w:t>
      </w:r>
      <w:r>
        <w:rPr>
          <w:spacing w:val="-2"/>
        </w:rPr>
        <w:t>谷莉女士，</w:t>
      </w:r>
      <w:r>
        <w:rPr>
          <w:rFonts w:ascii="Times New Roman" w:hAnsi="Times New Roman" w:cs="Times New Roman" w:eastAsia="Times New Roman" w:hint="default"/>
          <w:spacing w:val="-2"/>
        </w:rPr>
        <w:t>1974</w:t>
      </w:r>
      <w:r>
        <w:rPr>
          <w:spacing w:val="-2"/>
        </w:rPr>
        <w:t>年出生，中国国籍，大学专科学历。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月任海诚电讯会计</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月任北京</w:t>
      </w:r>
      <w:r>
        <w:rPr>
          <w:spacing w:val="-41"/>
        </w:rPr>
        <w:t> </w:t>
      </w:r>
      <w:r>
        <w:rPr/>
        <w:t>首都在线科技发展股份有限公司会计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月任二六三网络通信股份有限公司会计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spacing w:val="-7"/>
        </w:rPr>
        <w:t> </w:t>
      </w:r>
      <w:r>
        <w:rPr>
          <w:spacing w:val="9"/>
        </w:rPr>
        <w:t>任北京亿泰利丰网络科技有限公司财务主管</w:t>
      </w:r>
      <w:r>
        <w:rPr>
          <w:rFonts w:ascii="Times New Roman" w:hAnsi="Times New Roman" w:cs="Times New Roman" w:eastAsia="Times New Roman" w:hint="default"/>
          <w:spacing w:val="9"/>
        </w:rPr>
        <w:t>,2010</w:t>
      </w:r>
      <w:r>
        <w:rPr>
          <w:spacing w:val="9"/>
        </w:rPr>
        <w:t>年</w:t>
      </w:r>
      <w:r>
        <w:rPr>
          <w:rFonts w:ascii="Times New Roman" w:hAnsi="Times New Roman" w:cs="Times New Roman" w:eastAsia="Times New Roman" w:hint="default"/>
          <w:spacing w:val="9"/>
        </w:rPr>
        <w:t>1</w:t>
      </w:r>
      <w:r>
        <w:rPr>
          <w:spacing w:val="9"/>
        </w:rPr>
        <w:t>月至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月任爱涛信科国际通信技术</w:t>
      </w:r>
      <w:r>
        <w:rPr>
          <w:rFonts w:ascii="Times New Roman" w:hAnsi="Times New Roman" w:cs="Times New Roman" w:eastAsia="Times New Roman" w:hint="default"/>
          <w:spacing w:val="9"/>
        </w:rPr>
        <w:t>(</w:t>
      </w:r>
      <w:r>
        <w:rPr>
          <w:spacing w:val="9"/>
        </w:rPr>
        <w:t>北京</w:t>
      </w:r>
      <w:r>
        <w:rPr>
          <w:rFonts w:ascii="Times New Roman" w:hAnsi="Times New Roman" w:cs="Times New Roman" w:eastAsia="Times New Roman" w:hint="default"/>
          <w:spacing w:val="9"/>
        </w:rPr>
        <w:t>)</w:t>
      </w:r>
      <w:r>
        <w:rPr>
          <w:spacing w:val="9"/>
        </w:rPr>
        <w:t>有限公司财务主</w:t>
      </w:r>
      <w:r>
        <w:rPr>
          <w:spacing w:val="-82"/>
        </w:rPr>
        <w:t> </w:t>
      </w:r>
      <w:r>
        <w:rPr>
          <w:spacing w:val="-82"/>
        </w:rPr>
      </w:r>
      <w:r>
        <w:rPr/>
        <w:t>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月任北京二六三网络科技有限公司财务经理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月至今任二六三网络通信股份有限公司内审部</w:t>
      </w:r>
      <w:r>
        <w:rPr>
          <w:spacing w:val="-5"/>
        </w:rPr>
        <w:t> </w:t>
      </w:r>
      <w:r>
        <w:rPr>
          <w:spacing w:val="-5"/>
        </w:rPr>
      </w:r>
      <w:r>
        <w:rPr/>
        <w:t>项目经理。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月起任公司职工代表监事。</w:t>
      </w:r>
    </w:p>
    <w:p>
      <w:pPr>
        <w:pStyle w:val="BodyText"/>
        <w:spacing w:line="240" w:lineRule="auto" w:before="11"/>
        <w:ind w:right="1033"/>
        <w:jc w:val="left"/>
      </w:pPr>
      <w:r>
        <w:rPr/>
        <w:t>（三）高级管理人员</w:t>
      </w:r>
    </w:p>
    <w:p>
      <w:pPr>
        <w:pStyle w:val="BodyText"/>
        <w:spacing w:line="240" w:lineRule="auto" w:before="76"/>
        <w:ind w:right="1033"/>
        <w:jc w:val="left"/>
      </w:pPr>
      <w:r>
        <w:rPr>
          <w:rFonts w:ascii="Times New Roman" w:hAnsi="Times New Roman" w:cs="Times New Roman" w:eastAsia="Times New Roman" w:hint="default"/>
        </w:rPr>
        <w:t>1.</w:t>
      </w:r>
      <w:r>
        <w:rPr/>
        <w:t>芦兵先生，公司总裁，详见上文简历。</w:t>
      </w:r>
    </w:p>
    <w:p>
      <w:pPr>
        <w:pStyle w:val="BodyText"/>
        <w:spacing w:line="240" w:lineRule="auto" w:before="63"/>
        <w:ind w:right="1033"/>
        <w:jc w:val="left"/>
      </w:pPr>
      <w:r>
        <w:rPr>
          <w:rFonts w:ascii="Times New Roman" w:hAnsi="Times New Roman" w:cs="Times New Roman" w:eastAsia="Times New Roman" w:hint="default"/>
        </w:rPr>
        <w:t>2.</w:t>
      </w:r>
      <w:r>
        <w:rPr/>
        <w:t>肖瑗先生，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2006</w:t>
      </w:r>
      <w:r>
        <w:rPr/>
        <w:t>年加入公司，现任公司副总裁。</w:t>
      </w:r>
    </w:p>
    <w:p>
      <w:pPr>
        <w:pStyle w:val="BodyText"/>
        <w:spacing w:line="240" w:lineRule="auto" w:before="63"/>
        <w:ind w:right="1033"/>
        <w:jc w:val="left"/>
      </w:pPr>
      <w:r>
        <w:rPr>
          <w:rFonts w:ascii="Times New Roman" w:hAnsi="Times New Roman" w:cs="Times New Roman" w:eastAsia="Times New Roman" w:hint="default"/>
        </w:rPr>
        <w:t>3.Jie</w:t>
      </w:r>
      <w:r>
        <w:rPr>
          <w:rFonts w:ascii="Times New Roman" w:hAnsi="Times New Roman" w:cs="Times New Roman" w:eastAsia="Times New Roman" w:hint="default"/>
          <w:spacing w:val="-3"/>
        </w:rPr>
        <w:t> </w:t>
      </w:r>
      <w:r>
        <w:rPr>
          <w:rFonts w:ascii="Times New Roman" w:hAnsi="Times New Roman" w:cs="Times New Roman" w:eastAsia="Times New Roman" w:hint="default"/>
        </w:rPr>
        <w:t>Zhao</w:t>
      </w:r>
      <w:r>
        <w:rPr/>
        <w:t>先生，公司副总裁，详见上文简历。</w:t>
      </w:r>
    </w:p>
    <w:p>
      <w:pPr>
        <w:pStyle w:val="BodyText"/>
        <w:spacing w:line="304" w:lineRule="auto" w:before="63"/>
        <w:ind w:right="1033"/>
        <w:jc w:val="left"/>
      </w:pPr>
      <w:r>
        <w:rPr>
          <w:rFonts w:ascii="Times New Roman" w:hAnsi="Times New Roman" w:cs="Times New Roman" w:eastAsia="Times New Roman" w:hint="default"/>
        </w:rPr>
        <w:t>4.</w:t>
      </w:r>
      <w:r>
        <w:rPr/>
        <w:t>刘江涛先生，</w:t>
      </w:r>
      <w:r>
        <w:rPr>
          <w:rFonts w:ascii="Times New Roman" w:hAnsi="Times New Roman" w:cs="Times New Roman" w:eastAsia="Times New Roman" w:hint="default"/>
        </w:rPr>
        <w:t>1971</w:t>
      </w:r>
      <w:r>
        <w:rPr/>
        <w:t>年出生，中国国籍，管理学硕士，中国注册会计师。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月起历任公司财务部高级财务经理、财务</w:t>
      </w:r>
      <w:r>
        <w:rPr>
          <w:spacing w:val="-46"/>
        </w:rPr>
        <w:t> </w:t>
      </w:r>
      <w:r>
        <w:rPr>
          <w:spacing w:val="-46"/>
        </w:rPr>
      </w:r>
      <w:r>
        <w:rPr/>
        <w:t>部总监、董事会秘书等职，报告期内任公司副总裁、董事会秘书。 </w:t>
      </w:r>
      <w:r>
        <w:rPr>
          <w:rFonts w:ascii="Times New Roman" w:hAnsi="Times New Roman" w:cs="Times New Roman" w:eastAsia="Times New Roman" w:hint="default"/>
          <w:spacing w:val="-2"/>
        </w:rPr>
        <w:t>5.</w:t>
      </w:r>
      <w:r>
        <w:rPr>
          <w:spacing w:val="-2"/>
        </w:rPr>
        <w:t>李玉杰先生，</w:t>
      </w:r>
      <w:r>
        <w:rPr>
          <w:rFonts w:ascii="Times New Roman" w:hAnsi="Times New Roman" w:cs="Times New Roman" w:eastAsia="Times New Roman" w:hint="default"/>
          <w:spacing w:val="-2"/>
        </w:rPr>
        <w:t>1973</w:t>
      </w:r>
      <w:r>
        <w:rPr>
          <w:spacing w:val="-2"/>
        </w:rPr>
        <w:t>年出生，中国国籍，计算机本科，中国人民大学</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PMI</w:t>
      </w:r>
      <w:r>
        <w:rPr>
          <w:spacing w:val="-2"/>
        </w:rPr>
        <w:t>项目管理专家、</w:t>
      </w:r>
      <w:r>
        <w:rPr>
          <w:rFonts w:ascii="Times New Roman" w:hAnsi="Times New Roman" w:cs="Times New Roman" w:eastAsia="Times New Roman" w:hint="default"/>
          <w:spacing w:val="-2"/>
        </w:rPr>
        <w:t>TOGAF</w:t>
      </w:r>
      <w:r>
        <w:rPr>
          <w:spacing w:val="-2"/>
        </w:rPr>
        <w:t>企业架构专家。</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年至</w:t>
      </w:r>
      <w:r>
        <w:rPr>
          <w:rFonts w:ascii="Times New Roman" w:hAnsi="Times New Roman" w:cs="Times New Roman" w:eastAsia="Times New Roman" w:hint="default"/>
        </w:rPr>
        <w:t>2010</w:t>
      </w:r>
      <w:r>
        <w:rPr/>
        <w:t>年担任埃森哲公司咨询经理；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月担任二六三网络通信股份有限公司企业会议事业部总经理，现任</w:t>
      </w:r>
      <w:r>
        <w:rPr>
          <w:spacing w:val="-83"/>
        </w:rPr>
        <w:t> </w:t>
      </w:r>
      <w:r>
        <w:rPr>
          <w:spacing w:val="-83"/>
        </w:rPr>
      </w:r>
      <w:r>
        <w:rPr/>
        <w:t>公司副总裁。 </w:t>
      </w:r>
      <w:r>
        <w:rPr>
          <w:rFonts w:ascii="Times New Roman" w:hAnsi="Times New Roman" w:cs="Times New Roman" w:eastAsia="Times New Roman" w:hint="default"/>
          <w:spacing w:val="-2"/>
        </w:rPr>
        <w:t>6.</w:t>
      </w:r>
      <w:r>
        <w:rPr>
          <w:spacing w:val="-2"/>
        </w:rPr>
        <w:t>忻卫敏先生，</w:t>
      </w:r>
      <w:r>
        <w:rPr>
          <w:rFonts w:ascii="Times New Roman" w:hAnsi="Times New Roman" w:cs="Times New Roman" w:eastAsia="Times New Roman" w:hint="default"/>
          <w:spacing w:val="-2"/>
        </w:rPr>
        <w:t>1974</w:t>
      </w:r>
      <w:r>
        <w:rPr>
          <w:spacing w:val="-2"/>
        </w:rPr>
        <w:t>年出生，中国国籍，本科学历。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2012</w:t>
      </w:r>
      <w:r>
        <w:rPr>
          <w:spacing w:val="-2"/>
        </w:rPr>
        <w:t>年担任上海翰平网络技术有限公司总经理</w:t>
      </w:r>
      <w:r>
        <w:rPr>
          <w:rFonts w:ascii="Times New Roman" w:hAnsi="Times New Roman" w:cs="Times New Roman" w:eastAsia="Times New Roman" w:hint="default"/>
          <w:spacing w:val="-2"/>
        </w:rPr>
        <w:t>;2012</w:t>
      </w:r>
      <w:r>
        <w:rPr>
          <w:spacing w:val="-2"/>
        </w:rPr>
        <w:t>年至今任上</w:t>
      </w:r>
      <w:r>
        <w:rPr>
          <w:spacing w:val="-51"/>
        </w:rPr>
        <w:t> </w:t>
      </w:r>
      <w:r>
        <w:rPr/>
        <w:t>海二六三通信有限公司总经理</w:t>
      </w:r>
      <w:r>
        <w:rPr>
          <w:rFonts w:ascii="Times New Roman" w:hAnsi="Times New Roman" w:cs="Times New Roman" w:eastAsia="Times New Roman" w:hint="default"/>
        </w:rPr>
        <w:t>,</w:t>
      </w:r>
      <w:r>
        <w:rPr/>
        <w:t>现任公司副总裁。 </w:t>
      </w:r>
      <w:r>
        <w:rPr>
          <w:rFonts w:ascii="Times New Roman" w:hAnsi="Times New Roman" w:cs="Times New Roman" w:eastAsia="Times New Roman" w:hint="default"/>
        </w:rPr>
        <w:t>7.</w:t>
      </w:r>
      <w:r>
        <w:rPr/>
        <w:t>梁京先生，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月担任中国联通（香港）运营公司董事总经理一职；</w:t>
      </w:r>
    </w:p>
    <w:p>
      <w:pPr>
        <w:pStyle w:val="BodyText"/>
        <w:spacing w:line="240" w:lineRule="auto" w:before="9"/>
        <w:ind w:right="103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月任中国联通国际业务部副总经理。现任公司副总裁。</w:t>
      </w:r>
    </w:p>
    <w:p>
      <w:pPr>
        <w:pStyle w:val="BodyText"/>
        <w:spacing w:line="300" w:lineRule="auto" w:before="63"/>
        <w:ind w:right="1033"/>
        <w:jc w:val="left"/>
      </w:pPr>
      <w:r>
        <w:rPr>
          <w:rFonts w:ascii="Times New Roman" w:hAnsi="Times New Roman" w:cs="Times New Roman" w:eastAsia="Times New Roman" w:hint="default"/>
          <w:spacing w:val="-5"/>
        </w:rPr>
        <w:t>8.</w:t>
      </w:r>
      <w:r>
        <w:rPr>
          <w:spacing w:val="-5"/>
        </w:rPr>
        <w:t>董桂英女士，</w:t>
      </w:r>
      <w:r>
        <w:rPr>
          <w:rFonts w:ascii="Times New Roman" w:hAnsi="Times New Roman" w:cs="Times New Roman" w:eastAsia="Times New Roman" w:hint="default"/>
          <w:spacing w:val="-5"/>
        </w:rPr>
        <w:t>1973</w:t>
      </w:r>
      <w:r>
        <w:rPr>
          <w:spacing w:val="-5"/>
        </w:rPr>
        <w:t>年出生，中国国籍，经济学硕士。</w:t>
      </w:r>
      <w:r>
        <w:rPr>
          <w:rFonts w:ascii="Times New Roman" w:hAnsi="Times New Roman" w:cs="Times New Roman" w:eastAsia="Times New Roman" w:hint="default"/>
          <w:spacing w:val="-5"/>
        </w:rPr>
        <w:t>1996</w:t>
      </w:r>
      <w:r>
        <w:rPr>
          <w:spacing w:val="-5"/>
        </w:rPr>
        <w:t>年至</w:t>
      </w:r>
      <w:r>
        <w:rPr>
          <w:rFonts w:ascii="Times New Roman" w:hAnsi="Times New Roman" w:cs="Times New Roman" w:eastAsia="Times New Roman" w:hint="default"/>
          <w:spacing w:val="-5"/>
        </w:rPr>
        <w:t>2012</w:t>
      </w:r>
      <w:r>
        <w:rPr>
          <w:spacing w:val="-5"/>
        </w:rPr>
        <w:t>年任职于亚信集团股份有限公司</w:t>
      </w:r>
      <w:r>
        <w:rPr>
          <w:rFonts w:ascii="Times New Roman" w:hAnsi="Times New Roman" w:cs="Times New Roman" w:eastAsia="Times New Roman" w:hint="default"/>
          <w:spacing w:val="-5"/>
        </w:rPr>
        <w:t>,</w:t>
      </w:r>
      <w:r>
        <w:rPr>
          <w:spacing w:val="-5"/>
        </w:rPr>
        <w:t>历任集团财务报告经理、</w:t>
      </w:r>
      <w:r>
        <w:rPr>
          <w:spacing w:val="-42"/>
        </w:rPr>
        <w:t> </w:t>
      </w:r>
      <w:r>
        <w:rPr>
          <w:spacing w:val="-42"/>
        </w:rPr>
      </w:r>
      <w:r>
        <w:rPr/>
        <w:t>事业部财务总监及集团资深财务分析经理。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月至今任职于二六三网络通信股份有限公司集团财务管理部总监。</w:t>
      </w:r>
    </w:p>
    <w:p>
      <w:pPr>
        <w:spacing w:line="240" w:lineRule="auto" w:before="0"/>
        <w:rPr>
          <w:rFonts w:ascii="宋体" w:hAnsi="宋体" w:cs="宋体" w:eastAsia="宋体" w:hint="default"/>
          <w:sz w:val="18"/>
          <w:szCs w:val="18"/>
        </w:rPr>
      </w:pPr>
    </w:p>
    <w:p>
      <w:pPr>
        <w:pStyle w:val="BodyText"/>
        <w:spacing w:line="240" w:lineRule="auto" w:before="130"/>
        <w:ind w:right="1033"/>
        <w:jc w:val="left"/>
      </w:pPr>
      <w:r>
        <w:rPr/>
        <w:t>在股东单位任职情况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033"/>
        <w:jc w:val="left"/>
      </w:pPr>
      <w:r>
        <w:rPr/>
        <w:t>在其他单位任职情况</w:t>
      </w:r>
    </w:p>
    <w:p>
      <w:pPr>
        <w:pStyle w:val="BodyText"/>
        <w:spacing w:line="240" w:lineRule="auto" w:before="117"/>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755"/>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2"/>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E-Commerce China Dangdang</w:t>
            </w:r>
            <w:r>
              <w:rPr>
                <w:rFonts w:ascii="Times New Roman"/>
                <w:spacing w:val="-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KongZhong</w:t>
            </w:r>
            <w:r>
              <w:rPr>
                <w:rFonts w:ascii="Times New Roman"/>
                <w:spacing w:val="-3"/>
                <w:sz w:val="18"/>
              </w:rPr>
              <w:t> </w:t>
            </w:r>
            <w:r>
              <w:rPr>
                <w:rFonts w:ascii="Times New Roman"/>
                <w:sz w:val="18"/>
              </w:rPr>
              <w:t>Corporation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苏州龙跃投资中心（有限合伙）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咨询委员会 委员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南京龙柏投资中心（有限合伙）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投资审核委 员会委员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苏州龙瑞创业投资管理有限公司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南京龙骏投资管理有限公司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欢喜传媒集团有限公司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北京致远协创软件有限公司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Holdings,</w:t>
            </w:r>
            <w:r>
              <w:rPr>
                <w:rFonts w:ascii="Times New Roman"/>
                <w:spacing w:val="2"/>
                <w:sz w:val="18"/>
              </w:rPr>
              <w:t> </w:t>
            </w:r>
            <w:r>
              <w:rPr>
                <w:rFonts w:ascii="Times New Roman"/>
                <w:sz w:val="18"/>
              </w:rPr>
              <w:t>LLC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2"/>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5"/>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2"/>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信永中和（北京）国际投资管理有限责任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北京信永方略管理咨询有限责任公司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贵阳朗玛信息技术股份有限公司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中国盐业总公司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财讯传媒集团有限公司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慧聪网国际有限公司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E-Commerce China Dangdang</w:t>
            </w:r>
            <w:r>
              <w:rPr>
                <w:rFonts w:ascii="Times New Roman"/>
                <w:spacing w:val="-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中国民生银行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中国中煤能源股份有限公司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北京软银赛富投资顾问有限公司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北京京能清洁能源电力股份有限公司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常州泛亚微透科技有限公司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湖南丰惠肥业有限公司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常州第六元素材料科技股份有限公司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龙星化工股份有限公司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天慕众和企业管理咨询（北京）有限公司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二六三增值通信香港有限公司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中国互联网协会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1033"/>
        <w:jc w:val="left"/>
      </w:pPr>
      <w:r>
        <w:rPr/>
        <w:t>公司现任及报告期内离任董事、监事和高级管理人员近三年证券监管机构处罚的情况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033"/>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董事、监事、高级管理人员报酬的决策程序、确定依据、实际支付情况</w:t>
      </w:r>
    </w:p>
    <w:p>
      <w:pPr>
        <w:pStyle w:val="BodyText"/>
        <w:spacing w:line="316" w:lineRule="auto" w:before="115"/>
        <w:ind w:right="1033"/>
        <w:jc w:val="left"/>
      </w:pPr>
      <w:r>
        <w:rPr/>
        <w:t>（一）决策程序 </w:t>
      </w:r>
      <w:r>
        <w:rPr>
          <w:spacing w:val="-2"/>
        </w:rPr>
        <w:t>公司建立了完善的高级管理人员绩效考核和薪酬体系，高级管理人员的工作绩效与其报酬直接挂钩。董事会薪酬与考核委员</w:t>
      </w:r>
      <w:r>
        <w:rPr>
          <w:spacing w:val="-64"/>
        </w:rPr>
        <w:t> </w:t>
      </w:r>
      <w:r>
        <w:rPr>
          <w:spacing w:val="-64"/>
        </w:rPr>
      </w:r>
      <w:r>
        <w:rPr/>
        <w:t>会负责对高级管理人员的工作能力、履职情况、责任目标完成情况等进行年终考评，制定薪酬方案。</w:t>
      </w:r>
    </w:p>
    <w:p>
      <w:pPr>
        <w:pStyle w:val="BodyText"/>
        <w:spacing w:line="316" w:lineRule="auto" w:before="19"/>
        <w:ind w:right="4273"/>
        <w:jc w:val="left"/>
      </w:pPr>
      <w:r>
        <w:rPr/>
        <w:t>（二）确定依据 公司董事、监事和高级管理人员报酬依据公司的经营业绩和绩效考核指标来确定。</w:t>
      </w:r>
    </w:p>
    <w:p>
      <w:pPr>
        <w:pStyle w:val="BodyText"/>
        <w:spacing w:line="316" w:lineRule="auto" w:before="19"/>
        <w:ind w:right="5173"/>
        <w:jc w:val="left"/>
      </w:pPr>
      <w:r>
        <w:rPr/>
        <w:t>（三）支付情况 公司董事、监事和高级管理人员报酬依据绩效考核指标完成情况支付。</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公司报告期内董事、监事和高级管理人员报酬情况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Paul</w:t>
            </w:r>
            <w:r>
              <w:rPr>
                <w:rFonts w:ascii="Times New Roman"/>
                <w:spacing w:val="-1"/>
                <w:sz w:val="18"/>
              </w:rPr>
              <w:t> </w:t>
            </w:r>
            <w:r>
              <w:rPr>
                <w:rFonts w:ascii="Times New Roman"/>
                <w:sz w:val="18"/>
              </w:rPr>
              <w:t>Zhu</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郭月霞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董桂英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11,285,018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公司董事、监事、高级管理人员报告期内被授予的股权激励情况</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5195" w:space="372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1,600,000</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董桂英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163,006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6,483,006</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其他管理类人员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其他专业类人员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1,189</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53" w:right="1033"/>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5"/>
          <w:szCs w:val="25"/>
        </w:rPr>
      </w:pPr>
    </w:p>
    <w:p>
      <w:pPr>
        <w:pStyle w:val="Heading5"/>
        <w:spacing w:line="280" w:lineRule="auto" w:before="0"/>
        <w:ind w:right="1033" w:firstLine="420"/>
        <w:jc w:val="left"/>
      </w:pPr>
      <w:r>
        <w:rPr>
          <w:spacing w:val="-1"/>
        </w:rPr>
        <w:t>公司的薪酬福利政策旨在建立适合公司成长与发展的薪酬报酬体系和政策，规范薪酬管理，构筑有特色的</w:t>
      </w:r>
      <w:r>
        <w:rPr>
          <w:w w:val="100"/>
        </w:rPr>
        <w:t> </w:t>
      </w:r>
      <w:r>
        <w:rPr/>
        <w:t>价值分配体制和内在激励机制，增强员工的创造性和公司的凝聚力，实现公司的可续发展。公司薪酬政策的基</w:t>
      </w:r>
      <w:r>
        <w:rPr>
          <w:w w:val="100"/>
        </w:rPr>
        <w:t> </w:t>
      </w:r>
      <w:r>
        <w:rPr/>
        <w:t>本原则如下：</w:t>
      </w:r>
      <w:r>
        <w:rPr>
          <w:w w:val="100"/>
        </w:rPr>
        <w:t> </w:t>
      </w:r>
      <w:r>
        <w:rPr>
          <w:rFonts w:ascii="Times New Roman" w:hAnsi="Times New Roman" w:cs="Times New Roman" w:eastAsia="Times New Roman" w:hint="default"/>
        </w:rPr>
        <w:t>1.</w:t>
      </w:r>
      <w:r>
        <w:rPr/>
        <w:t>业绩导向原则。把绩效考核的结果（职级职等）作为确定薪酬定酬的直接依据，人事考核结果与薪酬等级的</w:t>
      </w:r>
      <w:r>
        <w:rPr>
          <w:w w:val="100"/>
        </w:rPr>
        <w:t> </w:t>
      </w:r>
      <w:r>
        <w:rPr/>
        <w:t>升降直接挂钩，升降并举，鼓励先进。</w:t>
      </w:r>
      <w:r>
        <w:rPr>
          <w:w w:val="100"/>
        </w:rPr>
        <w:t> </w:t>
      </w:r>
      <w:r>
        <w:rPr>
          <w:rFonts w:ascii="Times New Roman" w:hAnsi="Times New Roman" w:cs="Times New Roman" w:eastAsia="Times New Roman" w:hint="default"/>
          <w:spacing w:val="-3"/>
        </w:rPr>
        <w:t>2.</w:t>
      </w:r>
      <w:r>
        <w:rPr>
          <w:spacing w:val="-3"/>
        </w:rPr>
        <w:t>效率优先、兼顾公平的原则。公司不搞价值分配上的平均主义，薪酬必须向为公司持续创造价值的员工倾斜，</w:t>
      </w:r>
      <w:r>
        <w:rPr>
          <w:spacing w:val="-78"/>
        </w:rPr>
        <w:t> </w:t>
      </w:r>
      <w:r>
        <w:rPr>
          <w:spacing w:val="-78"/>
        </w:rPr>
      </w:r>
      <w:r>
        <w:rPr/>
        <w:t>对员工所创造的业绩以合理的回报。</w:t>
      </w:r>
    </w:p>
    <w:p>
      <w:pPr>
        <w:pStyle w:val="Heading5"/>
        <w:spacing w:line="271" w:lineRule="auto" w:before="57"/>
        <w:ind w:right="1033"/>
        <w:jc w:val="left"/>
      </w:pPr>
      <w:r>
        <w:rPr>
          <w:rFonts w:ascii="Times New Roman" w:hAnsi="Times New Roman" w:cs="Times New Roman" w:eastAsia="Times New Roman" w:hint="default"/>
        </w:rPr>
        <w:t>3.</w:t>
      </w:r>
      <w:r>
        <w:rPr/>
        <w:t>可持续发展的原则。薪酬的确定必须与公司的发展战略相适应，必须与公司的整体效益和综合目标的提高相</w:t>
      </w:r>
      <w:r>
        <w:rPr>
          <w:spacing w:val="-22"/>
        </w:rPr>
        <w:t> </w:t>
      </w:r>
      <w:r>
        <w:rPr>
          <w:spacing w:val="-22"/>
        </w:rPr>
      </w:r>
      <w:r>
        <w:rPr/>
        <w:t>适应。</w:t>
      </w:r>
    </w:p>
    <w:p>
      <w:pPr>
        <w:spacing w:line="240" w:lineRule="auto" w:before="1"/>
        <w:rPr>
          <w:rFonts w:ascii="宋体" w:hAnsi="宋体" w:cs="宋体" w:eastAsia="宋体" w:hint="default"/>
          <w:sz w:val="24"/>
          <w:szCs w:val="24"/>
        </w:rPr>
      </w:pPr>
    </w:p>
    <w:p>
      <w:pPr>
        <w:pStyle w:val="Heading4"/>
        <w:spacing w:line="240" w:lineRule="auto"/>
        <w:ind w:left="153" w:right="1033"/>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Heading5"/>
        <w:spacing w:line="271" w:lineRule="auto" w:before="0"/>
        <w:ind w:right="1033" w:firstLine="420"/>
        <w:jc w:val="left"/>
      </w:pPr>
      <w:r>
        <w:rPr>
          <w:rFonts w:ascii="Times New Roman" w:hAnsi="Times New Roman" w:cs="Times New Roman" w:eastAsia="Times New Roman" w:hint="default"/>
          <w:spacing w:val="-1"/>
        </w:rPr>
        <w:t>2015</w:t>
      </w:r>
      <w:r>
        <w:rPr>
          <w:spacing w:val="-1"/>
        </w:rPr>
        <w:t>年，公司充分利用资源组织外训及网络学习，深化内部培训体系建设，不断完善具有二六三特色的全</w:t>
      </w:r>
      <w:r>
        <w:rPr>
          <w:w w:val="100"/>
        </w:rPr>
        <w:t> </w:t>
      </w:r>
      <w:r>
        <w:rPr/>
        <w:t>员培训机制，确保培训推进力。</w:t>
      </w:r>
      <w:r>
        <w:rPr>
          <w:rFonts w:ascii="Times New Roman" w:hAnsi="Times New Roman" w:cs="Times New Roman" w:eastAsia="Times New Roman" w:hint="default"/>
        </w:rPr>
        <w:t>2015</w:t>
      </w:r>
      <w:r>
        <w:rPr/>
        <w:t>年培训情况如下：</w:t>
      </w:r>
      <w:r>
        <w:rPr>
          <w:w w:val="100"/>
        </w:rPr>
        <w:t> </w:t>
      </w:r>
      <w:r>
        <w:rPr>
          <w:rFonts w:ascii="Times New Roman" w:hAnsi="Times New Roman" w:cs="Times New Roman" w:eastAsia="Times New Roman" w:hint="default"/>
        </w:rPr>
        <w:t>1.</w:t>
      </w:r>
      <w:r>
        <w:rPr/>
        <w:t>“公司级培训”：由人力协调集团内、外部讲师资源，重点组织进行。</w:t>
      </w:r>
    </w:p>
    <w:p>
      <w:pPr>
        <w:pStyle w:val="Heading5"/>
        <w:spacing w:line="240" w:lineRule="auto" w:before="6"/>
        <w:ind w:right="1033"/>
        <w:jc w:val="left"/>
      </w:pPr>
      <w:r>
        <w:rPr>
          <w:rFonts w:ascii="Times New Roman" w:hAnsi="Times New Roman" w:cs="Times New Roman" w:eastAsia="Times New Roman" w:hint="default"/>
        </w:rPr>
        <w:t>2.</w:t>
      </w:r>
      <w:r>
        <w:rPr/>
        <w:t>管理类培训</w:t>
      </w:r>
      <w:r>
        <w:rPr>
          <w:rFonts w:ascii="Times New Roman" w:hAnsi="Times New Roman" w:cs="Times New Roman" w:eastAsia="Times New Roman" w:hint="default"/>
        </w:rPr>
        <w:t>——</w:t>
      </w:r>
      <w:r>
        <w:rPr>
          <w:rFonts w:ascii="Times New Roman" w:hAnsi="Times New Roman" w:cs="Times New Roman" w:eastAsia="Times New Roman" w:hint="default"/>
        </w:rPr>
        <w:t>2015</w:t>
      </w:r>
      <w:r>
        <w:rPr/>
        <w:t>年引入《二六三高潜人才训练营》，培养二六三高潜人才，搭建二六三人才管理梯队。</w:t>
      </w:r>
    </w:p>
    <w:p>
      <w:pPr>
        <w:pStyle w:val="Heading5"/>
        <w:spacing w:line="240" w:lineRule="auto"/>
        <w:ind w:right="1033"/>
        <w:jc w:val="left"/>
      </w:pPr>
      <w:r>
        <w:rPr>
          <w:rFonts w:ascii="Times New Roman" w:hAnsi="Times New Roman" w:cs="Times New Roman" w:eastAsia="Times New Roman" w:hint="default"/>
        </w:rPr>
        <w:t>3.</w:t>
      </w:r>
      <w:r>
        <w:rPr/>
        <w:t>集团及子公司新员工入职培训</w:t>
      </w:r>
      <w:r>
        <w:rPr>
          <w:rFonts w:ascii="Times New Roman" w:hAnsi="Times New Roman" w:cs="Times New Roman" w:eastAsia="Times New Roman" w:hint="default"/>
        </w:rPr>
        <w:t>——</w:t>
      </w:r>
      <w:r>
        <w:rPr/>
        <w:t>结合</w:t>
      </w:r>
      <w:r>
        <w:rPr>
          <w:rFonts w:ascii="Times New Roman" w:hAnsi="Times New Roman" w:cs="Times New Roman" w:eastAsia="Times New Roman" w:hint="default"/>
        </w:rPr>
        <w:t>2015</w:t>
      </w:r>
      <w:r>
        <w:rPr/>
        <w:t>年收购企业，关注业务融合下的企业文化融合。</w:t>
      </w:r>
    </w:p>
    <w:p>
      <w:pPr>
        <w:pStyle w:val="Heading5"/>
        <w:spacing w:line="271" w:lineRule="auto"/>
        <w:ind w:right="1033"/>
        <w:jc w:val="left"/>
      </w:pPr>
      <w:r>
        <w:rPr>
          <w:rFonts w:ascii="Times New Roman" w:hAnsi="Times New Roman" w:cs="Times New Roman" w:eastAsia="Times New Roman" w:hint="default"/>
          <w:spacing w:val="-1"/>
        </w:rPr>
        <w:t>4.</w:t>
      </w:r>
      <w:r>
        <w:rPr>
          <w:spacing w:val="-1"/>
        </w:rPr>
        <w:t>专业类培训</w:t>
      </w:r>
      <w:r>
        <w:rPr>
          <w:rFonts w:ascii="Times New Roman" w:hAnsi="Times New Roman" w:cs="Times New Roman" w:eastAsia="Times New Roman" w:hint="default"/>
          <w:spacing w:val="-1"/>
        </w:rPr>
        <w:t>——</w:t>
      </w:r>
      <w:r>
        <w:rPr>
          <w:spacing w:val="-1"/>
        </w:rPr>
        <w:t>根据集团及子公司需求，提供针对性的通用职位序列（产品技术、运营运维、市场营销、职</w:t>
      </w:r>
      <w:r>
        <w:rPr>
          <w:spacing w:val="-63"/>
        </w:rPr>
        <w:t> </w:t>
      </w:r>
      <w:r>
        <w:rPr>
          <w:spacing w:val="-63"/>
        </w:rPr>
      </w:r>
      <w:r>
        <w:rPr/>
        <w:t>能平台等）专业培训课程</w:t>
      </w:r>
    </w:p>
    <w:p>
      <w:pPr>
        <w:pStyle w:val="Heading5"/>
        <w:spacing w:line="240" w:lineRule="auto" w:before="24"/>
        <w:ind w:right="1033"/>
        <w:jc w:val="left"/>
      </w:pPr>
      <w:r>
        <w:rPr>
          <w:rFonts w:ascii="Times New Roman" w:hAnsi="Times New Roman" w:cs="Times New Roman" w:eastAsia="Times New Roman" w:hint="default"/>
        </w:rPr>
        <w:t>5.E-learning</w:t>
      </w:r>
      <w:r>
        <w:rPr/>
        <w:t>网络学院</w:t>
      </w:r>
      <w:r>
        <w:rPr>
          <w:rFonts w:ascii="Times New Roman" w:hAnsi="Times New Roman" w:cs="Times New Roman" w:eastAsia="Times New Roman" w:hint="default"/>
        </w:rPr>
        <w:t>—</w:t>
      </w:r>
      <w:r>
        <w:rPr/>
        <w:t>针对海内外多区域的复杂性，启用</w:t>
      </w:r>
      <w:r>
        <w:rPr>
          <w:rFonts w:ascii="Times New Roman" w:hAnsi="Times New Roman" w:cs="Times New Roman" w:eastAsia="Times New Roman" w:hint="default"/>
        </w:rPr>
        <w:t>263</w:t>
      </w:r>
      <w:r>
        <w:rPr/>
        <w:t>网络学院为全员提供多元线上培训。</w:t>
      </w:r>
    </w:p>
    <w:p>
      <w:pPr>
        <w:pStyle w:val="Heading5"/>
        <w:spacing w:line="240" w:lineRule="auto"/>
        <w:ind w:right="1033"/>
        <w:jc w:val="left"/>
      </w:pPr>
      <w:r>
        <w:rPr>
          <w:rFonts w:ascii="Times New Roman" w:hAnsi="Times New Roman" w:cs="Times New Roman" w:eastAsia="Times New Roman" w:hint="default"/>
        </w:rPr>
        <w:t>6.</w:t>
      </w:r>
      <w:r>
        <w:rPr/>
        <w:t>“部门级培训”：由集团及子公司各部门自行组织进行，人力提供培训支撑。</w:t>
      </w:r>
    </w:p>
    <w:p>
      <w:pPr>
        <w:pStyle w:val="Heading5"/>
        <w:spacing w:line="271" w:lineRule="auto"/>
        <w:ind w:right="1033" w:firstLine="300"/>
        <w:jc w:val="left"/>
      </w:pPr>
      <w:r>
        <w:rPr>
          <w:rFonts w:ascii="Times New Roman" w:hAnsi="Times New Roman" w:cs="Times New Roman" w:eastAsia="Times New Roman" w:hint="default"/>
          <w:spacing w:val="-1"/>
        </w:rPr>
        <w:t>2015</w:t>
      </w:r>
      <w:r>
        <w:rPr>
          <w:spacing w:val="-1"/>
        </w:rPr>
        <w:t>年，公司培训时长达</w:t>
      </w:r>
      <w:r>
        <w:rPr>
          <w:rFonts w:ascii="Times New Roman" w:hAnsi="Times New Roman" w:cs="Times New Roman" w:eastAsia="Times New Roman" w:hint="default"/>
          <w:spacing w:val="-1"/>
        </w:rPr>
        <w:t>22</w:t>
      </w:r>
      <w:r>
        <w:rPr>
          <w:spacing w:val="-1"/>
        </w:rPr>
        <w:t>学时</w:t>
      </w:r>
      <w:r>
        <w:rPr>
          <w:rFonts w:ascii="Times New Roman" w:hAnsi="Times New Roman" w:cs="Times New Roman" w:eastAsia="Times New Roman" w:hint="default"/>
          <w:spacing w:val="-1"/>
        </w:rPr>
        <w:t>/</w:t>
      </w:r>
      <w:r>
        <w:rPr>
          <w:spacing w:val="-1"/>
        </w:rPr>
        <w:t>人</w:t>
      </w:r>
      <w:r>
        <w:rPr>
          <w:rFonts w:ascii="Times New Roman" w:hAnsi="Times New Roman" w:cs="Times New Roman" w:eastAsia="Times New Roman" w:hint="default"/>
          <w:spacing w:val="-1"/>
        </w:rPr>
        <w:t>/</w:t>
      </w:r>
      <w:r>
        <w:rPr>
          <w:spacing w:val="-1"/>
        </w:rPr>
        <w:t>年，培训满意度达</w:t>
      </w:r>
      <w:r>
        <w:rPr>
          <w:rFonts w:ascii="Times New Roman" w:hAnsi="Times New Roman" w:cs="Times New Roman" w:eastAsia="Times New Roman" w:hint="default"/>
          <w:spacing w:val="-1"/>
        </w:rPr>
        <w:t>90%</w:t>
      </w:r>
      <w:r>
        <w:rPr>
          <w:spacing w:val="-1"/>
        </w:rPr>
        <w:t>。公司通过提升核心管理人员的管理能力，强化</w:t>
      </w:r>
      <w:r>
        <w:rPr>
          <w:w w:val="100"/>
        </w:rPr>
        <w:t> </w:t>
      </w:r>
      <w:r>
        <w:rPr/>
        <w:t>内部培训为主的培训体系，助力于二六三员工整体能力的提升。</w:t>
      </w:r>
    </w:p>
    <w:p>
      <w:pPr>
        <w:spacing w:line="240" w:lineRule="auto" w:before="2"/>
        <w:rPr>
          <w:rFonts w:ascii="宋体" w:hAnsi="宋体" w:cs="宋体" w:eastAsia="宋体" w:hint="default"/>
          <w:sz w:val="24"/>
          <w:szCs w:val="24"/>
        </w:rPr>
      </w:pPr>
    </w:p>
    <w:p>
      <w:pPr>
        <w:pStyle w:val="Heading4"/>
        <w:spacing w:line="240" w:lineRule="auto"/>
        <w:ind w:left="153" w:right="1033"/>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57"/>
        <w:jc w:val="left"/>
      </w:pPr>
      <w:r>
        <w:rPr>
          <w:spacing w:val="-2"/>
        </w:rPr>
        <w:t>报告期内，公司严格按照《公司法》、《证券法》、《上市公司治理准则》、《深圳证券交易所股票上市规则》、《中</w:t>
      </w:r>
      <w:r>
        <w:rPr/>
        <w:t> 小企业板上市公司规范运作指引》及其他相关法律、法规的要求，不断完善公司治理结构，建立健全内部管理和控制制度，</w:t>
      </w:r>
      <w:r>
        <w:rPr>
          <w:spacing w:val="-85"/>
        </w:rPr>
        <w:t> </w:t>
      </w:r>
      <w:r>
        <w:rPr>
          <w:spacing w:val="-85"/>
        </w:rPr>
      </w:r>
      <w:r>
        <w:rPr>
          <w:spacing w:val="-2"/>
        </w:rPr>
        <w:t>不断加强信息披露工作，积极开展投资者关系管理工作，进一步规范公司运作，提高公司治理水平。截至报告期末，公司治</w:t>
      </w:r>
      <w:r>
        <w:rPr>
          <w:spacing w:val="-66"/>
        </w:rPr>
        <w:t> </w:t>
      </w:r>
      <w:r>
        <w:rPr>
          <w:spacing w:val="-66"/>
        </w:rPr>
      </w:r>
      <w:r>
        <w:rPr/>
        <w:t>理实际情况基本符合中国证监会、深圳证券交易所有关上市公司治理的规范性文件要求。</w:t>
      </w:r>
    </w:p>
    <w:p>
      <w:pPr>
        <w:pStyle w:val="BodyText"/>
        <w:spacing w:line="240" w:lineRule="auto" w:before="59"/>
        <w:ind w:right="1033"/>
        <w:jc w:val="left"/>
      </w:pPr>
      <w:r>
        <w:rPr/>
        <w:t>截至报告期末，公司已建立的各项制度的名称和公开信息披露情况：</w:t>
      </w:r>
    </w:p>
    <w:p>
      <w:pPr>
        <w:spacing w:line="240" w:lineRule="auto" w:before="1"/>
        <w:rPr>
          <w:rFonts w:ascii="宋体" w:hAnsi="宋体" w:cs="宋体" w:eastAsia="宋体" w:hint="default"/>
          <w:sz w:val="8"/>
          <w:szCs w:val="8"/>
        </w:rPr>
      </w:pPr>
    </w:p>
    <w:tbl>
      <w:tblPr>
        <w:tblW w:w="0" w:type="auto"/>
        <w:jc w:val="left"/>
        <w:tblInd w:w="705" w:type="dxa"/>
        <w:tblLayout w:type="fixed"/>
        <w:tblCellMar>
          <w:top w:w="0" w:type="dxa"/>
          <w:left w:w="0" w:type="dxa"/>
          <w:bottom w:w="0" w:type="dxa"/>
          <w:right w:w="0" w:type="dxa"/>
        </w:tblCellMar>
        <w:tblLook w:val="01E0"/>
      </w:tblPr>
      <w:tblGrid>
        <w:gridCol w:w="4078"/>
        <w:gridCol w:w="2694"/>
        <w:gridCol w:w="1751"/>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07" w:right="0"/>
              <w:jc w:val="left"/>
              <w:rPr>
                <w:rFonts w:ascii="宋体" w:hAnsi="宋体" w:cs="宋体" w:eastAsia="宋体" w:hint="default"/>
                <w:sz w:val="18"/>
                <w:szCs w:val="18"/>
              </w:rPr>
            </w:pPr>
            <w:r>
              <w:rPr>
                <w:rFonts w:ascii="宋体" w:hAnsi="宋体" w:cs="宋体" w:eastAsia="宋体" w:hint="default"/>
                <w:b/>
                <w:bCs/>
                <w:sz w:val="18"/>
                <w:szCs w:val="18"/>
              </w:rPr>
              <w:t>公司已建立的制度</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6"/>
        <w:rPr>
          <w:rFonts w:ascii="宋体" w:hAnsi="宋体" w:cs="宋体" w:eastAsia="宋体" w:hint="default"/>
          <w:sz w:val="27"/>
          <w:szCs w:val="27"/>
        </w:rPr>
      </w:pPr>
    </w:p>
    <w:p>
      <w:pPr>
        <w:pStyle w:val="BodyText"/>
        <w:spacing w:line="240" w:lineRule="auto" w:before="44"/>
        <w:ind w:left="154" w:right="1033"/>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3"/>
        <w:spacing w:line="240" w:lineRule="auto"/>
        <w:ind w:right="1033"/>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公司控股股东为董事长李小龙先生，为公司实际控制人，未控制或参股其他企业。公司在业务、人员、资产、机构、财务等</w:t>
      </w:r>
      <w:r>
        <w:rPr>
          <w:spacing w:val="-72"/>
        </w:rPr>
        <w:t> </w:t>
      </w:r>
      <w:r>
        <w:rPr>
          <w:spacing w:val="-72"/>
        </w:rPr>
      </w:r>
      <w:r>
        <w:rPr/>
        <w:t>方面与控股股东相互独立，公司具有独立完整的业务及自主经营能力。</w:t>
      </w:r>
    </w:p>
    <w:p>
      <w:pPr>
        <w:pStyle w:val="BodyText"/>
        <w:spacing w:line="240" w:lineRule="auto" w:before="19"/>
        <w:ind w:right="1033"/>
        <w:jc w:val="left"/>
      </w:pPr>
      <w:r>
        <w:rPr/>
        <w:t>（一）业务：公司业务独立于控股股东，独立开展业务，不依赖于股东或其他任何关联方。</w:t>
      </w:r>
    </w:p>
    <w:p>
      <w:pPr>
        <w:pStyle w:val="BodyText"/>
        <w:spacing w:line="316" w:lineRule="auto" w:before="76"/>
        <w:ind w:right="1033"/>
        <w:jc w:val="left"/>
      </w:pPr>
      <w:r>
        <w:rPr>
          <w:spacing w:val="-2"/>
        </w:rPr>
        <w:t>（二）人员：公司劳动、人事及工资完全独立。公司总裁、副总裁、董事会秘书、财务总监等高级管理人员均在公司工作并</w:t>
      </w:r>
      <w:r>
        <w:rPr>
          <w:spacing w:val="-72"/>
        </w:rPr>
        <w:t> </w:t>
      </w:r>
      <w:r>
        <w:rPr>
          <w:spacing w:val="-72"/>
        </w:rPr>
      </w:r>
      <w:r>
        <w:rPr/>
        <w:t>领取薪酬。</w:t>
      </w:r>
    </w:p>
    <w:p>
      <w:pPr>
        <w:pStyle w:val="BodyText"/>
        <w:spacing w:line="316" w:lineRule="auto" w:before="19"/>
        <w:ind w:right="1033"/>
        <w:jc w:val="left"/>
      </w:pPr>
      <w:r>
        <w:rPr>
          <w:spacing w:val="-2"/>
        </w:rPr>
        <w:t>（三）资产：公司拥有独立于控股股东的经营场所，拥有独立完整的资产结构，拥有经营设备配套设施、土地使用权、房屋</w:t>
      </w:r>
      <w:r>
        <w:rPr>
          <w:spacing w:val="-67"/>
        </w:rPr>
        <w:t> </w:t>
      </w:r>
      <w:r>
        <w:rPr>
          <w:spacing w:val="-67"/>
        </w:rPr>
      </w:r>
      <w:r>
        <w:rPr/>
        <w:t>所有权等资产。</w:t>
      </w:r>
    </w:p>
    <w:p>
      <w:pPr>
        <w:pStyle w:val="BodyText"/>
        <w:spacing w:line="240" w:lineRule="auto" w:before="19"/>
        <w:ind w:right="1033"/>
        <w:jc w:val="left"/>
      </w:pPr>
      <w:r>
        <w:rPr/>
        <w:t>（四）机构：公司设立了健全的组织机构体系，独立运作，不存在与控股股东或其他职能部门之间的从属关系。</w:t>
      </w:r>
    </w:p>
    <w:p>
      <w:pPr>
        <w:pStyle w:val="BodyText"/>
        <w:spacing w:line="319" w:lineRule="auto" w:before="76"/>
        <w:ind w:right="1033"/>
        <w:jc w:val="left"/>
      </w:pPr>
      <w:r>
        <w:rPr>
          <w:spacing w:val="-2"/>
        </w:rPr>
        <w:t>（五）财务：公司设有独立的财务会计部门，建立了独立的会计核算体系和财务管理制度，独立进行财务决策。公司独立开</w:t>
      </w:r>
      <w:r>
        <w:rPr>
          <w:spacing w:val="-66"/>
        </w:rPr>
        <w:t> </w:t>
      </w:r>
      <w:r>
        <w:rPr>
          <w:spacing w:val="-66"/>
        </w:rPr>
      </w:r>
      <w:r>
        <w:rPr/>
        <w:t>设银行账户，独立纳税。</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033"/>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1033"/>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 股东大会决议公告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74"/>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2015-037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会决议公告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2015-046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股东大会决议公告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2015-069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 股东大会决议公告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2015-081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 股东大会决议公告</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2015-098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 股东大会决议公告</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33"/>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before="35"/>
        <w:ind w:right="1033"/>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left="153" w:right="1033"/>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jc w:val="both"/>
      </w:pPr>
      <w:r>
        <w:rPr>
          <w:spacing w:val="-5"/>
        </w:rPr>
        <w:t>公司独立董事根据《公司法》、《证券法》、《公司章程》和《独立董事制度》等法律法规的规定，关注公司运作的规范性，</w:t>
      </w:r>
      <w:r>
        <w:rPr>
          <w:spacing w:val="-79"/>
        </w:rPr>
        <w:t> </w:t>
      </w:r>
      <w:r>
        <w:rPr>
          <w:spacing w:val="-79"/>
        </w:rPr>
      </w:r>
      <w:r>
        <w:rPr>
          <w:spacing w:val="-2"/>
        </w:rPr>
        <w:t>独立履行职责，对公司的制度完善和日常经营决策等方面提出了许多宝贵的专业性意见，对报告期内公司发生的非公开发行</w:t>
      </w:r>
      <w:r>
        <w:rPr>
          <w:spacing w:val="-64"/>
        </w:rPr>
        <w:t> </w:t>
      </w:r>
      <w:r>
        <w:rPr>
          <w:spacing w:val="-64"/>
        </w:rPr>
      </w:r>
      <w:r>
        <w:rPr>
          <w:spacing w:val="-2"/>
        </w:rPr>
        <w:t>股票、股权激励、关联交易事项、募集资金存放与使用情况等需要独立董事发表意见的事项出具了独立、公正的独立董事意</w:t>
      </w:r>
      <w:r>
        <w:rPr>
          <w:spacing w:val="-66"/>
        </w:rPr>
        <w:t> </w:t>
      </w:r>
      <w:r>
        <w:rPr>
          <w:spacing w:val="-66"/>
        </w:rPr>
      </w:r>
      <w:r>
        <w:rPr/>
        <w:t>见，为完善公司监督机制，维护公司和全体股东的合法权益发挥了应有的作用。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3"/>
        <w:spacing w:line="240" w:lineRule="auto"/>
        <w:ind w:right="1033"/>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33"/>
        <w:jc w:val="left"/>
      </w:pPr>
      <w:r>
        <w:rPr/>
        <w:t>董事会下设战略委员会、内审委员会、薪酬与考核委员会、提名委员会四个专门委员会，其履行职责情况主要有： </w:t>
      </w:r>
      <w:r>
        <w:rPr>
          <w:rFonts w:ascii="Times New Roman" w:hAnsi="Times New Roman" w:cs="Times New Roman" w:eastAsia="Times New Roman" w:hint="default"/>
        </w:rPr>
        <w:t>1.</w:t>
      </w:r>
      <w:r>
        <w:rPr/>
        <w:t>战略委员会 </w:t>
      </w:r>
      <w:r>
        <w:rPr>
          <w:spacing w:val="-5"/>
        </w:rPr>
        <w:t>董事会下设战略委员会，由</w:t>
      </w:r>
      <w:r>
        <w:rPr>
          <w:rFonts w:ascii="Times New Roman" w:hAnsi="Times New Roman" w:cs="Times New Roman" w:eastAsia="Times New Roman" w:hint="default"/>
          <w:spacing w:val="-5"/>
        </w:rPr>
        <w:t>3</w:t>
      </w:r>
      <w:r>
        <w:rPr>
          <w:spacing w:val="-5"/>
        </w:rPr>
        <w:t>名董事组成，其中包括</w:t>
      </w:r>
      <w:r>
        <w:rPr>
          <w:rFonts w:ascii="Times New Roman" w:hAnsi="Times New Roman" w:cs="Times New Roman" w:eastAsia="Times New Roman" w:hint="default"/>
          <w:spacing w:val="-5"/>
        </w:rPr>
        <w:t>1</w:t>
      </w:r>
      <w:r>
        <w:rPr>
          <w:spacing w:val="-5"/>
        </w:rPr>
        <w:t>名独立董事，公司董事长担任召集人。报告期内，战略委员会勤勉尽责，</w:t>
      </w:r>
      <w:r>
        <w:rPr>
          <w:spacing w:val="-74"/>
        </w:rPr>
        <w:t> </w:t>
      </w:r>
      <w:r>
        <w:rPr>
          <w:spacing w:val="-74"/>
        </w:rPr>
      </w:r>
      <w:r>
        <w:rPr/>
        <w:t>对公司战略规划等事项进行了研究，并提出合理建议。</w:t>
      </w:r>
    </w:p>
    <w:p>
      <w:pPr>
        <w:pStyle w:val="BodyText"/>
        <w:spacing w:line="307" w:lineRule="auto" w:before="26"/>
        <w:ind w:right="1033"/>
        <w:jc w:val="left"/>
      </w:pPr>
      <w:r>
        <w:rPr>
          <w:rFonts w:ascii="Times New Roman" w:hAnsi="Times New Roman" w:cs="Times New Roman" w:eastAsia="Times New Roman" w:hint="default"/>
        </w:rPr>
        <w:t>2.</w:t>
      </w:r>
      <w:r>
        <w:rPr/>
        <w:t>内审委员会 </w:t>
      </w:r>
      <w:r>
        <w:rPr>
          <w:spacing w:val="-2"/>
        </w:rPr>
        <w:t>公司董事会审计委员会由</w:t>
      </w:r>
      <w:r>
        <w:rPr>
          <w:rFonts w:ascii="Times New Roman" w:hAnsi="Times New Roman" w:cs="Times New Roman" w:eastAsia="Times New Roman" w:hint="default"/>
          <w:spacing w:val="-2"/>
        </w:rPr>
        <w:t>2</w:t>
      </w:r>
      <w:r>
        <w:rPr>
          <w:spacing w:val="-2"/>
        </w:rPr>
        <w:t>名独立董事及</w:t>
      </w:r>
      <w:r>
        <w:rPr>
          <w:rFonts w:ascii="Times New Roman" w:hAnsi="Times New Roman" w:cs="Times New Roman" w:eastAsia="Times New Roman" w:hint="default"/>
          <w:spacing w:val="-2"/>
        </w:rPr>
        <w:t>1</w:t>
      </w:r>
      <w:r>
        <w:rPr>
          <w:spacing w:val="-2"/>
        </w:rPr>
        <w:t>名董事组成，其中召集人由独立董事（专业会计人员）担任。报告期内，根据中国</w:t>
      </w:r>
      <w:r>
        <w:rPr>
          <w:spacing w:val="-64"/>
        </w:rPr>
        <w:t> </w:t>
      </w:r>
      <w:r>
        <w:rPr>
          <w:spacing w:val="-64"/>
        </w:rPr>
      </w:r>
      <w:r>
        <w:rPr/>
        <w:t>证监会、深圳证券交易所及公司《董事会审计委员会议事规则》的规定，公司董事会审计委员会勤勉尽责，认真履行职责，</w:t>
      </w:r>
      <w:r>
        <w:rPr>
          <w:spacing w:val="-85"/>
        </w:rPr>
        <w:t> </w:t>
      </w:r>
      <w:r>
        <w:rPr>
          <w:spacing w:val="-85"/>
        </w:rPr>
      </w:r>
      <w:r>
        <w:rPr/>
        <w:t>主要开展了如下工作：</w:t>
      </w:r>
    </w:p>
    <w:p>
      <w:pPr>
        <w:pStyle w:val="BodyText"/>
        <w:spacing w:line="240" w:lineRule="auto" w:before="26"/>
        <w:ind w:left="154" w:right="1033"/>
        <w:jc w:val="left"/>
      </w:pPr>
      <w:r>
        <w:rPr/>
        <w:t>（</w:t>
      </w:r>
      <w:r>
        <w:rPr>
          <w:rFonts w:ascii="Times New Roman" w:hAnsi="Times New Roman" w:cs="Times New Roman" w:eastAsia="Times New Roman" w:hint="default"/>
        </w:rPr>
        <w:t>1</w:t>
      </w:r>
      <w:r>
        <w:rPr/>
        <w:t>）指导和监督内部审计制度的执行；</w:t>
      </w:r>
    </w:p>
    <w:p>
      <w:pPr>
        <w:pStyle w:val="BodyText"/>
        <w:spacing w:line="240" w:lineRule="auto" w:before="63"/>
        <w:ind w:left="154" w:right="1033"/>
        <w:jc w:val="left"/>
      </w:pPr>
      <w:r>
        <w:rPr/>
        <w:t>（</w:t>
      </w:r>
      <w:r>
        <w:rPr>
          <w:rFonts w:ascii="Times New Roman" w:hAnsi="Times New Roman" w:cs="Times New Roman" w:eastAsia="Times New Roman" w:hint="default"/>
        </w:rPr>
        <w:t>2</w:t>
      </w:r>
      <w:r>
        <w:rPr/>
        <w:t>）审计委员会与年审会计师积极沟通，并对年审会计师的服务内容提出具体要求；</w:t>
      </w:r>
    </w:p>
    <w:p>
      <w:pPr>
        <w:pStyle w:val="BodyText"/>
        <w:spacing w:line="240" w:lineRule="auto" w:before="63"/>
        <w:ind w:right="1033"/>
        <w:jc w:val="left"/>
      </w:pPr>
      <w:r>
        <w:rPr/>
        <w:t>（</w:t>
      </w:r>
      <w:r>
        <w:rPr>
          <w:rFonts w:ascii="Times New Roman" w:hAnsi="Times New Roman" w:cs="Times New Roman" w:eastAsia="Times New Roman" w:hint="default"/>
        </w:rPr>
        <w:t>3</w:t>
      </w:r>
      <w:r>
        <w:rPr/>
        <w:t>）对内审部的工作进行指导，并提出具体建议；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t>（</w:t>
      </w:r>
      <w:r>
        <w:rPr>
          <w:rFonts w:ascii="Times New Roman" w:hAnsi="Times New Roman" w:cs="Times New Roman" w:eastAsia="Times New Roman" w:hint="default"/>
        </w:rPr>
        <w:t>4</w:t>
      </w:r>
      <w:r>
        <w:rPr/>
        <w:t>）内审部按季向审计委员会提交工作计划、工作总结和审计报告，审计委员会认真审核内审部的各项工作计划和审计报</w:t>
      </w:r>
      <w:r>
        <w:rPr>
          <w:spacing w:val="-83"/>
        </w:rPr>
        <w:t> </w:t>
      </w:r>
      <w:r>
        <w:rPr>
          <w:spacing w:val="-83"/>
        </w:rPr>
      </w:r>
      <w:r>
        <w:rPr/>
        <w:t>告，及时提出反馈意见，并向董事会报告。</w:t>
      </w:r>
    </w:p>
    <w:p>
      <w:pPr>
        <w:pStyle w:val="BodyText"/>
        <w:spacing w:line="300" w:lineRule="auto" w:before="31"/>
        <w:ind w:left="154" w:right="1122"/>
        <w:jc w:val="left"/>
      </w:pPr>
      <w:r>
        <w:rPr>
          <w:rFonts w:ascii="Times New Roman" w:hAnsi="Times New Roman" w:cs="Times New Roman" w:eastAsia="Times New Roman" w:hint="default"/>
        </w:rPr>
        <w:t>3.</w:t>
      </w:r>
      <w:r>
        <w:rPr/>
        <w:t>薪酬与考核委员会 董事会下设薪酬与考核委员会，由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名独立董事担任召集人。董事会薪酬与考核委员</w:t>
      </w:r>
      <w:r>
        <w:rPr>
          <w:spacing w:val="-83"/>
        </w:rPr>
        <w:t> </w:t>
      </w:r>
      <w:r>
        <w:rPr>
          <w:spacing w:val="-83"/>
        </w:rPr>
      </w:r>
      <w:r>
        <w:rPr/>
        <w:t>会主要负责审核公司高管人员的薪酬政策与方案等。</w:t>
      </w:r>
    </w:p>
    <w:p>
      <w:pPr>
        <w:pStyle w:val="BodyText"/>
        <w:spacing w:line="319" w:lineRule="auto" w:before="31"/>
        <w:ind w:left="154" w:right="1122"/>
        <w:jc w:val="left"/>
      </w:pPr>
      <w:r>
        <w:rPr>
          <w:rFonts w:ascii="Times New Roman" w:hAnsi="Times New Roman" w:cs="Times New Roman" w:eastAsia="Times New Roman" w:hint="default"/>
        </w:rPr>
        <w:t>4.</w:t>
      </w:r>
      <w:r>
        <w:rPr/>
        <w:t>提名委员会 董事会下设提名委员会，由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名独立董事担任召集人。董事会提名委员会主要负责对</w:t>
      </w:r>
      <w:r>
        <w:rPr>
          <w:spacing w:val="-83"/>
        </w:rPr>
        <w:t> </w:t>
      </w:r>
      <w:r>
        <w:rPr>
          <w:spacing w:val="-83"/>
        </w:rPr>
      </w:r>
      <w:r>
        <w:rPr/>
        <w:t>公司董事、高级管理人员的人选、选择标准和程序审议并提出建议。</w:t>
      </w:r>
    </w:p>
    <w:p>
      <w:pPr>
        <w:spacing w:line="240" w:lineRule="auto" w:before="7"/>
        <w:rPr>
          <w:rFonts w:ascii="宋体" w:hAnsi="宋体" w:cs="宋体" w:eastAsia="宋体" w:hint="default"/>
          <w:sz w:val="20"/>
          <w:szCs w:val="20"/>
        </w:rPr>
      </w:pPr>
    </w:p>
    <w:p>
      <w:pPr>
        <w:pStyle w:val="Heading3"/>
        <w:spacing w:line="240" w:lineRule="auto"/>
        <w:ind w:left="154" w:right="1033"/>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监事会在报告期内的监督活动中发现公司是否存在风险</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1033"/>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公司建立了高级管理人员的选择、考评、激励与约束机制并不断完善，公司高级管理人员全部由董事会聘任，直接对董事会</w:t>
      </w:r>
      <w:r>
        <w:rPr>
          <w:spacing w:val="-66"/>
        </w:rPr>
        <w:t> </w:t>
      </w:r>
      <w:r>
        <w:rPr>
          <w:spacing w:val="-66"/>
        </w:rPr>
      </w:r>
      <w:r>
        <w:rPr/>
        <w:t>负责，承担董事会下达的经营指标，董事会下设的薪酬与考核委员会对高级管理人员进行考评。</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1033"/>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7.029999pt;margin-top:-215.068283pt;width:478.6pt;height:232.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）《二六三网络通信股份有限公司内部控制自我评</w:t>
                        </w:r>
                        <w:r>
                          <w:rPr>
                            <w:rFonts w:ascii="宋体" w:hAnsi="宋体" w:cs="宋体" w:eastAsia="宋体" w:hint="default"/>
                            <w:spacing w:val="-56"/>
                            <w:w w:val="99"/>
                            <w:sz w:val="18"/>
                            <w:szCs w:val="18"/>
                          </w:rPr>
                          <w:t> </w:t>
                        </w:r>
                        <w:r>
                          <w:rPr>
                            <w:rFonts w:ascii="宋体" w:hAnsi="宋体" w:cs="宋体" w:eastAsia="宋体" w:hint="default"/>
                            <w:spacing w:val="-56"/>
                            <w:w w:val="99"/>
                            <w:sz w:val="18"/>
                            <w:szCs w:val="18"/>
                          </w:rPr>
                        </w:r>
                        <w:r>
                          <w:rPr>
                            <w:rFonts w:ascii="宋体" w:hAnsi="宋体" w:cs="宋体" w:eastAsia="宋体" w:hint="default"/>
                            <w:sz w:val="18"/>
                            <w:szCs w:val="18"/>
                          </w:rPr>
                          <w:t>价报告》</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3"/>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、董事、监事和高级管 </w:t>
                        </w:r>
                        <w:r>
                          <w:rPr>
                            <w:rFonts w:ascii="宋体" w:hAnsi="宋体" w:cs="宋体" w:eastAsia="宋体" w:hint="default"/>
                            <w:spacing w:val="-4"/>
                            <w:sz w:val="18"/>
                            <w:szCs w:val="18"/>
                          </w:rPr>
                          <w:t>理人员舞弊；</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、对已经公告的财务报告出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现的重大差错进行错报更正；</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、注册会计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师发现当期财务报告存在重大错报，而内</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3"/>
                          <w:ind w:left="22" w:right="2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、公司缺乏民主决策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b</w:t>
                        </w:r>
                        <w:r>
                          <w:rPr>
                            <w:rFonts w:ascii="宋体" w:hAnsi="宋体" w:cs="宋体" w:eastAsia="宋体" w:hint="default"/>
                            <w:sz w:val="18"/>
                            <w:szCs w:val="18"/>
                          </w:rPr>
                          <w:t>、未依程序及授权办理，造成 重大损失的；</w:t>
                        </w:r>
                        <w:r>
                          <w:rPr>
                            <w:rFonts w:ascii="Times New Roman" w:hAnsi="Times New Roman" w:cs="Times New Roman" w:eastAsia="Times New Roman" w:hint="default"/>
                            <w:sz w:val="18"/>
                            <w:szCs w:val="18"/>
                          </w:rPr>
                          <w:t>c</w:t>
                        </w:r>
                        <w:r>
                          <w:rPr>
                            <w:rFonts w:ascii="宋体" w:hAnsi="宋体" w:cs="宋体" w:eastAsia="宋体" w:hint="default"/>
                            <w:sz w:val="18"/>
                            <w:szCs w:val="18"/>
                          </w:rPr>
                          <w:t>、媒体频现负面新闻， </w:t>
                        </w:r>
                        <w:r>
                          <w:rPr>
                            <w:rFonts w:ascii="宋体" w:hAnsi="宋体" w:cs="宋体" w:eastAsia="宋体" w:hint="default"/>
                            <w:spacing w:val="-4"/>
                            <w:sz w:val="18"/>
                            <w:szCs w:val="18"/>
                          </w:rPr>
                          <w:t>涉及面广且负面影响一直未能消除；</w:t>
                        </w:r>
                        <w:r>
                          <w:rPr>
                            <w:rFonts w:ascii="Times New Roman" w:hAnsi="Times New Roman" w:cs="Times New Roman" w:eastAsia="Times New Roman" w:hint="default"/>
                            <w:spacing w:val="-4"/>
                            <w:sz w:val="18"/>
                            <w:szCs w:val="18"/>
                          </w:rPr>
                          <w:t>d</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5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39"/>
        <w:jc w:val="right"/>
      </w:pPr>
      <w:r>
        <w:rPr/>
        <w:pict>
          <v:shape style="position:absolute;margin-left:56.459999pt;margin-top:-76.828278pt;width:479.2pt;height:384.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部控制在运行过程中未能发现该错报；</w:t>
                        </w:r>
                        <w:r>
                          <w:rPr>
                            <w:rFonts w:ascii="Times New Roman" w:hAnsi="Times New Roman" w:cs="Times New Roman" w:eastAsia="Times New Roman" w:hint="default"/>
                            <w:sz w:val="18"/>
                            <w:szCs w:val="18"/>
                          </w:rPr>
                          <w:t>d</w:t>
                        </w:r>
                        <w:r>
                          <w:rPr>
                            <w:rFonts w:ascii="宋体" w:hAnsi="宋体" w:cs="宋体" w:eastAsia="宋体" w:hint="default"/>
                            <w:sz w:val="18"/>
                            <w:szCs w:val="18"/>
                          </w:rPr>
                          <w:t>、 审计委员会以及内部审计部门对财务报告 </w:t>
                        </w:r>
                        <w:r>
                          <w:rPr>
                            <w:rFonts w:ascii="宋体" w:hAnsi="宋体" w:cs="宋体" w:eastAsia="宋体" w:hint="default"/>
                            <w:spacing w:val="-8"/>
                            <w:sz w:val="18"/>
                            <w:szCs w:val="18"/>
                          </w:rPr>
                          <w:t>内部控制监督无效。（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a</w:t>
                        </w:r>
                        <w:r>
                          <w:rPr>
                            <w:rFonts w:ascii="宋体" w:hAnsi="宋体" w:cs="宋体" w:eastAsia="宋体" w:hint="default"/>
                            <w:spacing w:val="-8"/>
                            <w:sz w:val="18"/>
                            <w:szCs w:val="18"/>
                          </w:rPr>
                          <w:t>、未</w:t>
                        </w:r>
                        <w:r>
                          <w:rPr>
                            <w:rFonts w:ascii="宋体" w:hAnsi="宋体" w:cs="宋体" w:eastAsia="宋体" w:hint="default"/>
                            <w:spacing w:val="-14"/>
                            <w:sz w:val="18"/>
                            <w:szCs w:val="18"/>
                          </w:rPr>
                          <w:t> </w:t>
                        </w:r>
                        <w:r>
                          <w:rPr>
                            <w:rFonts w:ascii="宋体" w:hAnsi="宋体" w:cs="宋体" w:eastAsia="宋体" w:hint="default"/>
                            <w:sz w:val="18"/>
                            <w:szCs w:val="18"/>
                          </w:rPr>
                          <w:t>依照公认会计准则选择和应用会计政策；</w:t>
                        </w:r>
                        <w:r>
                          <w:rPr>
                            <w:rFonts w:ascii="宋体" w:hAnsi="宋体" w:cs="宋体" w:eastAsia="宋体" w:hint="default"/>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 于非常规或特殊交易的账务处理没有建立 相应的控制机制或没有实施且没有相应的 </w:t>
                        </w:r>
                        <w:r>
                          <w:rPr>
                            <w:rFonts w:ascii="宋体" w:hAnsi="宋体" w:cs="宋体" w:eastAsia="宋体" w:hint="default"/>
                            <w:spacing w:val="-4"/>
                            <w:sz w:val="18"/>
                            <w:szCs w:val="18"/>
                          </w:rPr>
                          <w:t>补偿性控制；</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、对于期末财务报告过程的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控制存在一项或多项缺陷且不能合理保证 编制的财务报表达到真实、准确的目标。</w:t>
                        </w:r>
                      </w:p>
                      <w:p>
                        <w:pPr>
                          <w:pStyle w:val="TableParagraph"/>
                          <w:spacing w:line="302" w:lineRule="auto" w:before="24"/>
                          <w:ind w:left="23" w:right="2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）一般缺陷：重大缺陷和重要缺陷之外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4" w:lineRule="auto" w:before="10"/>
                          <w:ind w:left="4" w:right="21"/>
                          <w:jc w:val="left"/>
                          <w:rPr>
                            <w:rFonts w:ascii="宋体" w:hAnsi="宋体" w:cs="宋体" w:eastAsia="宋体" w:hint="default"/>
                            <w:sz w:val="18"/>
                            <w:szCs w:val="18"/>
                          </w:rPr>
                        </w:pPr>
                        <w:r>
                          <w:rPr>
                            <w:rFonts w:ascii="宋体" w:hAnsi="宋体" w:cs="宋体" w:eastAsia="宋体" w:hint="default"/>
                            <w:sz w:val="18"/>
                            <w:szCs w:val="18"/>
                          </w:rPr>
                          <w:t>公司重要业务缺乏制度控制或制度体 系失效；</w:t>
                        </w:r>
                        <w:r>
                          <w:rPr>
                            <w:rFonts w:ascii="Times New Roman" w:hAnsi="Times New Roman" w:cs="Times New Roman" w:eastAsia="Times New Roman" w:hint="default"/>
                            <w:sz w:val="18"/>
                            <w:szCs w:val="18"/>
                          </w:rPr>
                          <w:t>e</w:t>
                        </w:r>
                        <w:r>
                          <w:rPr>
                            <w:rFonts w:ascii="宋体" w:hAnsi="宋体" w:cs="宋体" w:eastAsia="宋体" w:hint="default"/>
                            <w:sz w:val="18"/>
                            <w:szCs w:val="18"/>
                          </w:rPr>
                          <w:t>、公司内部控制重大缺陷未 得到整改；</w:t>
                        </w:r>
                        <w:r>
                          <w:rPr>
                            <w:rFonts w:ascii="Times New Roman" w:hAnsi="Times New Roman" w:cs="Times New Roman" w:eastAsia="Times New Roman" w:hint="default"/>
                            <w:sz w:val="18"/>
                            <w:szCs w:val="18"/>
                          </w:rPr>
                          <w:t>f</w:t>
                        </w:r>
                        <w:r>
                          <w:rPr>
                            <w:rFonts w:ascii="宋体" w:hAnsi="宋体" w:cs="宋体" w:eastAsia="宋体" w:hint="default"/>
                            <w:sz w:val="18"/>
                            <w:szCs w:val="18"/>
                          </w:rPr>
                          <w:t>、严重违规受到国家级监 </w:t>
                        </w:r>
                        <w:r>
                          <w:rPr>
                            <w:rFonts w:ascii="宋体" w:hAnsi="宋体" w:cs="宋体" w:eastAsia="宋体" w:hint="default"/>
                            <w:spacing w:val="-5"/>
                            <w:sz w:val="18"/>
                            <w:szCs w:val="18"/>
                          </w:rPr>
                          <w:t>管机构处罚。（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、公司</w:t>
                        </w:r>
                        <w:r>
                          <w:rPr>
                            <w:rFonts w:ascii="宋体" w:hAnsi="宋体" w:cs="宋体" w:eastAsia="宋体" w:hint="default"/>
                            <w:sz w:val="18"/>
                            <w:szCs w:val="18"/>
                          </w:rPr>
                          <w:t> 决策程序导致出现一般失误；</w:t>
                        </w:r>
                        <w:r>
                          <w:rPr>
                            <w:rFonts w:ascii="Times New Roman" w:hAnsi="Times New Roman" w:cs="Times New Roman" w:eastAsia="Times New Roman" w:hint="default"/>
                            <w:sz w:val="18"/>
                            <w:szCs w:val="18"/>
                          </w:rPr>
                          <w:t>b</w:t>
                        </w:r>
                        <w:r>
                          <w:rPr>
                            <w:rFonts w:ascii="宋体" w:hAnsi="宋体" w:cs="宋体" w:eastAsia="宋体" w:hint="default"/>
                            <w:sz w:val="18"/>
                            <w:szCs w:val="18"/>
                          </w:rPr>
                          <w:t>、未依 </w:t>
                        </w:r>
                        <w:r>
                          <w:rPr>
                            <w:rFonts w:ascii="宋体" w:hAnsi="宋体" w:cs="宋体" w:eastAsia="宋体" w:hint="default"/>
                            <w:spacing w:val="-4"/>
                            <w:sz w:val="18"/>
                            <w:szCs w:val="18"/>
                          </w:rPr>
                          <w:t>程序及授权办理，造成较大损失的；</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33"/>
                            <w:sz w:val="18"/>
                            <w:szCs w:val="18"/>
                          </w:rPr>
                          <w:t> </w:t>
                        </w:r>
                        <w:r>
                          <w:rPr>
                            <w:rFonts w:ascii="宋体" w:hAnsi="宋体" w:cs="宋体" w:eastAsia="宋体" w:hint="default"/>
                            <w:spacing w:val="-4"/>
                            <w:sz w:val="18"/>
                            <w:szCs w:val="18"/>
                          </w:rPr>
                          <w:t>媒体出现持续时间较长的负面新闻，波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及局部区域；</w:t>
                        </w:r>
                        <w:r>
                          <w:rPr>
                            <w:rFonts w:ascii="Times New Roman" w:hAnsi="Times New Roman" w:cs="Times New Roman" w:eastAsia="Times New Roman" w:hint="default"/>
                            <w:sz w:val="18"/>
                            <w:szCs w:val="18"/>
                          </w:rPr>
                          <w:t>d</w:t>
                        </w:r>
                        <w:r>
                          <w:rPr>
                            <w:rFonts w:ascii="宋体" w:hAnsi="宋体" w:cs="宋体" w:eastAsia="宋体" w:hint="default"/>
                            <w:sz w:val="18"/>
                            <w:szCs w:val="18"/>
                          </w:rPr>
                          <w:t>、公司重要业务制度或 系统存在缺陷；</w:t>
                        </w:r>
                        <w:r>
                          <w:rPr>
                            <w:rFonts w:ascii="Times New Roman" w:hAnsi="Times New Roman" w:cs="Times New Roman" w:eastAsia="Times New Roman" w:hint="default"/>
                            <w:sz w:val="18"/>
                            <w:szCs w:val="18"/>
                          </w:rPr>
                          <w:t>e</w:t>
                        </w:r>
                        <w:r>
                          <w:rPr>
                            <w:rFonts w:ascii="宋体" w:hAnsi="宋体" w:cs="宋体" w:eastAsia="宋体" w:hint="default"/>
                            <w:sz w:val="18"/>
                            <w:szCs w:val="18"/>
                          </w:rPr>
                          <w:t>、重要管理台账未建 </w:t>
                        </w:r>
                        <w:r>
                          <w:rPr>
                            <w:rFonts w:ascii="宋体" w:hAnsi="宋体" w:cs="宋体" w:eastAsia="宋体" w:hint="default"/>
                            <w:spacing w:val="-10"/>
                            <w:sz w:val="18"/>
                            <w:szCs w:val="18"/>
                          </w:rPr>
                          <w:t>立，重要资料未有效归档备查。（</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w:t>
                        </w:r>
                        <w:r>
                          <w:rPr>
                            <w:rFonts w:ascii="宋体" w:hAnsi="宋体" w:cs="宋体" w:eastAsia="宋体" w:hint="default"/>
                            <w:spacing w:val="-88"/>
                            <w:sz w:val="18"/>
                            <w:szCs w:val="18"/>
                          </w:rPr>
                          <w:t> </w:t>
                        </w:r>
                        <w:r>
                          <w:rPr>
                            <w:rFonts w:ascii="宋体" w:hAnsi="宋体" w:cs="宋体" w:eastAsia="宋体" w:hint="default"/>
                            <w:spacing w:val="-4"/>
                            <w:sz w:val="18"/>
                            <w:szCs w:val="18"/>
                          </w:rPr>
                          <w:t>般缺陷：除重大缺陷和重要缺陷之外的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利润表潜在错报：重大缺陷大于等于营业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；重要缺陷大于等于营业收入的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；一般缺陷小于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。资产负债表潜在错报：重</w:t>
                        </w:r>
                        <w:r>
                          <w:rPr>
                            <w:rFonts w:ascii="宋体" w:hAnsi="宋体" w:cs="宋体" w:eastAsia="宋体" w:hint="default"/>
                            <w:sz w:val="18"/>
                            <w:szCs w:val="18"/>
                          </w:rPr>
                          <w:t> 大缺陷大于等于资产总额的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；重要缺陷</w:t>
                        </w:r>
                        <w:r>
                          <w:rPr>
                            <w:rFonts w:ascii="宋体" w:hAnsi="宋体" w:cs="宋体" w:eastAsia="宋体" w:hint="default"/>
                            <w:sz w:val="18"/>
                            <w:szCs w:val="18"/>
                          </w:rPr>
                          <w:t> 大于等于资产总额的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，小于资产总额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7" w:lineRule="auto"/>
                          <w:ind w:left="11"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利润表潜在错报：重大缺陷大于等于营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；重要缺陷大于等于营业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 般缺陷小于营业收入的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before="26"/>
        <w:ind w:left="154" w:right="1033"/>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第十节财务报告" w:id="148"/>
      <w:bookmarkEnd w:id="148"/>
      <w:r>
        <w:rPr>
          <w:b w:val="0"/>
          <w:bCs w:val="0"/>
        </w:rPr>
      </w:r>
      <w:bookmarkStart w:name="_bookmark9" w:id="149"/>
      <w:bookmarkEnd w:id="149"/>
      <w:r>
        <w:rPr>
          <w:b w:val="0"/>
          <w:bCs w:val="0"/>
        </w:rPr>
      </w:r>
      <w:r>
        <w:rPr/>
        <w:t>第十节财务报告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33"/>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[2016]002690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王书阁邓军</w:t>
            </w:r>
          </w:p>
        </w:tc>
      </w:tr>
    </w:tbl>
    <w:p>
      <w:pPr>
        <w:pStyle w:val="BodyText"/>
        <w:spacing w:line="240" w:lineRule="auto" w:before="51"/>
        <w:ind w:left="135" w:right="1111"/>
        <w:jc w:val="center"/>
      </w:pPr>
      <w:r>
        <w:rPr/>
        <w:t>审计报告正文</w:t>
      </w:r>
    </w:p>
    <w:p>
      <w:pPr>
        <w:spacing w:before="157"/>
        <w:ind w:left="135" w:right="1114" w:firstLine="0"/>
        <w:jc w:val="center"/>
        <w:rPr>
          <w:rFonts w:ascii="宋体" w:hAnsi="宋体" w:cs="宋体" w:eastAsia="宋体" w:hint="default"/>
          <w:sz w:val="32"/>
          <w:szCs w:val="32"/>
        </w:rPr>
      </w:pPr>
      <w:r>
        <w:rPr>
          <w:rFonts w:ascii="宋体" w:hAnsi="宋体" w:cs="宋体" w:eastAsia="宋体" w:hint="default"/>
          <w:b/>
          <w:bCs/>
          <w:color w:val="0D0D0D"/>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6"/>
        <w:spacing w:line="240" w:lineRule="auto"/>
        <w:ind w:left="0" w:right="1132"/>
        <w:jc w:val="right"/>
        <w:rPr>
          <w:b w:val="0"/>
          <w:bCs w:val="0"/>
        </w:rPr>
      </w:pPr>
      <w:r>
        <w:rPr>
          <w:color w:val="0D0D0D"/>
          <w:w w:val="95"/>
        </w:rPr>
        <w:t>大华审字</w:t>
      </w:r>
      <w:r>
        <w:rPr>
          <w:rFonts w:ascii="Times New Roman" w:hAnsi="Times New Roman" w:cs="Times New Roman" w:eastAsia="Times New Roman" w:hint="default"/>
          <w:color w:val="0D0D0D"/>
          <w:w w:val="95"/>
        </w:rPr>
        <w:t>[2016]002690</w:t>
      </w:r>
      <w:r>
        <w:rPr>
          <w:color w:val="0D0D0D"/>
          <w:w w:val="95"/>
        </w:rPr>
        <w:t>号</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2"/>
        <w:spacing w:line="240" w:lineRule="auto" w:before="13"/>
        <w:ind w:right="1033"/>
        <w:jc w:val="left"/>
        <w:rPr>
          <w:b w:val="0"/>
          <w:bCs w:val="0"/>
        </w:rPr>
      </w:pPr>
      <w:r>
        <w:rPr>
          <w:color w:val="0D0D0D"/>
        </w:rPr>
        <w:t>二六三网络通信股份有限公司全体股东：</w:t>
      </w:r>
      <w:r>
        <w:rPr>
          <w:b w:val="0"/>
          <w:bCs w:val="0"/>
        </w:rPr>
      </w:r>
    </w:p>
    <w:p>
      <w:pPr>
        <w:pStyle w:val="BodyText"/>
        <w:spacing w:line="300" w:lineRule="auto" w:before="222"/>
        <w:ind w:right="1130" w:firstLine="560"/>
        <w:jc w:val="both"/>
      </w:pPr>
      <w:r>
        <w:rPr>
          <w:color w:val="0D0D0D"/>
          <w:spacing w:val="-1"/>
        </w:rPr>
        <w:t>我们审计了后附的二六三网络通信股份有限公司</w:t>
      </w:r>
      <w:r>
        <w:rPr>
          <w:rFonts w:ascii="Times New Roman" w:hAnsi="Times New Roman" w:cs="Times New Roman" w:eastAsia="Times New Roman" w:hint="default"/>
          <w:color w:val="0D0D0D"/>
          <w:spacing w:val="-1"/>
        </w:rPr>
        <w:t>(</w:t>
      </w:r>
      <w:r>
        <w:rPr>
          <w:color w:val="0D0D0D"/>
          <w:spacing w:val="-1"/>
        </w:rPr>
        <w:t>以下简称二六三公司</w:t>
      </w:r>
      <w:r>
        <w:rPr>
          <w:rFonts w:ascii="Times New Roman" w:hAnsi="Times New Roman" w:cs="Times New Roman" w:eastAsia="Times New Roman" w:hint="default"/>
          <w:color w:val="0D0D0D"/>
          <w:spacing w:val="-1"/>
        </w:rPr>
        <w:t>)</w:t>
      </w:r>
      <w:r>
        <w:rPr>
          <w:color w:val="0D0D0D"/>
          <w:spacing w:val="-1"/>
        </w:rPr>
        <w:t>财务报表，包括</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31</w:t>
      </w:r>
      <w:r>
        <w:rPr>
          <w:color w:val="0D0D0D"/>
          <w:spacing w:val="-1"/>
        </w:rPr>
        <w:t>日的合并及母公</w:t>
      </w:r>
      <w:r>
        <w:rPr>
          <w:color w:val="0D0D0D"/>
        </w:rPr>
        <w:t> </w:t>
      </w:r>
      <w:r>
        <w:rPr>
          <w:color w:val="0D0D0D"/>
          <w:spacing w:val="-2"/>
        </w:rPr>
        <w:t>司资产负债表，</w:t>
      </w:r>
      <w:r>
        <w:rPr>
          <w:rFonts w:ascii="Times New Roman" w:hAnsi="Times New Roman" w:cs="Times New Roman" w:eastAsia="Times New Roman" w:hint="default"/>
          <w:color w:val="0D0D0D"/>
          <w:spacing w:val="-2"/>
        </w:rPr>
        <w:t>2015</w:t>
      </w:r>
      <w:r>
        <w:rPr>
          <w:color w:val="0D0D0D"/>
          <w:spacing w:val="-2"/>
        </w:rPr>
        <w:t>年度的合并及母公司利润表、合并及母公司现金流量表、合并及母公司股东权益变动表，以及财务报表</w:t>
      </w:r>
      <w:r>
        <w:rPr>
          <w:color w:val="0D0D0D"/>
          <w:spacing w:val="-61"/>
        </w:rPr>
        <w:t> </w:t>
      </w:r>
      <w:r>
        <w:rPr>
          <w:color w:val="0D0D0D"/>
          <w:spacing w:val="-61"/>
        </w:rPr>
      </w:r>
      <w:r>
        <w:rPr>
          <w:color w:val="0D0D0D"/>
        </w:rPr>
        <w:t>附注。</w:t>
      </w:r>
      <w:r>
        <w:rPr/>
      </w:r>
    </w:p>
    <w:p>
      <w:pPr>
        <w:spacing w:line="357" w:lineRule="auto" w:before="71"/>
        <w:ind w:left="714" w:right="1130" w:firstLine="1"/>
        <w:jc w:val="left"/>
        <w:rPr>
          <w:rFonts w:ascii="宋体" w:hAnsi="宋体" w:cs="宋体" w:eastAsia="宋体" w:hint="default"/>
          <w:sz w:val="18"/>
          <w:szCs w:val="18"/>
        </w:rPr>
      </w:pPr>
      <w:r>
        <w:rPr>
          <w:rFonts w:ascii="宋体" w:hAnsi="宋体" w:cs="宋体" w:eastAsia="宋体" w:hint="default"/>
          <w:b/>
          <w:bCs/>
          <w:color w:val="0D0D0D"/>
          <w:sz w:val="18"/>
          <w:szCs w:val="18"/>
        </w:rPr>
        <w:t>一、管理层对财务报表的责任</w:t>
      </w:r>
      <w:r>
        <w:rPr>
          <w:rFonts w:ascii="宋体" w:hAnsi="宋体" w:cs="宋体" w:eastAsia="宋体" w:hint="default"/>
          <w:b/>
          <w:bCs/>
          <w:color w:val="0D0D0D"/>
          <w:w w:val="99"/>
          <w:sz w:val="18"/>
          <w:szCs w:val="18"/>
        </w:rPr>
        <w:t> </w:t>
      </w:r>
      <w:r>
        <w:rPr>
          <w:rFonts w:ascii="宋体" w:hAnsi="宋体" w:cs="宋体" w:eastAsia="宋体" w:hint="default"/>
          <w:color w:val="0D0D0D"/>
          <w:spacing w:val="-4"/>
          <w:sz w:val="18"/>
          <w:szCs w:val="18"/>
        </w:rPr>
        <w:t>编制和公允列报财务报表是二六三公司管理层的责任，这种责任包括：（</w:t>
      </w:r>
      <w:r>
        <w:rPr>
          <w:rFonts w:ascii="Times New Roman" w:hAnsi="Times New Roman" w:cs="Times New Roman" w:eastAsia="Times New Roman" w:hint="default"/>
          <w:color w:val="0D0D0D"/>
          <w:spacing w:val="-4"/>
          <w:sz w:val="18"/>
          <w:szCs w:val="18"/>
        </w:rPr>
        <w:t>1</w:t>
      </w:r>
      <w:r>
        <w:rPr>
          <w:rFonts w:ascii="宋体" w:hAnsi="宋体" w:cs="宋体" w:eastAsia="宋体" w:hint="default"/>
          <w:color w:val="0D0D0D"/>
          <w:spacing w:val="-4"/>
          <w:sz w:val="18"/>
          <w:szCs w:val="18"/>
        </w:rPr>
        <w:t>）按照企业会计准则的规定编制财务报表，</w:t>
      </w:r>
      <w:r>
        <w:rPr>
          <w:rFonts w:ascii="宋体" w:hAnsi="宋体" w:cs="宋体" w:eastAsia="宋体" w:hint="default"/>
          <w:spacing w:val="-4"/>
          <w:sz w:val="18"/>
          <w:szCs w:val="18"/>
        </w:rPr>
      </w:r>
    </w:p>
    <w:p>
      <w:pPr>
        <w:pStyle w:val="BodyText"/>
        <w:spacing w:line="216" w:lineRule="exact"/>
        <w:ind w:right="1033"/>
        <w:jc w:val="left"/>
      </w:pPr>
      <w:r>
        <w:rPr>
          <w:color w:val="0D0D0D"/>
        </w:rPr>
        <w:t>并使其实现公允反映；（</w:t>
      </w:r>
      <w:r>
        <w:rPr>
          <w:rFonts w:ascii="Times New Roman" w:hAnsi="Times New Roman" w:cs="Times New Roman" w:eastAsia="Times New Roman" w:hint="default"/>
          <w:color w:val="0D0D0D"/>
        </w:rPr>
        <w:t>2</w:t>
      </w:r>
      <w:r>
        <w:rPr>
          <w:color w:val="0D0D0D"/>
        </w:rPr>
        <w:t>）设计、执行和维护必要的内部控制，以使财务报表不存在由于舞弊或错误导致的重大错报。</w:t>
      </w:r>
      <w:r>
        <w:rPr/>
      </w:r>
    </w:p>
    <w:p>
      <w:pPr>
        <w:pStyle w:val="BodyText"/>
        <w:spacing w:line="357" w:lineRule="auto" w:before="102"/>
        <w:ind w:left="714" w:right="1192" w:firstLine="1"/>
        <w:jc w:val="left"/>
      </w:pPr>
      <w:r>
        <w:rPr>
          <w:rFonts w:ascii="宋体" w:hAnsi="宋体" w:cs="宋体" w:eastAsia="宋体" w:hint="default"/>
          <w:b/>
          <w:bCs/>
          <w:color w:val="0D0D0D"/>
        </w:rPr>
        <w:t>二、注册会计师的责任</w:t>
      </w:r>
      <w:r>
        <w:rPr>
          <w:rFonts w:ascii="宋体" w:hAnsi="宋体" w:cs="宋体" w:eastAsia="宋体" w:hint="default"/>
          <w:b/>
          <w:bCs/>
          <w:color w:val="0D0D0D"/>
          <w:w w:val="99"/>
        </w:rPr>
        <w:t> </w:t>
      </w:r>
      <w:r>
        <w:rPr>
          <w:color w:val="0D0D0D"/>
        </w:rPr>
        <w:t>我们的责任是在执行审计工作的基础上对财务报表发表审计意见。我们按照中国注册会计师审计准则的规定执行了</w:t>
      </w:r>
      <w:r>
        <w:rPr/>
      </w:r>
    </w:p>
    <w:p>
      <w:pPr>
        <w:pStyle w:val="BodyText"/>
        <w:spacing w:line="224" w:lineRule="exact"/>
        <w:ind w:left="154" w:right="0"/>
        <w:jc w:val="left"/>
      </w:pPr>
      <w:r>
        <w:rPr>
          <w:color w:val="0D0D0D"/>
        </w:rPr>
        <w:t>审计工作。中国注册会计师审计准则要求我们遵守职业道德守则，计划和执行审计工作以对财务报表是否不存在重大错报获</w:t>
      </w:r>
      <w:r>
        <w:rPr/>
      </w:r>
    </w:p>
    <w:p>
      <w:pPr>
        <w:pStyle w:val="BodyText"/>
        <w:spacing w:line="240" w:lineRule="auto" w:before="77"/>
        <w:ind w:left="154" w:right="1033"/>
        <w:jc w:val="left"/>
      </w:pPr>
      <w:r>
        <w:rPr>
          <w:color w:val="0D0D0D"/>
        </w:rPr>
        <w:t>取合理保证。</w:t>
      </w:r>
      <w:r>
        <w:rPr/>
      </w:r>
    </w:p>
    <w:p>
      <w:pPr>
        <w:pStyle w:val="BodyText"/>
        <w:spacing w:line="319" w:lineRule="auto" w:before="116"/>
        <w:ind w:left="154" w:right="1033" w:firstLine="560"/>
        <w:jc w:val="left"/>
      </w:pPr>
      <w:r>
        <w:rPr>
          <w:color w:val="0D0D0D"/>
        </w:rPr>
        <w:t>审计工作涉及实施审计程序，以获取有关财务报表金额和披露的审计证据。选择的审计程序取决于注册会计师的判 </w:t>
      </w:r>
      <w:r>
        <w:rPr>
          <w:color w:val="0D0D0D"/>
          <w:spacing w:val="-2"/>
        </w:rPr>
        <w:t>断，包括对由于舞弊或错误导致的财务报表重大错报风险的评估。在进行风险评估时，注册会计师考虑与财务报表编制和公</w:t>
      </w:r>
      <w:r>
        <w:rPr>
          <w:color w:val="0D0D0D"/>
          <w:spacing w:val="-65"/>
        </w:rPr>
        <w:t> </w:t>
      </w:r>
      <w:r>
        <w:rPr>
          <w:color w:val="0D0D0D"/>
          <w:spacing w:val="-65"/>
        </w:rPr>
      </w:r>
      <w:r>
        <w:rPr>
          <w:color w:val="0D0D0D"/>
          <w:spacing w:val="-2"/>
        </w:rPr>
        <w:t>允列报相关的内部控制，以设计恰当的审计程序。审计工作还包括评价管理层选用会计政策的恰当性和作出会计估计的合理</w:t>
      </w:r>
      <w:r>
        <w:rPr>
          <w:color w:val="0D0D0D"/>
          <w:spacing w:val="-64"/>
        </w:rPr>
        <w:t> </w:t>
      </w:r>
      <w:r>
        <w:rPr>
          <w:color w:val="0D0D0D"/>
          <w:spacing w:val="-64"/>
        </w:rPr>
      </w:r>
      <w:r>
        <w:rPr>
          <w:color w:val="0D0D0D"/>
        </w:rPr>
        <w:t>性，以及评价财务报表的总体列报。</w:t>
      </w:r>
      <w:r>
        <w:rPr/>
      </w:r>
    </w:p>
    <w:p>
      <w:pPr>
        <w:pStyle w:val="BodyText"/>
        <w:spacing w:line="357" w:lineRule="auto" w:before="56"/>
        <w:ind w:left="716" w:right="3892" w:hanging="2"/>
        <w:jc w:val="left"/>
        <w:rPr>
          <w:rFonts w:ascii="宋体" w:hAnsi="宋体" w:cs="宋体" w:eastAsia="宋体" w:hint="default"/>
        </w:rPr>
      </w:pPr>
      <w:r>
        <w:rPr>
          <w:color w:val="0D0D0D"/>
        </w:rPr>
        <w:t>我们相信，我们获取的审计证据是充分、适当的，为发表审计意见提供了基础。 </w:t>
      </w:r>
      <w:r>
        <w:rPr>
          <w:rFonts w:ascii="宋体" w:hAnsi="宋体" w:cs="宋体" w:eastAsia="宋体" w:hint="default"/>
          <w:b/>
          <w:bCs/>
          <w:color w:val="0D0D0D"/>
        </w:rPr>
        <w:t>三、审计意见</w:t>
      </w:r>
      <w:r>
        <w:rPr>
          <w:rFonts w:ascii="宋体" w:hAnsi="宋体" w:cs="宋体" w:eastAsia="宋体" w:hint="default"/>
        </w:rPr>
      </w:r>
    </w:p>
    <w:p>
      <w:pPr>
        <w:pStyle w:val="BodyText"/>
        <w:spacing w:line="302" w:lineRule="auto" w:before="27"/>
        <w:ind w:right="1193" w:firstLine="560"/>
        <w:jc w:val="left"/>
      </w:pPr>
      <w:r>
        <w:rPr>
          <w:color w:val="0D0D0D"/>
        </w:rPr>
        <w:t>我们认为，二六三公司的财务报表在所有重大方面按照企业会计准则的规定编制，公允反映了二六三公司</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 </w:t>
      </w:r>
      <w:r>
        <w:rPr>
          <w:color w:val="0D0D0D"/>
        </w:rPr>
        <w:t>月</w:t>
      </w:r>
      <w:r>
        <w:rPr>
          <w:rFonts w:ascii="Times New Roman" w:hAnsi="Times New Roman" w:cs="Times New Roman" w:eastAsia="Times New Roman" w:hint="default"/>
          <w:color w:val="0D0D0D"/>
        </w:rPr>
        <w:t>31</w:t>
      </w:r>
      <w:r>
        <w:rPr>
          <w:color w:val="0D0D0D"/>
        </w:rPr>
        <w:t>日的合并及母公司财务状况以及</w:t>
      </w:r>
      <w:r>
        <w:rPr>
          <w:rFonts w:ascii="Times New Roman" w:hAnsi="Times New Roman" w:cs="Times New Roman" w:eastAsia="Times New Roman" w:hint="default"/>
          <w:color w:val="0D0D0D"/>
        </w:rPr>
        <w:t>2015</w:t>
      </w:r>
      <w:r>
        <w:rPr>
          <w:color w:val="0D0D0D"/>
        </w:rPr>
        <w:t>年度的合并及母公司经营成果和现金流量。</w:t>
      </w:r>
      <w:r>
        <w:rPr/>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065" w:type="dxa"/>
        <w:tblLayout w:type="fixed"/>
        <w:tblCellMar>
          <w:top w:w="0" w:type="dxa"/>
          <w:left w:w="0" w:type="dxa"/>
          <w:bottom w:w="0" w:type="dxa"/>
          <w:right w:w="0" w:type="dxa"/>
        </w:tblCellMar>
        <w:tblLook w:val="01E0"/>
      </w:tblPr>
      <w:tblGrid>
        <w:gridCol w:w="4454"/>
        <w:gridCol w:w="3794"/>
      </w:tblGrid>
      <w:tr>
        <w:trPr>
          <w:trHeight w:val="417"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194" w:lineRule="exact"/>
              <w:ind w:right="1411"/>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大华会计师事务所</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特殊普通合伙</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3794"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color w:val="0D0D0D"/>
                <w:sz w:val="18"/>
                <w:szCs w:val="18"/>
              </w:rPr>
              <w:t>中国注册会计师：王书阁</w:t>
            </w:r>
            <w:r>
              <w:rPr>
                <w:rFonts w:ascii="宋体" w:hAnsi="宋体" w:cs="宋体" w:eastAsia="宋体" w:hint="default"/>
                <w:sz w:val="18"/>
                <w:szCs w:val="18"/>
              </w:rPr>
            </w:r>
          </w:p>
        </w:tc>
      </w:tr>
      <w:tr>
        <w:trPr>
          <w:trHeight w:val="1043"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11"/>
              <w:jc w:val="center"/>
              <w:rPr>
                <w:rFonts w:ascii="宋体" w:hAnsi="宋体" w:cs="宋体" w:eastAsia="宋体" w:hint="default"/>
                <w:sz w:val="18"/>
                <w:szCs w:val="18"/>
              </w:rPr>
            </w:pPr>
            <w:r>
              <w:rPr>
                <w:rFonts w:ascii="宋体" w:hAnsi="宋体" w:cs="宋体" w:eastAsia="宋体" w:hint="default"/>
                <w:color w:val="0D0D0D"/>
                <w:sz w:val="18"/>
                <w:szCs w:val="18"/>
              </w:rPr>
              <w:t>中国</w:t>
            </w:r>
            <w:r>
              <w:rPr>
                <w:rFonts w:ascii="Times New Roman" w:hAnsi="Times New Roman" w:cs="Times New Roman" w:eastAsia="Times New Roman" w:hint="default"/>
                <w:b/>
                <w:bCs/>
                <w:color w:val="0D0D0D"/>
                <w:sz w:val="18"/>
                <w:szCs w:val="18"/>
              </w:rPr>
              <w:t>·</w:t>
            </w: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3794" w:type="dxa"/>
            <w:tcBorders>
              <w:top w:val="nil" w:sz="6" w:space="0" w:color="auto"/>
              <w:left w:val="nil" w:sz="6" w:space="0" w:color="auto"/>
              <w:bottom w:val="nil" w:sz="6" w:space="0" w:color="auto"/>
              <w:right w:val="nil" w:sz="6" w:space="0" w:color="auto"/>
            </w:tcBorders>
          </w:tcPr>
          <w:p>
            <w:pPr/>
          </w:p>
        </w:tc>
      </w:tr>
      <w:tr>
        <w:trPr>
          <w:trHeight w:val="1462" w:hRule="exact"/>
        </w:trPr>
        <w:tc>
          <w:tcPr>
            <w:tcW w:w="4454" w:type="dxa"/>
            <w:tcBorders>
              <w:top w:val="nil" w:sz="6" w:space="0" w:color="auto"/>
              <w:left w:val="nil" w:sz="6" w:space="0" w:color="auto"/>
              <w:bottom w:val="nil" w:sz="6" w:space="0" w:color="auto"/>
              <w:right w:val="nil" w:sz="6" w:space="0" w:color="auto"/>
            </w:tcBorders>
          </w:tcPr>
          <w:p>
            <w:pPr/>
          </w:p>
        </w:tc>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color w:val="0D0D0D"/>
                <w:sz w:val="18"/>
                <w:szCs w:val="18"/>
              </w:rPr>
              <w:t>中国注册会计师：邓军</w:t>
            </w:r>
            <w:r>
              <w:rPr>
                <w:rFonts w:ascii="宋体" w:hAnsi="宋体" w:cs="宋体" w:eastAsia="宋体" w:hint="default"/>
                <w:sz w:val="18"/>
                <w:szCs w:val="18"/>
              </w:rPr>
            </w:r>
          </w:p>
        </w:tc>
      </w:tr>
      <w:tr>
        <w:trPr>
          <w:trHeight w:val="836" w:hRule="exact"/>
        </w:trPr>
        <w:tc>
          <w:tcPr>
            <w:tcW w:w="4454" w:type="dxa"/>
            <w:tcBorders>
              <w:top w:val="nil" w:sz="6" w:space="0" w:color="auto"/>
              <w:left w:val="nil" w:sz="6" w:space="0" w:color="auto"/>
              <w:bottom w:val="nil" w:sz="6" w:space="0" w:color="auto"/>
              <w:right w:val="nil" w:sz="6" w:space="0" w:color="auto"/>
            </w:tcBorders>
          </w:tcPr>
          <w:p>
            <w:pPr/>
          </w:p>
        </w:tc>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8"/>
              <w:jc w:val="right"/>
              <w:rPr>
                <w:rFonts w:ascii="宋体" w:hAnsi="宋体" w:cs="宋体" w:eastAsia="宋体" w:hint="default"/>
                <w:sz w:val="18"/>
                <w:szCs w:val="18"/>
              </w:rPr>
            </w:pPr>
            <w:r>
              <w:rPr>
                <w:rFonts w:ascii="宋体" w:hAnsi="宋体" w:cs="宋体" w:eastAsia="宋体" w:hint="default"/>
                <w:color w:val="0D0D0D"/>
                <w:sz w:val="18"/>
                <w:szCs w:val="18"/>
              </w:rPr>
              <w:t>二〇一六年三月二十九日</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left="154" w:right="1033"/>
        <w:jc w:val="left"/>
        <w:rPr>
          <w:b w:val="0"/>
          <w:bCs w:val="0"/>
        </w:rPr>
      </w:pPr>
      <w:bookmarkStart w:name="二、财务报表" w:id="151"/>
      <w:bookmarkEnd w:id="151"/>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t>编制单位：二六三网络通信股份有限公司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961,055,363.66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510,293,386.15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65,360,942.25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48,448,631.14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57,162,729.55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35,275,576.90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1,189,315.07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13,521,017.21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14,913,314.96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7,482,633.44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4,838,269.75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212,862,982.87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1,317,914,099.67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650,494,123.92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50,553,808.93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35,230,169.26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34,681,810.41</w:t>
            </w:r>
          </w:p>
        </w:tc>
      </w:tr>
      <w:tr>
        <w:trPr>
          <w:trHeight w:val="340"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39,754,915.32</w:t>
            </w:r>
          </w:p>
        </w:tc>
        <w:tc>
          <w:tcPr>
            <w:tcW w:w="3300" w:type="dxa"/>
            <w:vMerge w:val="restart"/>
            <w:tcBorders>
              <w:top w:val="single" w:sz="4" w:space="0" w:color="000000"/>
              <w:left w:val="single" w:sz="4" w:space="0" w:color="000000"/>
              <w:right w:val="single" w:sz="4" w:space="0" w:color="000000"/>
            </w:tcBorders>
          </w:tcPr>
          <w:p>
            <w:pPr/>
          </w:p>
        </w:tc>
      </w:tr>
      <w:tr>
        <w:trPr>
          <w:trHeight w:val="392" w:hRule="exact"/>
        </w:trPr>
        <w:tc>
          <w:tcPr>
            <w:tcW w:w="2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vMerge/>
            <w:tcBorders>
              <w:left w:val="single" w:sz="9"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38"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2" w:type="dxa"/>
            <w:vMerge/>
            <w:tcBorders>
              <w:left w:val="single" w:sz="9"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96,445,803.20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90,708,327.41</w:t>
            </w:r>
          </w:p>
        </w:tc>
      </w:tr>
      <w:tr>
        <w:trPr>
          <w:trHeight w:val="340"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33,172.63</w:t>
            </w:r>
          </w:p>
        </w:tc>
        <w:tc>
          <w:tcPr>
            <w:tcW w:w="3300" w:type="dxa"/>
            <w:vMerge w:val="restart"/>
            <w:tcBorders>
              <w:top w:val="single" w:sz="4" w:space="0" w:color="000000"/>
              <w:left w:val="single" w:sz="4" w:space="0" w:color="000000"/>
              <w:right w:val="single" w:sz="4" w:space="0" w:color="000000"/>
            </w:tcBorders>
          </w:tcPr>
          <w:p>
            <w:pPr/>
          </w:p>
        </w:tc>
      </w:tr>
      <w:tr>
        <w:trPr>
          <w:trHeight w:val="392" w:hRule="exact"/>
        </w:trPr>
        <w:tc>
          <w:tcPr>
            <w:tcW w:w="2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vMerge/>
            <w:tcBorders>
              <w:left w:val="single" w:sz="9"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40"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2" w:type="dxa"/>
            <w:vMerge/>
            <w:tcBorders>
              <w:left w:val="single" w:sz="9"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32,223,863.98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10,804,040.89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11,779,827.42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866,971,483.75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767,767,997.51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70,861,935.23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63,696,023.33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6,671,481.07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5,057,791.45</w:t>
            </w:r>
          </w:p>
        </w:tc>
      </w:tr>
      <w:tr>
        <w:trPr>
          <w:trHeight w:val="340"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226,187.36</w:t>
            </w:r>
          </w:p>
        </w:tc>
        <w:tc>
          <w:tcPr>
            <w:tcW w:w="3300" w:type="dxa"/>
            <w:vMerge w:val="restart"/>
            <w:tcBorders>
              <w:top w:val="single" w:sz="4" w:space="0" w:color="000000"/>
              <w:left w:val="single" w:sz="4" w:space="0" w:color="000000"/>
              <w:right w:val="single" w:sz="4" w:space="0" w:color="000000"/>
            </w:tcBorders>
          </w:tcPr>
          <w:p>
            <w:pPr/>
          </w:p>
        </w:tc>
      </w:tr>
      <w:tr>
        <w:trPr>
          <w:trHeight w:val="391" w:hRule="exact"/>
        </w:trPr>
        <w:tc>
          <w:tcPr>
            <w:tcW w:w="2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vMerge/>
            <w:tcBorders>
              <w:left w:val="single" w:sz="9"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40"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2" w:type="dxa"/>
            <w:vMerge/>
            <w:tcBorders>
              <w:left w:val="single" w:sz="9"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1,309,079,738.20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1,035,049,627.35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2,626,993,837.87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1,685,543,751.27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47,100,218.04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28,164,409.13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192,747,860.34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171,017,750.10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26,036,215.50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21,634,023.93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5,597,003.84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4,686,352.63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138,666,249.47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34,147,364.37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410,147,547.19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259,649,900.16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6,403,515.67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7,662,015.67</w:t>
            </w:r>
          </w:p>
        </w:tc>
      </w:tr>
      <w:tr>
        <w:trPr>
          <w:trHeight w:val="340"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6,572,640.62</w:t>
            </w:r>
          </w:p>
        </w:tc>
        <w:tc>
          <w:tcPr>
            <w:tcW w:w="3300" w:type="dxa"/>
            <w:vMerge w:val="restart"/>
            <w:tcBorders>
              <w:top w:val="single" w:sz="4" w:space="0" w:color="000000"/>
              <w:left w:val="single" w:sz="4" w:space="0" w:color="000000"/>
              <w:right w:val="single" w:sz="4" w:space="0" w:color="000000"/>
            </w:tcBorders>
          </w:tcPr>
          <w:p>
            <w:pPr/>
          </w:p>
        </w:tc>
      </w:tr>
      <w:tr>
        <w:trPr>
          <w:trHeight w:val="393" w:hRule="exact"/>
        </w:trPr>
        <w:tc>
          <w:tcPr>
            <w:tcW w:w="2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vMerge/>
            <w:tcBorders>
              <w:left w:val="single" w:sz="9"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38"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2" w:type="dxa"/>
            <w:vMerge/>
            <w:tcBorders>
              <w:left w:val="single" w:sz="9"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12,976,156.29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7,662,015.67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423,123,703.48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267,311,915.83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798,420,393.00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482,493,802.00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895,932,604.13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349,887,655.89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255,020.00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78,212,843.02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22,934,891.07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88,735,613.49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75,480,618.84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446,550,409.25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487,689,887.64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2,203,870,134.39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1,418,231,835.44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2,203,870,134.39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1,418,231,835.44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2,626,993,837.87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1,685,543,751.27</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651" w:val="left" w:leader="none"/>
        </w:tabs>
        <w:spacing w:line="240" w:lineRule="auto" w:before="44"/>
        <w:ind w:left="0" w:right="1139"/>
        <w:jc w:val="right"/>
      </w:pPr>
      <w:r>
        <w:rPr/>
        <w:t>法定代表人：李小龙</w:t>
        <w:tab/>
        <w:t>主管会计工作负责人：董桂英</w:t>
        <w:tab/>
        <w:t>会计机构负责人：王志慧</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836,472,168.12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325,140,356.00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22,177,871.23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4,263,479.98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653,682.85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19,263,791.11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1,189,315.07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156,440,423.93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221,443,109.50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1,222,216,718.34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606,848,874.22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117,167,158.50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35,481,165.84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822,227,870.44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656,371,685.85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28,156,013.20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35,620,938.76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2,532,529.49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2,545,605.12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523,722.70</w:t>
            </w:r>
          </w:p>
        </w:tc>
        <w:tc>
          <w:tcPr>
            <w:tcW w:w="3300" w:type="dxa"/>
            <w:vMerge w:val="restart"/>
            <w:tcBorders>
              <w:top w:val="single" w:sz="4" w:space="0" w:color="000000"/>
              <w:left w:val="single" w:sz="4" w:space="0" w:color="000000"/>
              <w:right w:val="single" w:sz="4" w:space="0" w:color="000000"/>
            </w:tcBorders>
          </w:tcPr>
          <w:p>
            <w:pPr/>
          </w:p>
        </w:tc>
      </w:tr>
      <w:tr>
        <w:trPr>
          <w:trHeight w:val="392" w:hRule="exact"/>
        </w:trPr>
        <w:tc>
          <w:tcPr>
            <w:tcW w:w="2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vMerge/>
            <w:tcBorders>
              <w:left w:val="single" w:sz="9"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38"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2" w:type="dxa"/>
            <w:vMerge/>
            <w:tcBorders>
              <w:left w:val="single" w:sz="9"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970,607,294.33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730,019,395.57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2,192,824,012.67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1,336,868,269.79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4,067,210.26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4,873,319.61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2,890,907.45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4,216,280.83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4,247,741.16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6,261,167.29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1,346,536.63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448,974.28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311,446,131.76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281,890,831.40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323,998,527.26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297,690,573.41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323,998,527.26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297,690,573.41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798,420,393.00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482,493,802.00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919,002,728.58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372,957,780.34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103,981,728.50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44,826,358.50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19,170,365.84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88,735,613.49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75,480,618.84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121,822,120.34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89,330,149.36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1,868,825,485.41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1,039,177,696.38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2,192,824,012.67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1,336,868,269.79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716,361,757.32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745,412,766.48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716,361,757.32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745,412,766.48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651,074,568.37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600,490,272.99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265,134,627.87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276,107,169.08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6,628,679.10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15,826,967.23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136,407,227.66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132,502,592.65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213,872,389.54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185,911,579.77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-2,900,348.64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-10,683,981.81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31,931,992.84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825,946.07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307,846.17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-350,574.38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26.29998pt;width:157.7pt;height:19.650pt;mso-position-horizontal-relative:page;mso-position-vertical-relative:page;z-index:-1504792" coordorigin="4242,2526" coordsize="3154,393">
            <v:shape style="position:absolute;left:4242;top:2526;width:3154;height:393" coordorigin="4242,2526" coordsize="3154,393" path="m4242,2919l7396,2919,7396,2526,4242,2526,4242,2919xe" filled="true" fillcolor="#ffffff" stroked="false">
              <v:path arrowok="t"/>
              <v:fill type="solid"/>
            </v:shape>
            <w10:wrap type="none"/>
          </v:group>
        </w:pict>
      </w:r>
      <w:r>
        <w:rPr/>
        <w:pict>
          <v:group style="position:absolute;margin-left:212.119995pt;margin-top:246.919983pt;width:157.7pt;height:19.650pt;mso-position-horizontal-relative:page;mso-position-vertical-relative:page;z-index:-1504768" coordorigin="4242,4938" coordsize="3154,393">
            <v:shape style="position:absolute;left:4242;top:4938;width:3154;height:393" coordorigin="4242,4938" coordsize="3154,393" path="m4242,5331l7396,5331,7396,4938,4242,4938,4242,53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-1,789,887.99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-6,897,274.53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65,595,035.12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144,571,919.11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3,966,473.97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11,944,021.50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365,461.10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2,106,162.11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441,690.45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787,599.40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218,296.29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67,455,346.98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156,074,250.16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8,536,849.88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8,211,899.15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58,918,497.10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147,862,351.01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58,918,497.10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147,862,351.01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55,277,951.95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27,051,891.87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55,277,951.95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27,051,891.87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55,277,951.95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27,051,891.87</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39,266,357.05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30,321,339.81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16,011,594.90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-3,269,447.94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114,196,449.05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174,914,242.88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114,196,449.05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174,914,242.88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bl>
    <w:p>
      <w:pPr>
        <w:pStyle w:val="BodyText"/>
        <w:spacing w:line="240" w:lineRule="auto" w:before="51"/>
        <w:ind w:left="154" w:right="1033"/>
        <w:jc w:val="left"/>
      </w:pPr>
      <w:r>
        <w:rPr/>
        <w:t>本期发生同一控制下企业合并的，被合并方在合并前实现的净利润为：元，上期被合并方实现的净利润为：元。</w:t>
      </w:r>
    </w:p>
    <w:p>
      <w:pPr>
        <w:spacing w:line="240" w:lineRule="auto" w:before="0"/>
        <w:rPr>
          <w:rFonts w:ascii="宋体" w:hAnsi="宋体" w:cs="宋体" w:eastAsia="宋体" w:hint="default"/>
          <w:sz w:val="18"/>
          <w:szCs w:val="18"/>
        </w:rPr>
      </w:pPr>
    </w:p>
    <w:p>
      <w:pPr>
        <w:pStyle w:val="BodyText"/>
        <w:tabs>
          <w:tab w:pos="3394" w:val="left" w:leader="none"/>
          <w:tab w:pos="7805" w:val="left" w:leader="none"/>
        </w:tabs>
        <w:spacing w:line="360" w:lineRule="auto" w:before="141"/>
        <w:ind w:right="1139"/>
        <w:jc w:val="left"/>
      </w:pPr>
      <w:r>
        <w:rPr/>
        <w:t>法定代表人：李小龙</w:t>
        <w:tab/>
        <w:t>主管会计工作负责人：董桂英</w:t>
        <w:tab/>
        <w:t>会计机构负责人：王志慧 注：财务费用涉及金融业务需单独列示汇兑收益项目。</w:t>
      </w:r>
    </w:p>
    <w:p>
      <w:pPr>
        <w:spacing w:line="240" w:lineRule="auto" w:before="11"/>
        <w:rPr>
          <w:rFonts w:ascii="宋体" w:hAnsi="宋体" w:cs="宋体" w:eastAsia="宋体" w:hint="default"/>
          <w:sz w:val="19"/>
          <w:szCs w:val="19"/>
        </w:rPr>
      </w:pPr>
    </w:p>
    <w:p>
      <w:pPr>
        <w:pStyle w:val="Heading4"/>
        <w:spacing w:line="240" w:lineRule="auto"/>
        <w:ind w:right="1033"/>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43,360,928.79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25,960,448.93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21,679,828.19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11,512,590.16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316,408.13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481,654.89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516,907.33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10,586,715.16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32,845,663.18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45,810,571.53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-7,160,341.28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-13,889,317.87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24,793,390.95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276,091.15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161,972,436.78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98,797,773.91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-96,804.23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-5,165,018.38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132,341,509.07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69,979,917.82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295,814.04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1,033,755.91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17,632.14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16,490.70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132,587,147.11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70,996,041.59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-108,586.50</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132,549,946.47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71,104,628.09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25,655,992.66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19,170,365.84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25,655,992.66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19,170,365.84</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25,655,992.66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19,170,365.84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158,205,939.13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90,274,993.93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740,750,800.37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762,799,896.62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2,364,984.71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3,574,641.45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32,193,618.70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36,607,084.46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775,309,403.78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802,981,622.53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253,161,952.31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262,074,443.30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235,925,733.89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218,766,619.45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30,696,434.80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23,920,949.77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126,030,642.56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97,352,951.09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645,814,763.56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602,114,963.61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129,494,640.22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200,866,658.92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vMerge w:val="restart"/>
            <w:tcBorders>
              <w:top w:val="single" w:sz="4" w:space="0" w:color="000000"/>
              <w:left w:val="single" w:sz="4" w:space="0" w:color="000000"/>
              <w:right w:val="single" w:sz="4" w:space="0" w:color="000000"/>
            </w:tcBorders>
          </w:tcPr>
          <w:p>
            <w:pPr/>
          </w:p>
        </w:tc>
      </w:tr>
      <w:tr>
        <w:trPr>
          <w:trHeight w:val="392" w:hRule="exact"/>
        </w:trPr>
        <w:tc>
          <w:tcPr>
            <w:tcW w:w="29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vMerge/>
            <w:tcBorders>
              <w:left w:val="single" w:sz="10"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38" w:hRule="exact"/>
        </w:trPr>
        <w:tc>
          <w:tcPr>
            <w:tcW w:w="2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4" w:type="dxa"/>
            <w:vMerge/>
            <w:tcBorders>
              <w:left w:val="single" w:sz="10"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5,078,485.64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2,328,099.89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27,631.95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428,206.50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43,606,117.59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228,276,306.39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44,629,327.94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37,858,638.78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91,831,914.19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24,523,172.18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155,745,002.93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28,470,654.47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498,206,245.06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125,352,465.43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-454,600,127.47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102,923,840.96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864,600,238.40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864,600,238.40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86,802,980.84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96,506,800.00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4,079,460.91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90,882,441.75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773,717,796.65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-83,144,770.00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2,181,007.83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-2,424,950.96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450,793,317.23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218,220,778.92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509,750,791.47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291,530,012.55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960,544,108.70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509,750,791.47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26,156,432.17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24,518,104.78</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370,505,026.45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380,407,961.36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396,661,458.62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404,926,066.14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22,555,824.46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8,822,093.61</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26,847,760.41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38,648,470.94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1,080,905.15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931,376.05</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374,118,293.47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309,424,292.60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424,602,783.49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357,826,233.20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-27,941,324.87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47,099,832.94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vMerge w:val="restart"/>
            <w:tcBorders>
              <w:top w:val="single" w:sz="4" w:space="0" w:color="000000"/>
              <w:left w:val="single" w:sz="4" w:space="0" w:color="000000"/>
              <w:right w:val="single" w:sz="4" w:space="0" w:color="000000"/>
            </w:tcBorders>
          </w:tcPr>
          <w:p>
            <w:pPr/>
          </w:p>
        </w:tc>
      </w:tr>
      <w:tr>
        <w:trPr>
          <w:trHeight w:val="392" w:hRule="exact"/>
        </w:trPr>
        <w:tc>
          <w:tcPr>
            <w:tcW w:w="2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vMerge/>
            <w:tcBorders>
              <w:left w:val="single" w:sz="10" w:space="0" w:color="D2D2D2"/>
              <w:right w:val="single" w:sz="4" w:space="0" w:color="000000"/>
            </w:tcBorders>
          </w:tcPr>
          <w:p>
            <w:pPr/>
          </w:p>
        </w:tc>
        <w:tc>
          <w:tcPr>
            <w:tcW w:w="3300" w:type="dxa"/>
            <w:vMerge/>
            <w:tcBorders>
              <w:left w:val="single" w:sz="4" w:space="0" w:color="000000"/>
              <w:right w:val="single" w:sz="4" w:space="0" w:color="000000"/>
            </w:tcBorders>
          </w:tcPr>
          <w:p>
            <w:pPr/>
          </w:p>
        </w:tc>
      </w:tr>
      <w:tr>
        <w:trPr>
          <w:trHeight w:val="338" w:hRule="exact"/>
        </w:trPr>
        <w:tc>
          <w:tcPr>
            <w:tcW w:w="2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2" w:type="dxa"/>
            <w:vMerge/>
            <w:tcBorders>
              <w:left w:val="single" w:sz="10" w:space="0" w:color="D2D2D2"/>
              <w:bottom w:val="single" w:sz="4" w:space="0" w:color="000000"/>
              <w:right w:val="single" w:sz="4" w:space="0" w:color="000000"/>
            </w:tcBorders>
          </w:tcPr>
          <w:p>
            <w:pPr/>
          </w:p>
        </w:tc>
        <w:tc>
          <w:tcPr>
            <w:tcW w:w="3300" w:type="dxa"/>
            <w:vMerge/>
            <w:tcBorders>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165,049,992.49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102,328,099.89</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161,521.00</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33,308,524.28</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225,520,000.00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203,549,992.49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361,318,145.17</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5,379,283.15</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18,530,000.00</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38,682,127.33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30,514,817.60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437,994,652.15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88,924,100.75</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-234,444,659.66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272,394,044.42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864,600,238.40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13,797,630.00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864,600,238.40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86,802,980.84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96,506,800.00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4,079,460.91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90,882,441.75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773,717,796.65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-83,144,770.00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511,331,812.12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236,349,107.36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325,140,356.00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88,791,248.64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836,472,168.12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325,140,356.00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0"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14"/>
              <w:ind w:left="29" w:right="0"/>
              <w:jc w:val="left"/>
              <w:rPr>
                <w:rFonts w:ascii="Times New Roman" w:hAnsi="Times New Roman" w:cs="Times New Roman" w:eastAsia="Times New Roman" w:hint="default"/>
                <w:sz w:val="18"/>
                <w:szCs w:val="18"/>
              </w:rPr>
            </w:pPr>
            <w:r>
              <w:rPr>
                <w:rFonts w:ascii="Times New Roman"/>
                <w:sz w:val="18"/>
              </w:rPr>
              <w:t>482,49</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349,887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,655.89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891.07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618.84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487,689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,887.64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1,418,2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3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14"/>
              <w:ind w:left="29" w:right="0"/>
              <w:jc w:val="left"/>
              <w:rPr>
                <w:rFonts w:ascii="Times New Roman" w:hAnsi="Times New Roman" w:cs="Times New Roman" w:eastAsia="Times New Roman" w:hint="default"/>
                <w:sz w:val="18"/>
                <w:szCs w:val="18"/>
              </w:rPr>
            </w:pPr>
            <w:r>
              <w:rPr>
                <w:rFonts w:ascii="Times New Roman"/>
                <w:sz w:val="18"/>
              </w:rPr>
              <w:t>482,49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349,887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,655.89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891.07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618.84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487,689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,887.64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1,418,2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40"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7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left="24" w:right="0"/>
              <w:jc w:val="left"/>
              <w:rPr>
                <w:rFonts w:ascii="Times New Roman" w:hAnsi="Times New Roman" w:cs="Times New Roman" w:eastAsia="Times New Roman" w:hint="default"/>
                <w:sz w:val="18"/>
                <w:szCs w:val="18"/>
              </w:rPr>
            </w:pPr>
            <w:r>
              <w:rPr>
                <w:rFonts w:ascii="Times New Roman"/>
                <w:sz w:val="18"/>
              </w:rPr>
              <w:t>315,92</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6,591.</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546,044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,948.24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103,726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55,277,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951.95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994.65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-41,139,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478.39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785,638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,298.95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55,277,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951.95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58,918,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114,196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,449.05</w:t>
            </w:r>
          </w:p>
        </w:tc>
      </w:tr>
      <w:tr>
        <w:trPr>
          <w:trHeight w:val="10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74,807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787,164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103,726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758,244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,830.74</w:t>
            </w:r>
          </w:p>
        </w:tc>
      </w:tr>
      <w:tr>
        <w:trPr>
          <w:trHeight w:val="10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74,807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785,771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,140.26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103,726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756,851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,631.76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1,393,1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98.98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1,393,1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98.98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994.65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-100,05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7,975.4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-86,802,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980.84</w:t>
            </w:r>
          </w:p>
        </w:tc>
      </w:tr>
      <w:tr>
        <w:trPr>
          <w:trHeight w:val="107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994.65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994.65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980.84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-86,802,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980.84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1" w:right="0"/>
              <w:jc w:val="left"/>
              <w:rPr>
                <w:rFonts w:ascii="Times New Roman" w:hAnsi="Times New Roman" w:cs="Times New Roman" w:eastAsia="Times New Roman" w:hint="default"/>
                <w:sz w:val="18"/>
                <w:szCs w:val="18"/>
              </w:rPr>
            </w:pPr>
            <w:r>
              <w:rPr>
                <w:rFonts w:ascii="Times New Roman"/>
                <w:sz w:val="18"/>
              </w:rPr>
              <w:t>241,11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9,391.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2"/>
                <w:sz w:val="18"/>
              </w:rPr>
              <w:t>-241,11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1" w:right="0"/>
              <w:jc w:val="left"/>
              <w:rPr>
                <w:rFonts w:ascii="Times New Roman" w:hAnsi="Times New Roman" w:cs="Times New Roman" w:eastAsia="Times New Roman" w:hint="default"/>
                <w:sz w:val="18"/>
                <w:szCs w:val="18"/>
              </w:rPr>
            </w:pPr>
            <w:r>
              <w:rPr>
                <w:rFonts w:ascii="Times New Roman"/>
                <w:sz w:val="18"/>
              </w:rPr>
              <w:t>241,11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9,391.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2"/>
                <w:sz w:val="18"/>
              </w:rPr>
              <w:t>-241,11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 w:right="0"/>
              <w:jc w:val="left"/>
              <w:rPr>
                <w:rFonts w:ascii="Times New Roman" w:hAnsi="Times New Roman" w:cs="Times New Roman" w:eastAsia="Times New Roman" w:hint="default"/>
                <w:sz w:val="18"/>
                <w:szCs w:val="18"/>
              </w:rPr>
            </w:pPr>
            <w:r>
              <w:rPr>
                <w:rFonts w:ascii="Times New Roman"/>
                <w:sz w:val="18"/>
              </w:rPr>
              <w:t>798,42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0,393.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895,932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,604.13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103,981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78,212,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843.02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88,735,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613.49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446,550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,409.25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2,203,8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70,134.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bl>
    <w:p>
      <w:pPr>
        <w:pStyle w:val="BodyText"/>
        <w:spacing w:line="240" w:lineRule="auto" w:before="51"/>
        <w:ind w:left="154" w:right="1033"/>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0"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14"/>
              <w:ind w:left="40"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577,602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,697.66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-4,117,0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68,370,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156.03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443,444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,799.44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40"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14"/>
              <w:ind w:left="40"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577,602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,697.66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-4,117,0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68,370,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156.03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443,444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,799.44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38"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7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left="34" w:right="0"/>
              <w:jc w:val="left"/>
              <w:rPr>
                <w:rFonts w:ascii="Times New Roman" w:hAnsi="Times New Roman" w:cs="Times New Roman" w:eastAsia="Times New Roman" w:hint="default"/>
                <w:sz w:val="18"/>
                <w:szCs w:val="18"/>
              </w:rPr>
            </w:pPr>
            <w:r>
              <w:rPr>
                <w:rFonts w:ascii="Times New Roman"/>
                <w:sz w:val="18"/>
              </w:rPr>
              <w:t>242,49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-227,71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5,041.7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27,051,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44,245,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088.20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92,931,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183.11</w:t>
            </w:r>
          </w:p>
        </w:tc>
      </w:tr>
      <w:tr>
        <w:trPr>
          <w:trHeight w:val="184"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27,051,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891.87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147,862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,351.01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174,914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,242.88</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84"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84"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13,551,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760.23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740.23</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82"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11,052,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590.04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570.04</w:t>
            </w:r>
          </w:p>
        </w:tc>
      </w:tr>
      <w:tr>
        <w:trPr>
          <w:trHeight w:val="10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2,499,1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2,499,1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70.19</w:t>
            </w:r>
          </w:p>
        </w:tc>
      </w:tr>
      <w:tr>
        <w:trPr>
          <w:trHeight w:val="10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7,262.8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10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 w:right="0"/>
              <w:jc w:val="lef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6,802.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 w:right="0"/>
              <w:jc w:val="lef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6,802.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 w:right="0"/>
              <w:jc w:val="left"/>
              <w:rPr>
                <w:rFonts w:ascii="Times New Roman" w:hAnsi="Times New Roman" w:cs="Times New Roman" w:eastAsia="Times New Roman" w:hint="default"/>
                <w:sz w:val="18"/>
                <w:szCs w:val="18"/>
              </w:rPr>
            </w:pPr>
            <w:r>
              <w:rPr>
                <w:rFonts w:ascii="Times New Roman"/>
                <w:sz w:val="18"/>
              </w:rPr>
              <w:t>482,49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349,887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,655.89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618.84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487,689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,887.64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1,418,2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33"/>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t>本期金额</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40"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482,493,</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802.00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372,957,7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80.34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75,480,61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89,330,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149.36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1,039,177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,696.38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40"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482,493,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802.00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372,957,7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80.34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75,480,61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89,330,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149.36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1,039,177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,696.38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40"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7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315,926,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546,044,9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103,726,7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25,655,99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13,254,99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32,491,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970.98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829,647,7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89.03</w:t>
            </w:r>
          </w:p>
        </w:tc>
      </w:tr>
      <w:tr>
        <w:trPr>
          <w:trHeight w:val="184"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25,655,99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2.66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132,549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,946.47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158,205,9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39.13</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84"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84"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74,807,2</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787,164,3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39.24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103,726,7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08.50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758,244,8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30.74</w:t>
            </w:r>
          </w:p>
        </w:tc>
      </w:tr>
      <w:tr>
        <w:trPr>
          <w:trHeight w:val="70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84"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84"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74,807,2</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785,771,1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103,726,7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08.50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756,851,6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31.76</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82"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1,393,198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1,393,198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13,254,99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-86,802,9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80.84</w:t>
            </w: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13,254,99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994.65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-86,802,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980.84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-86,802,9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80.84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241,119,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-241,119,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391.00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241,119,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-241,119,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391.00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798,420,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919,002,7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103,981,7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44,826,35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88,735,61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121,822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,120.34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1,868,825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,485.41</w:t>
            </w:r>
          </w:p>
        </w:tc>
      </w:tr>
    </w:tbl>
    <w:p>
      <w:pPr>
        <w:pStyle w:val="BodyText"/>
        <w:spacing w:line="240" w:lineRule="auto" w:before="51"/>
        <w:ind w:left="154" w:right="1033"/>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40"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600,672,8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22.49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68,370,15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121,842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1,030,885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,762.60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40"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600,672,8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68,370,15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121,842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1,030,885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,762.60</w:t>
            </w: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242,493,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-227,715,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042.15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-32,512,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634.72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8,291,933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628.09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90,274,99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3.93</w:t>
            </w: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1,227,00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13,551,75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14,523,73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1,227,00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11,052,59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12,024,57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0.04</w:t>
            </w: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2,499,169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2,499,169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-96,506,8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-96,506,8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482,493,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372,957,7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75,480,61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89,330,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149.36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1,039,177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,696.38</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1033"/>
        <w:jc w:val="left"/>
        <w:rPr>
          <w:b w:val="0"/>
          <w:bCs w:val="0"/>
        </w:rPr>
      </w:pPr>
      <w:bookmarkStart w:name="三、公司基本情况" w:id="160"/>
      <w:bookmarkEnd w:id="160"/>
      <w:r>
        <w:rPr>
          <w:b w:val="0"/>
          <w:bCs w:val="0"/>
        </w:rPr>
      </w:r>
      <w:r>
        <w:rPr/>
        <w:t>三、公司基本情况</w:t>
      </w:r>
      <w:r>
        <w:rPr>
          <w:b w:val="0"/>
          <w:bCs w:val="0"/>
        </w:rPr>
      </w:r>
    </w:p>
    <w:p>
      <w:pPr>
        <w:pStyle w:val="BodyText"/>
        <w:spacing w:line="440" w:lineRule="atLeast" w:before="143"/>
        <w:ind w:left="573" w:right="1033" w:hanging="60"/>
        <w:jc w:val="left"/>
      </w:pPr>
      <w:r>
        <w:rPr/>
        <w:t>（一）公司注册地、组织形式和总部地址 </w:t>
      </w:r>
      <w:r>
        <w:rPr>
          <w:color w:val="0D0D0D"/>
          <w:spacing w:val="-1"/>
        </w:rPr>
        <w:t>二六三网络通信股份有限公司（以下简称</w:t>
      </w:r>
      <w:r>
        <w:rPr>
          <w:rFonts w:ascii="Times New Roman" w:hAnsi="Times New Roman" w:cs="Times New Roman" w:eastAsia="Times New Roman" w:hint="default"/>
          <w:color w:val="0D0D0D"/>
          <w:spacing w:val="-1"/>
        </w:rPr>
        <w:t>“</w:t>
      </w:r>
      <w:r>
        <w:rPr>
          <w:color w:val="0D0D0D"/>
          <w:spacing w:val="-1"/>
        </w:rPr>
        <w:t>本公司</w:t>
      </w:r>
      <w:r>
        <w:rPr>
          <w:rFonts w:ascii="Times New Roman" w:hAnsi="Times New Roman" w:cs="Times New Roman" w:eastAsia="Times New Roman" w:hint="default"/>
          <w:color w:val="0D0D0D"/>
          <w:spacing w:val="-1"/>
        </w:rPr>
        <w:t>”</w:t>
      </w:r>
      <w:r>
        <w:rPr>
          <w:color w:val="0D0D0D"/>
          <w:spacing w:val="-1"/>
        </w:rPr>
        <w:t>、</w:t>
      </w:r>
      <w:r>
        <w:rPr>
          <w:rFonts w:ascii="Times New Roman" w:hAnsi="Times New Roman" w:cs="Times New Roman" w:eastAsia="Times New Roman" w:hint="default"/>
          <w:color w:val="0D0D0D"/>
          <w:spacing w:val="-1"/>
        </w:rPr>
        <w:t>“</w:t>
      </w:r>
      <w:r>
        <w:rPr>
          <w:color w:val="0D0D0D"/>
          <w:spacing w:val="-1"/>
        </w:rPr>
        <w:t>公司</w:t>
      </w:r>
      <w:r>
        <w:rPr>
          <w:rFonts w:ascii="Times New Roman" w:hAnsi="Times New Roman" w:cs="Times New Roman" w:eastAsia="Times New Roman" w:hint="default"/>
          <w:color w:val="0D0D0D"/>
          <w:spacing w:val="-1"/>
        </w:rPr>
        <w:t>”</w:t>
      </w:r>
      <w:r>
        <w:rPr>
          <w:color w:val="0D0D0D"/>
          <w:spacing w:val="-1"/>
        </w:rPr>
        <w:t>）系于</w:t>
      </w:r>
      <w:r>
        <w:rPr>
          <w:rFonts w:ascii="Times New Roman" w:hAnsi="Times New Roman" w:cs="Times New Roman" w:eastAsia="Times New Roman" w:hint="default"/>
          <w:color w:val="0D0D0D"/>
          <w:spacing w:val="-1"/>
        </w:rPr>
        <w:t>1999</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16</w:t>
      </w:r>
      <w:r>
        <w:rPr>
          <w:color w:val="0D0D0D"/>
          <w:spacing w:val="-1"/>
        </w:rPr>
        <w:t>日设立，</w:t>
      </w:r>
      <w:r>
        <w:rPr>
          <w:rFonts w:ascii="Times New Roman" w:hAnsi="Times New Roman" w:cs="Times New Roman" w:eastAsia="Times New Roman" w:hint="default"/>
          <w:color w:val="0D0D0D"/>
          <w:spacing w:val="-1"/>
        </w:rPr>
        <w:t>2003</w:t>
      </w:r>
      <w:r>
        <w:rPr>
          <w:color w:val="0D0D0D"/>
          <w:spacing w:val="-1"/>
        </w:rPr>
        <w:t>年</w:t>
      </w:r>
      <w:r>
        <w:rPr>
          <w:rFonts w:ascii="Times New Roman" w:hAnsi="Times New Roman" w:cs="Times New Roman" w:eastAsia="Times New Roman" w:hint="default"/>
          <w:color w:val="0D0D0D"/>
          <w:spacing w:val="-1"/>
        </w:rPr>
        <w:t>6</w:t>
      </w:r>
      <w:r>
        <w:rPr>
          <w:color w:val="0D0D0D"/>
          <w:spacing w:val="-1"/>
        </w:rPr>
        <w:t>月</w:t>
      </w:r>
      <w:r>
        <w:rPr>
          <w:rFonts w:ascii="Times New Roman" w:hAnsi="Times New Roman" w:cs="Times New Roman" w:eastAsia="Times New Roman" w:hint="default"/>
          <w:color w:val="0D0D0D"/>
          <w:spacing w:val="-1"/>
        </w:rPr>
        <w:t>18</w:t>
      </w:r>
      <w:r>
        <w:rPr>
          <w:color w:val="0D0D0D"/>
          <w:spacing w:val="-1"/>
        </w:rPr>
        <w:t>日，本公司整体</w:t>
      </w:r>
      <w:r>
        <w:rPr>
          <w:spacing w:val="-1"/>
        </w:rPr>
      </w:r>
    </w:p>
    <w:p>
      <w:pPr>
        <w:pStyle w:val="BodyText"/>
        <w:spacing w:line="240" w:lineRule="auto" w:before="64"/>
        <w:ind w:right="1033"/>
        <w:jc w:val="left"/>
      </w:pPr>
      <w:r>
        <w:rPr>
          <w:color w:val="0D0D0D"/>
        </w:rPr>
        <w:t>变更为股份有限公司，股份总额为</w:t>
      </w:r>
      <w:r>
        <w:rPr>
          <w:rFonts w:ascii="Times New Roman" w:hAnsi="Times New Roman" w:cs="Times New Roman" w:eastAsia="Times New Roman" w:hint="default"/>
          <w:color w:val="0D0D0D"/>
        </w:rPr>
        <w:t>9,000.00</w:t>
      </w:r>
      <w:r>
        <w:rPr>
          <w:color w:val="0D0D0D"/>
        </w:rPr>
        <w:t>万股，注册资本</w:t>
      </w:r>
      <w:r>
        <w:rPr>
          <w:rFonts w:ascii="Times New Roman" w:hAnsi="Times New Roman" w:cs="Times New Roman" w:eastAsia="Times New Roman" w:hint="default"/>
          <w:color w:val="0D0D0D"/>
        </w:rPr>
        <w:t>9,000.00</w:t>
      </w:r>
      <w:r>
        <w:rPr>
          <w:color w:val="0D0D0D"/>
        </w:rPr>
        <w:t>万元。</w:t>
      </w:r>
      <w:r>
        <w:rPr/>
      </w:r>
    </w:p>
    <w:p>
      <w:pPr>
        <w:spacing w:line="240" w:lineRule="auto" w:before="12"/>
        <w:rPr>
          <w:rFonts w:ascii="宋体" w:hAnsi="宋体" w:cs="宋体" w:eastAsia="宋体" w:hint="default"/>
          <w:sz w:val="13"/>
          <w:szCs w:val="13"/>
        </w:rPr>
      </w:pPr>
    </w:p>
    <w:p>
      <w:pPr>
        <w:pStyle w:val="BodyText"/>
        <w:spacing w:line="300" w:lineRule="auto"/>
        <w:ind w:right="1130" w:firstLine="420"/>
        <w:jc w:val="both"/>
      </w:pPr>
      <w:r>
        <w:rPr>
          <w:color w:val="0D0D0D"/>
        </w:rPr>
        <w:t>根据本公司</w:t>
      </w:r>
      <w:r>
        <w:rPr>
          <w:rFonts w:ascii="Times New Roman" w:hAnsi="Times New Roman" w:cs="Times New Roman" w:eastAsia="Times New Roman" w:hint="default"/>
          <w:color w:val="0D0D0D"/>
        </w:rPr>
        <w:t>2010</w:t>
      </w:r>
      <w:r>
        <w:rPr>
          <w:color w:val="0D0D0D"/>
        </w:rPr>
        <w:t>年第一次临时股东大会通过决议及中国证券监督管理委员会证监许可［</w:t>
      </w:r>
      <w:r>
        <w:rPr>
          <w:rFonts w:ascii="Times New Roman" w:hAnsi="Times New Roman" w:cs="Times New Roman" w:eastAsia="Times New Roman" w:hint="default"/>
          <w:color w:val="0D0D0D"/>
        </w:rPr>
        <w:t>2010</w:t>
      </w:r>
      <w:r>
        <w:rPr>
          <w:color w:val="0D0D0D"/>
        </w:rPr>
        <w:t>］</w:t>
      </w:r>
      <w:r>
        <w:rPr>
          <w:rFonts w:ascii="Times New Roman" w:hAnsi="Times New Roman" w:cs="Times New Roman" w:eastAsia="Times New Roman" w:hint="default"/>
          <w:color w:val="0D0D0D"/>
        </w:rPr>
        <w:t>871</w:t>
      </w:r>
      <w:r>
        <w:rPr>
          <w:color w:val="0D0D0D"/>
        </w:rPr>
        <w:t>号文</w:t>
      </w:r>
      <w:r>
        <w:rPr>
          <w:color w:val="0D0D0D"/>
          <w:spacing w:val="-40"/>
        </w:rPr>
        <w:t> </w:t>
      </w:r>
      <w:r>
        <w:rPr>
          <w:rFonts w:ascii="Times New Roman" w:hAnsi="Times New Roman" w:cs="Times New Roman" w:eastAsia="Times New Roman" w:hint="default"/>
          <w:color w:val="0D0D0D"/>
        </w:rPr>
        <w:t>“</w:t>
      </w:r>
      <w:r>
        <w:rPr>
          <w:color w:val="0D0D0D"/>
        </w:rPr>
        <w:t>关于核准二六 </w:t>
      </w:r>
      <w:r>
        <w:rPr>
          <w:color w:val="0D0D0D"/>
          <w:spacing w:val="-1"/>
        </w:rPr>
        <w:t>三网络通信股份有限公司首次公开发行股票的批复</w:t>
      </w:r>
      <w:r>
        <w:rPr>
          <w:rFonts w:ascii="Times New Roman" w:hAnsi="Times New Roman" w:cs="Times New Roman" w:eastAsia="Times New Roman" w:hint="default"/>
          <w:color w:val="0D0D0D"/>
          <w:spacing w:val="-1"/>
        </w:rPr>
        <w:t>”</w:t>
      </w:r>
      <w:r>
        <w:rPr>
          <w:color w:val="0D0D0D"/>
          <w:spacing w:val="-1"/>
        </w:rPr>
        <w:t>，本公司首次公开发行人民币普通股（</w:t>
      </w:r>
      <w:r>
        <w:rPr>
          <w:rFonts w:ascii="Times New Roman" w:hAnsi="Times New Roman" w:cs="Times New Roman" w:eastAsia="Times New Roman" w:hint="default"/>
          <w:color w:val="0D0D0D"/>
          <w:spacing w:val="-1"/>
        </w:rPr>
        <w:t>A</w:t>
      </w:r>
      <w:r>
        <w:rPr>
          <w:color w:val="0D0D0D"/>
          <w:spacing w:val="-1"/>
        </w:rPr>
        <w:t>股）</w:t>
      </w:r>
      <w:r>
        <w:rPr>
          <w:rFonts w:ascii="Times New Roman" w:hAnsi="Times New Roman" w:cs="Times New Roman" w:eastAsia="Times New Roman" w:hint="default"/>
          <w:color w:val="0D0D0D"/>
          <w:spacing w:val="-1"/>
        </w:rPr>
        <w:t>3,000.00</w:t>
      </w:r>
      <w:r>
        <w:rPr>
          <w:color w:val="0D0D0D"/>
          <w:spacing w:val="-1"/>
        </w:rPr>
        <w:t>万股，</w:t>
      </w:r>
      <w:r>
        <w:rPr>
          <w:rFonts w:ascii="Times New Roman" w:hAnsi="Times New Roman" w:cs="Times New Roman" w:eastAsia="Times New Roman" w:hint="default"/>
          <w:color w:val="0D0D0D"/>
          <w:spacing w:val="-1"/>
        </w:rPr>
        <w:t>2010</w:t>
      </w:r>
      <w:r>
        <w:rPr>
          <w:color w:val="0D0D0D"/>
          <w:spacing w:val="-1"/>
        </w:rPr>
        <w:t>年</w:t>
      </w:r>
      <w:r>
        <w:rPr>
          <w:rFonts w:ascii="Times New Roman" w:hAnsi="Times New Roman" w:cs="Times New Roman" w:eastAsia="Times New Roman" w:hint="default"/>
          <w:color w:val="0D0D0D"/>
          <w:spacing w:val="-1"/>
        </w:rPr>
        <w:t>9</w:t>
      </w:r>
      <w:r>
        <w:rPr>
          <w:color w:val="0D0D0D"/>
          <w:spacing w:val="-1"/>
        </w:rPr>
        <w:t>月</w:t>
      </w:r>
      <w:r>
        <w:rPr>
          <w:rFonts w:ascii="Times New Roman" w:hAnsi="Times New Roman" w:cs="Times New Roman" w:eastAsia="Times New Roman" w:hint="default"/>
          <w:color w:val="0D0D0D"/>
          <w:spacing w:val="-1"/>
        </w:rPr>
        <w:t>8</w:t>
      </w:r>
      <w:r>
        <w:rPr>
          <w:rFonts w:ascii="Times New Roman" w:hAnsi="Times New Roman" w:cs="Times New Roman" w:eastAsia="Times New Roman" w:hint="default"/>
          <w:color w:val="0D0D0D"/>
          <w:spacing w:val="-7"/>
        </w:rPr>
        <w:t> </w:t>
      </w:r>
      <w:r>
        <w:rPr>
          <w:color w:val="0D0D0D"/>
        </w:rPr>
        <w:t>日起本公司股票在深圳证券交易所上市交易。</w:t>
      </w:r>
      <w:r>
        <w:rPr/>
      </w:r>
    </w:p>
    <w:p>
      <w:pPr>
        <w:pStyle w:val="BodyText"/>
        <w:spacing w:line="240" w:lineRule="auto" w:before="150"/>
        <w:ind w:left="573" w:right="1033"/>
        <w:jc w:val="left"/>
      </w:pPr>
      <w:r>
        <w:rPr>
          <w:color w:val="0D0D0D"/>
        </w:rPr>
        <w:t>本公司于</w:t>
      </w:r>
      <w:r>
        <w:rPr>
          <w:rFonts w:ascii="Times New Roman" w:hAnsi="Times New Roman" w:cs="Times New Roman" w:eastAsia="Times New Roman" w:hint="default"/>
          <w:color w:val="0D0D0D"/>
        </w:rPr>
        <w:t>2010</w:t>
      </w:r>
      <w:r>
        <w:rPr>
          <w:color w:val="0D0D0D"/>
        </w:rPr>
        <w:t>年</w:t>
      </w:r>
      <w:r>
        <w:rPr>
          <w:rFonts w:ascii="Times New Roman" w:hAnsi="Times New Roman" w:cs="Times New Roman" w:eastAsia="Times New Roman" w:hint="default"/>
          <w:color w:val="0D0D0D"/>
        </w:rPr>
        <w:t>10</w:t>
      </w:r>
      <w:r>
        <w:rPr>
          <w:color w:val="0D0D0D"/>
        </w:rPr>
        <w:t>月</w:t>
      </w:r>
      <w:r>
        <w:rPr>
          <w:rFonts w:ascii="Times New Roman" w:hAnsi="Times New Roman" w:cs="Times New Roman" w:eastAsia="Times New Roman" w:hint="default"/>
          <w:color w:val="0D0D0D"/>
        </w:rPr>
        <w:t>29</w:t>
      </w:r>
      <w:r>
        <w:rPr>
          <w:color w:val="0D0D0D"/>
        </w:rPr>
        <w:t>日完成了工商变更登记并换领了注册号为</w:t>
      </w:r>
      <w:r>
        <w:rPr>
          <w:rFonts w:ascii="Times New Roman" w:hAnsi="Times New Roman" w:cs="Times New Roman" w:eastAsia="Times New Roman" w:hint="default"/>
          <w:color w:val="0D0D0D"/>
        </w:rPr>
        <w:t>110000000991739</w:t>
      </w:r>
      <w:r>
        <w:rPr>
          <w:color w:val="0D0D0D"/>
        </w:rPr>
        <w:t>的企业法人营业执照，注册资本由</w:t>
      </w:r>
      <w:r>
        <w:rPr/>
      </w:r>
    </w:p>
    <w:p>
      <w:pPr>
        <w:pStyle w:val="BodyText"/>
        <w:spacing w:line="240" w:lineRule="auto" w:before="64"/>
        <w:ind w:right="1033"/>
        <w:jc w:val="left"/>
      </w:pPr>
      <w:r>
        <w:rPr>
          <w:rFonts w:ascii="Times New Roman" w:hAnsi="Times New Roman" w:cs="Times New Roman" w:eastAsia="Times New Roman" w:hint="default"/>
          <w:color w:val="0D0D0D"/>
        </w:rPr>
        <w:t>9,000.00</w:t>
      </w:r>
      <w:r>
        <w:rPr>
          <w:color w:val="0D0D0D"/>
        </w:rPr>
        <w:t>万元变更为</w:t>
      </w:r>
      <w:r>
        <w:rPr>
          <w:rFonts w:ascii="Times New Roman" w:hAnsi="Times New Roman" w:cs="Times New Roman" w:eastAsia="Times New Roman" w:hint="default"/>
          <w:color w:val="0D0D0D"/>
        </w:rPr>
        <w:t>12,000.00</w:t>
      </w:r>
      <w:r>
        <w:rPr>
          <w:color w:val="0D0D0D"/>
        </w:rPr>
        <w:t>万元。</w:t>
      </w:r>
      <w:r>
        <w:rPr/>
      </w:r>
    </w:p>
    <w:p>
      <w:pPr>
        <w:spacing w:line="240" w:lineRule="auto" w:before="12"/>
        <w:rPr>
          <w:rFonts w:ascii="宋体" w:hAnsi="宋体" w:cs="宋体" w:eastAsia="宋体" w:hint="default"/>
          <w:sz w:val="13"/>
          <w:szCs w:val="13"/>
        </w:rPr>
      </w:pPr>
    </w:p>
    <w:p>
      <w:pPr>
        <w:pStyle w:val="BodyText"/>
        <w:spacing w:line="300" w:lineRule="auto"/>
        <w:ind w:right="1127" w:firstLine="420"/>
        <w:jc w:val="left"/>
      </w:pPr>
      <w:r>
        <w:rPr>
          <w:rFonts w:ascii="Times New Roman" w:hAnsi="Times New Roman" w:cs="Times New Roman" w:eastAsia="Times New Roman" w:hint="default"/>
          <w:color w:val="0D0D0D"/>
          <w:spacing w:val="-1"/>
        </w:rPr>
        <w:t>2012</w:t>
      </w:r>
      <w:r>
        <w:rPr>
          <w:color w:val="0D0D0D"/>
          <w:spacing w:val="-1"/>
        </w:rPr>
        <w:t>年</w:t>
      </w:r>
      <w:r>
        <w:rPr>
          <w:rFonts w:ascii="Times New Roman" w:hAnsi="Times New Roman" w:cs="Times New Roman" w:eastAsia="Times New Roman" w:hint="default"/>
          <w:color w:val="0D0D0D"/>
          <w:spacing w:val="-1"/>
        </w:rPr>
        <w:t>5</w:t>
      </w:r>
      <w:r>
        <w:rPr>
          <w:color w:val="0D0D0D"/>
          <w:spacing w:val="-1"/>
        </w:rPr>
        <w:t>月</w:t>
      </w:r>
      <w:r>
        <w:rPr>
          <w:rFonts w:ascii="Times New Roman" w:hAnsi="Times New Roman" w:cs="Times New Roman" w:eastAsia="Times New Roman" w:hint="default"/>
          <w:color w:val="0D0D0D"/>
          <w:spacing w:val="-1"/>
        </w:rPr>
        <w:t>18</w:t>
      </w:r>
      <w:r>
        <w:rPr>
          <w:color w:val="0D0D0D"/>
          <w:spacing w:val="-1"/>
        </w:rPr>
        <w:t>日，本公司股东大会决议批准：本公司以</w:t>
      </w:r>
      <w:r>
        <w:rPr>
          <w:rFonts w:ascii="Times New Roman" w:hAnsi="Times New Roman" w:cs="Times New Roman" w:eastAsia="Times New Roman" w:hint="default"/>
          <w:color w:val="0D0D0D"/>
          <w:spacing w:val="-1"/>
        </w:rPr>
        <w:t>2011</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31</w:t>
      </w:r>
      <w:r>
        <w:rPr>
          <w:color w:val="0D0D0D"/>
          <w:spacing w:val="-1"/>
        </w:rPr>
        <w:t>日总股本</w:t>
      </w:r>
      <w:r>
        <w:rPr>
          <w:rFonts w:ascii="Times New Roman" w:hAnsi="Times New Roman" w:cs="Times New Roman" w:eastAsia="Times New Roman" w:hint="default"/>
          <w:color w:val="0D0D0D"/>
          <w:spacing w:val="-1"/>
        </w:rPr>
        <w:t>12,000.00</w:t>
      </w:r>
      <w:r>
        <w:rPr>
          <w:color w:val="0D0D0D"/>
          <w:spacing w:val="-1"/>
        </w:rPr>
        <w:t>万股为基数，以资本公积向全体</w:t>
      </w:r>
      <w:r>
        <w:rPr>
          <w:color w:val="0D0D0D"/>
        </w:rPr>
        <w:t> 股东每</w:t>
      </w:r>
      <w:r>
        <w:rPr>
          <w:rFonts w:ascii="Times New Roman" w:hAnsi="Times New Roman" w:cs="Times New Roman" w:eastAsia="Times New Roman" w:hint="default"/>
          <w:color w:val="0D0D0D"/>
        </w:rPr>
        <w:t>10</w:t>
      </w:r>
      <w:r>
        <w:rPr>
          <w:color w:val="0D0D0D"/>
        </w:rPr>
        <w:t>股转增</w:t>
      </w:r>
      <w:r>
        <w:rPr>
          <w:rFonts w:ascii="Times New Roman" w:hAnsi="Times New Roman" w:cs="Times New Roman" w:eastAsia="Times New Roman" w:hint="default"/>
          <w:color w:val="0D0D0D"/>
        </w:rPr>
        <w:t>10</w:t>
      </w:r>
      <w:r>
        <w:rPr>
          <w:color w:val="0D0D0D"/>
        </w:rPr>
        <w:t>股。上述转增出资业经利安达会计师事务所有限责任公司于</w:t>
      </w:r>
      <w:r>
        <w:rPr>
          <w:rFonts w:ascii="Times New Roman" w:hAnsi="Times New Roman" w:cs="Times New Roman" w:eastAsia="Times New Roman" w:hint="default"/>
          <w:color w:val="0D0D0D"/>
        </w:rPr>
        <w:t>2012</w:t>
      </w:r>
      <w:r>
        <w:rPr>
          <w:color w:val="0D0D0D"/>
        </w:rPr>
        <w:t>年</w:t>
      </w:r>
      <w:r>
        <w:rPr>
          <w:rFonts w:ascii="Times New Roman" w:hAnsi="Times New Roman" w:cs="Times New Roman" w:eastAsia="Times New Roman" w:hint="default"/>
          <w:color w:val="0D0D0D"/>
        </w:rPr>
        <w:t>6</w:t>
      </w:r>
      <w:r>
        <w:rPr>
          <w:color w:val="0D0D0D"/>
        </w:rPr>
        <w:t>月</w:t>
      </w:r>
      <w:r>
        <w:rPr>
          <w:rFonts w:ascii="Times New Roman" w:hAnsi="Times New Roman" w:cs="Times New Roman" w:eastAsia="Times New Roman" w:hint="default"/>
          <w:color w:val="0D0D0D"/>
        </w:rPr>
        <w:t>12</w:t>
      </w:r>
      <w:r>
        <w:rPr>
          <w:color w:val="0D0D0D"/>
        </w:rPr>
        <w:t>日以利安达验字</w:t>
      </w:r>
      <w:r>
        <w:rPr>
          <w:rFonts w:ascii="Times New Roman" w:hAnsi="Times New Roman" w:cs="Times New Roman" w:eastAsia="Times New Roman" w:hint="default"/>
          <w:color w:val="0D0D0D"/>
        </w:rPr>
        <w:t>[2012]</w:t>
      </w:r>
      <w:r>
        <w:rPr>
          <w:color w:val="0D0D0D"/>
        </w:rPr>
        <w:t>第</w:t>
      </w:r>
      <w:r>
        <w:rPr>
          <w:rFonts w:ascii="Times New Roman" w:hAnsi="Times New Roman" w:cs="Times New Roman" w:eastAsia="Times New Roman" w:hint="default"/>
          <w:color w:val="0D0D0D"/>
        </w:rPr>
        <w:t>1034</w:t>
      </w:r>
      <w:r>
        <w:rPr>
          <w:color w:val="0D0D0D"/>
        </w:rPr>
        <w:t>号 验资报告验证。</w:t>
      </w:r>
      <w:r>
        <w:rPr/>
      </w:r>
    </w:p>
    <w:p>
      <w:pPr>
        <w:pStyle w:val="BodyText"/>
        <w:spacing w:line="240" w:lineRule="auto" w:before="150"/>
        <w:ind w:left="573" w:right="1033"/>
        <w:jc w:val="left"/>
      </w:pPr>
      <w:r>
        <w:rPr>
          <w:color w:val="0D0D0D"/>
        </w:rPr>
        <w:t>本公司于</w:t>
      </w:r>
      <w:r>
        <w:rPr>
          <w:rFonts w:ascii="Times New Roman" w:hAnsi="Times New Roman" w:cs="Times New Roman" w:eastAsia="Times New Roman" w:hint="default"/>
          <w:color w:val="0D0D0D"/>
        </w:rPr>
        <w:t>2012</w:t>
      </w:r>
      <w:r>
        <w:rPr>
          <w:color w:val="0D0D0D"/>
        </w:rPr>
        <w:t>年</w:t>
      </w:r>
      <w:r>
        <w:rPr>
          <w:rFonts w:ascii="Times New Roman" w:hAnsi="Times New Roman" w:cs="Times New Roman" w:eastAsia="Times New Roman" w:hint="default"/>
          <w:color w:val="0D0D0D"/>
        </w:rPr>
        <w:t>6</w:t>
      </w:r>
      <w:r>
        <w:rPr>
          <w:color w:val="0D0D0D"/>
        </w:rPr>
        <w:t>月</w:t>
      </w:r>
      <w:r>
        <w:rPr>
          <w:rFonts w:ascii="Times New Roman" w:hAnsi="Times New Roman" w:cs="Times New Roman" w:eastAsia="Times New Roman" w:hint="default"/>
          <w:color w:val="0D0D0D"/>
        </w:rPr>
        <w:t>25</w:t>
      </w:r>
      <w:r>
        <w:rPr>
          <w:color w:val="0D0D0D"/>
        </w:rPr>
        <w:t>日完成了工商变更登记并换领了注册号为</w:t>
      </w:r>
      <w:r>
        <w:rPr>
          <w:rFonts w:ascii="Times New Roman" w:hAnsi="Times New Roman" w:cs="Times New Roman" w:eastAsia="Times New Roman" w:hint="default"/>
          <w:color w:val="0D0D0D"/>
        </w:rPr>
        <w:t>110000000991739</w:t>
      </w:r>
      <w:r>
        <w:rPr>
          <w:color w:val="0D0D0D"/>
        </w:rPr>
        <w:t>的企业法人营业执照，注册资本由</w:t>
      </w:r>
      <w:r>
        <w:rPr/>
      </w:r>
    </w:p>
    <w:p>
      <w:pPr>
        <w:pStyle w:val="BodyText"/>
        <w:spacing w:line="240" w:lineRule="auto" w:before="64"/>
        <w:ind w:right="1033"/>
        <w:jc w:val="left"/>
      </w:pPr>
      <w:r>
        <w:rPr>
          <w:rFonts w:ascii="Times New Roman" w:hAnsi="Times New Roman" w:cs="Times New Roman" w:eastAsia="Times New Roman" w:hint="default"/>
          <w:color w:val="0D0D0D"/>
        </w:rPr>
        <w:t>12,000.00</w:t>
      </w:r>
      <w:r>
        <w:rPr>
          <w:color w:val="0D0D0D"/>
        </w:rPr>
        <w:t>万元变更为</w:t>
      </w:r>
      <w:r>
        <w:rPr>
          <w:rFonts w:ascii="Times New Roman" w:hAnsi="Times New Roman" w:cs="Times New Roman" w:eastAsia="Times New Roman" w:hint="default"/>
          <w:color w:val="0D0D0D"/>
        </w:rPr>
        <w:t>24,000.00</w:t>
      </w:r>
      <w:r>
        <w:rPr>
          <w:color w:val="0D0D0D"/>
        </w:rPr>
        <w:t>万元。</w:t>
      </w:r>
      <w:r>
        <w:rPr/>
      </w:r>
    </w:p>
    <w:p>
      <w:pPr>
        <w:spacing w:line="240" w:lineRule="auto" w:before="12"/>
        <w:rPr>
          <w:rFonts w:ascii="宋体" w:hAnsi="宋体" w:cs="宋体" w:eastAsia="宋体" w:hint="default"/>
          <w:sz w:val="13"/>
          <w:szCs w:val="13"/>
        </w:rPr>
      </w:pPr>
    </w:p>
    <w:p>
      <w:pPr>
        <w:pStyle w:val="BodyText"/>
        <w:spacing w:line="300" w:lineRule="auto"/>
        <w:ind w:right="1131" w:firstLine="420"/>
        <w:jc w:val="both"/>
      </w:pPr>
      <w:r>
        <w:rPr>
          <w:rFonts w:ascii="Times New Roman" w:hAnsi="Times New Roman" w:cs="Times New Roman" w:eastAsia="Times New Roman" w:hint="default"/>
          <w:color w:val="0D0D0D"/>
        </w:rPr>
        <w:t>2013</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20</w:t>
      </w:r>
      <w:r>
        <w:rPr>
          <w:color w:val="0D0D0D"/>
        </w:rPr>
        <w:t>日，经证监会上市一部函</w:t>
      </w:r>
      <w:r>
        <w:rPr>
          <w:rFonts w:ascii="Times New Roman" w:hAnsi="Times New Roman" w:cs="Times New Roman" w:eastAsia="Times New Roman" w:hint="default"/>
          <w:color w:val="0D0D0D"/>
        </w:rPr>
        <w:t>[2013]999</w:t>
      </w:r>
      <w:r>
        <w:rPr>
          <w:color w:val="0D0D0D"/>
        </w:rPr>
        <w:t>号文批准，及</w:t>
      </w:r>
      <w:r>
        <w:rPr>
          <w:rFonts w:ascii="Times New Roman" w:hAnsi="Times New Roman" w:cs="Times New Roman" w:eastAsia="Times New Roman" w:hint="default"/>
          <w:color w:val="0D0D0D"/>
        </w:rPr>
        <w:t>2014</w:t>
      </w:r>
      <w:r>
        <w:rPr>
          <w:color w:val="0D0D0D"/>
        </w:rPr>
        <w:t>年第一次临时股东大会决议和第四届董事会第十六 次会议的规定拟向</w:t>
      </w:r>
      <w:r>
        <w:rPr>
          <w:rFonts w:ascii="Times New Roman" w:hAnsi="Times New Roman" w:cs="Times New Roman" w:eastAsia="Times New Roman" w:hint="default"/>
          <w:color w:val="0D0D0D"/>
        </w:rPr>
        <w:t>91</w:t>
      </w:r>
      <w:r>
        <w:rPr>
          <w:color w:val="0D0D0D"/>
        </w:rPr>
        <w:t>名激励对象授予限制性股票</w:t>
      </w:r>
      <w:r>
        <w:rPr>
          <w:rFonts w:ascii="Times New Roman" w:hAnsi="Times New Roman" w:cs="Times New Roman" w:eastAsia="Times New Roman" w:hint="default"/>
          <w:color w:val="0D0D0D"/>
        </w:rPr>
        <w:t>127</w:t>
      </w:r>
      <w:r>
        <w:rPr>
          <w:color w:val="0D0D0D"/>
        </w:rPr>
        <w:t>万股，每股面值</w:t>
      </w:r>
      <w:r>
        <w:rPr>
          <w:rFonts w:ascii="Times New Roman" w:hAnsi="Times New Roman" w:cs="Times New Roman" w:eastAsia="Times New Roman" w:hint="default"/>
          <w:color w:val="0D0D0D"/>
        </w:rPr>
        <w:t>1</w:t>
      </w:r>
      <w:r>
        <w:rPr>
          <w:color w:val="0D0D0D"/>
        </w:rPr>
        <w:t>元，每股价格</w:t>
      </w:r>
      <w:r>
        <w:rPr>
          <w:rFonts w:ascii="Times New Roman" w:hAnsi="Times New Roman" w:cs="Times New Roman" w:eastAsia="Times New Roman" w:hint="default"/>
          <w:color w:val="0D0D0D"/>
        </w:rPr>
        <w:t>10.89</w:t>
      </w:r>
      <w:r>
        <w:rPr>
          <w:color w:val="0D0D0D"/>
        </w:rPr>
        <w:t>元，注册资本依据激励对象实际认 </w:t>
      </w:r>
      <w:r>
        <w:rPr>
          <w:color w:val="0D0D0D"/>
          <w:spacing w:val="-1"/>
        </w:rPr>
        <w:t>购情况增加；截至</w:t>
      </w: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1</w:t>
      </w:r>
      <w:r>
        <w:rPr>
          <w:color w:val="0D0D0D"/>
          <w:spacing w:val="-1"/>
        </w:rPr>
        <w:t>月</w:t>
      </w:r>
      <w:r>
        <w:rPr>
          <w:rFonts w:ascii="Times New Roman" w:hAnsi="Times New Roman" w:cs="Times New Roman" w:eastAsia="Times New Roman" w:hint="default"/>
          <w:color w:val="0D0D0D"/>
          <w:spacing w:val="-1"/>
        </w:rPr>
        <w:t>22</w:t>
      </w:r>
      <w:r>
        <w:rPr>
          <w:color w:val="0D0D0D"/>
          <w:spacing w:val="-1"/>
        </w:rPr>
        <w:t>日止，实际认购人为</w:t>
      </w:r>
      <w:r>
        <w:rPr>
          <w:rFonts w:ascii="Times New Roman" w:hAnsi="Times New Roman" w:cs="Times New Roman" w:eastAsia="Times New Roman" w:hint="default"/>
          <w:color w:val="0D0D0D"/>
          <w:spacing w:val="-1"/>
        </w:rPr>
        <w:t>90</w:t>
      </w:r>
      <w:r>
        <w:rPr>
          <w:color w:val="0D0D0D"/>
          <w:spacing w:val="-1"/>
        </w:rPr>
        <w:t>人，实际授予数量为</w:t>
      </w:r>
      <w:r>
        <w:rPr>
          <w:rFonts w:ascii="Times New Roman" w:hAnsi="Times New Roman" w:cs="Times New Roman" w:eastAsia="Times New Roman" w:hint="default"/>
          <w:color w:val="0D0D0D"/>
          <w:spacing w:val="-1"/>
        </w:rPr>
        <w:t>126.7</w:t>
      </w:r>
      <w:r>
        <w:rPr>
          <w:color w:val="0D0D0D"/>
          <w:spacing w:val="-1"/>
        </w:rPr>
        <w:t>万股。根据本公司修改后章程的规定，申请</w:t>
      </w:r>
      <w:r>
        <w:rPr>
          <w:color w:val="0D0D0D"/>
          <w:spacing w:val="-71"/>
        </w:rPr>
        <w:t> </w:t>
      </w:r>
      <w:r>
        <w:rPr>
          <w:color w:val="0D0D0D"/>
          <w:spacing w:val="-71"/>
        </w:rPr>
      </w:r>
      <w:r>
        <w:rPr>
          <w:color w:val="0D0D0D"/>
        </w:rPr>
        <w:t>增加注册资本人民币</w:t>
      </w:r>
      <w:r>
        <w:rPr>
          <w:rFonts w:ascii="Times New Roman" w:hAnsi="Times New Roman" w:cs="Times New Roman" w:eastAsia="Times New Roman" w:hint="default"/>
          <w:color w:val="0D0D0D"/>
        </w:rPr>
        <w:t>126.7</w:t>
      </w:r>
      <w:r>
        <w:rPr>
          <w:color w:val="0D0D0D"/>
        </w:rPr>
        <w:t>万元，由</w:t>
      </w:r>
      <w:r>
        <w:rPr>
          <w:rFonts w:ascii="Times New Roman" w:hAnsi="Times New Roman" w:cs="Times New Roman" w:eastAsia="Times New Roman" w:hint="default"/>
          <w:color w:val="0D0D0D"/>
        </w:rPr>
        <w:t>90</w:t>
      </w:r>
      <w:r>
        <w:rPr>
          <w:color w:val="0D0D0D"/>
        </w:rPr>
        <w:t>名授予的激励对象认购限制性股票</w:t>
      </w:r>
      <w:r>
        <w:rPr>
          <w:rFonts w:ascii="Times New Roman" w:hAnsi="Times New Roman" w:cs="Times New Roman" w:eastAsia="Times New Roman" w:hint="default"/>
          <w:color w:val="0D0D0D"/>
        </w:rPr>
        <w:t>126.7</w:t>
      </w:r>
      <w:r>
        <w:rPr>
          <w:color w:val="0D0D0D"/>
        </w:rPr>
        <w:t>万股，每股面值</w:t>
      </w:r>
      <w:r>
        <w:rPr>
          <w:rFonts w:ascii="Times New Roman" w:hAnsi="Times New Roman" w:cs="Times New Roman" w:eastAsia="Times New Roman" w:hint="default"/>
          <w:color w:val="0D0D0D"/>
        </w:rPr>
        <w:t>1</w:t>
      </w:r>
      <w:r>
        <w:rPr>
          <w:color w:val="0D0D0D"/>
        </w:rPr>
        <w:t>元，每股价格</w:t>
      </w:r>
      <w:r>
        <w:rPr>
          <w:rFonts w:ascii="Times New Roman" w:hAnsi="Times New Roman" w:cs="Times New Roman" w:eastAsia="Times New Roman" w:hint="default"/>
          <w:color w:val="0D0D0D"/>
        </w:rPr>
        <w:t>10.89</w:t>
      </w:r>
      <w:r>
        <w:rPr>
          <w:color w:val="0D0D0D"/>
        </w:rPr>
        <w:t>元，增加 注册资本人民币</w:t>
      </w:r>
      <w:r>
        <w:rPr>
          <w:rFonts w:ascii="Times New Roman" w:hAnsi="Times New Roman" w:cs="Times New Roman" w:eastAsia="Times New Roman" w:hint="default"/>
          <w:color w:val="0D0D0D"/>
        </w:rPr>
        <w:t>126.7</w:t>
      </w:r>
      <w:r>
        <w:rPr>
          <w:color w:val="0D0D0D"/>
        </w:rPr>
        <w:t>万元，变更后的注册资本为人民币</w:t>
      </w:r>
      <w:r>
        <w:rPr>
          <w:rFonts w:ascii="Times New Roman" w:hAnsi="Times New Roman" w:cs="Times New Roman" w:eastAsia="Times New Roman" w:hint="default"/>
          <w:color w:val="0D0D0D"/>
        </w:rPr>
        <w:t>24,126.70</w:t>
      </w:r>
      <w:r>
        <w:rPr>
          <w:color w:val="0D0D0D"/>
        </w:rPr>
        <w:t>万元。上述增加出资业经大华会计师事务所（特殊普通合 伙）于</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1</w:t>
      </w:r>
      <w:r>
        <w:rPr>
          <w:color w:val="0D0D0D"/>
        </w:rPr>
        <w:t>月</w:t>
      </w:r>
      <w:r>
        <w:rPr>
          <w:rFonts w:ascii="Times New Roman" w:hAnsi="Times New Roman" w:cs="Times New Roman" w:eastAsia="Times New Roman" w:hint="default"/>
          <w:color w:val="0D0D0D"/>
        </w:rPr>
        <w:t>22</w:t>
      </w:r>
      <w:r>
        <w:rPr>
          <w:color w:val="0D0D0D"/>
        </w:rPr>
        <w:t>日以大华验字</w:t>
      </w:r>
      <w:r>
        <w:rPr>
          <w:rFonts w:ascii="Times New Roman" w:hAnsi="Times New Roman" w:cs="Times New Roman" w:eastAsia="Times New Roman" w:hint="default"/>
          <w:color w:val="0D0D0D"/>
        </w:rPr>
        <w:t>[2014]000053</w:t>
      </w:r>
      <w:r>
        <w:rPr>
          <w:color w:val="0D0D0D"/>
        </w:rPr>
        <w:t>号验资报告验证。本公司于</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2</w:t>
      </w:r>
      <w:r>
        <w:rPr>
          <w:color w:val="0D0D0D"/>
        </w:rPr>
        <w:t>月</w:t>
      </w:r>
      <w:r>
        <w:rPr>
          <w:rFonts w:ascii="Times New Roman" w:hAnsi="Times New Roman" w:cs="Times New Roman" w:eastAsia="Times New Roman" w:hint="default"/>
          <w:color w:val="0D0D0D"/>
        </w:rPr>
        <w:t>13</w:t>
      </w:r>
      <w:r>
        <w:rPr>
          <w:color w:val="0D0D0D"/>
        </w:rPr>
        <w:t>日完成了工商变更登记。</w:t>
      </w:r>
      <w:r>
        <w:rPr/>
      </w:r>
    </w:p>
    <w:p>
      <w:pPr>
        <w:pStyle w:val="BodyText"/>
        <w:spacing w:line="300" w:lineRule="auto" w:before="131"/>
        <w:ind w:left="154" w:right="1130" w:firstLine="420"/>
        <w:jc w:val="both"/>
      </w:pPr>
      <w:r>
        <w:rPr>
          <w:color w:val="0D0D0D"/>
          <w:spacing w:val="-1"/>
        </w:rPr>
        <w:t>根据《</w:t>
      </w:r>
      <w:r>
        <w:rPr>
          <w:rFonts w:ascii="Times New Roman" w:hAnsi="Times New Roman" w:cs="Times New Roman" w:eastAsia="Times New Roman" w:hint="default"/>
          <w:color w:val="0D0D0D"/>
          <w:spacing w:val="-1"/>
        </w:rPr>
        <w:t>2013</w:t>
      </w:r>
      <w:r>
        <w:rPr>
          <w:color w:val="0D0D0D"/>
          <w:spacing w:val="-1"/>
        </w:rPr>
        <w:t>年限制性股票激励计划（草案修订稿）》、</w:t>
      </w: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4</w:t>
      </w:r>
      <w:r>
        <w:rPr>
          <w:color w:val="0D0D0D"/>
          <w:spacing w:val="-1"/>
        </w:rPr>
        <w:t>月</w:t>
      </w:r>
      <w:r>
        <w:rPr>
          <w:rFonts w:ascii="Times New Roman" w:hAnsi="Times New Roman" w:cs="Times New Roman" w:eastAsia="Times New Roman" w:hint="default"/>
          <w:color w:val="0D0D0D"/>
          <w:spacing w:val="-1"/>
        </w:rPr>
        <w:t>10</w:t>
      </w:r>
      <w:r>
        <w:rPr>
          <w:color w:val="0D0D0D"/>
          <w:spacing w:val="-1"/>
        </w:rPr>
        <w:t>日</w:t>
      </w:r>
      <w:r>
        <w:rPr>
          <w:rFonts w:ascii="Times New Roman" w:hAnsi="Times New Roman" w:cs="Times New Roman" w:eastAsia="Times New Roman" w:hint="default"/>
          <w:color w:val="0D0D0D"/>
          <w:spacing w:val="-1"/>
        </w:rPr>
        <w:t>2014</w:t>
      </w:r>
      <w:r>
        <w:rPr>
          <w:color w:val="0D0D0D"/>
          <w:spacing w:val="-1"/>
        </w:rPr>
        <w:t>年第二次临时股东大会决议和修改后章程的</w:t>
      </w:r>
      <w:r>
        <w:rPr>
          <w:color w:val="0D0D0D"/>
        </w:rPr>
        <w:t> </w:t>
      </w:r>
      <w:r>
        <w:rPr>
          <w:color w:val="0D0D0D"/>
          <w:spacing w:val="-1"/>
        </w:rPr>
        <w:t>规定，本公司申请减少注册资本人民币</w:t>
      </w:r>
      <w:r>
        <w:rPr>
          <w:rFonts w:ascii="Times New Roman" w:hAnsi="Times New Roman" w:cs="Times New Roman" w:eastAsia="Times New Roman" w:hint="default"/>
          <w:color w:val="0D0D0D"/>
          <w:spacing w:val="-1"/>
        </w:rPr>
        <w:t>4.00</w:t>
      </w:r>
      <w:r>
        <w:rPr>
          <w:color w:val="0D0D0D"/>
          <w:spacing w:val="-1"/>
        </w:rPr>
        <w:t>万元，变更后本公司的注册资本为人民币</w:t>
      </w:r>
      <w:r>
        <w:rPr>
          <w:rFonts w:ascii="Times New Roman" w:hAnsi="Times New Roman" w:cs="Times New Roman" w:eastAsia="Times New Roman" w:hint="default"/>
          <w:color w:val="0D0D0D"/>
          <w:spacing w:val="-1"/>
        </w:rPr>
        <w:t>24,122.70</w:t>
      </w:r>
      <w:r>
        <w:rPr>
          <w:color w:val="0D0D0D"/>
          <w:spacing w:val="-1"/>
        </w:rPr>
        <w:t>万元。上述减少出资业经大华</w:t>
      </w:r>
      <w:r>
        <w:rPr>
          <w:spacing w:val="-1"/>
        </w:rPr>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3"/>
        <w:jc w:val="left"/>
      </w:pPr>
      <w:r>
        <w:rPr>
          <w:color w:val="0D0D0D"/>
          <w:spacing w:val="-1"/>
        </w:rPr>
        <w:t>会计师事务所（特殊普通合伙）于</w:t>
      </w: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5</w:t>
      </w:r>
      <w:r>
        <w:rPr>
          <w:color w:val="0D0D0D"/>
          <w:spacing w:val="-1"/>
        </w:rPr>
        <w:t>月</w:t>
      </w:r>
      <w:r>
        <w:rPr>
          <w:rFonts w:ascii="Times New Roman" w:hAnsi="Times New Roman" w:cs="Times New Roman" w:eastAsia="Times New Roman" w:hint="default"/>
          <w:color w:val="0D0D0D"/>
          <w:spacing w:val="-1"/>
        </w:rPr>
        <w:t>12</w:t>
      </w:r>
      <w:r>
        <w:rPr>
          <w:color w:val="0D0D0D"/>
          <w:spacing w:val="-1"/>
        </w:rPr>
        <w:t>日以大华验字</w:t>
      </w:r>
      <w:r>
        <w:rPr>
          <w:rFonts w:ascii="Times New Roman" w:hAnsi="Times New Roman" w:cs="Times New Roman" w:eastAsia="Times New Roman" w:hint="default"/>
          <w:color w:val="0D0D0D"/>
          <w:spacing w:val="-1"/>
        </w:rPr>
        <w:t>[2014]000128</w:t>
      </w:r>
      <w:r>
        <w:rPr>
          <w:color w:val="0D0D0D"/>
          <w:spacing w:val="-1"/>
        </w:rPr>
        <w:t>号验资报告验证。本公司于</w:t>
      </w: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5</w:t>
      </w:r>
      <w:r>
        <w:rPr>
          <w:color w:val="0D0D0D"/>
          <w:spacing w:val="-1"/>
        </w:rPr>
        <w:t>月</w:t>
      </w:r>
      <w:r>
        <w:rPr>
          <w:rFonts w:ascii="Times New Roman" w:hAnsi="Times New Roman" w:cs="Times New Roman" w:eastAsia="Times New Roman" w:hint="default"/>
          <w:color w:val="0D0D0D"/>
          <w:spacing w:val="-1"/>
        </w:rPr>
        <w:t>21</w:t>
      </w:r>
      <w:r>
        <w:rPr>
          <w:color w:val="0D0D0D"/>
          <w:spacing w:val="-1"/>
        </w:rPr>
        <w:t>日完成工</w:t>
      </w:r>
      <w:r>
        <w:rPr>
          <w:color w:val="0D0D0D"/>
          <w:spacing w:val="-48"/>
        </w:rPr>
        <w:t> </w:t>
      </w:r>
      <w:r>
        <w:rPr>
          <w:color w:val="0D0D0D"/>
        </w:rPr>
        <w:t>商变更登记。</w:t>
      </w:r>
      <w:r>
        <w:rPr/>
      </w:r>
    </w:p>
    <w:p>
      <w:pPr>
        <w:pStyle w:val="BodyText"/>
        <w:spacing w:line="302" w:lineRule="auto" w:before="148"/>
        <w:ind w:right="1033" w:firstLine="420"/>
        <w:jc w:val="left"/>
      </w:pP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5</w:t>
      </w:r>
      <w:r>
        <w:rPr>
          <w:color w:val="0D0D0D"/>
        </w:rPr>
        <w:t>月</w:t>
      </w:r>
      <w:r>
        <w:rPr>
          <w:rFonts w:ascii="Times New Roman" w:hAnsi="Times New Roman" w:cs="Times New Roman" w:eastAsia="Times New Roman" w:hint="default"/>
          <w:color w:val="0D0D0D"/>
        </w:rPr>
        <w:t>20</w:t>
      </w:r>
      <w:r>
        <w:rPr>
          <w:color w:val="0D0D0D"/>
        </w:rPr>
        <w:t>日，本公司股东大会决议批准</w:t>
      </w:r>
      <w:r>
        <w:rPr>
          <w:rFonts w:ascii="Times New Roman" w:hAnsi="Times New Roman" w:cs="Times New Roman" w:eastAsia="Times New Roman" w:hint="default"/>
          <w:color w:val="0D0D0D"/>
        </w:rPr>
        <w:t>:</w:t>
      </w:r>
      <w:r>
        <w:rPr>
          <w:color w:val="0D0D0D"/>
        </w:rPr>
        <w:t>本公司以截止到</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4</w:t>
      </w:r>
      <w:r>
        <w:rPr>
          <w:color w:val="0D0D0D"/>
        </w:rPr>
        <w:t>月</w:t>
      </w:r>
      <w:r>
        <w:rPr>
          <w:rFonts w:ascii="Times New Roman" w:hAnsi="Times New Roman" w:cs="Times New Roman" w:eastAsia="Times New Roman" w:hint="default"/>
          <w:color w:val="0D0D0D"/>
        </w:rPr>
        <w:t>1</w:t>
      </w:r>
      <w:r>
        <w:rPr>
          <w:color w:val="0D0D0D"/>
        </w:rPr>
        <w:t>日的总股本</w:t>
      </w:r>
      <w:r>
        <w:rPr>
          <w:rFonts w:ascii="Times New Roman" w:hAnsi="Times New Roman" w:cs="Times New Roman" w:eastAsia="Times New Roman" w:hint="default"/>
          <w:color w:val="0D0D0D"/>
        </w:rPr>
        <w:t>24,122.70</w:t>
      </w:r>
      <w:r>
        <w:rPr>
          <w:color w:val="0D0D0D"/>
        </w:rPr>
        <w:t>万股为基数，以资本公积 金向全体股东每</w:t>
      </w:r>
      <w:r>
        <w:rPr>
          <w:rFonts w:ascii="Times New Roman" w:hAnsi="Times New Roman" w:cs="Times New Roman" w:eastAsia="Times New Roman" w:hint="default"/>
          <w:color w:val="0D0D0D"/>
        </w:rPr>
        <w:t>10 </w:t>
      </w:r>
      <w:r>
        <w:rPr>
          <w:color w:val="0D0D0D"/>
        </w:rPr>
        <w:t>股转增</w:t>
      </w:r>
      <w:r>
        <w:rPr>
          <w:rFonts w:ascii="Times New Roman" w:hAnsi="Times New Roman" w:cs="Times New Roman" w:eastAsia="Times New Roman" w:hint="default"/>
          <w:color w:val="0D0D0D"/>
        </w:rPr>
        <w:t>10.001650</w:t>
      </w:r>
      <w:r>
        <w:rPr>
          <w:rFonts w:ascii="Times New Roman" w:hAnsi="Times New Roman" w:cs="Times New Roman" w:eastAsia="Times New Roman" w:hint="default"/>
          <w:color w:val="0D0D0D"/>
          <w:spacing w:val="6"/>
        </w:rPr>
        <w:t> </w:t>
      </w:r>
      <w:r>
        <w:rPr>
          <w:color w:val="0D0D0D"/>
        </w:rPr>
        <w:t>股。上述转增出资业经大华会计师事务所（特殊普通合伙）于</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7</w:t>
      </w:r>
      <w:r>
        <w:rPr>
          <w:color w:val="0D0D0D"/>
        </w:rPr>
        <w:t>月</w:t>
      </w:r>
      <w:r>
        <w:rPr>
          <w:rFonts w:ascii="Times New Roman" w:hAnsi="Times New Roman" w:cs="Times New Roman" w:eastAsia="Times New Roman" w:hint="default"/>
          <w:color w:val="0D0D0D"/>
        </w:rPr>
        <w:t>11</w:t>
      </w:r>
      <w:r>
        <w:rPr>
          <w:color w:val="0D0D0D"/>
        </w:rPr>
        <w:t>日以大华验 字</w:t>
      </w:r>
      <w:r>
        <w:rPr>
          <w:rFonts w:ascii="Times New Roman" w:hAnsi="Times New Roman" w:cs="Times New Roman" w:eastAsia="Times New Roman" w:hint="default"/>
          <w:color w:val="0D0D0D"/>
        </w:rPr>
        <w:t>[2014]000258</w:t>
      </w:r>
      <w:r>
        <w:rPr>
          <w:color w:val="0D0D0D"/>
        </w:rPr>
        <w:t>号验资报告验证。本公司于</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7</w:t>
      </w:r>
      <w:r>
        <w:rPr>
          <w:color w:val="0D0D0D"/>
        </w:rPr>
        <w:t>月</w:t>
      </w:r>
      <w:r>
        <w:rPr>
          <w:rFonts w:ascii="Times New Roman" w:hAnsi="Times New Roman" w:cs="Times New Roman" w:eastAsia="Times New Roman" w:hint="default"/>
          <w:color w:val="0D0D0D"/>
        </w:rPr>
        <w:t>3</w:t>
      </w:r>
      <w:r>
        <w:rPr>
          <w:color w:val="0D0D0D"/>
        </w:rPr>
        <w:t>日完成了工商变更登记，注册资本变更为</w:t>
      </w:r>
      <w:r>
        <w:rPr>
          <w:rFonts w:ascii="Times New Roman" w:hAnsi="Times New Roman" w:cs="Times New Roman" w:eastAsia="Times New Roman" w:hint="default"/>
          <w:color w:val="0D0D0D"/>
        </w:rPr>
        <w:t>48,249.3802</w:t>
      </w:r>
      <w:r>
        <w:rPr>
          <w:color w:val="0D0D0D"/>
        </w:rPr>
        <w:t>万元。</w:t>
      </w:r>
      <w:r>
        <w:rPr/>
      </w:r>
    </w:p>
    <w:p>
      <w:pPr>
        <w:pStyle w:val="BodyText"/>
        <w:spacing w:line="300" w:lineRule="auto" w:before="130"/>
        <w:ind w:right="1034" w:firstLine="420"/>
        <w:jc w:val="left"/>
      </w:pP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2</w:t>
      </w:r>
      <w:r>
        <w:rPr>
          <w:color w:val="0D0D0D"/>
        </w:rPr>
        <w:t>月</w:t>
      </w:r>
      <w:r>
        <w:rPr>
          <w:rFonts w:ascii="Times New Roman" w:hAnsi="Times New Roman" w:cs="Times New Roman" w:eastAsia="Times New Roman" w:hint="default"/>
          <w:color w:val="0D0D0D"/>
        </w:rPr>
        <w:t>16</w:t>
      </w:r>
      <w:r>
        <w:rPr>
          <w:color w:val="0D0D0D"/>
        </w:rPr>
        <w:t>日，根据本公司《</w:t>
      </w:r>
      <w:r>
        <w:rPr>
          <w:rFonts w:ascii="Times New Roman" w:hAnsi="Times New Roman" w:cs="Times New Roman" w:eastAsia="Times New Roman" w:hint="default"/>
          <w:color w:val="0D0D0D"/>
        </w:rPr>
        <w:t>2013</w:t>
      </w:r>
      <w:r>
        <w:rPr>
          <w:color w:val="0D0D0D"/>
        </w:rPr>
        <w:t>年限制性股票激励计划（草案修订稿）》、</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2</w:t>
      </w:r>
      <w:r>
        <w:rPr>
          <w:color w:val="0D0D0D"/>
        </w:rPr>
        <w:t>月</w:t>
      </w:r>
      <w:r>
        <w:rPr>
          <w:rFonts w:ascii="Times New Roman" w:hAnsi="Times New Roman" w:cs="Times New Roman" w:eastAsia="Times New Roman" w:hint="default"/>
          <w:color w:val="0D0D0D"/>
        </w:rPr>
        <w:t>2</w:t>
      </w:r>
      <w:r>
        <w:rPr>
          <w:color w:val="0D0D0D"/>
        </w:rPr>
        <w:t>日</w:t>
      </w:r>
      <w:r>
        <w:rPr>
          <w:rFonts w:ascii="Times New Roman" w:hAnsi="Times New Roman" w:cs="Times New Roman" w:eastAsia="Times New Roman" w:hint="default"/>
          <w:color w:val="0D0D0D"/>
        </w:rPr>
        <w:t>2015</w:t>
      </w:r>
      <w:r>
        <w:rPr>
          <w:color w:val="0D0D0D"/>
        </w:rPr>
        <w:t>年第一次临时股东大 </w:t>
      </w:r>
      <w:r>
        <w:rPr>
          <w:color w:val="0D0D0D"/>
          <w:spacing w:val="-2"/>
        </w:rPr>
        <w:t>会决议和修改后章程的规定，本公司申请减少注册资本人民币</w:t>
      </w:r>
      <w:r>
        <w:rPr>
          <w:rFonts w:ascii="Times New Roman" w:hAnsi="Times New Roman" w:cs="Times New Roman" w:eastAsia="Times New Roman" w:hint="default"/>
          <w:color w:val="0D0D0D"/>
          <w:spacing w:val="-2"/>
        </w:rPr>
        <w:t>255,020.00</w:t>
      </w:r>
      <w:r>
        <w:rPr>
          <w:color w:val="0D0D0D"/>
          <w:spacing w:val="-2"/>
        </w:rPr>
        <w:t>元，其变更后的注册资本为人民币</w:t>
      </w:r>
      <w:r>
        <w:rPr>
          <w:rFonts w:ascii="Times New Roman" w:hAnsi="Times New Roman" w:cs="Times New Roman" w:eastAsia="Times New Roman" w:hint="default"/>
          <w:color w:val="0D0D0D"/>
          <w:spacing w:val="-2"/>
        </w:rPr>
        <w:t>482,238,782.00</w:t>
      </w:r>
      <w:r>
        <w:rPr>
          <w:color w:val="0D0D0D"/>
          <w:spacing w:val="-2"/>
        </w:rPr>
        <w:t>元。</w:t>
      </w:r>
      <w:r>
        <w:rPr>
          <w:color w:val="0D0D0D"/>
          <w:spacing w:val="-85"/>
        </w:rPr>
        <w:t> </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17</w:t>
      </w:r>
      <w:r>
        <w:rPr>
          <w:color w:val="0D0D0D"/>
        </w:rPr>
        <w:t>日，本公司完成了注册资本的工商变更手续。</w:t>
      </w:r>
      <w:r>
        <w:rPr/>
      </w:r>
    </w:p>
    <w:p>
      <w:pPr>
        <w:pStyle w:val="BodyText"/>
        <w:spacing w:line="300" w:lineRule="auto" w:before="131"/>
        <w:ind w:right="1139" w:firstLine="420"/>
        <w:jc w:val="both"/>
        <w:rPr>
          <w:rFonts w:ascii="Times New Roman" w:hAnsi="Times New Roman" w:cs="Times New Roman" w:eastAsia="Times New Roman" w:hint="default"/>
        </w:rPr>
      </w:pPr>
      <w:r>
        <w:rPr>
          <w:color w:val="0D0D0D"/>
        </w:rPr>
        <w:t>根据</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27</w:t>
      </w:r>
      <w:r>
        <w:rPr>
          <w:color w:val="0D0D0D"/>
        </w:rPr>
        <w:t>日召开的第四届董事会第三十次会议及</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4</w:t>
      </w:r>
      <w:r>
        <w:rPr>
          <w:color w:val="0D0D0D"/>
        </w:rPr>
        <w:t>月</w:t>
      </w:r>
      <w:r>
        <w:rPr>
          <w:rFonts w:ascii="Times New Roman" w:hAnsi="Times New Roman" w:cs="Times New Roman" w:eastAsia="Times New Roman" w:hint="default"/>
          <w:color w:val="0D0D0D"/>
        </w:rPr>
        <w:t>21</w:t>
      </w:r>
      <w:r>
        <w:rPr>
          <w:color w:val="0D0D0D"/>
        </w:rPr>
        <w:t>日召开的</w:t>
      </w:r>
      <w:r>
        <w:rPr>
          <w:rFonts w:ascii="Times New Roman" w:hAnsi="Times New Roman" w:cs="Times New Roman" w:eastAsia="Times New Roman" w:hint="default"/>
          <w:color w:val="0D0D0D"/>
        </w:rPr>
        <w:t>2014</w:t>
      </w:r>
      <w:r>
        <w:rPr>
          <w:color w:val="0D0D0D"/>
        </w:rPr>
        <w:t>年年度股东大会审议通过的《</w:t>
      </w:r>
      <w:r>
        <w:rPr>
          <w:rFonts w:ascii="Times New Roman" w:hAnsi="Times New Roman" w:cs="Times New Roman" w:eastAsia="Times New Roman" w:hint="default"/>
          <w:color w:val="0D0D0D"/>
        </w:rPr>
        <w:t>2014 </w:t>
      </w:r>
      <w:r>
        <w:rPr>
          <w:color w:val="0D0D0D"/>
        </w:rPr>
        <w:t>年度利润分配及资本公积金转增股本方案》的规定，公司以截至</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12</w:t>
      </w:r>
      <w:r>
        <w:rPr>
          <w:color w:val="0D0D0D"/>
        </w:rPr>
        <w:t>日的总股本</w:t>
      </w:r>
      <w:r>
        <w:rPr>
          <w:rFonts w:ascii="Times New Roman" w:hAnsi="Times New Roman" w:cs="Times New Roman" w:eastAsia="Times New Roman" w:hint="default"/>
          <w:color w:val="0D0D0D"/>
        </w:rPr>
        <w:t>482,238,782</w:t>
      </w:r>
      <w:r>
        <w:rPr>
          <w:color w:val="0D0D0D"/>
        </w:rPr>
        <w:t>股为基数，以资本公积 金向全体股东每</w:t>
      </w:r>
      <w:r>
        <w:rPr>
          <w:rFonts w:ascii="Times New Roman" w:hAnsi="Times New Roman" w:cs="Times New Roman" w:eastAsia="Times New Roman" w:hint="default"/>
          <w:color w:val="0D0D0D"/>
        </w:rPr>
        <w:t>10</w:t>
      </w:r>
      <w:r>
        <w:rPr>
          <w:color w:val="0D0D0D"/>
        </w:rPr>
        <w:t>股转增</w:t>
      </w:r>
      <w:r>
        <w:rPr>
          <w:rFonts w:ascii="Times New Roman" w:hAnsi="Times New Roman" w:cs="Times New Roman" w:eastAsia="Times New Roman" w:hint="default"/>
          <w:color w:val="0D0D0D"/>
        </w:rPr>
        <w:t>5</w:t>
      </w:r>
      <w:r>
        <w:rPr>
          <w:color w:val="0D0D0D"/>
        </w:rPr>
        <w:t>股，转增后股本为</w:t>
      </w:r>
      <w:r>
        <w:rPr>
          <w:rFonts w:ascii="Times New Roman" w:hAnsi="Times New Roman" w:cs="Times New Roman" w:eastAsia="Times New Roman" w:hint="default"/>
          <w:color w:val="0D0D0D"/>
        </w:rPr>
        <w:t>723,358,173</w:t>
      </w:r>
      <w:r>
        <w:rPr>
          <w:color w:val="0D0D0D"/>
        </w:rPr>
        <w:t>股。</w:t>
      </w:r>
      <w:r>
        <w:rPr>
          <w:rFonts w:ascii="Times New Roman" w:hAnsi="Times New Roman" w:cs="Times New Roman" w:eastAsia="Times New Roman" w:hint="default"/>
          <w:color w:val="0D0D0D"/>
        </w:rPr>
        <w:t>OK</w:t>
      </w:r>
      <w:r>
        <w:rPr>
          <w:rFonts w:ascii="Times New Roman" w:hAnsi="Times New Roman" w:cs="Times New Roman" w:eastAsia="Times New Roman" w:hint="default"/>
        </w:rPr>
      </w:r>
    </w:p>
    <w:p>
      <w:pPr>
        <w:pStyle w:val="BodyText"/>
        <w:spacing w:line="240" w:lineRule="auto" w:before="131"/>
        <w:ind w:left="573" w:right="1033"/>
        <w:jc w:val="left"/>
      </w:pPr>
      <w:r>
        <w:rPr>
          <w:color w:val="0D0D0D"/>
        </w:rPr>
        <w:t>本公司本次权益分派已于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5</w:t>
      </w:r>
      <w:r>
        <w:rPr>
          <w:color w:val="0D0D0D"/>
        </w:rPr>
        <w:t>月</w:t>
      </w:r>
      <w:r>
        <w:rPr>
          <w:rFonts w:ascii="Times New Roman" w:hAnsi="Times New Roman" w:cs="Times New Roman" w:eastAsia="Times New Roman" w:hint="default"/>
          <w:color w:val="0D0D0D"/>
        </w:rPr>
        <w:t>6</w:t>
      </w:r>
      <w:r>
        <w:rPr>
          <w:color w:val="0D0D0D"/>
        </w:rPr>
        <w:t>日实施完毕。</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5</w:t>
      </w:r>
      <w:r>
        <w:rPr>
          <w:color w:val="0D0D0D"/>
        </w:rPr>
        <w:t>月</w:t>
      </w:r>
      <w:r>
        <w:rPr>
          <w:rFonts w:ascii="Times New Roman" w:hAnsi="Times New Roman" w:cs="Times New Roman" w:eastAsia="Times New Roman" w:hint="default"/>
          <w:color w:val="0D0D0D"/>
        </w:rPr>
        <w:t>27</w:t>
      </w:r>
      <w:r>
        <w:rPr>
          <w:color w:val="0D0D0D"/>
        </w:rPr>
        <w:t>日，本公司完成了注册资本的工商变更手续。</w:t>
      </w:r>
      <w:r>
        <w:rPr/>
      </w:r>
    </w:p>
    <w:p>
      <w:pPr>
        <w:spacing w:line="240" w:lineRule="auto" w:before="13"/>
        <w:rPr>
          <w:rFonts w:ascii="宋体" w:hAnsi="宋体" w:cs="宋体" w:eastAsia="宋体" w:hint="default"/>
          <w:sz w:val="13"/>
          <w:szCs w:val="13"/>
        </w:rPr>
      </w:pPr>
    </w:p>
    <w:p>
      <w:pPr>
        <w:pStyle w:val="BodyText"/>
        <w:spacing w:line="300" w:lineRule="auto"/>
        <w:ind w:right="1130" w:firstLine="420"/>
        <w:jc w:val="both"/>
      </w:pPr>
      <w:r>
        <w:rPr>
          <w:color w:val="0D0D0D"/>
        </w:rPr>
        <w:t>根据本公司</w:t>
      </w:r>
      <w:r>
        <w:rPr>
          <w:rFonts w:ascii="Times New Roman" w:hAnsi="Times New Roman" w:cs="Times New Roman" w:eastAsia="Times New Roman" w:hint="default"/>
          <w:color w:val="0D0D0D"/>
        </w:rPr>
        <w:t>2015</w:t>
      </w:r>
      <w:r>
        <w:rPr>
          <w:color w:val="0D0D0D"/>
        </w:rPr>
        <w:t>年第四次临时股东大会决议和修改后章程的规定，本公司申请增加注册资本人民币</w:t>
      </w:r>
      <w:r>
        <w:rPr>
          <w:rFonts w:ascii="Times New Roman" w:hAnsi="Times New Roman" w:cs="Times New Roman" w:eastAsia="Times New Roman" w:hint="default"/>
          <w:color w:val="0D0D0D"/>
        </w:rPr>
        <w:t>13,327,000.00</w:t>
      </w:r>
      <w:r>
        <w:rPr>
          <w:color w:val="0D0D0D"/>
        </w:rPr>
        <w:t>元，</w:t>
      </w:r>
      <w:r>
        <w:rPr>
          <w:color w:val="0D0D0D"/>
          <w:spacing w:val="-2"/>
        </w:rPr>
        <w:t> </w:t>
      </w:r>
      <w:r>
        <w:rPr>
          <w:color w:val="0D0D0D"/>
        </w:rPr>
        <w:t>由忻卫敏等</w:t>
      </w:r>
      <w:r>
        <w:rPr>
          <w:rFonts w:ascii="Times New Roman" w:hAnsi="Times New Roman" w:cs="Times New Roman" w:eastAsia="Times New Roman" w:hint="default"/>
          <w:color w:val="0D0D0D"/>
        </w:rPr>
        <w:t>202</w:t>
      </w:r>
      <w:r>
        <w:rPr>
          <w:color w:val="0D0D0D"/>
        </w:rPr>
        <w:t>名授予的激励对象认购限制性股票</w:t>
      </w:r>
      <w:r>
        <w:rPr>
          <w:rFonts w:ascii="Times New Roman" w:hAnsi="Times New Roman" w:cs="Times New Roman" w:eastAsia="Times New Roman" w:hint="default"/>
          <w:color w:val="0D0D0D"/>
        </w:rPr>
        <w:t>13,327,000.00</w:t>
      </w:r>
      <w:r>
        <w:rPr>
          <w:color w:val="0D0D0D"/>
        </w:rPr>
        <w:t>股，全部以货币资金出资。根据本公司</w:t>
      </w:r>
      <w:r>
        <w:rPr>
          <w:rFonts w:ascii="Times New Roman" w:hAnsi="Times New Roman" w:cs="Times New Roman" w:eastAsia="Times New Roman" w:hint="default"/>
          <w:color w:val="0D0D0D"/>
        </w:rPr>
        <w:t>2015</w:t>
      </w:r>
      <w:r>
        <w:rPr>
          <w:color w:val="0D0D0D"/>
        </w:rPr>
        <w:t>年第五届董事会 </w:t>
      </w:r>
      <w:r>
        <w:rPr>
          <w:color w:val="0D0D0D"/>
          <w:spacing w:val="-4"/>
        </w:rPr>
        <w:t>第三次会议《关于调整</w:t>
      </w:r>
      <w:r>
        <w:rPr>
          <w:rFonts w:ascii="Times New Roman" w:hAnsi="Times New Roman" w:cs="Times New Roman" w:eastAsia="Times New Roman" w:hint="default"/>
          <w:color w:val="0D0D0D"/>
          <w:spacing w:val="-4"/>
        </w:rPr>
        <w:t>2015</w:t>
      </w:r>
      <w:r>
        <w:rPr>
          <w:color w:val="0D0D0D"/>
          <w:spacing w:val="-4"/>
        </w:rPr>
        <w:t>年限制性股票激励计划授予对象、授予数量的议案》的决议，该次限制性股票激励对象变更为</w:t>
      </w:r>
      <w:r>
        <w:rPr>
          <w:rFonts w:ascii="Times New Roman" w:hAnsi="Times New Roman" w:cs="Times New Roman" w:eastAsia="Times New Roman" w:hint="default"/>
          <w:color w:val="0D0D0D"/>
          <w:spacing w:val="-4"/>
        </w:rPr>
        <w:t>203</w:t>
      </w:r>
      <w:r>
        <w:rPr>
          <w:rFonts w:ascii="Times New Roman" w:hAnsi="Times New Roman" w:cs="Times New Roman" w:eastAsia="Times New Roman" w:hint="default"/>
          <w:color w:val="0D0D0D"/>
          <w:spacing w:val="11"/>
        </w:rPr>
        <w:t> </w:t>
      </w:r>
      <w:r>
        <w:rPr>
          <w:color w:val="0D0D0D"/>
          <w:spacing w:val="-1"/>
        </w:rPr>
        <w:t>人，计划授予的限制性股票数量变更为</w:t>
      </w:r>
      <w:r>
        <w:rPr>
          <w:rFonts w:ascii="Times New Roman" w:hAnsi="Times New Roman" w:cs="Times New Roman" w:eastAsia="Times New Roman" w:hint="default"/>
          <w:color w:val="0D0D0D"/>
          <w:spacing w:val="-1"/>
        </w:rPr>
        <w:t>1342.70</w:t>
      </w:r>
      <w:r>
        <w:rPr>
          <w:color w:val="0D0D0D"/>
          <w:spacing w:val="-1"/>
        </w:rPr>
        <w:t>万股；其中由于公司财务负责人董桂英女士在本次限制性股票授予之日前</w:t>
      </w:r>
      <w:r>
        <w:rPr>
          <w:rFonts w:ascii="Times New Roman" w:hAnsi="Times New Roman" w:cs="Times New Roman" w:eastAsia="Times New Roman" w:hint="default"/>
          <w:color w:val="0D0D0D"/>
          <w:spacing w:val="-1"/>
        </w:rPr>
        <w:t>6</w:t>
      </w:r>
      <w:r>
        <w:rPr>
          <w:color w:val="0D0D0D"/>
          <w:spacing w:val="-1"/>
        </w:rPr>
        <w:t>个</w:t>
      </w:r>
      <w:r>
        <w:rPr>
          <w:color w:val="0D0D0D"/>
          <w:spacing w:val="-70"/>
        </w:rPr>
        <w:t> </w:t>
      </w:r>
      <w:r>
        <w:rPr>
          <w:color w:val="0D0D0D"/>
          <w:spacing w:val="-2"/>
        </w:rPr>
        <w:t>月内发生减持公司股票的行为，因此董桂英的限制性股票将自其最后一次减持本公司股票之日起</w:t>
      </w:r>
      <w:r>
        <w:rPr>
          <w:rFonts w:ascii="Times New Roman" w:hAnsi="Times New Roman" w:cs="Times New Roman" w:eastAsia="Times New Roman" w:hint="default"/>
          <w:color w:val="0D0D0D"/>
          <w:spacing w:val="-2"/>
        </w:rPr>
        <w:t>6</w:t>
      </w:r>
      <w:r>
        <w:rPr>
          <w:color w:val="0D0D0D"/>
          <w:spacing w:val="-2"/>
        </w:rPr>
        <w:t>个月后授予。截至</w:t>
      </w:r>
      <w:r>
        <w:rPr>
          <w:rFonts w:ascii="Times New Roman" w:hAnsi="Times New Roman" w:cs="Times New Roman" w:eastAsia="Times New Roman" w:hint="default"/>
          <w:color w:val="0D0D0D"/>
          <w:spacing w:val="-2"/>
        </w:rPr>
        <w:t>2015</w:t>
      </w:r>
      <w:r>
        <w:rPr>
          <w:color w:val="0D0D0D"/>
          <w:spacing w:val="-2"/>
        </w:rPr>
        <w:t>年</w:t>
      </w:r>
      <w:r>
        <w:rPr>
          <w:rFonts w:ascii="Times New Roman" w:hAnsi="Times New Roman" w:cs="Times New Roman" w:eastAsia="Times New Roman" w:hint="default"/>
          <w:color w:val="0D0D0D"/>
          <w:spacing w:val="-2"/>
        </w:rPr>
        <w:t>9</w:t>
      </w:r>
      <w:r>
        <w:rPr>
          <w:rFonts w:ascii="Times New Roman" w:hAnsi="Times New Roman" w:cs="Times New Roman" w:eastAsia="Times New Roman" w:hint="default"/>
          <w:color w:val="0D0D0D"/>
          <w:spacing w:val="-12"/>
        </w:rPr>
        <w:t> </w:t>
      </w:r>
      <w:r>
        <w:rPr>
          <w:color w:val="0D0D0D"/>
          <w:spacing w:val="-2"/>
        </w:rPr>
        <w:t>月</w:t>
      </w:r>
      <w:r>
        <w:rPr>
          <w:rFonts w:ascii="Times New Roman" w:hAnsi="Times New Roman" w:cs="Times New Roman" w:eastAsia="Times New Roman" w:hint="default"/>
          <w:color w:val="0D0D0D"/>
          <w:spacing w:val="-2"/>
        </w:rPr>
        <w:t>18</w:t>
      </w:r>
      <w:r>
        <w:rPr>
          <w:color w:val="0D0D0D"/>
          <w:spacing w:val="-2"/>
        </w:rPr>
        <w:t>日止，本公司已收到由忻卫敏等</w:t>
      </w:r>
      <w:r>
        <w:rPr>
          <w:rFonts w:ascii="Times New Roman" w:hAnsi="Times New Roman" w:cs="Times New Roman" w:eastAsia="Times New Roman" w:hint="default"/>
          <w:color w:val="0D0D0D"/>
          <w:spacing w:val="-2"/>
        </w:rPr>
        <w:t>202</w:t>
      </w:r>
      <w:r>
        <w:rPr>
          <w:color w:val="0D0D0D"/>
          <w:spacing w:val="-2"/>
        </w:rPr>
        <w:t>名授予股权的激励对象缴纳的出资款人民币</w:t>
      </w:r>
      <w:r>
        <w:rPr>
          <w:rFonts w:ascii="Times New Roman" w:hAnsi="Times New Roman" w:cs="Times New Roman" w:eastAsia="Times New Roman" w:hint="default"/>
          <w:color w:val="0D0D0D"/>
          <w:spacing w:val="-2"/>
        </w:rPr>
        <w:t>94,888,240.00</w:t>
      </w:r>
      <w:r>
        <w:rPr>
          <w:color w:val="0D0D0D"/>
          <w:spacing w:val="-2"/>
        </w:rPr>
        <w:t>元，其中新增注册资本（股</w:t>
      </w:r>
      <w:r>
        <w:rPr>
          <w:color w:val="0D0D0D"/>
        </w:rPr>
        <w:t> </w:t>
      </w:r>
      <w:r>
        <w:rPr>
          <w:color w:val="0D0D0D"/>
          <w:spacing w:val="-1"/>
        </w:rPr>
        <w:t>本）合计人民币</w:t>
      </w:r>
      <w:r>
        <w:rPr>
          <w:rFonts w:ascii="Times New Roman" w:hAnsi="Times New Roman" w:cs="Times New Roman" w:eastAsia="Times New Roman" w:hint="default"/>
          <w:color w:val="0D0D0D"/>
          <w:spacing w:val="-1"/>
        </w:rPr>
        <w:t>13,327,000.00</w:t>
      </w:r>
      <w:r>
        <w:rPr>
          <w:color w:val="0D0D0D"/>
          <w:spacing w:val="-1"/>
        </w:rPr>
        <w:t>元，变更后的累计股本人民币</w:t>
      </w:r>
      <w:r>
        <w:rPr>
          <w:rFonts w:ascii="Times New Roman" w:hAnsi="Times New Roman" w:cs="Times New Roman" w:eastAsia="Times New Roman" w:hint="default"/>
          <w:color w:val="0D0D0D"/>
          <w:spacing w:val="-1"/>
        </w:rPr>
        <w:t>736,685,173.00</w:t>
      </w:r>
      <w:r>
        <w:rPr>
          <w:color w:val="0D0D0D"/>
          <w:spacing w:val="-1"/>
        </w:rPr>
        <w:t>元，占变更后注册资本的</w:t>
      </w:r>
      <w:r>
        <w:rPr>
          <w:rFonts w:ascii="Times New Roman" w:hAnsi="Times New Roman" w:cs="Times New Roman" w:eastAsia="Times New Roman" w:hint="default"/>
          <w:color w:val="0D0D0D"/>
          <w:spacing w:val="-1"/>
        </w:rPr>
        <w:t>100.00%</w:t>
      </w:r>
      <w:r>
        <w:rPr>
          <w:color w:val="0D0D0D"/>
          <w:spacing w:val="-1"/>
        </w:rPr>
        <w:t>。</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11</w:t>
      </w:r>
      <w:r>
        <w:rPr>
          <w:color w:val="0D0D0D"/>
          <w:spacing w:val="-1"/>
        </w:rPr>
        <w:t>月</w:t>
      </w:r>
      <w:r>
        <w:rPr>
          <w:rFonts w:ascii="Times New Roman" w:hAnsi="Times New Roman" w:cs="Times New Roman" w:eastAsia="Times New Roman" w:hint="default"/>
          <w:color w:val="0D0D0D"/>
          <w:spacing w:val="-1"/>
        </w:rPr>
        <w:t>19</w:t>
      </w:r>
      <w:r>
        <w:rPr>
          <w:rFonts w:ascii="Times New Roman" w:hAnsi="Times New Roman" w:cs="Times New Roman" w:eastAsia="Times New Roman" w:hint="default"/>
          <w:color w:val="0D0D0D"/>
          <w:spacing w:val="13"/>
        </w:rPr>
        <w:t> </w:t>
      </w:r>
      <w:r>
        <w:rPr>
          <w:color w:val="0D0D0D"/>
        </w:rPr>
        <w:t>日，本公司完成了注册资本的工商变更手续。</w:t>
      </w:r>
      <w:r>
        <w:rPr/>
      </w:r>
    </w:p>
    <w:p>
      <w:pPr>
        <w:pStyle w:val="BodyText"/>
        <w:spacing w:line="300" w:lineRule="auto" w:before="150"/>
        <w:ind w:right="1130" w:firstLine="420"/>
        <w:jc w:val="both"/>
      </w:pPr>
      <w:r>
        <w:rPr>
          <w:color w:val="0D0D0D"/>
        </w:rPr>
        <w:t>根据本公司</w:t>
      </w:r>
      <w:r>
        <w:rPr>
          <w:rFonts w:ascii="Times New Roman" w:hAnsi="Times New Roman" w:cs="Times New Roman" w:eastAsia="Times New Roman" w:hint="default"/>
          <w:color w:val="0D0D0D"/>
        </w:rPr>
        <w:t>2014</w:t>
      </w:r>
      <w:r>
        <w:rPr>
          <w:color w:val="0D0D0D"/>
        </w:rPr>
        <w:t>年年度股东大会决议，并经中国证券监督管理委员会以《关于核准二六三网络通信股份有限公司非公 </w:t>
      </w:r>
      <w:r>
        <w:rPr>
          <w:color w:val="0D0D0D"/>
          <w:spacing w:val="-3"/>
        </w:rPr>
        <w:t>开发行股票的批复》（证监许可</w:t>
      </w:r>
      <w:r>
        <w:rPr>
          <w:rFonts w:ascii="Times New Roman" w:hAnsi="Times New Roman" w:cs="Times New Roman" w:eastAsia="Times New Roman" w:hint="default"/>
          <w:color w:val="0D0D0D"/>
          <w:spacing w:val="-3"/>
        </w:rPr>
        <w:t>[2015]2587</w:t>
      </w:r>
      <w:r>
        <w:rPr>
          <w:color w:val="0D0D0D"/>
          <w:spacing w:val="-3"/>
        </w:rPr>
        <w:t>号）核准，本公司于</w:t>
      </w:r>
      <w:r>
        <w:rPr>
          <w:rFonts w:ascii="Times New Roman" w:hAnsi="Times New Roman" w:cs="Times New Roman" w:eastAsia="Times New Roman" w:hint="default"/>
          <w:color w:val="0D0D0D"/>
          <w:spacing w:val="-3"/>
        </w:rPr>
        <w:t>2015</w:t>
      </w:r>
      <w:r>
        <w:rPr>
          <w:color w:val="0D0D0D"/>
          <w:spacing w:val="-3"/>
        </w:rPr>
        <w:t>年</w:t>
      </w:r>
      <w:r>
        <w:rPr>
          <w:rFonts w:ascii="Times New Roman" w:hAnsi="Times New Roman" w:cs="Times New Roman" w:eastAsia="Times New Roman" w:hint="default"/>
          <w:color w:val="0D0D0D"/>
          <w:spacing w:val="-3"/>
        </w:rPr>
        <w:t>12</w:t>
      </w:r>
      <w:r>
        <w:rPr>
          <w:color w:val="0D0D0D"/>
          <w:spacing w:val="-3"/>
        </w:rPr>
        <w:t>月</w:t>
      </w:r>
      <w:r>
        <w:rPr>
          <w:rFonts w:ascii="Times New Roman" w:hAnsi="Times New Roman" w:cs="Times New Roman" w:eastAsia="Times New Roman" w:hint="default"/>
          <w:color w:val="0D0D0D"/>
          <w:spacing w:val="-3"/>
        </w:rPr>
        <w:t>9</w:t>
      </w:r>
      <w:r>
        <w:rPr>
          <w:color w:val="0D0D0D"/>
          <w:spacing w:val="-3"/>
        </w:rPr>
        <w:t>日非公开发行人民币普通股</w:t>
      </w:r>
      <w:r>
        <w:rPr>
          <w:rFonts w:ascii="Times New Roman" w:hAnsi="Times New Roman" w:cs="Times New Roman" w:eastAsia="Times New Roman" w:hint="default"/>
          <w:color w:val="0D0D0D"/>
          <w:spacing w:val="-3"/>
        </w:rPr>
        <w:t>(A</w:t>
      </w:r>
      <w:r>
        <w:rPr>
          <w:color w:val="0D0D0D"/>
          <w:spacing w:val="-3"/>
        </w:rPr>
        <w:t>股</w:t>
      </w:r>
      <w:r>
        <w:rPr>
          <w:rFonts w:ascii="Times New Roman" w:hAnsi="Times New Roman" w:cs="Times New Roman" w:eastAsia="Times New Roman" w:hint="default"/>
          <w:color w:val="0D0D0D"/>
          <w:spacing w:val="-3"/>
        </w:rPr>
        <w:t>)</w:t>
      </w:r>
      <w:r>
        <w:rPr>
          <w:rFonts w:ascii="Times New Roman" w:hAnsi="Times New Roman" w:cs="Times New Roman" w:eastAsia="Times New Roman" w:hint="default"/>
          <w:color w:val="0D0D0D"/>
          <w:spacing w:val="23"/>
        </w:rPr>
        <w:t> </w:t>
      </w:r>
      <w:r>
        <w:rPr>
          <w:rFonts w:ascii="Times New Roman" w:hAnsi="Times New Roman" w:cs="Times New Roman" w:eastAsia="Times New Roman" w:hint="default"/>
          <w:color w:val="0D0D0D"/>
        </w:rPr>
        <w:t>61,635,220</w:t>
      </w:r>
      <w:r>
        <w:rPr>
          <w:color w:val="0D0D0D"/>
        </w:rPr>
        <w:t>股，</w:t>
      </w:r>
      <w:r>
        <w:rPr>
          <w:color w:val="0D0D0D"/>
          <w:spacing w:val="-83"/>
        </w:rPr>
        <w:t> </w:t>
      </w:r>
      <w:r>
        <w:rPr>
          <w:color w:val="0D0D0D"/>
          <w:spacing w:val="-2"/>
        </w:rPr>
        <w:t>每股面值人民币</w:t>
      </w:r>
      <w:r>
        <w:rPr>
          <w:rFonts w:ascii="Times New Roman" w:hAnsi="Times New Roman" w:cs="Times New Roman" w:eastAsia="Times New Roman" w:hint="default"/>
          <w:color w:val="0D0D0D"/>
          <w:spacing w:val="-2"/>
        </w:rPr>
        <w:t>1.00</w:t>
      </w:r>
      <w:r>
        <w:rPr>
          <w:color w:val="0D0D0D"/>
          <w:spacing w:val="-2"/>
        </w:rPr>
        <w:t>元，每股发行认购价格为人民币</w:t>
      </w:r>
      <w:r>
        <w:rPr>
          <w:rFonts w:ascii="Times New Roman" w:hAnsi="Times New Roman" w:cs="Times New Roman" w:eastAsia="Times New Roman" w:hint="default"/>
          <w:color w:val="0D0D0D"/>
          <w:spacing w:val="-2"/>
        </w:rPr>
        <w:t>12.72</w:t>
      </w:r>
      <w:r>
        <w:rPr>
          <w:color w:val="0D0D0D"/>
          <w:spacing w:val="-2"/>
        </w:rPr>
        <w:t>元。本次股票发行后，本公司的股份总数变更为</w:t>
      </w:r>
      <w:r>
        <w:rPr>
          <w:rFonts w:ascii="Times New Roman" w:hAnsi="Times New Roman" w:cs="Times New Roman" w:eastAsia="Times New Roman" w:hint="default"/>
          <w:color w:val="0D0D0D"/>
          <w:spacing w:val="-2"/>
        </w:rPr>
        <w:t>798,320,393.00</w:t>
      </w:r>
      <w:r>
        <w:rPr>
          <w:color w:val="0D0D0D"/>
          <w:spacing w:val="-2"/>
        </w:rPr>
        <w:t>股，</w:t>
      </w:r>
      <w:r>
        <w:rPr>
          <w:color w:val="0D0D0D"/>
        </w:rPr>
        <w:t> 股本总额为人民币</w:t>
      </w:r>
      <w:r>
        <w:rPr>
          <w:rFonts w:ascii="Times New Roman" w:hAnsi="Times New Roman" w:cs="Times New Roman" w:eastAsia="Times New Roman" w:hint="default"/>
          <w:color w:val="0D0D0D"/>
        </w:rPr>
        <w:t>798,320,393.00</w:t>
      </w:r>
      <w:r>
        <w:rPr>
          <w:color w:val="0D0D0D"/>
        </w:rPr>
        <w:t>元。</w:t>
      </w:r>
      <w:r>
        <w:rPr/>
      </w:r>
    </w:p>
    <w:p>
      <w:pPr>
        <w:pStyle w:val="BodyText"/>
        <w:spacing w:line="300" w:lineRule="auto" w:before="131"/>
        <w:ind w:right="1132" w:firstLine="420"/>
        <w:jc w:val="both"/>
      </w:pPr>
      <w:r>
        <w:rPr>
          <w:color w:val="0D0D0D"/>
          <w:spacing w:val="-1"/>
        </w:rPr>
        <w:t>根据</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25</w:t>
      </w:r>
      <w:r>
        <w:rPr>
          <w:color w:val="0D0D0D"/>
          <w:spacing w:val="-1"/>
        </w:rPr>
        <w:t>日本公司第五届董事会第八次会议的规定，董桂英女士已符合限制性股票授予条件</w:t>
      </w:r>
      <w:r>
        <w:rPr>
          <w:rFonts w:ascii="Times New Roman" w:hAnsi="Times New Roman" w:cs="Times New Roman" w:eastAsia="Times New Roman" w:hint="default"/>
          <w:color w:val="0D0D0D"/>
          <w:spacing w:val="-1"/>
        </w:rPr>
        <w:t>,</w:t>
      </w:r>
      <w:r>
        <w:rPr>
          <w:color w:val="0D0D0D"/>
          <w:spacing w:val="-1"/>
        </w:rPr>
        <w:t>将第五届董事会</w:t>
      </w:r>
      <w:r>
        <w:rPr>
          <w:color w:val="0D0D0D"/>
        </w:rPr>
        <w:t> 第三次会议审议通过的</w:t>
      </w:r>
      <w:r>
        <w:rPr>
          <w:rFonts w:ascii="Times New Roman" w:hAnsi="Times New Roman" w:cs="Times New Roman" w:eastAsia="Times New Roman" w:hint="default"/>
          <w:color w:val="0D0D0D"/>
        </w:rPr>
        <w:t>10</w:t>
      </w:r>
      <w:r>
        <w:rPr>
          <w:color w:val="0D0D0D"/>
        </w:rPr>
        <w:t>万股限制性股票授予董桂英女士</w:t>
      </w:r>
      <w:r>
        <w:rPr>
          <w:rFonts w:ascii="Times New Roman" w:hAnsi="Times New Roman" w:cs="Times New Roman" w:eastAsia="Times New Roman" w:hint="default"/>
          <w:color w:val="0D0D0D"/>
        </w:rPr>
        <w:t>,</w:t>
      </w:r>
      <w:r>
        <w:rPr>
          <w:color w:val="0D0D0D"/>
        </w:rPr>
        <w:t>每股面值</w:t>
      </w:r>
      <w:r>
        <w:rPr>
          <w:rFonts w:ascii="Times New Roman" w:hAnsi="Times New Roman" w:cs="Times New Roman" w:eastAsia="Times New Roman" w:hint="default"/>
          <w:color w:val="0D0D0D"/>
        </w:rPr>
        <w:t>1</w:t>
      </w:r>
      <w:r>
        <w:rPr>
          <w:color w:val="0D0D0D"/>
        </w:rPr>
        <w:t>元，每股发行认购价格</w:t>
      </w:r>
      <w:r>
        <w:rPr>
          <w:rFonts w:ascii="Times New Roman" w:hAnsi="Times New Roman" w:cs="Times New Roman" w:eastAsia="Times New Roman" w:hint="default"/>
          <w:color w:val="0D0D0D"/>
        </w:rPr>
        <w:t>7.12</w:t>
      </w:r>
      <w:r>
        <w:rPr>
          <w:color w:val="0D0D0D"/>
        </w:rPr>
        <w:t>元。本次股票发行后，本公 司的股份总数变更为</w:t>
      </w:r>
      <w:r>
        <w:rPr>
          <w:rFonts w:ascii="Times New Roman" w:hAnsi="Times New Roman" w:cs="Times New Roman" w:eastAsia="Times New Roman" w:hint="default"/>
          <w:color w:val="0D0D0D"/>
        </w:rPr>
        <w:t>798,420,393.00</w:t>
      </w:r>
      <w:r>
        <w:rPr>
          <w:color w:val="0D0D0D"/>
        </w:rPr>
        <w:t>股，股本总额为人民币</w:t>
      </w:r>
      <w:r>
        <w:rPr>
          <w:rFonts w:ascii="Times New Roman" w:hAnsi="Times New Roman" w:cs="Times New Roman" w:eastAsia="Times New Roman" w:hint="default"/>
          <w:color w:val="0D0D0D"/>
        </w:rPr>
        <w:t>798,420,393.00</w:t>
      </w:r>
      <w:r>
        <w:rPr>
          <w:color w:val="0D0D0D"/>
        </w:rPr>
        <w:t>元。</w:t>
      </w:r>
      <w:r>
        <w:rPr/>
      </w:r>
    </w:p>
    <w:p>
      <w:pPr>
        <w:pStyle w:val="BodyText"/>
        <w:spacing w:line="240" w:lineRule="auto" w:before="131"/>
        <w:ind w:left="571" w:right="1033"/>
        <w:jc w:val="left"/>
      </w:pPr>
      <w:r>
        <w:rPr>
          <w:color w:val="0D0D0D"/>
        </w:rPr>
        <w:t>注册地址：北京市昌平区城区镇超前路</w:t>
      </w:r>
      <w:r>
        <w:rPr>
          <w:rFonts w:ascii="Times New Roman" w:hAnsi="Times New Roman" w:cs="Times New Roman" w:eastAsia="Times New Roman" w:hint="default"/>
          <w:color w:val="0D0D0D"/>
        </w:rPr>
        <w:t>13</w:t>
      </w:r>
      <w:r>
        <w:rPr>
          <w:color w:val="0D0D0D"/>
        </w:rPr>
        <w:t>号，集团最终实际控制人为李小龙。</w:t>
      </w:r>
      <w:r>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57" w:lineRule="auto"/>
        <w:ind w:left="517" w:right="1119" w:hanging="4"/>
        <w:jc w:val="left"/>
      </w:pPr>
      <w:r>
        <w:rPr/>
        <w:t>（二）经营范围 增值电信业务；互联网信息服务；计算机信息网络国际联网经营业务；电子商务；设计和制作网络广告；利用</w:t>
      </w:r>
      <w:r>
        <w:rPr>
          <w:rFonts w:ascii="Times New Roman" w:hAnsi="Times New Roman" w:cs="Times New Roman" w:eastAsia="Times New Roman" w:hint="default"/>
        </w:rPr>
        <w:t>263</w:t>
      </w:r>
      <w:r>
        <w:rPr/>
        <w:t>网站</w:t>
      </w:r>
    </w:p>
    <w:p>
      <w:pPr>
        <w:pStyle w:val="BodyText"/>
        <w:spacing w:line="214" w:lineRule="exact"/>
        <w:ind w:left="154" w:right="1033"/>
        <w:jc w:val="left"/>
      </w:pPr>
      <w:r>
        <w:rPr/>
        <w:t>（</w:t>
      </w:r>
      <w:hyperlink r:id="rId19">
        <w:r>
          <w:rPr>
            <w:rFonts w:ascii="Times New Roman" w:hAnsi="Times New Roman" w:cs="Times New Roman" w:eastAsia="Times New Roman" w:hint="default"/>
          </w:rPr>
          <w:t>www.263.net.cn</w:t>
        </w:r>
      </w:hyperlink>
      <w:r>
        <w:rPr/>
        <w:t>）发布网络广告；电子技术、网络技术、计算机软件开发；销售自行开发后产品；物业管理（限分支机构</w:t>
      </w:r>
    </w:p>
    <w:p>
      <w:pPr>
        <w:pStyle w:val="BodyText"/>
        <w:spacing w:line="240" w:lineRule="auto" w:before="64"/>
        <w:ind w:left="154" w:right="1033"/>
        <w:jc w:val="left"/>
      </w:pPr>
      <w:r>
        <w:rPr/>
        <w:t>经营）。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513" w:right="1033"/>
        <w:jc w:val="left"/>
      </w:pPr>
      <w:r>
        <w:rPr/>
        <w:t>（三）公司业务性质和主要经营活动</w:t>
      </w:r>
    </w:p>
    <w:p>
      <w:pPr>
        <w:pStyle w:val="BodyText"/>
        <w:spacing w:line="338" w:lineRule="auto" w:before="116"/>
        <w:ind w:left="517" w:right="1033"/>
        <w:jc w:val="left"/>
      </w:pPr>
      <w:r>
        <w:rPr>
          <w:rFonts w:ascii="Times New Roman" w:hAnsi="Times New Roman" w:cs="Times New Roman" w:eastAsia="Times New Roman" w:hint="default"/>
        </w:rPr>
        <w:t>1</w:t>
      </w:r>
      <w:r>
        <w:rPr/>
        <w:t>．业务性质 </w:t>
      </w:r>
      <w:r>
        <w:rPr>
          <w:spacing w:val="-4"/>
        </w:rPr>
        <w:t>本公司属增值电信业务企业。本公司于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w:t>
      </w:r>
      <w:r>
        <w:rPr>
          <w:spacing w:val="-4"/>
        </w:rPr>
        <w:t>日取得中华人民共和国增值电信业务经营许可证（经营许可证编号：</w:t>
      </w:r>
    </w:p>
    <w:p>
      <w:pPr>
        <w:pStyle w:val="BodyText"/>
        <w:spacing w:line="230" w:lineRule="exact"/>
        <w:ind w:right="1033"/>
        <w:jc w:val="left"/>
      </w:pPr>
      <w:r>
        <w:rPr>
          <w:rFonts w:ascii="Times New Roman" w:hAnsi="Times New Roman" w:cs="Times New Roman" w:eastAsia="Times New Roman" w:hint="default"/>
        </w:rPr>
        <w:t>B1.B2-20090386</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日），获准经营第一类增值电信业务中的国内多方通信服务业务；第二类增值电信</w:t>
      </w:r>
    </w:p>
    <w:p>
      <w:pPr>
        <w:pStyle w:val="BodyText"/>
        <w:spacing w:line="316" w:lineRule="auto" w:before="63"/>
        <w:ind w:right="1033"/>
        <w:jc w:val="left"/>
      </w:pPr>
      <w:r>
        <w:rPr>
          <w:spacing w:val="-7"/>
        </w:rPr>
        <w:t>业务中的呼叫中心业务、因特网接入服务业务和信息服务业务、信息服务业务（不含固定网电话信息服务和互联网信息服务）。</w:t>
      </w:r>
      <w:r>
        <w:rPr>
          <w:spacing w:val="-50"/>
        </w:rPr>
        <w:t> </w:t>
      </w:r>
      <w:r>
        <w:rPr>
          <w:spacing w:val="-50"/>
        </w:rPr>
      </w:r>
      <w:r>
        <w:rPr/>
        <w:t>其中，国内多方通信服务业务获准全国经营；呼叫中心业务获准全国经营；因特网接入服务业务获准在北京、上海</w:t>
      </w:r>
      <w:r>
        <w:rPr>
          <w:rFonts w:ascii="Times New Roman" w:hAnsi="Times New Roman" w:cs="Times New Roman" w:eastAsia="Times New Roman" w:hint="default"/>
        </w:rPr>
        <w:t>2</w:t>
      </w:r>
      <w:r>
        <w:rPr/>
        <w:t>直辖市</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229"/>
        <w:jc w:val="both"/>
      </w:pPr>
      <w:r>
        <w:rPr/>
        <w:t>以及沈阳等</w:t>
      </w:r>
      <w:r>
        <w:rPr>
          <w:rFonts w:ascii="Times New Roman" w:hAnsi="Times New Roman" w:cs="Times New Roman" w:eastAsia="Times New Roman" w:hint="default"/>
        </w:rPr>
        <w:t>10</w:t>
      </w:r>
      <w:r>
        <w:rPr/>
        <w:t>个城市经营；信息服务业务（不包括固定网电话信息服务和互联网信息服务）获准在北京、天津、上海等</w:t>
      </w:r>
      <w:r>
        <w:rPr>
          <w:rFonts w:ascii="Times New Roman" w:hAnsi="Times New Roman" w:cs="Times New Roman" w:eastAsia="Times New Roman" w:hint="default"/>
        </w:rPr>
        <w:t>18 </w:t>
      </w:r>
      <w:r>
        <w:rPr/>
        <w:t>个省（自治区、直辖市）经营。</w:t>
      </w:r>
    </w:p>
    <w:p>
      <w:pPr>
        <w:pStyle w:val="BodyText"/>
        <w:spacing w:line="350" w:lineRule="auto" w:before="69"/>
        <w:ind w:left="517" w:right="3549"/>
        <w:jc w:val="left"/>
      </w:pPr>
      <w:r>
        <w:rPr/>
        <w:t>本公司获中华人民共和国工业和信息化部批准在全国范围经营多方通信服务业务。 </w:t>
      </w:r>
      <w:r>
        <w:rPr>
          <w:rFonts w:ascii="Times New Roman" w:hAnsi="Times New Roman" w:cs="Times New Roman" w:eastAsia="Times New Roman" w:hint="default"/>
        </w:rPr>
        <w:t>2</w:t>
      </w:r>
      <w:r>
        <w:rPr/>
        <w:t>．主要经营活动 本公司经营增值电信业务，包括增值通信服务、企业通信服务、海外互联网综合服务业</w:t>
      </w:r>
    </w:p>
    <w:p>
      <w:pPr>
        <w:pStyle w:val="BodyText"/>
        <w:spacing w:line="300" w:lineRule="auto" w:before="32"/>
        <w:ind w:right="1129"/>
        <w:jc w:val="both"/>
      </w:pPr>
      <w:r>
        <w:rPr>
          <w:spacing w:val="-2"/>
        </w:rPr>
        <w:t>务及其他。增值通信服务包括</w:t>
      </w:r>
      <w:r>
        <w:rPr>
          <w:rFonts w:ascii="Times New Roman" w:hAnsi="Times New Roman" w:cs="Times New Roman" w:eastAsia="Times New Roman" w:hint="default"/>
          <w:spacing w:val="-2"/>
        </w:rPr>
        <w:t>96446IP</w:t>
      </w:r>
      <w:r>
        <w:rPr>
          <w:spacing w:val="-2"/>
        </w:rPr>
        <w:t>长途转售业务、</w:t>
      </w:r>
      <w:r>
        <w:rPr>
          <w:rFonts w:ascii="Times New Roman" w:hAnsi="Times New Roman" w:cs="Times New Roman" w:eastAsia="Times New Roman" w:hint="default"/>
          <w:spacing w:val="-2"/>
        </w:rPr>
        <w:t>95050</w:t>
      </w:r>
      <w:r>
        <w:rPr>
          <w:spacing w:val="-2"/>
        </w:rPr>
        <w:t>多方通话业务、</w:t>
      </w:r>
      <w:r>
        <w:rPr>
          <w:rFonts w:ascii="Times New Roman" w:hAnsi="Times New Roman" w:cs="Times New Roman" w:eastAsia="Times New Roman" w:hint="default"/>
          <w:spacing w:val="-2"/>
        </w:rPr>
        <w:t>VPN</w:t>
      </w:r>
      <w:r>
        <w:rPr>
          <w:spacing w:val="-2"/>
        </w:rPr>
        <w:t>业务等；企业通信服务包括企业邮件、云通</w:t>
      </w:r>
      <w:r>
        <w:rPr>
          <w:spacing w:val="-35"/>
        </w:rPr>
        <w:t> </w:t>
      </w:r>
      <w:r>
        <w:rPr>
          <w:spacing w:val="-35"/>
        </w:rPr>
      </w:r>
      <w:r>
        <w:rPr>
          <w:spacing w:val="-3"/>
        </w:rPr>
        <w:t>信、企业会议、相关技术服务及个人邮箱；海外互联网综合服务业务包括网络电话（</w:t>
      </w:r>
      <w:r>
        <w:rPr>
          <w:rFonts w:ascii="Times New Roman" w:hAnsi="Times New Roman" w:cs="Times New Roman" w:eastAsia="Times New Roman" w:hint="default"/>
          <w:spacing w:val="-3"/>
        </w:rPr>
        <w:t>VoIP</w:t>
      </w:r>
      <w:r>
        <w:rPr>
          <w:spacing w:val="-3"/>
        </w:rPr>
        <w:t>）业务、网络电视（</w:t>
      </w:r>
      <w:r>
        <w:rPr>
          <w:rFonts w:ascii="Times New Roman" w:hAnsi="Times New Roman" w:cs="Times New Roman" w:eastAsia="Times New Roman" w:hint="default"/>
          <w:spacing w:val="-3"/>
        </w:rPr>
        <w:t>IPTV</w:t>
      </w:r>
      <w:r>
        <w:rPr>
          <w:spacing w:val="-3"/>
        </w:rPr>
        <w:t>）业务；</w:t>
      </w:r>
      <w:r>
        <w:rPr>
          <w:spacing w:val="-64"/>
        </w:rPr>
        <w:t> </w:t>
      </w:r>
      <w:r>
        <w:rPr>
          <w:spacing w:val="-64"/>
        </w:rPr>
      </w:r>
      <w:r>
        <w:rPr/>
        <w:t>其他包括立体宽带、</w:t>
      </w:r>
      <w:r>
        <w:rPr>
          <w:rFonts w:ascii="Times New Roman" w:hAnsi="Times New Roman" w:cs="Times New Roman" w:eastAsia="Times New Roman" w:hint="default"/>
        </w:rPr>
        <w:t>IDC</w:t>
      </w:r>
      <w:r>
        <w:rPr/>
        <w:t>（服务器托管及专线接入）等；另有让渡资产使用权及商品销售业务。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38" w:lineRule="auto"/>
        <w:ind w:left="517" w:right="5799" w:hanging="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财务报表的批准报出</w:t>
      </w:r>
      <w:r>
        <w:rPr>
          <w:w w:val="99"/>
        </w:rPr>
        <w:t> </w:t>
      </w:r>
      <w:r>
        <w:rPr/>
        <w:t>本财务报表业经公司全体董事于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w:t>
      </w:r>
    </w:p>
    <w:p>
      <w:pPr>
        <w:pStyle w:val="BodyText"/>
        <w:spacing w:line="439" w:lineRule="auto" w:before="22"/>
        <w:ind w:left="573" w:right="3913" w:hanging="420"/>
        <w:jc w:val="left"/>
      </w:pPr>
      <w:r>
        <w:rPr/>
        <w:pict>
          <v:shape style="position:absolute;margin-left:84.139999pt;margin-top:39.72171pt;width:427.5pt;height:452.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0"/>
                    <w:gridCol w:w="1845"/>
                    <w:gridCol w:w="1134"/>
                    <w:gridCol w:w="711"/>
                    <w:gridCol w:w="992"/>
                    <w:gridCol w:w="906"/>
                  </w:tblGrid>
                  <w:tr>
                    <w:trPr>
                      <w:trHeight w:val="738" w:hRule="exact"/>
                    </w:trPr>
                    <w:tc>
                      <w:tcPr>
                        <w:tcW w:w="29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0D0D0D"/>
                            <w:sz w:val="18"/>
                            <w:szCs w:val="18"/>
                          </w:rPr>
                          <w:t>子公司名称</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color w:val="0D0D0D"/>
                            <w:sz w:val="18"/>
                            <w:szCs w:val="18"/>
                          </w:rPr>
                          <w:t>公司简称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0D0D0D"/>
                            <w:sz w:val="18"/>
                            <w:szCs w:val="18"/>
                          </w:rPr>
                          <w:t>子公司类型</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0D0D0D"/>
                            <w:sz w:val="18"/>
                            <w:szCs w:val="18"/>
                          </w:rPr>
                          <w:t>级次</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0D0D0D"/>
                            <w:sz w:val="18"/>
                            <w:szCs w:val="18"/>
                          </w:rPr>
                          <w:t>持股比例</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w:t>
                        </w:r>
                        <w:r>
                          <w:rPr>
                            <w:rFonts w:ascii="宋体" w:hAnsi="宋体" w:cs="宋体" w:eastAsia="宋体" w:hint="default"/>
                            <w:sz w:val="18"/>
                            <w:szCs w:val="18"/>
                          </w:rPr>
                        </w:r>
                      </w:p>
                    </w:tc>
                    <w:tc>
                      <w:tcPr>
                        <w:tcW w:w="9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1"/>
                          <w:ind w:left="100" w:right="83" w:hanging="15"/>
                          <w:jc w:val="left"/>
                          <w:rPr>
                            <w:rFonts w:ascii="宋体" w:hAnsi="宋体" w:cs="宋体" w:eastAsia="宋体" w:hint="default"/>
                            <w:sz w:val="18"/>
                            <w:szCs w:val="18"/>
                          </w:rPr>
                        </w:pPr>
                        <w:r>
                          <w:rPr>
                            <w:rFonts w:ascii="宋体" w:hAnsi="宋体" w:cs="宋体" w:eastAsia="宋体" w:hint="default"/>
                            <w:color w:val="0D0D0D"/>
                            <w:sz w:val="18"/>
                            <w:szCs w:val="18"/>
                          </w:rPr>
                          <w:t>表决权比 例（</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w:t>
                        </w:r>
                        <w:r>
                          <w:rPr>
                            <w:rFonts w:ascii="宋体" w:hAnsi="宋体" w:cs="宋体" w:eastAsia="宋体" w:hint="default"/>
                            <w:sz w:val="18"/>
                            <w:szCs w:val="18"/>
                          </w:rPr>
                        </w:r>
                      </w:p>
                    </w:tc>
                  </w:tr>
                  <w:tr>
                    <w:trPr>
                      <w:trHeight w:val="1456"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color w:val="0D0D0D"/>
                            <w:sz w:val="18"/>
                          </w:rPr>
                          <w:t>1</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北京二六三企业通信有限公司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企业通信公司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上海二六三通信有限公司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上海通信公司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1403"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62"/>
                          <w:ind w:left="2" w:right="581"/>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二六三增值通信香港有限公司 </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Times New Roman" w:hAnsi="Times New Roman" w:cs="Times New Roman" w:eastAsia="Times New Roman" w:hint="default"/>
                            <w:color w:val="0D0D0D"/>
                            <w:sz w:val="18"/>
                            <w:szCs w:val="18"/>
                          </w:rPr>
                          <w:t>263 Value Added Communication Hong</w:t>
                        </w:r>
                        <w:r>
                          <w:rPr>
                            <w:rFonts w:ascii="Times New Roman" w:hAnsi="Times New Roman" w:cs="Times New Roman" w:eastAsia="Times New Roman" w:hint="default"/>
                            <w:color w:val="0D0D0D"/>
                            <w:spacing w:val="-2"/>
                            <w:sz w:val="18"/>
                            <w:szCs w:val="18"/>
                          </w:rPr>
                          <w:t> </w:t>
                        </w:r>
                        <w:r>
                          <w:rPr>
                            <w:rFonts w:ascii="Times New Roman" w:hAnsi="Times New Roman" w:cs="Times New Roman" w:eastAsia="Times New Roman" w:hint="default"/>
                            <w:color w:val="0D0D0D"/>
                            <w:sz w:val="18"/>
                            <w:szCs w:val="18"/>
                          </w:rPr>
                          <w:t>Kong</w:t>
                        </w:r>
                        <w:r>
                          <w:rPr>
                            <w:rFonts w:ascii="Times New Roman" w:hAnsi="Times New Roman" w:cs="Times New Roman" w:eastAsia="Times New Roman" w:hint="default"/>
                            <w:color w:val="0D0D0D"/>
                            <w:sz w:val="18"/>
                            <w:szCs w:val="18"/>
                          </w:rPr>
                          <w:t> Co.,Limited)</w:t>
                        </w:r>
                        <w:r>
                          <w:rPr>
                            <w:rFonts w:ascii="Times New Roman" w:hAnsi="Times New Roman" w:cs="Times New Roman" w:eastAsia="Times New Roman"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香港增值公司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北京二六三网络科技有限公司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网络科技公司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二六三软件技术（北京）有限公司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软件技术公司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iTalk Global Communications</w:t>
                        </w:r>
                        <w:r>
                          <w:rPr>
                            <w:rFonts w:ascii="Times New Roman"/>
                            <w:color w:val="0D0D0D"/>
                            <w:spacing w:val="-9"/>
                            <w:sz w:val="18"/>
                          </w:rPr>
                          <w:t> </w:t>
                        </w:r>
                        <w:r>
                          <w:rPr>
                            <w:rFonts w:ascii="Times New Roman"/>
                            <w:color w:val="0D0D0D"/>
                            <w:sz w:val="18"/>
                          </w:rPr>
                          <w:t>Inc.</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iTalk</w:t>
                        </w:r>
                        <w:r>
                          <w:rPr>
                            <w:rFonts w:ascii="Times New Roman" w:hAnsi="Times New Roman" w:cs="Times New Roman" w:eastAsia="Times New Roman" w:hint="default"/>
                            <w:color w:val="0D0D0D"/>
                            <w:spacing w:val="-5"/>
                            <w:sz w:val="18"/>
                            <w:szCs w:val="18"/>
                          </w:rPr>
                          <w:t> </w:t>
                        </w:r>
                        <w:r>
                          <w:rPr>
                            <w:rFonts w:ascii="Times New Roman" w:hAnsi="Times New Roman" w:cs="Times New Roman" w:eastAsia="Times New Roman" w:hint="default"/>
                            <w:color w:val="0D0D0D"/>
                            <w:sz w:val="18"/>
                            <w:szCs w:val="18"/>
                          </w:rPr>
                          <w:t>Global</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iTalkBB Canada</w:t>
                        </w:r>
                        <w:r>
                          <w:rPr>
                            <w:rFonts w:ascii="Times New Roman"/>
                            <w:color w:val="0D0D0D"/>
                            <w:spacing w:val="-2"/>
                            <w:sz w:val="18"/>
                          </w:rPr>
                          <w:t> </w:t>
                        </w:r>
                        <w:r>
                          <w:rPr>
                            <w:rFonts w:ascii="Times New Roman"/>
                            <w:color w:val="0D0D0D"/>
                            <w:sz w:val="18"/>
                          </w:rPr>
                          <w:t>Inc.</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iTalkBB</w:t>
                        </w:r>
                        <w:r>
                          <w:rPr>
                            <w:rFonts w:ascii="Times New Roman" w:hAnsi="Times New Roman" w:cs="Times New Roman" w:eastAsia="Times New Roman" w:hint="default"/>
                            <w:color w:val="0D0D0D"/>
                            <w:spacing w:val="-2"/>
                            <w:sz w:val="18"/>
                            <w:szCs w:val="18"/>
                          </w:rPr>
                          <w:t> </w:t>
                        </w:r>
                        <w:r>
                          <w:rPr>
                            <w:rFonts w:ascii="Times New Roman" w:hAnsi="Times New Roman" w:cs="Times New Roman" w:eastAsia="Times New Roman" w:hint="default"/>
                            <w:color w:val="0D0D0D"/>
                            <w:sz w:val="18"/>
                            <w:szCs w:val="18"/>
                          </w:rPr>
                          <w:t>Canada</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6"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color w:val="0D0D0D"/>
                            <w:sz w:val="18"/>
                          </w:rPr>
                          <w:t>iTalkBB Australia Pty</w:t>
                        </w:r>
                        <w:r>
                          <w:rPr>
                            <w:rFonts w:ascii="Times New Roman"/>
                            <w:color w:val="0D0D0D"/>
                            <w:spacing w:val="-7"/>
                            <w:sz w:val="18"/>
                          </w:rPr>
                          <w:t> </w:t>
                        </w:r>
                        <w:r>
                          <w:rPr>
                            <w:rFonts w:ascii="Times New Roman"/>
                            <w:color w:val="0D0D0D"/>
                            <w:sz w:val="18"/>
                          </w:rPr>
                          <w:t>Ltd.</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iTalkBB</w:t>
                        </w:r>
                        <w:r>
                          <w:rPr>
                            <w:rFonts w:ascii="Times New Roman" w:hAnsi="Times New Roman" w:cs="Times New Roman" w:eastAsia="Times New Roman" w:hint="default"/>
                            <w:color w:val="0D0D0D"/>
                            <w:spacing w:val="-2"/>
                            <w:sz w:val="18"/>
                            <w:szCs w:val="18"/>
                          </w:rPr>
                          <w:t> </w:t>
                        </w:r>
                        <w:r>
                          <w:rPr>
                            <w:rFonts w:ascii="Times New Roman" w:hAnsi="Times New Roman" w:cs="Times New Roman" w:eastAsia="Times New Roman" w:hint="default"/>
                            <w:color w:val="0D0D0D"/>
                            <w:sz w:val="18"/>
                            <w:szCs w:val="18"/>
                          </w:rPr>
                          <w:t>Australia</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Freedom Enterprise,</w:t>
                        </w:r>
                        <w:r>
                          <w:rPr>
                            <w:rFonts w:ascii="Times New Roman"/>
                            <w:color w:val="0D0D0D"/>
                            <w:spacing w:val="-5"/>
                            <w:sz w:val="18"/>
                          </w:rPr>
                          <w:t> </w:t>
                        </w:r>
                        <w:r>
                          <w:rPr>
                            <w:rFonts w:ascii="Times New Roman"/>
                            <w:color w:val="0D0D0D"/>
                            <w:sz w:val="18"/>
                          </w:rPr>
                          <w:t>L.L.C</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Freedom</w:t>
                        </w:r>
                        <w:r>
                          <w:rPr>
                            <w:rFonts w:ascii="Times New Roman" w:hAnsi="Times New Roman" w:cs="Times New Roman" w:eastAsia="Times New Roman" w:hint="default"/>
                            <w:color w:val="0D0D0D"/>
                            <w:spacing w:val="26"/>
                            <w:sz w:val="18"/>
                            <w:szCs w:val="18"/>
                          </w:rPr>
                          <w:t> </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739"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417"/>
                          <w:jc w:val="left"/>
                          <w:rPr>
                            <w:rFonts w:ascii="Times New Roman" w:hAnsi="Times New Roman" w:cs="Times New Roman" w:eastAsia="Times New Roman" w:hint="default"/>
                            <w:sz w:val="18"/>
                            <w:szCs w:val="18"/>
                          </w:rPr>
                        </w:pPr>
                        <w:r>
                          <w:rPr>
                            <w:rFonts w:ascii="Times New Roman"/>
                            <w:color w:val="0D0D0D"/>
                            <w:sz w:val="18"/>
                          </w:rPr>
                          <w:t>Digital Technology Marketing</w:t>
                        </w:r>
                        <w:r>
                          <w:rPr>
                            <w:rFonts w:ascii="Times New Roman"/>
                            <w:color w:val="0D0D0D"/>
                            <w:spacing w:val="-6"/>
                            <w:sz w:val="18"/>
                          </w:rPr>
                          <w:t> </w:t>
                        </w:r>
                        <w:r>
                          <w:rPr>
                            <w:rFonts w:ascii="Times New Roman"/>
                            <w:color w:val="0D0D0D"/>
                            <w:sz w:val="18"/>
                          </w:rPr>
                          <w:t>and</w:t>
                        </w:r>
                        <w:r>
                          <w:rPr>
                            <w:rFonts w:ascii="Times New Roman"/>
                            <w:color w:val="0D0D0D"/>
                            <w:w w:val="99"/>
                            <w:sz w:val="18"/>
                          </w:rPr>
                          <w:t> </w:t>
                        </w:r>
                        <w:r>
                          <w:rPr>
                            <w:rFonts w:ascii="Times New Roman"/>
                            <w:color w:val="0D0D0D"/>
                            <w:sz w:val="18"/>
                          </w:rPr>
                          <w:t>Information,</w:t>
                        </w:r>
                        <w:r>
                          <w:rPr>
                            <w:rFonts w:ascii="Times New Roman"/>
                            <w:color w:val="0D0D0D"/>
                            <w:spacing w:val="-3"/>
                            <w:sz w:val="18"/>
                          </w:rPr>
                          <w:t> </w:t>
                        </w:r>
                        <w:r>
                          <w:rPr>
                            <w:rFonts w:ascii="Times New Roman"/>
                            <w:color w:val="0D0D0D"/>
                            <w:sz w:val="18"/>
                          </w:rPr>
                          <w:t>Inc.</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DTMI</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8"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iTalkBB Singapore Pte,</w:t>
                        </w:r>
                        <w:r>
                          <w:rPr>
                            <w:rFonts w:ascii="Times New Roman"/>
                            <w:color w:val="0D0D0D"/>
                            <w:spacing w:val="-4"/>
                            <w:sz w:val="18"/>
                          </w:rPr>
                          <w:t> </w:t>
                        </w:r>
                        <w:r>
                          <w:rPr>
                            <w:rFonts w:ascii="Times New Roman"/>
                            <w:color w:val="0D0D0D"/>
                            <w:sz w:val="18"/>
                          </w:rPr>
                          <w:t>Ltd.</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iTalkBB</w:t>
                        </w:r>
                        <w:r>
                          <w:rPr>
                            <w:rFonts w:ascii="Times New Roman" w:hAnsi="Times New Roman" w:cs="Times New Roman" w:eastAsia="Times New Roman" w:hint="default"/>
                            <w:color w:val="0D0D0D"/>
                            <w:spacing w:val="-1"/>
                            <w:sz w:val="18"/>
                            <w:szCs w:val="18"/>
                          </w:rPr>
                          <w:t> </w:t>
                        </w:r>
                        <w:r>
                          <w:rPr>
                            <w:rFonts w:ascii="Times New Roman" w:hAnsi="Times New Roman" w:cs="Times New Roman" w:eastAsia="Times New Roman" w:hint="default"/>
                            <w:color w:val="0D0D0D"/>
                            <w:sz w:val="18"/>
                            <w:szCs w:val="18"/>
                          </w:rPr>
                          <w:t>Singapore</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iTalk Mobile</w:t>
                        </w:r>
                        <w:r>
                          <w:rPr>
                            <w:rFonts w:ascii="Times New Roman"/>
                            <w:color w:val="0D0D0D"/>
                            <w:spacing w:val="-4"/>
                            <w:sz w:val="18"/>
                          </w:rPr>
                          <w:t> </w:t>
                        </w:r>
                        <w:r>
                          <w:rPr>
                            <w:rFonts w:ascii="Times New Roman"/>
                            <w:color w:val="0D0D0D"/>
                            <w:sz w:val="18"/>
                          </w:rPr>
                          <w:t>Corporation</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爱涛移动公司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北京首都在线网络技术有限公司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color w:val="0D0D0D"/>
                            <w:sz w:val="18"/>
                            <w:szCs w:val="18"/>
                          </w:rPr>
                          <w:t>首都在线公司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p>
              </w:txbxContent>
            </v:textbox>
            <w10:wrap type="none"/>
          </v:shape>
        </w:pict>
      </w:r>
      <w:r>
        <w:rPr/>
        <w:t>注：说明公司注册地、总部地址、业务性质、主要经营活动以及财务报告批准报出日。 </w:t>
      </w:r>
      <w:r>
        <w:rPr>
          <w:color w:val="0D0D0D"/>
        </w:rPr>
        <w:t>本期纳入合并财务报表范围的主体共</w:t>
      </w:r>
      <w:r>
        <w:rPr>
          <w:rFonts w:ascii="Times New Roman" w:hAnsi="Times New Roman" w:cs="Times New Roman" w:eastAsia="Times New Roman" w:hint="default"/>
          <w:color w:val="0D0D0D"/>
        </w:rPr>
        <w:t>21</w:t>
      </w:r>
      <w:r>
        <w:rPr>
          <w:color w:val="0D0D0D"/>
        </w:rPr>
        <w:t>户，具体包括：</w:t>
      </w:r>
      <w:r>
        <w:rPr/>
      </w:r>
    </w:p>
    <w:p>
      <w:pPr>
        <w:spacing w:after="0" w:line="439"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2" w:type="dxa"/>
        <w:tblLayout w:type="fixed"/>
        <w:tblCellMar>
          <w:top w:w="0" w:type="dxa"/>
          <w:left w:w="0" w:type="dxa"/>
          <w:bottom w:w="0" w:type="dxa"/>
          <w:right w:w="0" w:type="dxa"/>
        </w:tblCellMar>
        <w:tblLook w:val="01E0"/>
      </w:tblPr>
      <w:tblGrid>
        <w:gridCol w:w="2940"/>
        <w:gridCol w:w="1845"/>
        <w:gridCol w:w="1134"/>
        <w:gridCol w:w="711"/>
        <w:gridCol w:w="992"/>
        <w:gridCol w:w="906"/>
      </w:tblGrid>
      <w:tr>
        <w:trPr>
          <w:trHeight w:val="739"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pacing w:val="-4"/>
                <w:sz w:val="18"/>
                <w:szCs w:val="18"/>
              </w:rPr>
              <w:t>爱涛网络电视香港有限公司（英文名</w:t>
            </w:r>
            <w:r>
              <w:rPr>
                <w:rFonts w:ascii="宋体" w:hAnsi="宋体" w:cs="宋体" w:eastAsia="宋体" w:hint="default"/>
                <w:spacing w:val="-4"/>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iTalkTV Hongkong</w:t>
            </w:r>
            <w:r>
              <w:rPr>
                <w:rFonts w:ascii="Times New Roman" w:hAnsi="Times New Roman" w:cs="Times New Roman" w:eastAsia="Times New Roman" w:hint="default"/>
                <w:color w:val="0D0D0D"/>
                <w:spacing w:val="-4"/>
                <w:sz w:val="18"/>
                <w:szCs w:val="18"/>
              </w:rPr>
              <w:t> </w:t>
            </w:r>
            <w:r>
              <w:rPr>
                <w:rFonts w:ascii="Times New Roman" w:hAnsi="Times New Roman" w:cs="Times New Roman" w:eastAsia="Times New Roman" w:hint="default"/>
                <w:color w:val="0D0D0D"/>
                <w:sz w:val="18"/>
                <w:szCs w:val="18"/>
              </w:rPr>
              <w:t>Limited</w:t>
            </w:r>
            <w:r>
              <w:rPr>
                <w:rFonts w:ascii="宋体" w:hAnsi="宋体" w:cs="宋体" w:eastAsia="宋体" w:hint="default"/>
                <w:color w:val="0D0D0D"/>
                <w:sz w:val="18"/>
                <w:szCs w:val="18"/>
              </w:rPr>
              <w:t>）</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tabs>
                <w:tab w:pos="375" w:val="left" w:leader="none"/>
              </w:tabs>
              <w:spacing w:line="240" w:lineRule="auto" w:before="62"/>
              <w:ind w:left="-107" w:right="0"/>
              <w:jc w:val="left"/>
              <w:rPr>
                <w:rFonts w:ascii="宋体" w:hAnsi="宋体" w:cs="宋体" w:eastAsia="宋体" w:hint="default"/>
                <w:sz w:val="18"/>
                <w:szCs w:val="18"/>
              </w:rPr>
            </w:pPr>
            <w:r>
              <w:rPr>
                <w:rFonts w:ascii="宋体" w:hAnsi="宋体" w:cs="宋体" w:eastAsia="宋体" w:hint="default"/>
                <w:color w:val="0D0D0D"/>
                <w:sz w:val="18"/>
                <w:szCs w:val="18"/>
              </w:rPr>
              <w:t>：</w:t>
              <w:tab/>
              <w:t>爱涛网络公司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740"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二六三香港控股有限公司（英文名：</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NET263 Holdings Limited</w:t>
            </w:r>
            <w:r>
              <w:rPr>
                <w:rFonts w:ascii="Times New Roman" w:hAnsi="Times New Roman" w:cs="Times New Roman" w:eastAsia="Times New Roman" w:hint="default"/>
                <w:color w:val="0D0D0D"/>
                <w:spacing w:val="25"/>
                <w:sz w:val="18"/>
                <w:szCs w:val="18"/>
              </w:rPr>
              <w:t> </w:t>
            </w:r>
            <w:r>
              <w:rPr>
                <w:rFonts w:ascii="宋体" w:hAnsi="宋体" w:cs="宋体" w:eastAsia="宋体" w:hint="default"/>
                <w:color w:val="0D0D0D"/>
                <w:sz w:val="18"/>
                <w:szCs w:val="18"/>
              </w:rPr>
              <w:t>）</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color w:val="0D0D0D"/>
                <w:sz w:val="18"/>
                <w:szCs w:val="18"/>
              </w:rPr>
              <w:t>二六三香港控股公司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6"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color w:val="0D0D0D"/>
                <w:sz w:val="18"/>
              </w:rPr>
              <w:t>United Wise Services</w:t>
            </w:r>
            <w:r>
              <w:rPr>
                <w:rFonts w:ascii="Times New Roman"/>
                <w:color w:val="0D0D0D"/>
                <w:spacing w:val="-7"/>
                <w:sz w:val="18"/>
              </w:rPr>
              <w:t> </w:t>
            </w:r>
            <w:r>
              <w:rPr>
                <w:rFonts w:ascii="Times New Roman"/>
                <w:color w:val="0D0D0D"/>
                <w:sz w:val="18"/>
              </w:rPr>
              <w:t>Limited</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3"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United</w:t>
            </w:r>
            <w:r>
              <w:rPr>
                <w:rFonts w:ascii="Times New Roman" w:hAnsi="Times New Roman" w:cs="Times New Roman" w:eastAsia="Times New Roman" w:hint="default"/>
                <w:color w:val="0D0D0D"/>
                <w:spacing w:val="-6"/>
                <w:sz w:val="18"/>
                <w:szCs w:val="18"/>
              </w:rPr>
              <w:t> </w:t>
            </w:r>
            <w:r>
              <w:rPr>
                <w:rFonts w:ascii="Times New Roman" w:hAnsi="Times New Roman" w:cs="Times New Roman" w:eastAsia="Times New Roman" w:hint="default"/>
                <w:color w:val="0D0D0D"/>
                <w:sz w:val="18"/>
                <w:szCs w:val="18"/>
              </w:rPr>
              <w:t>Wise</w:t>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广州二六三移动通信有限公司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5" w:right="0"/>
              <w:jc w:val="left"/>
              <w:rPr>
                <w:rFonts w:ascii="宋体" w:hAnsi="宋体" w:cs="宋体" w:eastAsia="宋体" w:hint="default"/>
                <w:sz w:val="18"/>
                <w:szCs w:val="18"/>
              </w:rPr>
            </w:pPr>
            <w:r>
              <w:rPr>
                <w:rFonts w:ascii="宋体" w:hAnsi="宋体" w:cs="宋体" w:eastAsia="宋体" w:hint="default"/>
                <w:color w:val="0D0D0D"/>
                <w:sz w:val="18"/>
                <w:szCs w:val="18"/>
              </w:rPr>
              <w:t>广州二六三</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二六三移动通信（香港）有限公司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color w:val="0D0D0D"/>
                <w:sz w:val="18"/>
                <w:szCs w:val="18"/>
              </w:rPr>
              <w:t>二六三移动香港</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739"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color w:val="0D0D0D"/>
                <w:spacing w:val="-17"/>
                <w:sz w:val="18"/>
                <w:szCs w:val="18"/>
              </w:rPr>
              <w:t>迪讯（香港）有限公司（英文名：</w:t>
            </w:r>
            <w:r>
              <w:rPr>
                <w:rFonts w:ascii="Times New Roman" w:hAnsi="Times New Roman" w:cs="Times New Roman" w:eastAsia="Times New Roman" w:hint="default"/>
                <w:color w:val="0D0D0D"/>
                <w:spacing w:val="-17"/>
                <w:sz w:val="18"/>
                <w:szCs w:val="18"/>
              </w:rPr>
              <w:t>Delcom</w:t>
            </w:r>
            <w:r>
              <w:rPr>
                <w:rFonts w:ascii="Times New Roman" w:hAnsi="Times New Roman" w:cs="Times New Roman" w:eastAsia="Times New Roman" w:hint="default"/>
                <w:color w:val="0D0D0D"/>
                <w:spacing w:val="-39"/>
                <w:sz w:val="18"/>
                <w:szCs w:val="18"/>
              </w:rPr>
              <w:t> </w:t>
            </w:r>
            <w:r>
              <w:rPr>
                <w:rFonts w:ascii="Times New Roman" w:hAnsi="Times New Roman" w:cs="Times New Roman" w:eastAsia="Times New Roman" w:hint="default"/>
                <w:color w:val="0D0D0D"/>
                <w:sz w:val="18"/>
                <w:szCs w:val="18"/>
              </w:rPr>
              <w:t>(HK)</w:t>
            </w:r>
            <w:r>
              <w:rPr>
                <w:rFonts w:ascii="Times New Roman" w:hAnsi="Times New Roman" w:cs="Times New Roman" w:eastAsia="Times New Roman" w:hint="default"/>
                <w:color w:val="0D0D0D"/>
                <w:spacing w:val="-2"/>
                <w:sz w:val="18"/>
                <w:szCs w:val="18"/>
              </w:rPr>
              <w:t> </w:t>
            </w:r>
            <w:r>
              <w:rPr>
                <w:rFonts w:ascii="Times New Roman" w:hAnsi="Times New Roman" w:cs="Times New Roman" w:eastAsia="Times New Roman" w:hint="default"/>
                <w:color w:val="0D0D0D"/>
                <w:sz w:val="18"/>
                <w:szCs w:val="18"/>
              </w:rPr>
              <w:t>Limited</w:t>
            </w:r>
            <w:r>
              <w:rPr>
                <w:rFonts w:ascii="宋体" w:hAnsi="宋体" w:cs="宋体" w:eastAsia="宋体" w:hint="default"/>
                <w:color w:val="0D0D0D"/>
                <w:sz w:val="18"/>
                <w:szCs w:val="18"/>
              </w:rPr>
              <w:t>）</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5" w:right="0"/>
              <w:jc w:val="left"/>
              <w:rPr>
                <w:rFonts w:ascii="宋体" w:hAnsi="宋体" w:cs="宋体" w:eastAsia="宋体" w:hint="default"/>
                <w:sz w:val="18"/>
                <w:szCs w:val="18"/>
              </w:rPr>
            </w:pPr>
            <w:r>
              <w:rPr>
                <w:rFonts w:ascii="宋体" w:hAnsi="宋体" w:cs="宋体" w:eastAsia="宋体" w:hint="default"/>
                <w:color w:val="0D0D0D"/>
                <w:sz w:val="18"/>
                <w:szCs w:val="18"/>
              </w:rPr>
              <w:t>香港迪讯公司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4</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42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前海迪迅（深圳）有限公司</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5" w:right="0"/>
              <w:jc w:val="left"/>
              <w:rPr>
                <w:rFonts w:ascii="宋体" w:hAnsi="宋体" w:cs="宋体" w:eastAsia="宋体" w:hint="default"/>
                <w:sz w:val="18"/>
                <w:szCs w:val="18"/>
              </w:rPr>
            </w:pPr>
            <w:r>
              <w:rPr>
                <w:rFonts w:ascii="宋体" w:hAnsi="宋体" w:cs="宋体" w:eastAsia="宋体" w:hint="default"/>
                <w:color w:val="0D0D0D"/>
                <w:sz w:val="18"/>
                <w:szCs w:val="18"/>
              </w:rPr>
              <w:t>前海迪迅公司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全资子公司</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0D0D0D"/>
                <w:sz w:val="18"/>
              </w:rPr>
              <w:t>5</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53"/>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spacing w:line="240" w:lineRule="auto" w:before="9"/>
        <w:rPr>
          <w:rFonts w:ascii="宋体" w:hAnsi="宋体" w:cs="宋体" w:eastAsia="宋体" w:hint="default"/>
          <w:sz w:val="6"/>
          <w:szCs w:val="6"/>
        </w:rPr>
      </w:pPr>
    </w:p>
    <w:p>
      <w:pPr>
        <w:pStyle w:val="BodyText"/>
        <w:spacing w:line="432" w:lineRule="auto" w:before="44"/>
        <w:ind w:left="517" w:right="3009" w:firstLine="108"/>
        <w:jc w:val="left"/>
      </w:pPr>
      <w:r>
        <w:rPr/>
        <w:pict>
          <v:shape style="position:absolute;margin-left:84.139999pt;margin-top:82.011726pt;width:427.5pt;height:128.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11"/>
                    <w:gridCol w:w="3317"/>
                  </w:tblGrid>
                  <w:tr>
                    <w:trPr>
                      <w:trHeight w:val="427" w:hRule="exact"/>
                    </w:trPr>
                    <w:tc>
                      <w:tcPr>
                        <w:tcW w:w="52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名称</w:t>
                        </w:r>
                        <w:r>
                          <w:rPr>
                            <w:rFonts w:ascii="宋体" w:hAnsi="宋体" w:cs="宋体" w:eastAsia="宋体" w:hint="default"/>
                            <w:sz w:val="18"/>
                            <w:szCs w:val="18"/>
                          </w:rPr>
                        </w:r>
                      </w:p>
                    </w:tc>
                    <w:tc>
                      <w:tcPr>
                        <w:tcW w:w="33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变更原因</w:t>
                        </w:r>
                        <w:r>
                          <w:rPr>
                            <w:rFonts w:ascii="宋体" w:hAnsi="宋体" w:cs="宋体" w:eastAsia="宋体" w:hint="default"/>
                            <w:sz w:val="18"/>
                            <w:szCs w:val="18"/>
                          </w:rPr>
                        </w:r>
                      </w:p>
                    </w:tc>
                  </w:tr>
                  <w:tr>
                    <w:trPr>
                      <w:trHeight w:val="42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广州二六三移动通信有限公司</w:t>
                        </w:r>
                        <w:r>
                          <w:rPr>
                            <w:rFonts w:ascii="宋体" w:hAnsi="宋体" w:cs="宋体" w:eastAsia="宋体" w:hint="default"/>
                            <w:sz w:val="18"/>
                            <w:szCs w:val="18"/>
                          </w:rPr>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2015</w:t>
                        </w:r>
                        <w:r>
                          <w:rPr>
                            <w:rFonts w:ascii="宋体" w:hAnsi="宋体" w:cs="宋体" w:eastAsia="宋体" w:hint="default"/>
                            <w:color w:val="0D0D0D"/>
                            <w:sz w:val="18"/>
                            <w:szCs w:val="18"/>
                          </w:rPr>
                          <w:t>年设立</w:t>
                        </w:r>
                        <w:r>
                          <w:rPr>
                            <w:rFonts w:ascii="宋体" w:hAnsi="宋体" w:cs="宋体" w:eastAsia="宋体" w:hint="default"/>
                            <w:sz w:val="18"/>
                            <w:szCs w:val="18"/>
                          </w:rPr>
                        </w:r>
                      </w:p>
                    </w:tc>
                  </w:tr>
                  <w:tr>
                    <w:trPr>
                      <w:trHeight w:val="427"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二六三移动通信（香港）有限公司</w:t>
                        </w:r>
                        <w:r>
                          <w:rPr>
                            <w:rFonts w:ascii="宋体" w:hAnsi="宋体" w:cs="宋体" w:eastAsia="宋体" w:hint="default"/>
                            <w:sz w:val="18"/>
                            <w:szCs w:val="18"/>
                          </w:rPr>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2015</w:t>
                        </w:r>
                        <w:r>
                          <w:rPr>
                            <w:rFonts w:ascii="宋体" w:hAnsi="宋体" w:cs="宋体" w:eastAsia="宋体" w:hint="default"/>
                            <w:color w:val="0D0D0D"/>
                            <w:sz w:val="18"/>
                            <w:szCs w:val="18"/>
                          </w:rPr>
                          <w:t>年设立</w:t>
                        </w:r>
                        <w:r>
                          <w:rPr>
                            <w:rFonts w:ascii="宋体" w:hAnsi="宋体" w:cs="宋体" w:eastAsia="宋体" w:hint="default"/>
                            <w:sz w:val="18"/>
                            <w:szCs w:val="18"/>
                          </w:rPr>
                        </w:r>
                      </w:p>
                    </w:tc>
                  </w:tr>
                  <w:tr>
                    <w:trPr>
                      <w:trHeight w:val="428"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迪讯（香港）有限公司（英文名：</w:t>
                        </w:r>
                        <w:r>
                          <w:rPr>
                            <w:rFonts w:ascii="Times New Roman" w:hAnsi="Times New Roman" w:cs="Times New Roman" w:eastAsia="Times New Roman" w:hint="default"/>
                            <w:color w:val="0D0D0D"/>
                            <w:sz w:val="18"/>
                            <w:szCs w:val="18"/>
                          </w:rPr>
                          <w:t>Delcom (HK)</w:t>
                        </w:r>
                        <w:r>
                          <w:rPr>
                            <w:rFonts w:ascii="Times New Roman" w:hAnsi="Times New Roman" w:cs="Times New Roman" w:eastAsia="Times New Roman" w:hint="default"/>
                            <w:color w:val="0D0D0D"/>
                            <w:spacing w:val="-5"/>
                            <w:sz w:val="18"/>
                            <w:szCs w:val="18"/>
                          </w:rPr>
                          <w:t> </w:t>
                        </w:r>
                        <w:r>
                          <w:rPr>
                            <w:rFonts w:ascii="Times New Roman" w:hAnsi="Times New Roman" w:cs="Times New Roman" w:eastAsia="Times New Roman" w:hint="default"/>
                            <w:color w:val="0D0D0D"/>
                            <w:sz w:val="18"/>
                            <w:szCs w:val="18"/>
                          </w:rPr>
                          <w:t>Limited</w:t>
                        </w:r>
                        <w:r>
                          <w:rPr>
                            <w:rFonts w:ascii="宋体" w:hAnsi="宋体" w:cs="宋体" w:eastAsia="宋体" w:hint="default"/>
                            <w:color w:val="0D0D0D"/>
                            <w:sz w:val="18"/>
                            <w:szCs w:val="18"/>
                          </w:rPr>
                          <w:t>）</w:t>
                        </w:r>
                        <w:r>
                          <w:rPr>
                            <w:rFonts w:ascii="宋体" w:hAnsi="宋体" w:cs="宋体" w:eastAsia="宋体" w:hint="default"/>
                            <w:sz w:val="18"/>
                            <w:szCs w:val="18"/>
                          </w:rPr>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2015</w:t>
                        </w:r>
                        <w:r>
                          <w:rPr>
                            <w:rFonts w:ascii="宋体" w:hAnsi="宋体" w:cs="宋体" w:eastAsia="宋体" w:hint="default"/>
                            <w:color w:val="0D0D0D"/>
                            <w:sz w:val="18"/>
                            <w:szCs w:val="18"/>
                          </w:rPr>
                          <w:t>年收购</w:t>
                        </w:r>
                        <w:r>
                          <w:rPr>
                            <w:rFonts w:ascii="宋体" w:hAnsi="宋体" w:cs="宋体" w:eastAsia="宋体" w:hint="default"/>
                            <w:sz w:val="18"/>
                            <w:szCs w:val="18"/>
                          </w:rPr>
                        </w:r>
                      </w:p>
                    </w:tc>
                  </w:tr>
                  <w:tr>
                    <w:trPr>
                      <w:trHeight w:val="426"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0D0D0D"/>
                            <w:sz w:val="18"/>
                            <w:szCs w:val="18"/>
                          </w:rPr>
                          <w:t>前海迪迅（深圳）有限公司</w:t>
                        </w:r>
                        <w:r>
                          <w:rPr>
                            <w:rFonts w:ascii="宋体" w:hAnsi="宋体" w:cs="宋体" w:eastAsia="宋体" w:hint="default"/>
                            <w:sz w:val="18"/>
                            <w:szCs w:val="18"/>
                          </w:rPr>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2015</w:t>
                        </w:r>
                        <w:r>
                          <w:rPr>
                            <w:rFonts w:ascii="宋体" w:hAnsi="宋体" w:cs="宋体" w:eastAsia="宋体" w:hint="default"/>
                            <w:color w:val="0D0D0D"/>
                            <w:sz w:val="18"/>
                            <w:szCs w:val="18"/>
                          </w:rPr>
                          <w:t>年收购</w:t>
                        </w:r>
                        <w:r>
                          <w:rPr>
                            <w:rFonts w:ascii="宋体" w:hAnsi="宋体" w:cs="宋体" w:eastAsia="宋体" w:hint="default"/>
                            <w:sz w:val="18"/>
                            <w:szCs w:val="18"/>
                          </w:rPr>
                        </w:r>
                      </w:p>
                    </w:tc>
                  </w:tr>
                  <w:tr>
                    <w:trPr>
                      <w:trHeight w:val="428" w:hRule="exact"/>
                    </w:trPr>
                    <w:tc>
                      <w:tcPr>
                        <w:tcW w:w="5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color w:val="0D0D0D"/>
                            <w:sz w:val="18"/>
                          </w:rPr>
                          <w:t>Freedom Enterprise,</w:t>
                        </w:r>
                        <w:r>
                          <w:rPr>
                            <w:rFonts w:ascii="Times New Roman"/>
                            <w:color w:val="0D0D0D"/>
                            <w:spacing w:val="-4"/>
                            <w:sz w:val="18"/>
                          </w:rPr>
                          <w:t> </w:t>
                        </w:r>
                        <w:r>
                          <w:rPr>
                            <w:rFonts w:ascii="Times New Roman"/>
                            <w:color w:val="0D0D0D"/>
                            <w:sz w:val="18"/>
                          </w:rPr>
                          <w:t>L.L.C</w:t>
                        </w:r>
                        <w:r>
                          <w:rPr>
                            <w:rFonts w:ascii="Times New Roman"/>
                            <w:sz w:val="18"/>
                          </w:rPr>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2015</w:t>
                        </w:r>
                        <w:r>
                          <w:rPr>
                            <w:rFonts w:ascii="宋体" w:hAnsi="宋体" w:cs="宋体" w:eastAsia="宋体" w:hint="default"/>
                            <w:color w:val="0D0D0D"/>
                            <w:sz w:val="18"/>
                            <w:szCs w:val="18"/>
                          </w:rPr>
                          <w:t>年收购</w:t>
                        </w:r>
                        <w:r>
                          <w:rPr>
                            <w:rFonts w:ascii="宋体" w:hAnsi="宋体" w:cs="宋体" w:eastAsia="宋体" w:hint="default"/>
                            <w:sz w:val="18"/>
                            <w:szCs w:val="18"/>
                          </w:rPr>
                        </w:r>
                      </w:p>
                    </w:tc>
                  </w:tr>
                </w:tbl>
                <w:p>
                  <w:pPr/>
                </w:p>
              </w:txbxContent>
            </v:textbox>
            <w10:wrap type="none"/>
          </v:shape>
        </w:pict>
      </w:r>
      <w:r>
        <w:rPr>
          <w:color w:val="0D0D0D"/>
        </w:rPr>
        <w:t>本公司无子公司的持股比例不同于表决权比例的情况。 本公司不存在特殊目的主体、通过委托经营或出租等方式丧失控制权的经营实体的情况。 本期纳入合并财务报表范围的主体较上期相比，增加</w:t>
      </w:r>
      <w:r>
        <w:rPr>
          <w:rFonts w:ascii="Times New Roman" w:hAnsi="Times New Roman" w:cs="Times New Roman" w:eastAsia="Times New Roman" w:hint="default"/>
          <w:color w:val="0D0D0D"/>
        </w:rPr>
        <w:t>5</w:t>
      </w:r>
      <w:r>
        <w:rPr>
          <w:color w:val="0D0D0D"/>
        </w:rPr>
        <w:t>户，其中： </w:t>
      </w:r>
      <w:r>
        <w:rPr>
          <w:rFonts w:ascii="宋体" w:hAnsi="宋体" w:cs="宋体" w:eastAsia="宋体" w:hint="default"/>
        </w:rPr>
        <w:t>1.</w:t>
      </w:r>
      <w:r>
        <w:rPr>
          <w:color w:val="0D0D0D"/>
        </w:rPr>
        <w:t>本期新纳入合并范围的子公司</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415" w:lineRule="auto" w:before="44"/>
        <w:ind w:left="473" w:right="4513" w:firstLine="44"/>
        <w:jc w:val="left"/>
      </w:pPr>
      <w:r>
        <w:rPr>
          <w:rFonts w:ascii="Times New Roman" w:hAnsi="Times New Roman" w:cs="Times New Roman" w:eastAsia="Times New Roman" w:hint="default"/>
          <w:color w:val="0D0D0D"/>
        </w:rPr>
        <w:t>2.</w:t>
      </w:r>
      <w:r>
        <w:rPr>
          <w:rFonts w:ascii="Times New Roman" w:hAnsi="Times New Roman" w:cs="Times New Roman" w:eastAsia="Times New Roman" w:hint="default"/>
          <w:color w:val="0D0D0D"/>
          <w:spacing w:val="28"/>
        </w:rPr>
        <w:t> </w:t>
      </w:r>
      <w:r>
        <w:rPr>
          <w:color w:val="0D0D0D"/>
        </w:rPr>
        <w:t>本期无不再纳入合并范围的子公司 合并范围变更主体的具体信息详见</w:t>
      </w:r>
      <w:r>
        <w:rPr>
          <w:rFonts w:ascii="Times New Roman" w:hAnsi="Times New Roman" w:cs="Times New Roman" w:eastAsia="Times New Roman" w:hint="default"/>
          <w:color w:val="0D0D0D"/>
        </w:rPr>
        <w:t>“</w:t>
      </w:r>
      <w:r>
        <w:rPr>
          <w:color w:val="0D0D0D"/>
        </w:rPr>
        <w:t>第十节财务报告八、合并范围的变更</w:t>
      </w:r>
      <w:r>
        <w:rPr>
          <w:rFonts w:ascii="Times New Roman" w:hAnsi="Times New Roman" w:cs="Times New Roman" w:eastAsia="Times New Roman" w:hint="default"/>
          <w:color w:val="0D0D0D"/>
        </w:rPr>
        <w:t>”</w:t>
      </w:r>
      <w:r>
        <w:rPr>
          <w:color w:val="0D0D0D"/>
        </w:rPr>
        <w:t>。</w:t>
      </w:r>
      <w:r>
        <w:rPr/>
      </w:r>
    </w:p>
    <w:p>
      <w:pPr>
        <w:spacing w:line="240" w:lineRule="auto" w:before="0"/>
        <w:rPr>
          <w:rFonts w:ascii="宋体" w:hAnsi="宋体" w:cs="宋体" w:eastAsia="宋体" w:hint="default"/>
          <w:sz w:val="18"/>
          <w:szCs w:val="18"/>
        </w:rPr>
      </w:pPr>
    </w:p>
    <w:p>
      <w:pPr>
        <w:pStyle w:val="BodyText"/>
        <w:spacing w:line="302" w:lineRule="auto" w:before="153"/>
        <w:ind w:right="1153"/>
        <w:jc w:val="left"/>
      </w:pPr>
      <w:r>
        <w:rPr/>
        <w:t>注：简要说明本期的合并财务报表范围及其变化情况，并与</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 益</w:t>
      </w:r>
      <w:r>
        <w:rPr>
          <w:rFonts w:ascii="Times New Roman" w:hAnsi="Times New Roman" w:cs="Times New Roman" w:eastAsia="Times New Roman" w:hint="default"/>
        </w:rPr>
        <w:t>”</w:t>
      </w:r>
      <w:r>
        <w:rPr/>
        <w:t>索引。</w:t>
      </w:r>
    </w:p>
    <w:p>
      <w:pPr>
        <w:spacing w:line="240" w:lineRule="auto" w:before="13"/>
        <w:rPr>
          <w:rFonts w:ascii="宋体" w:hAnsi="宋体" w:cs="宋体" w:eastAsia="宋体" w:hint="default"/>
          <w:sz w:val="19"/>
          <w:szCs w:val="19"/>
        </w:rPr>
      </w:pPr>
    </w:p>
    <w:p>
      <w:pPr>
        <w:pStyle w:val="Heading3"/>
        <w:spacing w:line="240" w:lineRule="auto"/>
        <w:ind w:right="1033"/>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color w:val="0D0D0D"/>
        </w:rPr>
        <w:t>本公司根据实际发生的交易和事项，按照财政部颁布的《企业会计准则</w:t>
      </w:r>
      <w:r>
        <w:rPr>
          <w:rFonts w:ascii="Times New Roman" w:hAnsi="Times New Roman" w:cs="Times New Roman" w:eastAsia="Times New Roman" w:hint="default"/>
          <w:color w:val="0D0D0D"/>
        </w:rPr>
        <w:t>——</w:t>
      </w:r>
      <w:r>
        <w:rPr>
          <w:color w:val="0D0D0D"/>
        </w:rPr>
        <w:t>基本准则》和具体企业会计准则、企业会 计准则应用指南、企业会计准则解释及其他相关规定</w:t>
      </w:r>
      <w:r>
        <w:rPr>
          <w:rFonts w:ascii="Times New Roman" w:hAnsi="Times New Roman" w:cs="Times New Roman" w:eastAsia="Times New Roman" w:hint="default"/>
          <w:color w:val="0D0D0D"/>
        </w:rPr>
        <w:t>(</w:t>
      </w:r>
      <w:r>
        <w:rPr>
          <w:color w:val="0D0D0D"/>
        </w:rPr>
        <w:t>以下合称</w:t>
      </w:r>
      <w:r>
        <w:rPr>
          <w:rFonts w:ascii="Times New Roman" w:hAnsi="Times New Roman" w:cs="Times New Roman" w:eastAsia="Times New Roman" w:hint="default"/>
          <w:color w:val="0D0D0D"/>
        </w:rPr>
        <w:t>“</w:t>
      </w:r>
      <w:r>
        <w:rPr>
          <w:color w:val="0D0D0D"/>
        </w:rPr>
        <w:t>企业会计准则</w:t>
      </w:r>
      <w:r>
        <w:rPr>
          <w:rFonts w:ascii="Times New Roman" w:hAnsi="Times New Roman" w:cs="Times New Roman" w:eastAsia="Times New Roman" w:hint="default"/>
          <w:color w:val="0D0D0D"/>
        </w:rPr>
        <w:t>”)</w:t>
      </w:r>
      <w:r>
        <w:rPr>
          <w:color w:val="0D0D0D"/>
        </w:rPr>
        <w:t>进行确认和计量，在此基础上，结合中国证 </w:t>
      </w:r>
      <w:r>
        <w:rPr>
          <w:color w:val="0D0D0D"/>
          <w:spacing w:val="-1"/>
        </w:rPr>
        <w:t>券监督管理委员会《公开发行证券的公司信息披露编报规则第</w:t>
      </w:r>
      <w:r>
        <w:rPr>
          <w:rFonts w:ascii="Times New Roman" w:hAnsi="Times New Roman" w:cs="Times New Roman" w:eastAsia="Times New Roman" w:hint="default"/>
          <w:color w:val="0D0D0D"/>
          <w:spacing w:val="-1"/>
        </w:rPr>
        <w:t>15</w:t>
      </w:r>
      <w:r>
        <w:rPr>
          <w:color w:val="0D0D0D"/>
          <w:spacing w:val="-1"/>
        </w:rPr>
        <w:t>号</w:t>
      </w:r>
      <w:r>
        <w:rPr>
          <w:rFonts w:ascii="Times New Roman" w:hAnsi="Times New Roman" w:cs="Times New Roman" w:eastAsia="Times New Roman" w:hint="default"/>
          <w:color w:val="0D0D0D"/>
          <w:spacing w:val="-1"/>
        </w:rPr>
        <w:t>——</w:t>
      </w:r>
      <w:r>
        <w:rPr>
          <w:color w:val="0D0D0D"/>
          <w:spacing w:val="-1"/>
        </w:rPr>
        <w:t>财务报告的一般规定》</w:t>
      </w:r>
      <w:r>
        <w:rPr>
          <w:rFonts w:ascii="Times New Roman" w:hAnsi="Times New Roman" w:cs="Times New Roman" w:eastAsia="Times New Roman" w:hint="default"/>
          <w:color w:val="0D0D0D"/>
          <w:spacing w:val="-1"/>
        </w:rPr>
        <w:t>(2014</w:t>
      </w:r>
      <w:r>
        <w:rPr>
          <w:color w:val="0D0D0D"/>
          <w:spacing w:val="-1"/>
        </w:rPr>
        <w:t>年修订</w:t>
      </w:r>
      <w:r>
        <w:rPr>
          <w:rFonts w:ascii="Times New Roman" w:hAnsi="Times New Roman" w:cs="Times New Roman" w:eastAsia="Times New Roman" w:hint="default"/>
          <w:color w:val="0D0D0D"/>
          <w:spacing w:val="-1"/>
        </w:rPr>
        <w:t>)</w:t>
      </w:r>
      <w:r>
        <w:rPr>
          <w:color w:val="0D0D0D"/>
          <w:spacing w:val="-1"/>
        </w:rPr>
        <w:t>的规定，编制财</w:t>
      </w:r>
      <w:r>
        <w:rPr>
          <w:color w:val="0D0D0D"/>
          <w:spacing w:val="-56"/>
        </w:rPr>
        <w:t> </w:t>
      </w:r>
      <w:r>
        <w:rPr>
          <w:color w:val="0D0D0D"/>
          <w:spacing w:val="-56"/>
        </w:rPr>
      </w:r>
      <w:r>
        <w:rPr>
          <w:color w:val="0D0D0D"/>
        </w:rPr>
        <w:t>务报表。</w:t>
      </w:r>
      <w:r>
        <w:rPr/>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4" w:right="1033" w:firstLine="363"/>
        <w:jc w:val="left"/>
      </w:pPr>
      <w:r>
        <w:rPr>
          <w:color w:val="0D0D0D"/>
          <w:spacing w:val="-2"/>
        </w:rPr>
        <w:t>本公司对报告期末起</w:t>
      </w:r>
      <w:r>
        <w:rPr>
          <w:rFonts w:ascii="Times New Roman" w:hAnsi="Times New Roman" w:cs="Times New Roman" w:eastAsia="Times New Roman" w:hint="default"/>
          <w:color w:val="0D0D0D"/>
          <w:spacing w:val="-2"/>
        </w:rPr>
        <w:t>12</w:t>
      </w:r>
      <w:r>
        <w:rPr>
          <w:color w:val="0D0D0D"/>
          <w:spacing w:val="-2"/>
        </w:rPr>
        <w:t>个月的持续经营能力进行了评价，未发现对持续经营能力产生重大怀疑的事项或情况。因此，本</w:t>
      </w:r>
      <w:r>
        <w:rPr>
          <w:color w:val="0D0D0D"/>
        </w:rPr>
        <w:t> 财务报表系在持续经营假设的基础上编制</w:t>
      </w:r>
      <w:r>
        <w:rPr/>
      </w:r>
    </w:p>
    <w:p>
      <w:pPr>
        <w:pStyle w:val="BodyText"/>
        <w:spacing w:line="302" w:lineRule="auto" w:before="68"/>
        <w:ind w:right="1125"/>
        <w:jc w:val="left"/>
      </w:pPr>
      <w:r>
        <w:rPr/>
        <w:t>注：公司应评价自报告期末起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个月的持续经营能力。评价结果表明对持续能力产生重大怀疑的，公司应披露导致对持续 经营能力产生重大怀疑的因素以及公司拟采取的改善措施。</w:t>
      </w:r>
    </w:p>
    <w:p>
      <w:pPr>
        <w:spacing w:line="240" w:lineRule="auto" w:before="6"/>
        <w:rPr>
          <w:rFonts w:ascii="宋体" w:hAnsi="宋体" w:cs="宋体" w:eastAsia="宋体" w:hint="default"/>
          <w:sz w:val="21"/>
          <w:szCs w:val="21"/>
        </w:rPr>
      </w:pPr>
    </w:p>
    <w:p>
      <w:pPr>
        <w:pStyle w:val="Heading3"/>
        <w:spacing w:line="240" w:lineRule="auto"/>
        <w:ind w:left="154" w:right="1033"/>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7" w:right="1033"/>
        <w:jc w:val="left"/>
      </w:pPr>
      <w:r>
        <w:rPr/>
        <w:t>具体会计政策和会计估计提示： </w:t>
      </w:r>
      <w:r>
        <w:rPr>
          <w:spacing w:val="-2"/>
        </w:rPr>
        <w:t>本公司根据实际生产经营特点针对应收款项坏账准备计提、固定资产折旧、无形资产摊销、收入确认等交易或事项制定</w:t>
      </w:r>
    </w:p>
    <w:p>
      <w:pPr>
        <w:pStyle w:val="BodyText"/>
        <w:spacing w:line="225" w:lineRule="exact"/>
        <w:ind w:left="154" w:right="1033"/>
        <w:jc w:val="left"/>
      </w:pPr>
      <w:r>
        <w:rPr/>
        <w:t>了具体会计政策和会计估计。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154" w:right="1033"/>
        <w:jc w:val="left"/>
      </w:pPr>
      <w:r>
        <w:rPr/>
        <w:t>注：公司根据实际生产经营特点制定的具体会计政策和会计估计，应在本节开始部分对相关事项进行提示。</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33" w:firstLine="363"/>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3"/>
        <w:rPr>
          <w:rFonts w:ascii="宋体" w:hAnsi="宋体" w:cs="宋体" w:eastAsia="宋体" w:hint="default"/>
          <w:sz w:val="22"/>
          <w:szCs w:val="22"/>
        </w:rPr>
      </w:pPr>
    </w:p>
    <w:p>
      <w:pPr>
        <w:pStyle w:val="Heading4"/>
        <w:spacing w:line="240" w:lineRule="auto"/>
        <w:ind w:right="1033"/>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033"/>
        <w:jc w:val="left"/>
      </w:pPr>
      <w:r>
        <w:rPr/>
        <w:t>注：公司对营业周期不同于</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个月，并以营业周期作为资产和负债的流动性划分标准的，应说明营业周期及确定依据。</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7" w:right="2109"/>
        <w:jc w:val="left"/>
      </w:pPr>
      <w:r>
        <w:rPr/>
        <w:t>采用人民币为记账本位币。 本公司境外子公司以其经营所处的主要经济环境中的货币为记账本位币，编制财务报表时折算为人民币。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0"/>
        <w:ind w:right="1033"/>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4" w:right="1122"/>
        <w:jc w:val="left"/>
      </w:pPr>
      <w:r>
        <w:rPr/>
        <w:t>（</w:t>
      </w:r>
      <w:r>
        <w:rPr>
          <w:rFonts w:ascii="Times New Roman" w:hAnsi="Times New Roman" w:cs="Times New Roman" w:eastAsia="Times New Roman" w:hint="default"/>
          <w:b/>
          <w:bCs/>
        </w:rPr>
        <w:t>1</w:t>
      </w:r>
      <w:r>
        <w:rPr/>
        <w:t>）分步实现企业合并过程中的各项交易的条款、条件以及经济影响符合以下一种或多种情况，将多次交易事项作为一揽 子交易进行会计处理：</w:t>
      </w:r>
    </w:p>
    <w:p>
      <w:pPr>
        <w:pStyle w:val="BodyText"/>
        <w:spacing w:line="240" w:lineRule="auto" w:before="71"/>
        <w:ind w:left="517" w:right="1033"/>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2"/>
        <w:ind w:left="517" w:right="1033"/>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02"/>
        <w:ind w:left="517" w:right="1033"/>
        <w:jc w:val="left"/>
      </w:pP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7" w:right="1033"/>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38" w:lineRule="auto" w:before="102"/>
        <w:ind w:left="517" w:right="1033" w:hanging="364"/>
        <w:jc w:val="left"/>
      </w:pPr>
      <w:r>
        <w:rPr/>
        <w:t>（</w:t>
      </w:r>
      <w:r>
        <w:rPr>
          <w:rFonts w:ascii="Times New Roman" w:hAnsi="Times New Roman" w:cs="Times New Roman" w:eastAsia="Times New Roman" w:hint="default"/>
          <w:b/>
          <w:bCs/>
        </w:rPr>
        <w:t>2</w:t>
      </w:r>
      <w:r>
        <w:rPr/>
        <w:t>）同一控制下的企业合并 </w:t>
      </w:r>
      <w:r>
        <w:rPr>
          <w:spacing w:val="-2"/>
        </w:rPr>
        <w:t>本公司在企业合并中取得的资产和负债，按照合并日在被合并方资产、负债（包括最终控制方收购被合并方而形成的商</w:t>
      </w:r>
    </w:p>
    <w:p>
      <w:pPr>
        <w:pStyle w:val="BodyText"/>
        <w:spacing w:line="319" w:lineRule="auto" w:before="2"/>
        <w:ind w:right="1133"/>
        <w:jc w:val="both"/>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pStyle w:val="BodyText"/>
        <w:spacing w:line="240" w:lineRule="auto" w:before="55"/>
        <w:ind w:left="517" w:right="0"/>
        <w:jc w:val="left"/>
      </w:pPr>
      <w:r>
        <w:rPr/>
        <w:t>如果存在或有对价并需要确认预计负债或资产，该预计负债或资产金额与后续或有对价结算金额的差额，调整资本公积</w:t>
      </w:r>
    </w:p>
    <w:p>
      <w:pPr>
        <w:pStyle w:val="BodyText"/>
        <w:spacing w:line="357" w:lineRule="auto" w:before="77"/>
        <w:ind w:left="517" w:right="1033" w:hanging="364"/>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224" w:lineRule="exact"/>
        <w:ind w:right="0"/>
        <w:jc w:val="left"/>
      </w:pPr>
      <w:r>
        <w:rPr/>
        <w:t>属于一揽子交易的，在取得控制权日，长期股权投资初始投资成本，与达到合并前的长期股权投资账面价值加上合并日进一</w:t>
      </w:r>
    </w:p>
    <w:p>
      <w:pPr>
        <w:pStyle w:val="BodyText"/>
        <w:spacing w:line="319" w:lineRule="auto" w:before="76"/>
        <w:ind w:right="1130"/>
        <w:jc w:val="both"/>
      </w:pP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5"/>
        </w:rPr>
        <w:t>中除净损益、其他综合收益和利润分配以外的所有者权益其他变动，暂不进行会计处理，直至处置该项投资时转入当期损益。</w:t>
      </w:r>
    </w:p>
    <w:p>
      <w:pPr>
        <w:pStyle w:val="BodyText"/>
        <w:spacing w:line="338" w:lineRule="auto" w:before="58"/>
        <w:ind w:left="517" w:right="1033" w:hanging="364"/>
        <w:jc w:val="left"/>
      </w:pPr>
      <w:r>
        <w:rPr/>
        <w:t>（</w:t>
      </w:r>
      <w:r>
        <w:rPr>
          <w:rFonts w:ascii="Times New Roman" w:hAnsi="Times New Roman" w:cs="Times New Roman" w:eastAsia="Times New Roman" w:hint="default"/>
          <w:b/>
          <w:bCs/>
        </w:rPr>
        <w:t>3</w:t>
      </w:r>
      <w:r>
        <w:rPr/>
        <w:t>）非同一控制下的企业合并 </w:t>
      </w:r>
      <w:r>
        <w:rPr>
          <w:spacing w:val="-4"/>
        </w:rPr>
        <w:t>本公司在购买日对作为企业合并对价付出的资产、发生或承担的负债按照公允价值计量，公允价值与其账面价值的差额，</w:t>
      </w:r>
    </w:p>
    <w:p>
      <w:pPr>
        <w:pStyle w:val="BodyText"/>
        <w:spacing w:line="357" w:lineRule="auto" w:before="4"/>
        <w:ind w:left="517" w:right="1033" w:hanging="364"/>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57" w:lineRule="auto"/>
        <w:ind w:left="517" w:right="1033" w:hanging="364"/>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224" w:lineRule="exact"/>
        <w:ind w:right="0"/>
        <w:jc w:val="left"/>
      </w:pPr>
      <w:r>
        <w:rPr/>
        <w:t>会计处理；不属于一揽子交易的，合并日之前持有的股权投资采用权益法核算的，以购买日之前所持被购买方的股权投资的</w:t>
      </w:r>
    </w:p>
    <w:p>
      <w:pPr>
        <w:pStyle w:val="BodyText"/>
        <w:spacing w:line="319" w:lineRule="auto" w:before="76"/>
        <w:ind w:right="1131"/>
        <w:jc w:val="both"/>
      </w:pP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4</w:t>
      </w: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4"/>
        <w:ind w:right="1033"/>
        <w:jc w:val="left"/>
      </w:pPr>
      <w:r>
        <w:rPr/>
        <w:t>而发行权益性证券的交易费用，可直接归属于权益性交易的从权益中扣减。</w:t>
      </w:r>
    </w:p>
    <w:p>
      <w:pPr>
        <w:spacing w:line="240" w:lineRule="auto" w:before="11"/>
        <w:rPr>
          <w:rFonts w:ascii="宋体" w:hAnsi="宋体" w:cs="宋体" w:eastAsia="宋体" w:hint="default"/>
          <w:sz w:val="26"/>
          <w:szCs w:val="26"/>
        </w:rPr>
      </w:pPr>
    </w:p>
    <w:p>
      <w:pPr>
        <w:pStyle w:val="Heading4"/>
        <w:spacing w:line="240" w:lineRule="auto"/>
        <w:ind w:left="153" w:right="1033"/>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1</w:t>
      </w:r>
      <w:r>
        <w:rPr/>
        <w:t>）合并范围</w:t>
      </w:r>
    </w:p>
    <w:p>
      <w:pPr>
        <w:pStyle w:val="BodyText"/>
        <w:spacing w:line="240" w:lineRule="auto" w:before="103"/>
        <w:ind w:left="517" w:right="1033"/>
        <w:jc w:val="left"/>
      </w:pPr>
      <w:r>
        <w:rPr/>
        <w:t>本公司合并财务报表的合并范围以控制为基础确定</w:t>
      </w:r>
      <w:r>
        <w:rPr>
          <w:spacing w:val="-89"/>
        </w:rPr>
        <w:t>，</w:t>
      </w:r>
      <w:r>
        <w:rPr/>
        <w:t>所有子公</w:t>
      </w:r>
      <w:r>
        <w:rPr>
          <w:spacing w:val="-89"/>
        </w:rPr>
        <w:t>司</w:t>
      </w:r>
      <w:r>
        <w:rPr/>
        <w:t>（包括母公司所控制的单独主体</w:t>
      </w:r>
      <w:r>
        <w:rPr>
          <w:spacing w:val="-89"/>
        </w:rPr>
        <w:t>）</w:t>
      </w:r>
      <w:r>
        <w:rPr/>
        <w:t>均纳入合并财务报表。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154" w:right="1033"/>
        <w:jc w:val="left"/>
      </w:pPr>
      <w:r>
        <w:rPr>
          <w:rFonts w:ascii="Times New Roman" w:hAnsi="Times New Roman" w:cs="Times New Roman" w:eastAsia="Times New Roman" w:hint="default"/>
        </w:rPr>
        <w:t>2</w:t>
      </w:r>
      <w:r>
        <w:rPr/>
        <w:t>）合并程序</w:t>
      </w:r>
    </w:p>
    <w:p>
      <w:pPr>
        <w:pStyle w:val="BodyText"/>
        <w:spacing w:line="319" w:lineRule="auto" w:before="102"/>
        <w:ind w:right="1131" w:firstLine="363"/>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9" w:lineRule="auto" w:before="56"/>
        <w:ind w:right="1033" w:firstLine="363"/>
        <w:jc w:val="left"/>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55"/>
        <w:ind w:right="1033" w:firstLine="363"/>
        <w:jc w:val="left"/>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7" w:right="1033" w:hanging="364"/>
        <w:jc w:val="left"/>
      </w:pPr>
      <w:r>
        <w:rPr/>
        <w:t>定不同时，从企业集团的角度对该交易予以调整。 </w:t>
      </w:r>
      <w:r>
        <w:rPr>
          <w:spacing w:val="-2"/>
        </w:rPr>
        <w:t>子公司所有者权益、当期净损益和当期综合收益中属于少数股东的份额分别在合并资产负债表中所有者权益项目下、合</w:t>
      </w:r>
    </w:p>
    <w:p>
      <w:pPr>
        <w:pStyle w:val="BodyText"/>
        <w:spacing w:line="224" w:lineRule="exact"/>
        <w:ind w:right="1033"/>
        <w:jc w:val="left"/>
      </w:pPr>
      <w:r>
        <w:rPr/>
        <w:t>并利润表中净利润项目下和综合收益总额项目下单独列示</w:t>
      </w:r>
      <w:r>
        <w:rPr>
          <w:spacing w:val="-82"/>
        </w:rPr>
        <w:t>。</w:t>
      </w:r>
      <w:r>
        <w:rPr/>
        <w:t>子公司少数股东分担的当期亏损超过了少数股东在该子公司期初</w:t>
      </w:r>
    </w:p>
    <w:p>
      <w:pPr>
        <w:pStyle w:val="BodyText"/>
        <w:spacing w:line="357" w:lineRule="auto" w:before="77"/>
        <w:ind w:left="517" w:right="1033" w:hanging="364"/>
        <w:jc w:val="left"/>
      </w:pPr>
      <w:r>
        <w:rPr/>
        <w:t>所有者权益中所享有份额而形成的余额，冲减少数股东权益。 </w:t>
      </w:r>
      <w:r>
        <w:rPr>
          <w:spacing w:val="-2"/>
        </w:rPr>
        <w:t>对于同一控制下企业合并取得的子公司，以其资产、负债（包括最终控制方收购该子公司而形成的商誉）在最终控制方</w:t>
      </w:r>
    </w:p>
    <w:p>
      <w:pPr>
        <w:pStyle w:val="BodyText"/>
        <w:spacing w:line="357" w:lineRule="auto"/>
        <w:ind w:right="2473"/>
        <w:jc w:val="left"/>
      </w:pPr>
      <w:r>
        <w:rPr/>
        <w:t>财务报表中的账面价值为基础对其财务报表进行调整。 对于非同一控制下企业合并取得的子公司，以购买日可辨认净资产公允价值为基础对其财务报表进行调整</w:t>
      </w:r>
    </w:p>
    <w:p>
      <w:pPr>
        <w:pStyle w:val="BodyText"/>
        <w:spacing w:line="364" w:lineRule="auto" w:before="150"/>
        <w:ind w:left="517" w:right="1033"/>
        <w:jc w:val="left"/>
      </w:pPr>
      <w:r>
        <w:rPr>
          <w:rFonts w:ascii="Times New Roman" w:hAnsi="Times New Roman" w:cs="Times New Roman" w:eastAsia="Times New Roman" w:hint="default"/>
          <w:spacing w:val="-70"/>
          <w:w w:val="99"/>
          <w:position w:val="-3"/>
          <w:sz w:val="31"/>
          <w:szCs w:val="31"/>
        </w:rPr>
        <w:t>○</w:t>
      </w:r>
      <w:r>
        <w:rPr>
          <w:rFonts w:ascii="Times New Roman" w:hAnsi="Times New Roman" w:cs="Times New Roman" w:eastAsia="Times New Roman" w:hint="default"/>
          <w:spacing w:val="-70"/>
          <w:w w:val="99"/>
        </w:rPr>
        <w:t>1</w:t>
      </w:r>
      <w:r>
        <w:rPr>
          <w:rFonts w:ascii="Times New Roman" w:hAnsi="Times New Roman" w:cs="Times New Roman" w:eastAsia="Times New Roman" w:hint="default"/>
          <w:spacing w:val="4"/>
          <w:w w:val="99"/>
        </w:rPr>
        <w:t> </w:t>
      </w:r>
      <w:r>
        <w:rPr/>
        <w:t>增加子公司或业务 </w:t>
      </w:r>
      <w:r>
        <w:rPr>
          <w:spacing w:val="-2"/>
        </w:rPr>
        <w:t>在报告期内，若因同一控制下企业合并增加子公司或业务的，则调整合并资产负债表的期初数；将子公司或业务合并当</w:t>
      </w:r>
    </w:p>
    <w:p>
      <w:pPr>
        <w:pStyle w:val="BodyText"/>
        <w:spacing w:line="218" w:lineRule="exact"/>
        <w:ind w:right="0"/>
        <w:jc w:val="left"/>
      </w:pPr>
      <w:r>
        <w:rPr/>
        <w:t>期期初至报告期末的收入、费用、利润纳入合并利润表；将子公司或业务合并当期期初至报告期末的现金流量纳入合并现金</w:t>
      </w:r>
    </w:p>
    <w:p>
      <w:pPr>
        <w:pStyle w:val="BodyText"/>
        <w:spacing w:line="338" w:lineRule="auto" w:before="77"/>
        <w:ind w:right="1033"/>
        <w:jc w:val="left"/>
      </w:pPr>
      <w:r>
        <w:rPr/>
        <w:t>流量表，同时对比较报表的相关项目进行调整，视同合并后的报告主体自最终控制方开始控制时点起一直存在。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p>
    <w:p>
      <w:pPr>
        <w:pStyle w:val="BodyText"/>
        <w:spacing w:line="319" w:lineRule="auto" w:before="2"/>
        <w:ind w:right="1033"/>
        <w:jc w:val="left"/>
      </w:pP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p>
    <w:p>
      <w:pPr>
        <w:pStyle w:val="BodyText"/>
        <w:spacing w:line="319" w:lineRule="auto" w:before="55"/>
        <w:ind w:left="154" w:right="1133" w:firstLine="363"/>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56"/>
        <w:ind w:left="154" w:right="1131" w:firstLine="424"/>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spacing w:line="240" w:lineRule="auto" w:before="9"/>
        <w:rPr>
          <w:rFonts w:ascii="宋体" w:hAnsi="宋体" w:cs="宋体" w:eastAsia="宋体" w:hint="default"/>
          <w:sz w:val="13"/>
          <w:szCs w:val="13"/>
        </w:rPr>
      </w:pPr>
    </w:p>
    <w:p>
      <w:pPr>
        <w:pStyle w:val="BodyText"/>
        <w:spacing w:line="240" w:lineRule="auto"/>
        <w:ind w:left="517" w:right="1033"/>
        <w:jc w:val="left"/>
      </w:pPr>
      <w:r>
        <w:rPr>
          <w:rFonts w:ascii="Times New Roman" w:hAnsi="Times New Roman" w:cs="Times New Roman" w:eastAsia="Times New Roman" w:hint="default"/>
          <w:spacing w:val="-139"/>
          <w:w w:val="99"/>
          <w:position w:val="-3"/>
          <w:sz w:val="31"/>
          <w:szCs w:val="31"/>
        </w:rPr>
        <w:t>○</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处置子公司或业务</w:t>
      </w:r>
    </w:p>
    <w:p>
      <w:pPr>
        <w:pStyle w:val="BodyText"/>
        <w:spacing w:line="338" w:lineRule="auto" w:before="184"/>
        <w:ind w:left="517" w:right="1033"/>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38" w:lineRule="auto" w:before="4"/>
        <w:ind w:left="154" w:right="1033"/>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p>
    <w:p>
      <w:pPr>
        <w:pStyle w:val="BodyText"/>
        <w:spacing w:line="319" w:lineRule="auto" w:before="2"/>
        <w:ind w:left="154" w:right="1132"/>
        <w:jc w:val="both"/>
      </w:pP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w:t>
      </w:r>
    </w:p>
    <w:p>
      <w:pPr>
        <w:pStyle w:val="BodyText"/>
        <w:spacing w:line="338" w:lineRule="auto" w:before="56"/>
        <w:ind w:left="517" w:right="1033"/>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43" w:lineRule="auto" w:before="4"/>
        <w:ind w:left="517" w:right="3553" w:hanging="364"/>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240" w:lineRule="auto" w:before="15"/>
        <w:ind w:left="517" w:right="1033"/>
        <w:jc w:val="left"/>
      </w:pPr>
      <w:r>
        <w:rPr/>
        <w:t>处置对子公司股权投资直至丧失控制权的各项交易属于一揽子交易的</w:t>
      </w:r>
      <w:r>
        <w:rPr>
          <w:spacing w:val="-87"/>
        </w:rPr>
        <w:t>，</w:t>
      </w:r>
      <w:r>
        <w:rPr/>
        <w:t>本公司将各项交易作为一项处置</w:t>
      </w:r>
      <w:r>
        <w:rPr>
          <w:spacing w:val="1"/>
        </w:rPr>
        <w:t>子</w:t>
      </w:r>
      <w:r>
        <w:rPr/>
        <w:t>公司并丧失控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38" w:lineRule="auto" w:before="44"/>
        <w:ind w:right="1033"/>
        <w:jc w:val="left"/>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p>
    <w:p>
      <w:pPr>
        <w:pStyle w:val="BodyText"/>
        <w:spacing w:line="240" w:lineRule="auto" w:before="4"/>
        <w:ind w:right="1033"/>
        <w:jc w:val="left"/>
      </w:pPr>
      <w:r>
        <w:rPr/>
        <w:t>处置对子公司的股权投资的相关政策进行会计处理；在丧失控制权时，按处置子公司一般处理方法进行会计处理。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517" w:right="1033" w:hanging="364"/>
        <w:jc w:val="left"/>
      </w:pP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9" w:lineRule="auto" w:before="2"/>
        <w:ind w:right="1033"/>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517" w:right="1209" w:hanging="364"/>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2"/>
        <w:ind w:right="1033"/>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4"/>
        <w:rPr>
          <w:rFonts w:ascii="宋体" w:hAnsi="宋体" w:cs="宋体" w:eastAsia="宋体" w:hint="default"/>
          <w:sz w:val="22"/>
          <w:szCs w:val="22"/>
        </w:rPr>
      </w:pPr>
    </w:p>
    <w:p>
      <w:pPr>
        <w:pStyle w:val="Heading4"/>
        <w:spacing w:line="240" w:lineRule="auto"/>
        <w:ind w:left="153" w:right="1033"/>
        <w:jc w:val="left"/>
        <w:rPr>
          <w:b w:val="0"/>
          <w:bCs w:val="0"/>
        </w:rPr>
      </w:pPr>
      <w:bookmarkStart w:name="7、合营安排分类及共同经营会计处理方法" w:id="171"/>
      <w:bookmarkEnd w:id="17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7" w:right="1033" w:hanging="364"/>
        <w:jc w:val="left"/>
      </w:pPr>
      <w:r>
        <w:rPr/>
        <w:t>（</w:t>
      </w:r>
      <w:r>
        <w:rPr>
          <w:rFonts w:ascii="Times New Roman" w:hAnsi="Times New Roman" w:cs="Times New Roman" w:eastAsia="Times New Roman" w:hint="default"/>
          <w:b/>
          <w:bCs/>
        </w:rPr>
        <w:t>1</w:t>
      </w:r>
      <w:r>
        <w:rPr/>
        <w:t>）合营安排的分类 </w:t>
      </w:r>
      <w:r>
        <w:rPr>
          <w:spacing w:val="-2"/>
        </w:rPr>
        <w:t>本公司根据合营安排的结构、法律形式以及合营安排中约定的条款、其他相关事实和情况等因素，将合营安排分为共同</w:t>
      </w:r>
    </w:p>
    <w:p>
      <w:pPr>
        <w:pStyle w:val="BodyText"/>
        <w:spacing w:line="357" w:lineRule="auto" w:before="4"/>
        <w:ind w:left="517" w:right="1033" w:hanging="364"/>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225" w:lineRule="exact"/>
        <w:ind w:right="1033"/>
        <w:jc w:val="left"/>
      </w:pPr>
      <w:r>
        <w:rPr/>
        <w:t>据表明满足下列任一条件并且符合相关法律法规规定的合营安排划分为共同经营：</w:t>
      </w:r>
    </w:p>
    <w:p>
      <w:pPr>
        <w:pStyle w:val="BodyText"/>
        <w:spacing w:line="240" w:lineRule="auto" w:before="116"/>
        <w:ind w:left="517" w:right="1033"/>
        <w:jc w:val="left"/>
      </w:pP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03"/>
        <w:ind w:left="517" w:right="1033"/>
        <w:jc w:val="left"/>
      </w:pP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2" w:lineRule="auto" w:before="101"/>
        <w:ind w:right="1120" w:firstLine="363"/>
        <w:jc w:val="left"/>
      </w:pP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 排相关的几乎所有产出，并且该安排中负债的清偿持续依赖于合营方的支持。</w:t>
      </w:r>
    </w:p>
    <w:p>
      <w:pPr>
        <w:pStyle w:val="BodyText"/>
        <w:spacing w:line="348" w:lineRule="auto" w:before="69"/>
        <w:ind w:left="517" w:right="1749" w:hanging="364"/>
        <w:jc w:val="left"/>
      </w:pPr>
      <w:r>
        <w:rPr/>
        <w:t>（</w:t>
      </w:r>
      <w:r>
        <w:rPr>
          <w:rFonts w:ascii="Times New Roman" w:hAnsi="Times New Roman" w:cs="Times New Roman" w:eastAsia="Times New Roman" w:hint="default"/>
          <w:b/>
          <w:bCs/>
        </w:rPr>
        <w:t>2</w:t>
      </w:r>
      <w:r>
        <w:rPr/>
        <w:t>）共同经营会计处理方法 本公司确认共同经营中利益份额中与本公司相关的下列项目，并按照相关企业会计准则的规定进行会计处理：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2"/>
        <w:ind w:left="517" w:right="1033"/>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3"/>
        <w:ind w:left="517" w:right="1033"/>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2"/>
        <w:ind w:left="517" w:right="1033"/>
        <w:jc w:val="left"/>
      </w:pPr>
      <w:r>
        <w:rPr>
          <w:rFonts w:ascii="Times New Roman" w:hAnsi="Times New Roman" w:cs="Times New Roman" w:eastAsia="Times New Roman" w:hint="default"/>
        </w:rPr>
        <w:t>4</w:t>
      </w:r>
      <w:r>
        <w:rPr/>
        <w:t>）按其份额确认共同经营因出售产出所产生的收入；</w:t>
      </w:r>
    </w:p>
    <w:p>
      <w:pPr>
        <w:pStyle w:val="BodyText"/>
        <w:spacing w:line="338" w:lineRule="auto" w:before="102"/>
        <w:ind w:left="517" w:right="1033"/>
        <w:jc w:val="left"/>
      </w:pP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2" w:lineRule="auto" w:before="2"/>
        <w:ind w:right="1123"/>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309" w:lineRule="auto" w:before="68"/>
        <w:ind w:right="1133" w:firstLine="363"/>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9" w:lineRule="auto" w:before="62"/>
        <w:ind w:right="1033" w:firstLine="363"/>
        <w:jc w:val="left"/>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8、现金及现金等价物的确定标准" w:id="172"/>
      <w:bookmarkEnd w:id="17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3" w:firstLine="363"/>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left="153" w:right="1033"/>
        <w:jc w:val="left"/>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3"/>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6"/>
        </w:rPr>
        <w:t> </w:t>
      </w:r>
      <w:r>
        <w:rPr>
          <w:spacing w:val="-66"/>
        </w:rPr>
      </w:r>
      <w:r>
        <w:rPr/>
        <w:t>务报表折算差额计入其他综合收益。</w:t>
      </w:r>
    </w:p>
    <w:p>
      <w:pPr>
        <w:pStyle w:val="BodyText"/>
        <w:spacing w:line="319" w:lineRule="auto" w:before="64"/>
        <w:ind w:right="1133" w:firstLine="363"/>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19" w:lineRule="auto" w:before="55"/>
        <w:ind w:right="1131" w:firstLine="363"/>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6"/>
        </w:rPr>
        <w:t> </w:t>
      </w:r>
      <w:r>
        <w:rPr>
          <w:spacing w:val="-66"/>
        </w:rPr>
      </w:r>
      <w:r>
        <w:rPr/>
        <w:t>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033"/>
        <w:jc w:val="left"/>
      </w:pPr>
      <w:r>
        <w:rPr>
          <w:spacing w:val="-2"/>
        </w:rPr>
        <w:t>注：说明发生外币交易时折算汇率的确定方法、在资产负债表日外币货币性项目采用的折算方法、汇兑损益的处理方法以及</w:t>
      </w:r>
      <w:r>
        <w:rPr>
          <w:spacing w:val="-66"/>
        </w:rPr>
        <w:t> </w:t>
      </w:r>
      <w:r>
        <w:rPr>
          <w:spacing w:val="-66"/>
        </w:rPr>
      </w:r>
      <w:r>
        <w:rPr/>
        <w:t>外币报表折算的会计处理方法。</w:t>
      </w:r>
    </w:p>
    <w:p>
      <w:pPr>
        <w:spacing w:line="240" w:lineRule="auto" w:before="3"/>
        <w:rPr>
          <w:rFonts w:ascii="宋体" w:hAnsi="宋体" w:cs="宋体" w:eastAsia="宋体" w:hint="default"/>
          <w:sz w:val="22"/>
          <w:szCs w:val="22"/>
        </w:rPr>
      </w:pPr>
    </w:p>
    <w:p>
      <w:pPr>
        <w:pStyle w:val="Heading4"/>
        <w:spacing w:line="240" w:lineRule="auto"/>
        <w:ind w:left="153" w:right="1033"/>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金融工具包括金融资产、金融负债和权益工具。</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517" w:right="1033" w:hanging="364"/>
        <w:jc w:val="left"/>
      </w:pPr>
      <w:r>
        <w:rPr/>
        <w:t>（</w:t>
      </w:r>
      <w:r>
        <w:rPr>
          <w:rFonts w:ascii="Times New Roman" w:hAnsi="Times New Roman" w:cs="Times New Roman" w:eastAsia="Times New Roman" w:hint="default"/>
          <w:b/>
          <w:bCs/>
        </w:rPr>
        <w:t>1</w:t>
      </w:r>
      <w:r>
        <w:rPr/>
        <w:t>）金融工具的分类 </w:t>
      </w:r>
      <w:r>
        <w:rPr>
          <w:spacing w:val="-2"/>
        </w:rPr>
        <w:t>管理层根据所发行金融工具的合同条款及其所反映的经济实质而非仅以法律形式，结合取得持有金融资产和承担金融负</w:t>
      </w:r>
    </w:p>
    <w:p>
      <w:pPr>
        <w:pStyle w:val="BodyText"/>
        <w:spacing w:line="319" w:lineRule="auto" w:before="2"/>
        <w:ind w:right="1033"/>
        <w:jc w:val="left"/>
      </w:pPr>
      <w:r>
        <w:rPr>
          <w:spacing w:val="-2"/>
        </w:rPr>
        <w:t>债的目的，将金融资产和金融负债分为不同类别：以公允价值计量且其变动计入当期损益的金融资产（或金融负债）；持有</w:t>
      </w:r>
      <w:r>
        <w:rPr>
          <w:spacing w:val="-67"/>
        </w:rPr>
        <w:t> </w:t>
      </w:r>
      <w:r>
        <w:rPr>
          <w:spacing w:val="-67"/>
        </w:rPr>
      </w:r>
      <w:r>
        <w:rPr/>
        <w:t>至到期投资；应收款项；可供出售金融资产；其他金融负债等。</w:t>
      </w:r>
    </w:p>
    <w:p>
      <w:pPr>
        <w:pStyle w:val="BodyText"/>
        <w:spacing w:line="240" w:lineRule="auto" w:before="56"/>
        <w:ind w:left="154" w:right="1033"/>
        <w:jc w:val="left"/>
      </w:pPr>
      <w:r>
        <w:rPr/>
        <w:t>（</w:t>
      </w:r>
      <w:r>
        <w:rPr>
          <w:rFonts w:ascii="Times New Roman" w:hAnsi="Times New Roman" w:cs="Times New Roman" w:eastAsia="Times New Roman" w:hint="default"/>
          <w:b/>
          <w:bCs/>
        </w:rPr>
        <w:t>2</w:t>
      </w:r>
      <w:r>
        <w:rPr/>
        <w:t>）金融工具的确认依据和计量方法</w:t>
      </w:r>
    </w:p>
    <w:p>
      <w:pPr>
        <w:pStyle w:val="BodyText"/>
        <w:spacing w:line="338" w:lineRule="auto" w:before="103"/>
        <w:ind w:left="517" w:right="1033" w:hanging="2"/>
        <w:jc w:val="left"/>
      </w:pP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57" w:lineRule="auto" w:before="4"/>
        <w:ind w:left="517" w:right="4449" w:hanging="364"/>
        <w:jc w:val="left"/>
      </w:pPr>
      <w:r>
        <w:rPr/>
        <w:t>值计量且其变动计入当期损益的金融资产或金融负债。 交易性金融资产或金融负债是指满足下列条件之一的金融资产或金融负债：</w:t>
      </w:r>
    </w:p>
    <w:p>
      <w:pPr>
        <w:pStyle w:val="BodyText"/>
        <w:spacing w:line="240" w:lineRule="auto" w:before="29"/>
        <w:ind w:left="517" w:right="1033"/>
        <w:jc w:val="left"/>
      </w:pPr>
      <w:r>
        <w:rPr/>
        <w:t>①取得该金融资产或金融负债的目的是为了在短期内出售、回购或赎回；</w:t>
      </w:r>
    </w:p>
    <w:p>
      <w:pPr>
        <w:pStyle w:val="BodyText"/>
        <w:spacing w:line="240" w:lineRule="auto" w:before="115"/>
        <w:ind w:left="517" w:right="1033"/>
        <w:jc w:val="left"/>
      </w:pPr>
      <w:r>
        <w:rPr/>
        <w:t>②属于进行集中管理的可辨认金融工具组合的一部分</w:t>
      </w:r>
      <w:r>
        <w:rPr>
          <w:spacing w:val="-87"/>
        </w:rPr>
        <w:t>，</w:t>
      </w:r>
      <w:r>
        <w:rPr/>
        <w:t>且有客观证据表明本公司近期采用短期获利方式对该组合进行管</w:t>
      </w:r>
    </w:p>
    <w:p>
      <w:pPr>
        <w:pStyle w:val="BodyText"/>
        <w:spacing w:line="240" w:lineRule="auto" w:before="77"/>
        <w:ind w:right="1033"/>
        <w:jc w:val="left"/>
      </w:pPr>
      <w:r>
        <w:rPr/>
        <w:t>理；</w:t>
      </w:r>
    </w:p>
    <w:p>
      <w:pPr>
        <w:pStyle w:val="BodyText"/>
        <w:spacing w:line="240" w:lineRule="auto" w:before="115"/>
        <w:ind w:left="517" w:right="0"/>
        <w:jc w:val="left"/>
      </w:pPr>
      <w:r>
        <w:rPr/>
        <w:t>③属于衍生金融工具，但是被指定为有效套期工具的衍生工具、属于财务担保合同的衍生工具、与在活跃市场中没有报</w:t>
      </w:r>
    </w:p>
    <w:p>
      <w:pPr>
        <w:pStyle w:val="BodyText"/>
        <w:spacing w:line="240" w:lineRule="auto" w:before="78"/>
        <w:ind w:left="154" w:right="1033"/>
        <w:jc w:val="left"/>
      </w:pPr>
      <w:r>
        <w:rPr/>
        <w:t>价且其公允价值不能可靠计量的权益工具投资挂钩并须通过交付该权益工具结算的衍生工具除外。</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9" w:lineRule="auto"/>
        <w:ind w:right="1033" w:firstLine="363"/>
        <w:jc w:val="left"/>
      </w:pPr>
      <w:r>
        <w:rPr>
          <w:spacing w:val="-2"/>
        </w:rPr>
        <w:t>只有符合以下条件之一，金融资产或金融负债才可在初始计量时指定为以公允价值计量且其变动计入损益的金融资产或</w:t>
      </w:r>
      <w:r>
        <w:rPr/>
        <w:t> 金融负债：</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210" w:firstLine="363"/>
        <w:jc w:val="left"/>
      </w:pPr>
      <w:r>
        <w:rPr/>
        <w:t>①该项指定可以消除或明显减少由于金融资产或金融负债的计量基础不同所导致的相关利得或损失在确认或计量方面 不一致的情况；</w:t>
      </w:r>
    </w:p>
    <w:p>
      <w:pPr>
        <w:pStyle w:val="BodyText"/>
        <w:spacing w:line="319" w:lineRule="auto" w:before="55"/>
        <w:ind w:right="1033" w:firstLine="363"/>
        <w:jc w:val="left"/>
      </w:pPr>
      <w:r>
        <w:rPr>
          <w:spacing w:val="-2"/>
        </w:rPr>
        <w:t>②风险管理或投资策略的正式书面文件已载明，该金融资产组合、该金融负债组合、或该金融资产和金融负债组合，以</w:t>
      </w:r>
      <w:r>
        <w:rPr/>
        <w:t> 公允价值为基础进行管理、评价并向关键管理人员报告；</w:t>
      </w:r>
    </w:p>
    <w:p>
      <w:pPr>
        <w:pStyle w:val="BodyText"/>
        <w:spacing w:line="319" w:lineRule="auto" w:before="57"/>
        <w:ind w:right="1033" w:firstLine="363"/>
        <w:jc w:val="left"/>
      </w:pPr>
      <w:r>
        <w:rPr>
          <w:spacing w:val="-2"/>
        </w:rPr>
        <w:t>③包含一项或多项嵌入衍生工具的混合工具，除非嵌入衍生工具对混合工具的现金流量没有重大改变，或所嵌入的衍生</w:t>
      </w:r>
      <w:r>
        <w:rPr/>
        <w:t> 工具明显不应当从相关混合工具中分拆；</w:t>
      </w:r>
    </w:p>
    <w:p>
      <w:pPr>
        <w:pStyle w:val="BodyText"/>
        <w:spacing w:line="357" w:lineRule="auto" w:before="56"/>
        <w:ind w:left="517" w:right="1033"/>
        <w:jc w:val="left"/>
      </w:pPr>
      <w:r>
        <w:rPr/>
        <w:t>④包含需要分拆但无法在取得时或后续的资产负债表日对其进行单独计量的嵌入衍生工具的混合工具。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224" w:lineRule="exact"/>
        <w:ind w:right="0"/>
        <w:jc w:val="left"/>
      </w:pPr>
      <w:r>
        <w:rPr/>
        <w:t>的现金股利或已到付息期但尚未领取的债券利息）作为初始确认金额，相关的交易费用计入当期损益。持有期间将取得的利</w:t>
      </w:r>
    </w:p>
    <w:p>
      <w:pPr>
        <w:pStyle w:val="BodyText"/>
        <w:spacing w:line="319" w:lineRule="auto" w:before="76"/>
        <w:ind w:right="1133"/>
        <w:jc w:val="both"/>
      </w:pP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38" w:lineRule="auto" w:before="58"/>
        <w:ind w:left="517" w:right="1033" w:hanging="2"/>
        <w:jc w:val="left"/>
      </w:pPr>
      <w:r>
        <w:rPr>
          <w:rFonts w:ascii="Times New Roman" w:hAnsi="Times New Roman" w:cs="Times New Roman" w:eastAsia="Times New Roman"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319" w:lineRule="auto" w:before="2"/>
        <w:ind w:right="1043"/>
        <w:jc w:val="both"/>
      </w:pPr>
      <w:r>
        <w:rPr/>
        <w:t>债权，包括应收账款、其他应收款、预付账款等，以向购货方应收的合同或协议价款作为初始确认金额；具有融资性质的，</w:t>
      </w:r>
      <w:r>
        <w:rPr>
          <w:spacing w:val="-85"/>
        </w:rPr>
        <w:t> </w:t>
      </w:r>
      <w:r>
        <w:rPr>
          <w:spacing w:val="-85"/>
        </w:rPr>
      </w:r>
      <w:r>
        <w:rPr/>
        <w:t>按其现值进行初始确认。</w:t>
      </w:r>
    </w:p>
    <w:p>
      <w:pPr>
        <w:pStyle w:val="BodyText"/>
        <w:spacing w:line="240" w:lineRule="auto" w:before="56"/>
        <w:ind w:left="517" w:right="1033"/>
        <w:jc w:val="left"/>
      </w:pPr>
      <w:r>
        <w:rPr/>
        <w:t>收回或处置时，将取得的价款与该应收款项账面价值之间的差额计入当期损益。</w:t>
      </w:r>
    </w:p>
    <w:p>
      <w:pPr>
        <w:pStyle w:val="BodyText"/>
        <w:spacing w:line="348" w:lineRule="auto" w:before="117"/>
        <w:ind w:left="517" w:right="1033"/>
        <w:jc w:val="left"/>
      </w:pP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spacing w:val="-54"/>
        </w:rPr>
        <w:t> </w:t>
      </w:r>
      <w:r>
        <w:rPr>
          <w:spacing w:val="-54"/>
        </w:rPr>
      </w:r>
      <w:r>
        <w:rPr>
          <w:spacing w:val="-2"/>
        </w:rPr>
        <w:t>本公司对持有至到期投资，在取得时按公允价值（扣除已到付息期但尚未领取的债券利息）和相关交易费用之和作为初</w:t>
      </w:r>
    </w:p>
    <w:p>
      <w:pPr>
        <w:pStyle w:val="BodyText"/>
        <w:spacing w:line="319" w:lineRule="auto"/>
        <w:ind w:right="113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9" w:lineRule="auto" w:before="57"/>
        <w:ind w:right="1131" w:firstLine="363"/>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2" w:lineRule="auto" w:before="55"/>
        <w:ind w:right="1033" w:firstLine="363"/>
        <w:jc w:val="left"/>
      </w:pPr>
      <w:r>
        <w:rPr>
          <w:spacing w:val="-1"/>
        </w:rPr>
        <w:t>①出售日或重分类日距离该项投资到期日或赎回日较近</w:t>
      </w:r>
      <w:r>
        <w:rPr>
          <w:rFonts w:ascii="Times New Roman" w:hAnsi="Times New Roman" w:cs="Times New Roman" w:eastAsia="Times New Roman" w:hint="default"/>
          <w:spacing w:val="-1"/>
        </w:rPr>
        <w:t>(</w:t>
      </w:r>
      <w:r>
        <w:rPr>
          <w:spacing w:val="-1"/>
        </w:rPr>
        <w:t>如到期前三个月内</w:t>
      </w:r>
      <w:r>
        <w:rPr>
          <w:rFonts w:ascii="Times New Roman" w:hAnsi="Times New Roman" w:cs="Times New Roman" w:eastAsia="Times New Roman" w:hint="default"/>
          <w:spacing w:val="-1"/>
        </w:rPr>
        <w:t>)</w:t>
      </w:r>
      <w:r>
        <w:rPr>
          <w:spacing w:val="-1"/>
        </w:rPr>
        <w:t>，且市场利率变化对该项投资的公允价值没</w:t>
      </w:r>
      <w:r>
        <w:rPr/>
        <w:t> 有显著影响。</w:t>
      </w:r>
    </w:p>
    <w:p>
      <w:pPr>
        <w:pStyle w:val="BodyText"/>
        <w:spacing w:line="240" w:lineRule="auto" w:before="69"/>
        <w:ind w:left="517" w:right="1033"/>
        <w:jc w:val="left"/>
      </w:pPr>
      <w:r>
        <w:rPr/>
        <w:t>②根据合同约定的偿付方式，企业已收回几乎所有初始本金。</w:t>
      </w:r>
    </w:p>
    <w:p>
      <w:pPr>
        <w:pStyle w:val="BodyText"/>
        <w:spacing w:line="240" w:lineRule="auto" w:before="117"/>
        <w:ind w:left="517" w:right="1033"/>
        <w:jc w:val="left"/>
      </w:pPr>
      <w:r>
        <w:rPr/>
        <w:t>③出售或重分类是由于企业无法控制、预期不会重复发生且难以合理预计的独立事件所引起。</w:t>
      </w:r>
    </w:p>
    <w:p>
      <w:pPr>
        <w:pStyle w:val="BodyText"/>
        <w:spacing w:line="348" w:lineRule="auto" w:before="116"/>
        <w:ind w:left="517" w:right="1029"/>
        <w:jc w:val="left"/>
      </w:pP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w:t>
      </w:r>
      <w:r>
        <w:rPr>
          <w:spacing w:val="-87"/>
        </w:rPr>
        <w:t> </w:t>
      </w:r>
      <w:r>
        <w:rPr>
          <w:spacing w:val="-87"/>
        </w:rPr>
      </w:r>
      <w:r>
        <w:rPr>
          <w:spacing w:val="-2"/>
        </w:rPr>
        <w:t>本公司对可供出售金融资产，在取得时按公允价值（扣除已宣告但尚未发放的现金股利或已到付息期但尚未领取的债券</w:t>
      </w:r>
    </w:p>
    <w:p>
      <w:pPr>
        <w:pStyle w:val="BodyText"/>
        <w:spacing w:line="319" w:lineRule="auto"/>
        <w:ind w:right="1130"/>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57" w:lineRule="auto" w:before="4"/>
        <w:ind w:left="517" w:right="1033" w:hanging="364"/>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25" w:lineRule="exact"/>
        <w:ind w:left="154" w:right="1033"/>
        <w:jc w:val="left"/>
      </w:pPr>
      <w:r>
        <w:rPr/>
        <w:t>融资产整体转移和部分转移。金融资产整体转移满足终止确认条件的，将下列两项金额的差额计入当期损益：</w:t>
      </w:r>
    </w:p>
    <w:p>
      <w:pPr>
        <w:pStyle w:val="BodyText"/>
        <w:spacing w:line="240" w:lineRule="auto" w:before="116"/>
        <w:ind w:left="517" w:right="1033"/>
        <w:jc w:val="left"/>
      </w:pPr>
      <w:r>
        <w:rPr>
          <w:rFonts w:ascii="Times New Roman" w:hAnsi="Times New Roman" w:cs="Times New Roman" w:eastAsia="Times New Roman" w:hint="default"/>
        </w:rPr>
        <w:t>1</w:t>
      </w:r>
      <w:r>
        <w:rPr/>
        <w:t>）所转移金融资产的账面价值；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0" w:firstLine="363"/>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p>
    <w:p>
      <w:pPr>
        <w:pStyle w:val="BodyText"/>
        <w:spacing w:line="319" w:lineRule="auto" w:before="68"/>
        <w:ind w:right="1030" w:firstLine="363"/>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8"/>
        <w:ind w:left="517" w:right="1033"/>
        <w:jc w:val="left"/>
      </w:pPr>
      <w:r>
        <w:rPr>
          <w:rFonts w:ascii="Times New Roman" w:hAnsi="Times New Roman" w:cs="Times New Roman" w:eastAsia="Times New Roman" w:hint="default"/>
        </w:rPr>
        <w:t>1</w:t>
      </w:r>
      <w:r>
        <w:rPr/>
        <w:t>）终止确认部分的账面价值；</w:t>
      </w:r>
    </w:p>
    <w:p>
      <w:pPr>
        <w:pStyle w:val="BodyText"/>
        <w:spacing w:line="302" w:lineRule="auto" w:before="101"/>
        <w:ind w:right="1120" w:firstLine="363"/>
        <w:jc w:val="left"/>
      </w:pP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w:t>
      </w:r>
    </w:p>
    <w:p>
      <w:pPr>
        <w:pStyle w:val="BodyText"/>
        <w:spacing w:line="240" w:lineRule="auto" w:before="69"/>
        <w:ind w:left="517" w:right="1033"/>
        <w:jc w:val="left"/>
      </w:pPr>
      <w:r>
        <w:rPr/>
        <w:t>金融资产转移不满足终止确认条件的，继续确认该金融资产，所收到的对价确认为一项金融负债。</w:t>
      </w:r>
    </w:p>
    <w:p>
      <w:pPr>
        <w:pStyle w:val="BodyText"/>
        <w:spacing w:line="338" w:lineRule="auto" w:before="117"/>
        <w:ind w:left="517" w:right="1033" w:hanging="364"/>
        <w:jc w:val="left"/>
      </w:pPr>
      <w:r>
        <w:rPr/>
        <w:t>（</w:t>
      </w:r>
      <w:r>
        <w:rPr>
          <w:rFonts w:ascii="Times New Roman" w:hAnsi="Times New Roman" w:cs="Times New Roman" w:eastAsia="Times New Roman" w:hint="default"/>
          <w:b/>
          <w:bCs/>
        </w:rPr>
        <w:t>4</w:t>
      </w:r>
      <w:r>
        <w:rPr/>
        <w:t>）金融负债终止确认条件 </w:t>
      </w:r>
      <w:r>
        <w:rPr>
          <w:spacing w:val="-2"/>
        </w:rPr>
        <w:t>金融负债的的现时义务全部或部分已经解除的，则终止确认该金融负债或其一部分；本公司若与债权人签定协议，以承</w:t>
      </w:r>
    </w:p>
    <w:p>
      <w:pPr>
        <w:pStyle w:val="BodyText"/>
        <w:spacing w:line="319" w:lineRule="auto" w:before="2"/>
        <w:ind w:right="1043"/>
        <w:jc w:val="both"/>
      </w:pPr>
      <w:r>
        <w:rPr/>
        <w:t>担新金融负债方式替换现存金融负债，且新金融负债与现存金融负债的合同条款实质上不同的，则终止确认现存金融负债，</w:t>
      </w:r>
      <w:r>
        <w:rPr>
          <w:spacing w:val="-85"/>
        </w:rPr>
        <w:t> </w:t>
      </w:r>
      <w:r>
        <w:rPr>
          <w:spacing w:val="-85"/>
        </w:rPr>
      </w:r>
      <w:r>
        <w:rPr/>
        <w:t>并同时确认新金融负债。</w:t>
      </w:r>
    </w:p>
    <w:p>
      <w:pPr>
        <w:pStyle w:val="BodyText"/>
        <w:spacing w:line="319" w:lineRule="auto" w:before="55"/>
        <w:ind w:right="1033" w:firstLine="363"/>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56"/>
        <w:ind w:right="1033" w:firstLine="363"/>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55"/>
        <w:ind w:right="1033" w:firstLine="363"/>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w:t>
      </w:r>
      <w:r>
        <w:rPr>
          <w:spacing w:val="-85"/>
        </w:rPr>
        <w:t> </w:t>
      </w:r>
      <w:r>
        <w:rPr>
          <w:spacing w:val="-85"/>
        </w:rPr>
      </w:r>
      <w:r>
        <w:rPr/>
        <w:t>计入当期损益。</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5</w:t>
      </w:r>
      <w:r>
        <w:rPr/>
        <w:t>）金融资产和金融负债公允价值的确定方法 </w:t>
      </w:r>
      <w:r>
        <w:rPr>
          <w:spacing w:val="-2"/>
        </w:rPr>
        <w:t>本公司采用公允价值计量的金融资产和金融负债存在活跃市场的金融资产或金融负债，以活跃市场的报价确定其公允价</w:t>
      </w:r>
    </w:p>
    <w:p>
      <w:pPr>
        <w:pStyle w:val="BodyText"/>
        <w:spacing w:line="319" w:lineRule="auto" w:before="3"/>
        <w:ind w:left="154" w:right="1132"/>
        <w:jc w:val="both"/>
      </w:pPr>
      <w:r>
        <w:rPr>
          <w:spacing w:val="-2"/>
        </w:rPr>
        <w:t>值；初始取得或衍生的金融资产或承担的金融负债，以市场交易价格作为确定其公允价值的基础；不存在活跃市场的金融资</w:t>
      </w:r>
      <w:r>
        <w:rPr>
          <w:spacing w:val="-66"/>
        </w:rPr>
        <w:t> </w:t>
      </w:r>
      <w:r>
        <w:rPr>
          <w:spacing w:val="-66"/>
        </w:rPr>
      </w:r>
      <w:r>
        <w:rPr>
          <w:spacing w:val="-2"/>
        </w:rPr>
        <w:t>产或金融负债，采用估值技术确定其公允价值。在估值时，本公司采用在当前情况下适用并且有足够可利用数据和其他信息</w:t>
      </w:r>
      <w:r>
        <w:rPr>
          <w:spacing w:val="-66"/>
        </w:rPr>
        <w:t> </w:t>
      </w:r>
      <w:r>
        <w:rPr>
          <w:spacing w:val="-66"/>
        </w:rPr>
      </w:r>
      <w:r>
        <w:rPr>
          <w:spacing w:val="-2"/>
        </w:rPr>
        <w:t>支持的估值技术，选择与市场参与者在相关资产或负债的交易中所考虑的资产或负债特征相一致的输入值，并尽可能优先使</w:t>
      </w:r>
      <w:r>
        <w:rPr>
          <w:spacing w:val="-64"/>
        </w:rPr>
        <w:t> </w:t>
      </w:r>
      <w:r>
        <w:rPr>
          <w:spacing w:val="-64"/>
        </w:rPr>
      </w:r>
      <w:r>
        <w:rPr/>
        <w:t>用相关可观察输入值。在相关可观察输入值无法取得或取得不切实可行的情况下，使用不可观察输入值。</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6</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360" w:lineRule="auto" w:before="4"/>
        <w:ind w:left="517" w:right="6609" w:hanging="364"/>
        <w:jc w:val="left"/>
      </w:pPr>
      <w:r>
        <w:rPr/>
        <w:t>表明该金融资产发生减值的，计提减值准备。 金融资产发生减值的客观证据，包括但不限于： </w:t>
      </w:r>
      <w:r>
        <w:rPr>
          <w:rFonts w:ascii="Times New Roman" w:hAnsi="Times New Roman" w:cs="Times New Roman" w:eastAsia="Times New Roman" w:hint="default"/>
        </w:rPr>
        <w:t>1</w:t>
      </w:r>
      <w:r>
        <w:rPr/>
        <w:t>）发行方或债务人发生严重财务困难；</w:t>
      </w:r>
    </w:p>
    <w:p>
      <w:pPr>
        <w:pStyle w:val="BodyText"/>
        <w:spacing w:line="240" w:lineRule="auto" w:before="2"/>
        <w:ind w:left="517" w:right="1033"/>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03"/>
        <w:ind w:left="517" w:right="1033"/>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02"/>
        <w:ind w:left="517" w:right="1033"/>
        <w:jc w:val="left"/>
      </w:pPr>
      <w:r>
        <w:rPr>
          <w:rFonts w:ascii="Times New Roman" w:hAnsi="Times New Roman" w:cs="Times New Roman" w:eastAsia="Times New Roman" w:hint="default"/>
        </w:rPr>
        <w:t>4</w:t>
      </w:r>
      <w:r>
        <w:rPr/>
        <w:t>）债务人很可能倒闭或进行其他财务重组；</w:t>
      </w:r>
    </w:p>
    <w:p>
      <w:pPr>
        <w:pStyle w:val="BodyText"/>
        <w:spacing w:line="240" w:lineRule="auto" w:before="102"/>
        <w:ind w:left="517" w:right="1033"/>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102"/>
        <w:ind w:right="1132" w:firstLine="363"/>
        <w:jc w:val="both"/>
      </w:pP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02" w:lineRule="auto" w:before="63"/>
        <w:ind w:right="1120" w:firstLine="363"/>
        <w:jc w:val="left"/>
      </w:pP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）权益工具发行方经营所处的技术、市场、经济或法律环境等发生重大不利变化，使权益工具投资人可能无法收回投 资成本；</w:t>
      </w:r>
    </w:p>
    <w:p>
      <w:pPr>
        <w:pStyle w:val="BodyText"/>
        <w:spacing w:line="240" w:lineRule="auto" w:before="69"/>
        <w:ind w:left="517" w:right="1033"/>
        <w:jc w:val="left"/>
      </w:pPr>
      <w:r>
        <w:rPr>
          <w:rFonts w:ascii="Times New Roman" w:hAnsi="Times New Roman" w:cs="Times New Roman" w:eastAsia="Times New Roman" w:hint="default"/>
        </w:rPr>
        <w:t>8</w:t>
      </w:r>
      <w:r>
        <w:rPr/>
        <w:t>）权益工具投资的公允价值发生严重或非暂时性下跌；</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7" w:right="1033"/>
        <w:jc w:val="left"/>
      </w:pPr>
      <w:r>
        <w:rPr/>
        <w:t>金融资产的具体减值方法如下：</w:t>
      </w:r>
    </w:p>
    <w:p>
      <w:pPr>
        <w:pStyle w:val="BodyText"/>
        <w:spacing w:line="338" w:lineRule="auto" w:before="116"/>
        <w:ind w:left="517" w:right="1033"/>
        <w:jc w:val="left"/>
      </w:pPr>
      <w:r>
        <w:rPr>
          <w:rFonts w:ascii="Times New Roman" w:hAnsi="Times New Roman" w:cs="Times New Roman" w:eastAsia="Times New Roman" w:hint="default"/>
        </w:rPr>
        <w:t>1</w:t>
      </w:r>
      <w:r>
        <w:rPr/>
        <w:t>）可供出售金融资产的减值准备 </w:t>
      </w:r>
      <w:r>
        <w:rPr>
          <w:spacing w:val="-2"/>
        </w:rPr>
        <w:t>本公司于资产负债表日对各项可供出售金融资产采用个别认定的方式评估减值损失，其中：表明可供出售权益工具投资</w:t>
      </w:r>
    </w:p>
    <w:p>
      <w:pPr>
        <w:pStyle w:val="BodyText"/>
        <w:spacing w:line="357" w:lineRule="auto" w:before="4"/>
        <w:ind w:left="517" w:right="1033" w:hanging="364"/>
        <w:jc w:val="left"/>
      </w:pPr>
      <w:r>
        <w:rPr/>
        <w:t>发生减值的客观证据包括权益工具投资的公允价值发生严重或非暂时性下跌。 </w:t>
      </w:r>
      <w:r>
        <w:rPr>
          <w:spacing w:val="-2"/>
        </w:rPr>
        <w:t>上段所述</w:t>
      </w:r>
      <w:r>
        <w:rPr>
          <w:rFonts w:ascii="Times New Roman" w:hAnsi="Times New Roman" w:cs="Times New Roman" w:eastAsia="Times New Roman" w:hint="default"/>
          <w:spacing w:val="-2"/>
        </w:rPr>
        <w:t>“</w:t>
      </w:r>
      <w:r>
        <w:rPr>
          <w:spacing w:val="-2"/>
        </w:rPr>
        <w:t>成本</w:t>
      </w:r>
      <w:r>
        <w:rPr>
          <w:rFonts w:ascii="Times New Roman" w:hAnsi="Times New Roman" w:cs="Times New Roman" w:eastAsia="Times New Roman" w:hint="default"/>
          <w:spacing w:val="-2"/>
        </w:rPr>
        <w:t>”</w:t>
      </w:r>
      <w:r>
        <w:rPr>
          <w:spacing w:val="-2"/>
        </w:rPr>
        <w:t>按照可供出售权益工具投资的初始取得成本扣除已收回本金和已摊销金额、原已计入损益的减值损失确</w:t>
      </w:r>
    </w:p>
    <w:p>
      <w:pPr>
        <w:pStyle w:val="BodyText"/>
        <w:spacing w:line="214" w:lineRule="exact"/>
        <w:ind w:right="1033"/>
        <w:jc w:val="left"/>
      </w:pPr>
      <w:r>
        <w:rPr/>
        <w:t>定；</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根据证券交易所期末收盘价确定，除非该项可供出售权益工具投资存在限售期。对于存在限售期的可供出售</w:t>
      </w:r>
    </w:p>
    <w:p>
      <w:pPr>
        <w:pStyle w:val="BodyText"/>
        <w:spacing w:line="319" w:lineRule="auto" w:before="63"/>
        <w:ind w:right="1033"/>
        <w:jc w:val="left"/>
      </w:pPr>
      <w:r>
        <w:rPr>
          <w:spacing w:val="-2"/>
        </w:rPr>
        <w:t>权益工具投资，按照证券交易所期末收盘价扣除市场参与者因承担指定期间内无法在公开市场上出售该权益工具的风险而要</w:t>
      </w:r>
      <w:r>
        <w:rPr>
          <w:spacing w:val="-63"/>
        </w:rPr>
        <w:t> </w:t>
      </w:r>
      <w:r>
        <w:rPr>
          <w:spacing w:val="-63"/>
        </w:rPr>
      </w:r>
      <w:r>
        <w:rPr/>
        <w:t>求获得的补偿金额后确定。</w:t>
      </w:r>
    </w:p>
    <w:p>
      <w:pPr>
        <w:pStyle w:val="BodyText"/>
        <w:spacing w:line="319" w:lineRule="auto" w:before="55"/>
        <w:ind w:right="1133" w:firstLine="363"/>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9" w:lineRule="auto" w:before="56"/>
        <w:ind w:right="1131" w:firstLine="363"/>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5"/>
        </w:rPr>
        <w:t> </w:t>
      </w:r>
      <w:r>
        <w:rPr>
          <w:spacing w:val="-65"/>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38" w:lineRule="auto" w:before="56"/>
        <w:ind w:left="517" w:right="1033"/>
        <w:jc w:val="left"/>
      </w:pPr>
      <w:r>
        <w:rPr>
          <w:rFonts w:ascii="Times New Roman" w:hAnsi="Times New Roman" w:cs="Times New Roman" w:eastAsia="Times New Roman"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9" w:lineRule="auto" w:before="2"/>
        <w:ind w:right="1033"/>
        <w:jc w:val="left"/>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pStyle w:val="BodyText"/>
        <w:spacing w:line="338" w:lineRule="auto" w:before="58"/>
        <w:ind w:left="517" w:right="1033" w:hanging="364"/>
        <w:jc w:val="left"/>
      </w:pPr>
      <w:r>
        <w:rPr/>
        <w:t>（</w:t>
      </w:r>
      <w:r>
        <w:rPr>
          <w:rFonts w:ascii="Times New Roman" w:hAnsi="Times New Roman" w:cs="Times New Roman" w:eastAsia="Times New Roman" w:hint="default"/>
          <w:b/>
          <w:bCs/>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4"/>
        <w:ind w:right="1033"/>
        <w:jc w:val="left"/>
      </w:pPr>
      <w:r>
        <w:rPr/>
        <w:t>产负债表内列示：</w:t>
      </w:r>
    </w:p>
    <w:p>
      <w:pPr>
        <w:pStyle w:val="BodyText"/>
        <w:spacing w:line="240" w:lineRule="auto" w:before="116"/>
        <w:ind w:left="517" w:right="1033"/>
        <w:jc w:val="left"/>
      </w:pP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03"/>
        <w:ind w:left="517" w:right="1033"/>
        <w:jc w:val="left"/>
      </w:pP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319" w:lineRule="auto"/>
        <w:ind w:right="1033"/>
        <w:jc w:val="left"/>
      </w:pPr>
      <w:r>
        <w:rPr>
          <w:spacing w:val="-2"/>
        </w:rPr>
        <w:t>注：说明金融工具的分类、确认依据和计量方法，金融资产转移的确认依据和计量方法，金融负债终止确认条件，金融资产</w:t>
      </w:r>
      <w:r>
        <w:rPr>
          <w:spacing w:val="-66"/>
        </w:rPr>
        <w:t> </w:t>
      </w:r>
      <w:r>
        <w:rPr>
          <w:spacing w:val="-66"/>
        </w:rPr>
      </w:r>
      <w:r>
        <w:rPr/>
        <w:t>和金融负债的公允价值确定方法，金融资产（此处不含应收款项）减值的测试方法及会计处理方法。</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360" w:lineRule="auto" w:before="51"/>
        <w:ind w:right="5353"/>
        <w:jc w:val="left"/>
      </w:pPr>
      <w:r>
        <w:rPr/>
        <w:t>注：按具体组合的名称，分别填写各组合采用的坏账准备计提方法。 组合中，采用其他方法计提坏账准备的：</w:t>
      </w:r>
    </w:p>
    <w:p>
      <w:pPr>
        <w:pStyle w:val="BodyText"/>
        <w:spacing w:line="240" w:lineRule="auto" w:before="26"/>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07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1033"/>
        <w:jc w:val="left"/>
      </w:pPr>
      <w:r>
        <w:rPr/>
        <w:t>注：填写具体组合名称和计提比例。</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本公司本年度无单项金额虽不重大但单项计提坏账准备的应 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7" w:right="1033" w:hanging="364"/>
        <w:jc w:val="left"/>
      </w:pPr>
      <w:r>
        <w:rPr/>
        <w:t>（</w:t>
      </w:r>
      <w:r>
        <w:rPr>
          <w:rFonts w:ascii="Times New Roman" w:hAnsi="Times New Roman" w:cs="Times New Roman" w:eastAsia="Times New Roman" w:hint="default"/>
          <w:b/>
          <w:bCs/>
        </w:rPr>
        <w:t>1</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before="4"/>
        <w:ind w:right="1033"/>
        <w:jc w:val="left"/>
      </w:pPr>
      <w:r>
        <w:rPr/>
        <w:t>耗用的材料和物料等。主要包括库存商品、低值易耗品等。</w:t>
      </w:r>
    </w:p>
    <w:p>
      <w:pPr>
        <w:pStyle w:val="BodyText"/>
        <w:spacing w:line="338" w:lineRule="auto" w:before="116"/>
        <w:ind w:left="517" w:right="1749" w:hanging="364"/>
        <w:jc w:val="left"/>
      </w:pPr>
      <w:r>
        <w:rPr/>
        <w:t>（</w:t>
      </w:r>
      <w:r>
        <w:rPr>
          <w:rFonts w:ascii="Times New Roman" w:hAnsi="Times New Roman" w:cs="Times New Roman" w:eastAsia="Times New Roman" w:hint="default"/>
          <w:b/>
          <w:bCs/>
        </w:rPr>
        <w:t>2</w:t>
      </w:r>
      <w:r>
        <w:rPr/>
        <w:t>）存货的计价方法 存货在取得时，按成本进行初始计量，包括采购成本、加工成本和其他成本。存货发出时按加权平均法计价。</w:t>
      </w:r>
    </w:p>
    <w:p>
      <w:pPr>
        <w:pStyle w:val="BodyText"/>
        <w:spacing w:line="338" w:lineRule="auto" w:before="43"/>
        <w:ind w:left="517" w:right="1033" w:hanging="364"/>
        <w:jc w:val="left"/>
      </w:pPr>
      <w:r>
        <w:rPr/>
        <w:t>（</w:t>
      </w:r>
      <w:r>
        <w:rPr>
          <w:rFonts w:ascii="Times New Roman" w:hAnsi="Times New Roman" w:cs="Times New Roman" w:eastAsia="Times New Roman" w:hint="default"/>
          <w:b/>
          <w:bCs/>
        </w:rPr>
        <w:t>3</w:t>
      </w:r>
      <w:r>
        <w:rPr/>
        <w:t>）存货可变现净值的确定依据及存货跌价准备的计提方法 </w:t>
      </w:r>
      <w:r>
        <w:rPr>
          <w:spacing w:val="-2"/>
        </w:rPr>
        <w:t>期末对存货进行全面清查后，按存货的成本与可变现净值孰低提取或调整存货跌价准备。产成品、库存商品和用于出售</w:t>
      </w:r>
    </w:p>
    <w:p>
      <w:pPr>
        <w:pStyle w:val="BodyText"/>
        <w:spacing w:line="319" w:lineRule="auto" w:before="2"/>
        <w:ind w:right="1033"/>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9" w:lineRule="auto" w:before="56"/>
        <w:ind w:right="1132" w:firstLine="363"/>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9" w:lineRule="auto" w:before="56"/>
        <w:ind w:right="1133" w:firstLine="363"/>
        <w:jc w:val="both"/>
      </w:pPr>
      <w:r>
        <w:rPr>
          <w:spacing w:val="-2"/>
        </w:rPr>
        <w:t>以前减记存货价值的影响因素已经消失的，减记的金额予以恢复，并在原已计提的存货跌价准备金额内转回，转回的金</w:t>
      </w:r>
      <w:r>
        <w:rPr/>
        <w:t> 额计入当期损益。</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7" w:right="8949" w:hanging="364"/>
        <w:jc w:val="left"/>
      </w:pPr>
      <w:r>
        <w:rPr/>
        <w:t>（</w:t>
      </w:r>
      <w:r>
        <w:rPr>
          <w:rFonts w:ascii="Times New Roman" w:hAnsi="Times New Roman" w:cs="Times New Roman" w:eastAsia="Times New Roman" w:hint="default"/>
          <w:b/>
          <w:bCs/>
        </w:rPr>
        <w:t>4</w:t>
      </w:r>
      <w:r>
        <w:rPr/>
        <w:t>）存货的盘存制度 采用永续盘存制。</w:t>
      </w:r>
    </w:p>
    <w:p>
      <w:pPr>
        <w:pStyle w:val="BodyText"/>
        <w:spacing w:line="240" w:lineRule="auto" w:before="43"/>
        <w:ind w:right="1033"/>
        <w:jc w:val="left"/>
      </w:pPr>
      <w:r>
        <w:rPr/>
        <w:t>（</w:t>
      </w:r>
      <w:r>
        <w:rPr>
          <w:rFonts w:ascii="Times New Roman" w:hAnsi="Times New Roman" w:cs="Times New Roman" w:eastAsia="Times New Roman" w:hint="default"/>
          <w:b/>
          <w:bCs/>
        </w:rPr>
        <w:t>5</w:t>
      </w:r>
      <w:r>
        <w:rPr/>
        <w:t>）低值易耗品和包装物的摊销方法</w:t>
      </w:r>
    </w:p>
    <w:p>
      <w:pPr>
        <w:pStyle w:val="BodyText"/>
        <w:spacing w:line="240" w:lineRule="auto" w:before="102"/>
        <w:ind w:left="517" w:right="1033"/>
        <w:jc w:val="left"/>
      </w:pPr>
      <w:r>
        <w:rPr>
          <w:rFonts w:ascii="Times New Roman" w:hAnsi="Times New Roman" w:cs="Times New Roman" w:eastAsia="Times New Roman" w:hint="default"/>
        </w:rPr>
        <w:t>1</w:t>
      </w:r>
      <w:r>
        <w:rPr/>
        <w:t>）低值易耗品采用一次转销法；</w:t>
      </w:r>
    </w:p>
    <w:p>
      <w:pPr>
        <w:pStyle w:val="BodyText"/>
        <w:spacing w:line="240" w:lineRule="auto" w:before="103"/>
        <w:ind w:left="517" w:right="1033"/>
        <w:jc w:val="left"/>
      </w:pP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19" w:lineRule="auto"/>
        <w:ind w:right="1033"/>
        <w:jc w:val="left"/>
      </w:pPr>
      <w:r>
        <w:rPr>
          <w:spacing w:val="-2"/>
        </w:rPr>
        <w:t>注：说明存货类别，发出存货的计价方法，确定不同类别存货可变现净值的依据，存货的盘存制度以及低值易耗品和包装物</w:t>
      </w:r>
      <w:r>
        <w:rPr>
          <w:spacing w:val="-66"/>
        </w:rPr>
        <w:t> </w:t>
      </w:r>
      <w:r>
        <w:rPr>
          <w:spacing w:val="-66"/>
        </w:rPr>
      </w:r>
      <w:r>
        <w:rPr/>
        <w:t>的摊销方法。</w:t>
      </w:r>
    </w:p>
    <w:p>
      <w:pPr>
        <w:spacing w:line="240" w:lineRule="auto" w:before="3"/>
        <w:rPr>
          <w:rFonts w:ascii="宋体" w:hAnsi="宋体" w:cs="宋体" w:eastAsia="宋体" w:hint="default"/>
          <w:sz w:val="22"/>
          <w:szCs w:val="22"/>
        </w:rPr>
      </w:pPr>
    </w:p>
    <w:p>
      <w:pPr>
        <w:pStyle w:val="Heading4"/>
        <w:spacing w:line="240" w:lineRule="auto"/>
        <w:ind w:left="153" w:right="1033"/>
        <w:jc w:val="left"/>
        <w:rPr>
          <w:b w:val="0"/>
          <w:bCs w:val="0"/>
        </w:rPr>
      </w:pPr>
      <w:bookmarkStart w:name="13、长期股权投资" w:id="180"/>
      <w:bookmarkEnd w:id="180"/>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w:t>
      </w:r>
      <w:r>
        <w:rPr>
          <w:rFonts w:ascii="Times New Roman" w:hAnsi="Times New Roman" w:cs="Times New Roman" w:eastAsia="Times New Roman" w:hint="default"/>
          <w:b/>
          <w:bCs/>
        </w:rPr>
        <w:t>1</w:t>
      </w:r>
      <w:r>
        <w:rPr/>
        <w:t>）投资成本的确定</w:t>
      </w:r>
    </w:p>
    <w:p>
      <w:pPr>
        <w:pStyle w:val="BodyText"/>
        <w:spacing w:line="240" w:lineRule="auto" w:before="102"/>
        <w:ind w:left="517" w:right="1033"/>
        <w:jc w:val="left"/>
      </w:pPr>
      <w:r>
        <w:rPr>
          <w:rFonts w:ascii="Times New Roman" w:hAnsi="Times New Roman" w:cs="Times New Roman" w:eastAsia="Times New Roman" w:hint="default"/>
        </w:rPr>
        <w:t>1</w:t>
      </w:r>
      <w:r>
        <w:rPr/>
        <w:t>）企业合并形成的长期股权投资，具体会计政策详见</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w:t>
      </w:r>
    </w:p>
    <w:p>
      <w:pPr>
        <w:pStyle w:val="BodyText"/>
        <w:spacing w:line="338" w:lineRule="auto" w:before="103"/>
        <w:ind w:left="517" w:right="1033"/>
        <w:jc w:val="left"/>
      </w:pP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57" w:lineRule="auto" w:before="4"/>
        <w:ind w:left="517" w:right="1033" w:hanging="364"/>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57" w:lineRule="auto"/>
        <w:ind w:left="517" w:right="1033" w:hanging="364"/>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224" w:lineRule="exact"/>
        <w:ind w:right="0"/>
        <w:jc w:val="left"/>
      </w:pPr>
      <w:r>
        <w:rPr/>
        <w:t>长期股权投资以换出资产的公允价值为基础确定其初始投资成本，除非有确凿证据表明换入资产的公允价值更加可靠；不满</w:t>
      </w:r>
    </w:p>
    <w:p>
      <w:pPr>
        <w:pStyle w:val="BodyText"/>
        <w:spacing w:line="357" w:lineRule="auto" w:before="77"/>
        <w:ind w:left="517" w:right="1393" w:hanging="364"/>
        <w:jc w:val="left"/>
      </w:pPr>
      <w:r>
        <w:rPr/>
        <w:t>足上述前提的非货币性资产交换，以换出资产的账面价值和应支付的相关税费作为换入长期股权投资的初始投资成本。 通过债务重组取得的长期股权投资，其初始投资成本按照公允价值为基础确定。</w:t>
      </w:r>
    </w:p>
    <w:p>
      <w:pPr>
        <w:pStyle w:val="BodyText"/>
        <w:spacing w:line="240" w:lineRule="auto" w:before="28"/>
        <w:ind w:right="1033"/>
        <w:jc w:val="left"/>
      </w:pPr>
      <w:r>
        <w:rPr/>
        <w:t>（</w:t>
      </w:r>
      <w:r>
        <w:rPr>
          <w:rFonts w:ascii="Times New Roman" w:hAnsi="Times New Roman" w:cs="Times New Roman" w:eastAsia="Times New Roman" w:hint="default"/>
          <w:b/>
          <w:bCs/>
        </w:rPr>
        <w:t>2</w:t>
      </w:r>
      <w:r>
        <w:rPr/>
        <w:t>）后续计量及损益确认</w:t>
      </w:r>
    </w:p>
    <w:p>
      <w:pPr>
        <w:pStyle w:val="BodyText"/>
        <w:spacing w:line="338" w:lineRule="auto" w:before="103"/>
        <w:ind w:left="517" w:right="1033"/>
        <w:jc w:val="left"/>
      </w:pP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7" w:lineRule="auto" w:before="4"/>
        <w:ind w:left="517" w:right="1033" w:hanging="364"/>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25" w:lineRule="exact"/>
        <w:ind w:right="1033"/>
        <w:jc w:val="left"/>
      </w:pPr>
      <w:r>
        <w:rPr/>
        <w:t>分派的现金股利或利润确认为当期投资收益。</w:t>
      </w:r>
    </w:p>
    <w:p>
      <w:pPr>
        <w:pStyle w:val="BodyText"/>
        <w:spacing w:line="338" w:lineRule="auto" w:before="117"/>
        <w:ind w:left="517" w:right="1033"/>
        <w:jc w:val="left"/>
      </w:pP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57" w:lineRule="auto" w:before="4"/>
        <w:ind w:left="517" w:right="1033" w:hanging="364"/>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57" w:lineRule="auto"/>
        <w:ind w:left="517" w:right="1033" w:hanging="364"/>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224" w:lineRule="exact"/>
        <w:ind w:right="0"/>
        <w:jc w:val="left"/>
      </w:pPr>
      <w:r>
        <w:rPr/>
        <w:t>益和其他综合收益，同时调整长期股权投资的账面价值；并按照被投资单位宣告分派的利润或现金股利计算应享有的部分，</w:t>
      </w:r>
    </w:p>
    <w:p>
      <w:pPr>
        <w:pStyle w:val="BodyText"/>
        <w:spacing w:line="319" w:lineRule="auto" w:before="76"/>
        <w:ind w:right="1033"/>
        <w:jc w:val="left"/>
      </w:pP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9" w:lineRule="auto" w:before="56"/>
        <w:ind w:right="1131" w:firstLine="363"/>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55"/>
        <w:ind w:right="1033" w:firstLine="363"/>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9" w:lineRule="auto" w:before="55"/>
        <w:ind w:right="1033" w:firstLine="363"/>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before="58"/>
        <w:ind w:right="1033"/>
        <w:jc w:val="left"/>
      </w:pPr>
      <w:r>
        <w:rPr/>
        <w:t>（</w:t>
      </w:r>
      <w:r>
        <w:rPr>
          <w:rFonts w:ascii="Times New Roman" w:hAnsi="Times New Roman" w:cs="Times New Roman" w:eastAsia="Times New Roman" w:hint="default"/>
          <w:b/>
          <w:bCs/>
        </w:rPr>
        <w:t>3</w:t>
      </w:r>
      <w:r>
        <w:rPr/>
        <w:t>）长期股权投资核算方法的转换</w:t>
      </w:r>
    </w:p>
    <w:p>
      <w:pPr>
        <w:pStyle w:val="BodyText"/>
        <w:spacing w:line="338" w:lineRule="auto" w:before="102"/>
        <w:ind w:left="517" w:right="1033"/>
        <w:jc w:val="left"/>
      </w:pP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2" w:lineRule="auto" w:before="2"/>
        <w:ind w:right="1033"/>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9" w:lineRule="auto" w:before="69"/>
        <w:ind w:right="1033" w:firstLine="363"/>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9" w:lineRule="auto" w:before="55"/>
        <w:ind w:right="1210" w:firstLine="363"/>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8" w:lineRule="auto" w:before="56"/>
        <w:ind w:left="517" w:right="1033"/>
        <w:jc w:val="left"/>
      </w:pP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9" w:lineRule="auto" w:before="2"/>
        <w:ind w:right="1033"/>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55"/>
        <w:ind w:right="1033" w:firstLine="363"/>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2" w:lineRule="auto" w:before="55"/>
        <w:ind w:left="154" w:right="1033" w:firstLine="363"/>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38" w:lineRule="auto" w:before="71"/>
        <w:ind w:left="517" w:right="1033"/>
        <w:jc w:val="left"/>
      </w:pP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2" w:lineRule="auto" w:before="2"/>
        <w:ind w:right="1033"/>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9" w:lineRule="auto" w:before="68"/>
        <w:ind w:left="154" w:right="1033" w:firstLine="363"/>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58"/>
        <w:ind w:left="517" w:right="1033"/>
        <w:jc w:val="left"/>
      </w:pP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348" w:lineRule="auto" w:before="4"/>
        <w:ind w:left="517" w:right="1033" w:hanging="364"/>
        <w:jc w:val="left"/>
      </w:pPr>
      <w:r>
        <w:rPr/>
        <w:t>被投资单位实施共同控制或施加重大影响的，改按权益法核算，并对该剩余股权视同自取得时即采用权益法核算进行调整。</w:t>
      </w:r>
      <w:r>
        <w:rPr>
          <w:spacing w:val="-85"/>
        </w:rPr>
        <w:t> </w:t>
      </w:r>
      <w:r>
        <w:rPr>
          <w:spacing w:val="-85"/>
        </w:rPr>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2" w:lineRule="auto"/>
        <w:ind w:left="154" w:right="1033"/>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38" w:lineRule="auto" w:before="69"/>
        <w:ind w:left="517" w:right="1033" w:hanging="364"/>
        <w:jc w:val="left"/>
      </w:pPr>
      <w:r>
        <w:rPr/>
        <w:t>（</w:t>
      </w:r>
      <w:r>
        <w:rPr>
          <w:rFonts w:ascii="Times New Roman" w:hAnsi="Times New Roman" w:cs="Times New Roman" w:eastAsia="Times New Roman" w:hint="default"/>
          <w:b/>
          <w:bCs/>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19" w:lineRule="auto" w:before="2"/>
        <w:ind w:right="1033"/>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57"/>
        <w:ind w:right="1033" w:firstLine="363"/>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56"/>
        <w:ind w:left="517" w:right="1033"/>
        <w:jc w:val="left"/>
      </w:pPr>
      <w:r>
        <w:rPr/>
        <w:t>①这些交易是同时或者在考虑了彼此影响的情况下订立的；</w:t>
      </w:r>
    </w:p>
    <w:p>
      <w:pPr>
        <w:pStyle w:val="BodyText"/>
        <w:spacing w:line="240" w:lineRule="auto" w:before="116"/>
        <w:ind w:left="517" w:right="1033"/>
        <w:jc w:val="left"/>
      </w:pPr>
      <w:r>
        <w:rPr/>
        <w:t>②这些交易整体才能达成一项完整的商业结果；</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7" w:right="1033"/>
        <w:jc w:val="left"/>
      </w:pPr>
      <w:r>
        <w:rPr/>
        <w:t>③一项交易的发生取决于其他至少一项交易的发生；</w:t>
      </w:r>
    </w:p>
    <w:p>
      <w:pPr>
        <w:pStyle w:val="BodyText"/>
        <w:spacing w:line="357" w:lineRule="auto" w:before="116"/>
        <w:ind w:left="517" w:right="1033"/>
        <w:jc w:val="left"/>
      </w:pPr>
      <w:r>
        <w:rPr/>
        <w:t>④一项交易单独看是不经济的，但是和其他交易一并考虑时是经济的。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25" w:lineRule="exact"/>
        <w:ind w:right="1033"/>
        <w:jc w:val="left"/>
      </w:pPr>
      <w:r>
        <w:rPr/>
        <w:t>表进行相关会计处理：</w:t>
      </w:r>
    </w:p>
    <w:p>
      <w:pPr>
        <w:pStyle w:val="BodyText"/>
        <w:spacing w:line="307" w:lineRule="auto" w:before="115"/>
        <w:ind w:right="1132" w:firstLine="363"/>
        <w:jc w:val="both"/>
      </w:pP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）在个别财务报表中，对于处置的股权，其账面价值与实际取得价款之间的差额计入当期损益。处置后的剩余股权能 </w:t>
      </w:r>
      <w:r>
        <w:rPr>
          <w:spacing w:val="-2"/>
        </w:rPr>
        <w:t>够对被投资单位实施共同控制或施加重大影响的，改按权益法核算，并对该剩余股权视同自取得时即采用权益法核算进行调</w:t>
      </w:r>
      <w:r>
        <w:rPr>
          <w:spacing w:val="-64"/>
        </w:rPr>
        <w:t> </w:t>
      </w:r>
      <w:r>
        <w:rPr>
          <w:spacing w:val="-64"/>
        </w:rPr>
      </w:r>
      <w:r>
        <w:rPr>
          <w:spacing w:val="-2"/>
        </w:rPr>
        <w:t>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w:t>
      </w:r>
      <w:r>
        <w:rPr>
          <w:spacing w:val="-64"/>
        </w:rPr>
        <w:t> </w:t>
      </w:r>
      <w:r>
        <w:rPr/>
        <w:t>计量》的有关规定进行会计处理，其在丧失控制之日的公允价值与账面价值间的差额计入当期损益。</w:t>
      </w:r>
    </w:p>
    <w:p>
      <w:pPr>
        <w:pStyle w:val="BodyText"/>
        <w:spacing w:line="314" w:lineRule="auto" w:before="64"/>
        <w:ind w:right="1131" w:firstLine="363"/>
        <w:jc w:val="both"/>
      </w:pP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）在合并财务报表中，对于在丧失对子公司控制权以前的各项交易，处置价款与处置长期股权投资相应对享有子公司 </w:t>
      </w:r>
      <w:r>
        <w:rPr>
          <w:spacing w:val="-2"/>
        </w:rPr>
        <w:t>自购买日或合并日开始持续计算的净资产份额之间的差额，调整资本公积（股本溢价），资本公积不足冲减的，调整留存收</w:t>
      </w:r>
      <w:r>
        <w:rPr>
          <w:spacing w:val="-66"/>
        </w:rPr>
        <w:t> </w:t>
      </w:r>
      <w:r>
        <w:rPr>
          <w:spacing w:val="-66"/>
        </w:rPr>
      </w:r>
      <w:r>
        <w:rPr>
          <w:spacing w:val="-2"/>
        </w:rPr>
        <w:t>益；在丧失对子公司控制权时，对于剩余股权，按照其在丧失控制权日的公允价值进行重新计量。处置股权取得的对价与剩</w:t>
      </w:r>
      <w:r>
        <w:rPr>
          <w:spacing w:val="-66"/>
        </w:rPr>
        <w:t> </w:t>
      </w:r>
      <w:r>
        <w:rPr>
          <w:spacing w:val="-66"/>
        </w:rPr>
      </w:r>
      <w:r>
        <w:rPr>
          <w:spacing w:val="-2"/>
        </w:rPr>
        <w:t>余股权公允价值之和，减去按原持股比例计算应享有原有子公司自购买日开始持续计算的净资产的份额之间的差额，计入丧</w:t>
      </w:r>
      <w:r>
        <w:rPr>
          <w:spacing w:val="-64"/>
        </w:rPr>
        <w:t> </w:t>
      </w:r>
      <w:r>
        <w:rPr>
          <w:spacing w:val="-64"/>
        </w:rPr>
      </w:r>
      <w:r>
        <w:rPr>
          <w:spacing w:val="-2"/>
        </w:rPr>
        <w:t>失控制权当期的投资收益，同时冲减商誉。与原有子公司股权投资相关的其他综合收益等，在丧失控制权时转为当期投资收</w:t>
      </w:r>
      <w:r>
        <w:rPr>
          <w:spacing w:val="-66"/>
        </w:rPr>
        <w:t> </w:t>
      </w:r>
      <w:r>
        <w:rPr>
          <w:spacing w:val="-66"/>
        </w:rPr>
      </w:r>
      <w:r>
        <w:rPr/>
        <w:t>益。</w:t>
      </w:r>
    </w:p>
    <w:p>
      <w:pPr>
        <w:pStyle w:val="BodyText"/>
        <w:spacing w:line="319" w:lineRule="auto" w:before="60"/>
        <w:ind w:left="154" w:right="1033" w:firstLine="363"/>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2" w:lineRule="auto" w:before="55"/>
        <w:ind w:right="1120" w:firstLine="363"/>
        <w:jc w:val="left"/>
      </w:pP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）在个别财务报表中，在丧失控制权之前每一次处置价款与处置的股权对应的长期股权投资账面价值之间的差额，确 认为其他综合收益，在丧失控制权时一并转入丧失控制权当期的损益。</w:t>
      </w:r>
    </w:p>
    <w:p>
      <w:pPr>
        <w:pStyle w:val="BodyText"/>
        <w:spacing w:line="302" w:lineRule="auto" w:before="68"/>
        <w:ind w:right="1120" w:firstLine="363"/>
        <w:jc w:val="left"/>
      </w:pP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）在合并财务报表中，在丧失控制权之前每一次处置价款与处置投资对应的享有该子公司净资产份额的差额，确认为 其他综合收益，在丧失控制权时一并转入丧失控制权当期的损益。</w:t>
      </w:r>
    </w:p>
    <w:p>
      <w:pPr>
        <w:pStyle w:val="BodyText"/>
        <w:spacing w:line="338" w:lineRule="auto" w:before="70"/>
        <w:ind w:left="517" w:right="1033" w:hanging="364"/>
        <w:jc w:val="left"/>
      </w:pPr>
      <w:r>
        <w:rPr/>
        <w:t>（</w:t>
      </w:r>
      <w:r>
        <w:rPr>
          <w:rFonts w:ascii="Times New Roman" w:hAnsi="Times New Roman" w:cs="Times New Roman" w:eastAsia="Times New Roman" w:hint="default"/>
          <w:b/>
          <w:bCs/>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57" w:lineRule="auto" w:before="4"/>
        <w:ind w:left="517" w:right="1033" w:hanging="364"/>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224" w:lineRule="exact"/>
        <w:ind w:left="154" w:right="0"/>
        <w:jc w:val="left"/>
      </w:pPr>
      <w:r>
        <w:rPr/>
        <w:t>业，采用权益法核算。若根据相关约定判断本公司并非对该单独主体的净资产享有权利时，该单独主体作为共同经营，本公</w:t>
      </w:r>
    </w:p>
    <w:p>
      <w:pPr>
        <w:pStyle w:val="BodyText"/>
        <w:spacing w:line="357" w:lineRule="auto" w:before="77"/>
        <w:ind w:left="517" w:right="1033" w:hanging="364"/>
        <w:jc w:val="left"/>
      </w:pPr>
      <w:r>
        <w:rPr/>
        <w:t>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w:t>
      </w:r>
    </w:p>
    <w:p>
      <w:pPr>
        <w:pStyle w:val="BodyText"/>
        <w:spacing w:line="225" w:lineRule="exact"/>
        <w:ind w:left="154" w:right="1033"/>
        <w:jc w:val="left"/>
      </w:pPr>
      <w:r>
        <w:rPr/>
        <w:t>这些政策的制定。本公司通过以下一种或多种情形，并综合考虑所有事实和情况后，判断对被投资单位具有重大影响：</w:t>
      </w:r>
    </w:p>
    <w:p>
      <w:pPr>
        <w:pStyle w:val="BodyText"/>
        <w:spacing w:line="240" w:lineRule="auto" w:before="116"/>
        <w:ind w:left="517" w:right="1033"/>
        <w:jc w:val="left"/>
      </w:pPr>
      <w:r>
        <w:rPr>
          <w:rFonts w:ascii="Times New Roman" w:hAnsi="Times New Roman" w:cs="Times New Roman" w:eastAsia="Times New Roman" w:hint="default"/>
        </w:rPr>
        <w:t>1</w:t>
      </w:r>
      <w:r>
        <w:rPr/>
        <w:t>）在被投资单位的董事会或类似权力机构中派有代表；</w:t>
      </w:r>
    </w:p>
    <w:p>
      <w:pPr>
        <w:pStyle w:val="BodyText"/>
        <w:spacing w:line="240" w:lineRule="auto" w:before="102"/>
        <w:ind w:left="517" w:right="1033"/>
        <w:jc w:val="left"/>
      </w:pPr>
      <w:r>
        <w:rPr>
          <w:rFonts w:ascii="Times New Roman" w:hAnsi="Times New Roman" w:cs="Times New Roman" w:eastAsia="Times New Roman" w:hint="default"/>
        </w:rPr>
        <w:t>2</w:t>
      </w:r>
      <w:r>
        <w:rPr/>
        <w:t>）参与被投资单位财务和经营政策制定过程；</w:t>
      </w:r>
    </w:p>
    <w:p>
      <w:pPr>
        <w:pStyle w:val="BodyText"/>
        <w:spacing w:line="240" w:lineRule="auto" w:before="103"/>
        <w:ind w:left="517" w:right="1033"/>
        <w:jc w:val="left"/>
      </w:pPr>
      <w:r>
        <w:rPr>
          <w:rFonts w:ascii="Times New Roman" w:hAnsi="Times New Roman" w:cs="Times New Roman" w:eastAsia="Times New Roman" w:hint="default"/>
        </w:rPr>
        <w:t>3</w:t>
      </w:r>
      <w:r>
        <w:rPr/>
        <w:t>）与被投资单位之间发生重要交易；</w:t>
      </w:r>
    </w:p>
    <w:p>
      <w:pPr>
        <w:pStyle w:val="BodyText"/>
        <w:spacing w:line="240" w:lineRule="auto" w:before="102"/>
        <w:ind w:left="517" w:right="1033"/>
        <w:jc w:val="left"/>
      </w:pPr>
      <w:r>
        <w:rPr>
          <w:rFonts w:ascii="Times New Roman" w:hAnsi="Times New Roman" w:cs="Times New Roman" w:eastAsia="Times New Roman" w:hint="default"/>
        </w:rPr>
        <w:t>4</w:t>
      </w:r>
      <w:r>
        <w:rPr/>
        <w:t>）向被投资单位派出管理人员；</w:t>
      </w:r>
    </w:p>
    <w:p>
      <w:pPr>
        <w:pStyle w:val="BodyText"/>
        <w:spacing w:line="679" w:lineRule="auto" w:before="102"/>
        <w:ind w:right="2293" w:firstLine="363"/>
        <w:jc w:val="left"/>
      </w:pPr>
      <w:r>
        <w:rPr>
          <w:rFonts w:ascii="Times New Roman" w:hAnsi="Times New Roman" w:cs="Times New Roman" w:eastAsia="Times New Roman" w:hint="default"/>
        </w:rPr>
        <w:t>5</w:t>
      </w:r>
      <w:r>
        <w:rPr/>
        <w:t>）向被投资单位提供关键技术资料。 注：说明共同控制、重要影响的判断标准，长期股权投资的初始投资成本确定、后续计量及损益确认方法。</w:t>
      </w:r>
    </w:p>
    <w:p>
      <w:pPr>
        <w:pStyle w:val="Heading4"/>
        <w:spacing w:line="240" w:lineRule="auto" w:before="20"/>
        <w:ind w:right="1033"/>
        <w:jc w:val="left"/>
        <w:rPr>
          <w:b w:val="0"/>
          <w:bCs w:val="0"/>
        </w:rPr>
      </w:pPr>
      <w:bookmarkStart w:name="14、投资性房地产" w:id="181"/>
      <w:bookmarkEnd w:id="181"/>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574" w:right="1033"/>
        <w:jc w:val="left"/>
      </w:pPr>
      <w:r>
        <w:rPr/>
        <w:t>投资性房地产是指为赚取租金或资本增值，或两者兼有而持有的房地产，包括已出租的土地使用权、持有并准备增值</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73" w:right="1153" w:hanging="420"/>
        <w:jc w:val="left"/>
      </w:pPr>
      <w:r>
        <w:rPr/>
        <w:t>后转让的土地使用权、已出租的建筑物。 本公司的投资性房地产按其成本作为入账价值，外购投资性房地产的成本包括购买价款、相关税费和可直接归属于该</w:t>
      </w:r>
    </w:p>
    <w:p>
      <w:pPr>
        <w:pStyle w:val="BodyText"/>
        <w:spacing w:line="357" w:lineRule="auto"/>
        <w:ind w:left="573" w:right="1153" w:hanging="420"/>
        <w:jc w:val="left"/>
      </w:pPr>
      <w:r>
        <w:rPr/>
        <w:t>资产的其他支出；自行建造投资性房地产的成本，由建造该项资产达到预定可使用状态前所发生的必要支出构成。 本公司对投资性房地产采用成本模式进行后续计量，按其预计使用寿命及净残值率对建筑物和土地使用权计提折旧或</w:t>
      </w:r>
    </w:p>
    <w:p>
      <w:pPr>
        <w:pStyle w:val="BodyText"/>
        <w:spacing w:line="225" w:lineRule="exact"/>
        <w:ind w:right="1033"/>
        <w:jc w:val="left"/>
      </w:pPr>
      <w:r>
        <w:rPr/>
        <w:t>摊销。投资性房地产的预计使用寿命、净残值率及年折旧（摊销）率列示如下：</w:t>
      </w:r>
    </w:p>
    <w:p>
      <w:pPr>
        <w:spacing w:line="240" w:lineRule="auto" w:before="13"/>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2450"/>
        <w:gridCol w:w="2030"/>
        <w:gridCol w:w="2214"/>
        <w:gridCol w:w="1829"/>
      </w:tblGrid>
      <w:tr>
        <w:trPr>
          <w:trHeight w:val="427" w:hRule="exact"/>
        </w:trPr>
        <w:tc>
          <w:tcPr>
            <w:tcW w:w="2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2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土地所有权</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永久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2.56%</w:t>
            </w:r>
          </w:p>
        </w:tc>
      </w:tr>
    </w:tbl>
    <w:p>
      <w:pPr>
        <w:spacing w:line="240" w:lineRule="auto" w:before="8"/>
        <w:rPr>
          <w:rFonts w:ascii="宋体" w:hAnsi="宋体" w:cs="宋体" w:eastAsia="宋体" w:hint="default"/>
          <w:sz w:val="6"/>
          <w:szCs w:val="6"/>
        </w:rPr>
      </w:pPr>
    </w:p>
    <w:p>
      <w:pPr>
        <w:pStyle w:val="BodyText"/>
        <w:spacing w:line="302" w:lineRule="auto" w:before="44"/>
        <w:ind w:right="1147" w:firstLine="420"/>
        <w:jc w:val="left"/>
      </w:pPr>
      <w:r>
        <w:rPr/>
        <w:t>本公司投资性房地产中的土地所有权系收购的美国全资子公司</w:t>
      </w:r>
      <w:r>
        <w:rPr>
          <w:rFonts w:ascii="Times New Roman" w:hAnsi="Times New Roman" w:cs="Times New Roman" w:eastAsia="Times New Roman" w:hint="default"/>
        </w:rPr>
        <w:t>Freedom</w:t>
      </w:r>
      <w:r>
        <w:rPr>
          <w:rFonts w:ascii="Times New Roman" w:hAnsi="Times New Roman" w:cs="Times New Roman" w:eastAsia="Times New Roman" w:hint="default"/>
          <w:spacing w:val="-4"/>
        </w:rPr>
        <w:t> </w:t>
      </w:r>
      <w:r>
        <w:rPr>
          <w:rFonts w:ascii="Times New Roman" w:hAnsi="Times New Roman" w:cs="Times New Roman" w:eastAsia="Times New Roman" w:hint="default"/>
        </w:rPr>
        <w:t>Enterprise,LLC</w:t>
      </w:r>
      <w:r>
        <w:rPr/>
        <w:t>持有的依据美国相关法律规定拥 有的土地永久产权，无需进行摊销。</w:t>
      </w:r>
    </w:p>
    <w:p>
      <w:pPr>
        <w:pStyle w:val="BodyText"/>
        <w:spacing w:line="319" w:lineRule="auto" w:before="148"/>
        <w:ind w:left="154" w:right="1032" w:firstLine="420"/>
        <w:jc w:val="left"/>
      </w:pPr>
      <w:r>
        <w:rPr/>
        <w:t>投资性房地产的用途改变为自用时，自改变之日起，本公司将该投资性房地产转换为固定资产或无形资产。自用房地 产的用途改变为赚取租金或资本增值时，自改变之日起，本公司将固定资产或无形资产转换为投资性房地产。发生转换时，</w:t>
      </w:r>
      <w:r>
        <w:rPr>
          <w:spacing w:val="-85"/>
        </w:rPr>
        <w:t> </w:t>
      </w:r>
      <w:r>
        <w:rPr>
          <w:spacing w:val="-85"/>
        </w:rPr>
      </w:r>
      <w:r>
        <w:rPr/>
        <w:t>以转换前的账面价值作为转换后的入账价值。</w:t>
      </w:r>
    </w:p>
    <w:p>
      <w:pPr>
        <w:pStyle w:val="BodyText"/>
        <w:spacing w:line="319" w:lineRule="auto" w:before="55"/>
        <w:ind w:left="154" w:right="1033" w:firstLine="363"/>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1033"/>
        <w:jc w:val="left"/>
        <w:rPr>
          <w:b w:val="0"/>
          <w:bCs w:val="0"/>
        </w:rPr>
      </w:pPr>
      <w:bookmarkStart w:name="15、固定资产" w:id="182"/>
      <w:bookmarkEnd w:id="182"/>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3" w:firstLine="363"/>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6"/>
        <w:ind w:left="517" w:right="1033"/>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left="517" w:right="1033"/>
        <w:jc w:val="left"/>
      </w:pPr>
      <w:r>
        <w:rPr>
          <w:rFonts w:ascii="Times New Roman" w:hAnsi="Times New Roman" w:cs="Times New Roman" w:eastAsia="Times New Roman" w:hint="default"/>
        </w:rPr>
        <w:t>2</w:t>
      </w:r>
      <w:r>
        <w:rPr/>
        <w:t>）该固定资产的成本能够可靠地计量。</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5"/>
        <w:rPr>
          <w:rFonts w:ascii="宋体" w:hAnsi="宋体" w:cs="宋体" w:eastAsia="宋体" w:hint="default"/>
          <w:b/>
          <w:bCs/>
          <w:sz w:val="27"/>
          <w:szCs w:val="27"/>
        </w:rPr>
      </w:pPr>
    </w:p>
    <w:p>
      <w:pPr>
        <w:pStyle w:val="BodyText"/>
        <w:spacing w:line="338" w:lineRule="auto" w:before="44"/>
        <w:ind w:right="1128"/>
        <w:jc w:val="left"/>
      </w:pPr>
      <w:r>
        <w:rPr>
          <w:spacing w:val="-5"/>
        </w:rPr>
        <w:t>注：公司根据自身实际情况确定类别，一般包括房屋及建筑物、机器设备、电子设备、运输设备等。折旧方法有年限平均法、</w:t>
      </w:r>
      <w:r>
        <w:rPr>
          <w:spacing w:val="-80"/>
        </w:rPr>
        <w:t> </w:t>
      </w:r>
      <w:r>
        <w:rPr>
          <w:spacing w:val="-80"/>
        </w:rPr>
      </w:r>
      <w:r>
        <w:rPr/>
        <w:t>工作量法、双倍余额递减法、年数总和法，其他。如选择其他，请在文本框中说明。 注：当</w:t>
      </w:r>
      <w:r>
        <w:rPr>
          <w:rFonts w:ascii="Times New Roman" w:hAnsi="Times New Roman" w:cs="Times New Roman" w:eastAsia="Times New Roman" w:hint="default"/>
        </w:rPr>
        <w:t>“</w:t>
      </w:r>
      <w:r>
        <w:rPr/>
        <w:t>折旧方法</w:t>
      </w:r>
      <w:r>
        <w:rPr>
          <w:rFonts w:ascii="Times New Roman" w:hAnsi="Times New Roman" w:cs="Times New Roman" w:eastAsia="Times New Roman" w:hint="default"/>
        </w:rPr>
        <w:t>”</w:t>
      </w:r>
      <w:r>
        <w:rPr/>
        <w:t>选择</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时，请说明原因。</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当本公司租入的固定资产符合下列一项或数项标准时，确认为融资租入固定资产：</w:t>
      </w:r>
    </w:p>
    <w:p>
      <w:pPr>
        <w:pStyle w:val="BodyText"/>
        <w:spacing w:line="240" w:lineRule="auto" w:before="116"/>
        <w:ind w:left="517" w:right="1033"/>
        <w:jc w:val="left"/>
      </w:pPr>
      <w:r>
        <w:rPr>
          <w:rFonts w:ascii="Times New Roman" w:hAnsi="Times New Roman" w:cs="Times New Roman" w:eastAsia="Times New Roman" w:hint="default"/>
        </w:rPr>
        <w:t>1</w:t>
      </w:r>
      <w:r>
        <w:rPr/>
        <w:t>）在租赁期届满时，租赁资产的所有权转移给本公司；</w:t>
      </w:r>
    </w:p>
    <w:p>
      <w:pPr>
        <w:pStyle w:val="BodyText"/>
        <w:spacing w:line="302" w:lineRule="auto" w:before="103"/>
        <w:ind w:right="1120" w:firstLine="363"/>
        <w:jc w:val="left"/>
      </w:pP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）本公司有购买租赁资产的选择权，所订立的购买价款预计将远低于行使选择权时租赁资产的公允价值，因而在租赁 开始日就可以合理确定本公司将会行使这种选择权；</w:t>
      </w:r>
    </w:p>
    <w:p>
      <w:pPr>
        <w:pStyle w:val="BodyText"/>
        <w:spacing w:line="240" w:lineRule="auto" w:before="69"/>
        <w:ind w:left="517" w:right="1033"/>
        <w:jc w:val="left"/>
      </w:pP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2"/>
        <w:ind w:left="517" w:right="1033"/>
        <w:jc w:val="left"/>
      </w:pP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38" w:lineRule="auto" w:before="103"/>
        <w:ind w:left="517" w:right="1033"/>
        <w:jc w:val="left"/>
      </w:pPr>
      <w:r>
        <w:rPr>
          <w:rFonts w:ascii="Times New Roman" w:hAnsi="Times New Roman" w:cs="Times New Roman" w:eastAsia="Times New Roman" w:hint="default"/>
        </w:rPr>
        <w:t>5</w:t>
      </w:r>
      <w:r>
        <w:rPr/>
        <w:t>）租赁资产性质特殊，如果不作较大改造，只有本公司才能使用。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9" w:lineRule="auto" w:before="2"/>
        <w:ind w:right="1133"/>
        <w:jc w:val="both"/>
      </w:pP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于租赁项目的手续费、律师费、差旅费、印花税等初始直接费用，计入租入资产价值。未确认融资费用在租赁期内各个期间</w:t>
      </w:r>
      <w:r>
        <w:rPr>
          <w:spacing w:val="-66"/>
        </w:rPr>
        <w:t> </w:t>
      </w:r>
      <w:r>
        <w:rPr>
          <w:spacing w:val="-66"/>
        </w:rPr>
      </w:r>
      <w:r>
        <w:rPr/>
        <w:t>采用实际利率法进行分摊。</w:t>
      </w:r>
    </w:p>
    <w:p>
      <w:pPr>
        <w:pStyle w:val="BodyText"/>
        <w:spacing w:line="319" w:lineRule="auto" w:before="55"/>
        <w:ind w:right="1132" w:firstLine="363"/>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6"/>
        </w:rPr>
        <w:t> </w:t>
      </w:r>
      <w:r>
        <w:rPr>
          <w:spacing w:val="-66"/>
        </w:rPr>
      </w:r>
      <w:r>
        <w:rPr/>
        <w:t>用寿命两者中较短的期间内计提折旧。</w:t>
      </w:r>
    </w:p>
    <w:p>
      <w:pPr>
        <w:spacing w:line="240" w:lineRule="auto" w:before="4"/>
        <w:rPr>
          <w:rFonts w:ascii="宋体" w:hAnsi="宋体" w:cs="宋体" w:eastAsia="宋体" w:hint="default"/>
          <w:sz w:val="22"/>
          <w:szCs w:val="22"/>
        </w:rPr>
      </w:pPr>
    </w:p>
    <w:p>
      <w:pPr>
        <w:pStyle w:val="Heading4"/>
        <w:spacing w:line="240" w:lineRule="auto"/>
        <w:ind w:left="153" w:right="1033"/>
        <w:jc w:val="left"/>
        <w:rPr>
          <w:b w:val="0"/>
          <w:bCs w:val="0"/>
        </w:rPr>
      </w:pPr>
      <w:bookmarkStart w:name="16、在建工程" w:id="186"/>
      <w:bookmarkEnd w:id="186"/>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7" w:right="1029" w:hanging="364"/>
        <w:jc w:val="left"/>
      </w:pPr>
      <w:r>
        <w:rPr/>
        <w:t>（</w:t>
      </w:r>
      <w:r>
        <w:rPr>
          <w:rFonts w:ascii="Times New Roman" w:hAnsi="Times New Roman" w:cs="Times New Roman" w:eastAsia="Times New Roman" w:hint="default"/>
          <w:b/>
          <w:bCs/>
        </w:rPr>
        <w:t>1</w:t>
      </w:r>
      <w:r>
        <w:rPr/>
        <w:t>）在建工程的类别 本公司自行建造的在建工程按实际成本计价，实际成本由建造该项资产达到预定可使用状态前所发生的必要支出构成，</w:t>
      </w:r>
    </w:p>
    <w:p>
      <w:pPr>
        <w:pStyle w:val="BodyText"/>
        <w:spacing w:line="319" w:lineRule="auto" w:before="3"/>
        <w:ind w:right="1131"/>
        <w:jc w:val="both"/>
      </w:pPr>
      <w:r>
        <w:rPr>
          <w:spacing w:val="-2"/>
        </w:rPr>
        <w:t>包括工程用物资成本、人工成本、交纳的相关税费、应予资本化的借款费用以及应分摊的间接费用等。本公司的在建工程以</w:t>
      </w:r>
      <w:r>
        <w:rPr>
          <w:spacing w:val="-66"/>
        </w:rPr>
        <w:t> </w:t>
      </w:r>
      <w:r>
        <w:rPr>
          <w:spacing w:val="-66"/>
        </w:rPr>
      </w:r>
      <w:r>
        <w:rPr/>
        <w:t>项目分类核算。</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2</w:t>
      </w:r>
      <w:r>
        <w:rPr/>
        <w:t>）在建工程结转为固定资产的标准和时点 </w:t>
      </w:r>
      <w:r>
        <w:rPr>
          <w:spacing w:val="-2"/>
        </w:rPr>
        <w:t>在建工程项目按建造该项资产达到预定可使用状态前所发生的全部支出，作为在建工程的入账价值。所建造的在建工程</w:t>
      </w:r>
    </w:p>
    <w:p>
      <w:pPr>
        <w:pStyle w:val="BodyText"/>
        <w:spacing w:line="319" w:lineRule="auto" w:before="2"/>
        <w:ind w:left="154" w:right="1133"/>
        <w:jc w:val="both"/>
      </w:pPr>
      <w:r>
        <w:rPr>
          <w:spacing w:val="-5"/>
        </w:rPr>
        <w:t>已达到预定可使用状态，但尚未办理竣工决算的，自达到预定可使用状态之日起，根据工程预算、造价或者工程实际成本等，</w:t>
      </w:r>
      <w:r>
        <w:rPr>
          <w:spacing w:val="-82"/>
        </w:rPr>
        <w:t> </w:t>
      </w:r>
      <w:r>
        <w:rPr>
          <w:spacing w:val="-82"/>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154" w:right="1033"/>
        <w:jc w:val="left"/>
      </w:pPr>
      <w:r>
        <w:rPr/>
        <w:t>注：说明在建工程结转为固定资产的标准和时点。</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17、无形资产" w:id="187"/>
      <w:bookmarkEnd w:id="187"/>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7" w:right="1033"/>
        <w:jc w:val="left"/>
      </w:pPr>
      <w:r>
        <w:rPr/>
        <w:t>无形资产是指本公司拥有或者控制的没有实物形态的可辨认非货币性资产。</w:t>
      </w:r>
    </w:p>
    <w:p>
      <w:pPr>
        <w:pStyle w:val="BodyText"/>
        <w:spacing w:line="338" w:lineRule="auto" w:before="117"/>
        <w:ind w:left="517" w:right="1033" w:hanging="2"/>
        <w:jc w:val="left"/>
      </w:pPr>
      <w:r>
        <w:rPr>
          <w:rFonts w:ascii="Times New Roman" w:hAnsi="Times New Roman" w:cs="Times New Roman" w:eastAsia="Times New Roman" w:hint="default"/>
          <w:b/>
          <w:bCs/>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57" w:lineRule="auto" w:before="4"/>
        <w:ind w:left="517" w:right="1033" w:hanging="364"/>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57" w:lineRule="auto"/>
        <w:ind w:left="517" w:right="1033" w:hanging="364"/>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224" w:lineRule="exact"/>
        <w:ind w:right="0"/>
        <w:jc w:val="left"/>
      </w:pPr>
      <w:r>
        <w:rPr/>
        <w:t>无形资产以换出资产的公允价值为基础确定其入账价值，除非有确凿证据表明换入资产的公允价值更加可靠；不满足上述前</w:t>
      </w:r>
    </w:p>
    <w:p>
      <w:pPr>
        <w:spacing w:after="0" w:line="224"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7" w:right="1033" w:hanging="364"/>
        <w:jc w:val="left"/>
      </w:pPr>
      <w:r>
        <w:rPr/>
        <w:t>提的非货币性资产交换，以换出资产的账面价值和应支付的相关税费作为换入无形资产的成本，不确认损益。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w:t>
      </w:r>
    </w:p>
    <w:p>
      <w:pPr>
        <w:pStyle w:val="BodyText"/>
        <w:spacing w:line="357" w:lineRule="auto"/>
        <w:ind w:left="517" w:right="1033" w:hanging="364"/>
        <w:jc w:val="left"/>
      </w:pPr>
      <w:r>
        <w:rPr/>
        <w:t>合并方式取得的无形资产按公允价值确定其入账价值。 </w:t>
      </w:r>
      <w:r>
        <w:rPr>
          <w:spacing w:val="-2"/>
        </w:rPr>
        <w:t>内部自行开发的无形资产，其成本包括：开发该无形资产时耗用的材料、劳务成本、注册费、在开发过程中使用的其他</w:t>
      </w:r>
    </w:p>
    <w:p>
      <w:pPr>
        <w:pStyle w:val="BodyText"/>
        <w:spacing w:line="348" w:lineRule="auto"/>
        <w:ind w:left="516" w:right="1393" w:hanging="363"/>
        <w:jc w:val="left"/>
      </w:pPr>
      <w:r>
        <w:rPr/>
        <w:t>专利权和特许权的摊销以及满足资本化条件的利息费用，以及为使该无形资产达到预定用途前所发生的其他直接费用。 </w:t>
      </w:r>
      <w:r>
        <w:rPr>
          <w:rFonts w:ascii="Times New Roman" w:hAnsi="Times New Roman" w:cs="Times New Roman" w:eastAsia="Times New Roman" w:hint="default"/>
          <w:b/>
          <w:bCs/>
        </w:rPr>
        <w:t>2</w:t>
      </w:r>
      <w:r>
        <w:rPr/>
        <w:t>）无形资产的后续计量 本公司在取得无形资产时分析判断其使用寿命，划分为使用寿命有限和使用寿命不确定的无形资产。</w:t>
      </w:r>
    </w:p>
    <w:p>
      <w:pPr>
        <w:pStyle w:val="BodyText"/>
        <w:spacing w:line="357" w:lineRule="auto" w:before="36"/>
        <w:ind w:left="517" w:right="1033"/>
        <w:jc w:val="left"/>
      </w:pPr>
      <w:r>
        <w:rPr/>
        <w:t>①使用寿命有限的无形资产 </w:t>
      </w:r>
      <w:r>
        <w:rPr>
          <w:spacing w:val="-2"/>
        </w:rPr>
        <w:t>对于使用寿命有限的无形资产，在为企业带来经济利益的期限内按直线法摊销。使用寿命有限的无形资产预计寿命及依</w:t>
      </w:r>
    </w:p>
    <w:p>
      <w:pPr>
        <w:pStyle w:val="BodyText"/>
        <w:spacing w:line="225" w:lineRule="exact"/>
        <w:ind w:left="154" w:right="1033"/>
        <w:jc w:val="left"/>
      </w:pPr>
      <w:r>
        <w:rPr/>
        <w:pict>
          <v:group style="position:absolute;margin-left:55.950001pt;margin-top:16.464373pt;width:295.150pt;height:54.7pt;mso-position-horizontal-relative:page;mso-position-vertical-relative:paragraph;z-index:-1504696" coordorigin="1119,329" coordsize="5903,1094">
            <v:group style="position:absolute;left:1134;top:344;width:5843;height:2" coordorigin="1134,344" coordsize="5843,2">
              <v:shape style="position:absolute;left:1134;top:344;width:5843;height:2" coordorigin="1134,344" coordsize="5843,0" path="m1134,344l6976,344e" filled="false" stroked="true" strokeweight="1.5pt" strokecolor="#000000">
                <v:path arrowok="t"/>
              </v:shape>
            </v:group>
            <v:group style="position:absolute;left:6976;top:344;width:30;height:2" coordorigin="6976,344" coordsize="30,2">
              <v:shape style="position:absolute;left:6976;top:344;width:30;height:2" coordorigin="6976,344" coordsize="30,0" path="m6976,344l7006,344e" filled="false" stroked="true" strokeweight="1.5pt" strokecolor="#000000">
                <v:path arrowok="t"/>
              </v:shape>
              <v:shape style="position:absolute;left:6976;top:359;width:10;height:19" type="#_x0000_t75" stroked="false">
                <v:imagedata r:id="rId20" o:title=""/>
              </v:shape>
            </v:group>
            <v:group style="position:absolute;left:6976;top:398;width:10;height:20" coordorigin="6976,398" coordsize="10,20">
              <v:shape style="position:absolute;left:6976;top:398;width:10;height:20" coordorigin="6976,398" coordsize="10,20" path="m6976,417l6986,417,6986,398,6976,398,6976,417xe" filled="true" fillcolor="#000000" stroked="false">
                <v:path arrowok="t"/>
                <v:fill type="solid"/>
              </v:shape>
            </v:group>
            <v:group style="position:absolute;left:6976;top:417;width:10;height:20" coordorigin="6976,417" coordsize="10,20">
              <v:shape style="position:absolute;left:6976;top:417;width:10;height:20" coordorigin="6976,417" coordsize="10,20" path="m6976,436l6986,436,6986,417,6976,417,6976,436xe" filled="true" fillcolor="#000000" stroked="false">
                <v:path arrowok="t"/>
                <v:fill type="solid"/>
              </v:shape>
            </v:group>
            <v:group style="position:absolute;left:6976;top:436;width:10;height:20" coordorigin="6976,436" coordsize="10,20">
              <v:shape style="position:absolute;left:6976;top:436;width:10;height:20" coordorigin="6976,436" coordsize="10,20" path="m6976,455l6986,455,6986,436,6976,436,6976,455xe" filled="true" fillcolor="#000000" stroked="false">
                <v:path arrowok="t"/>
                <v:fill type="solid"/>
              </v:shape>
            </v:group>
            <v:group style="position:absolute;left:6976;top:455;width:10;height:20" coordorigin="6976,455" coordsize="10,20">
              <v:shape style="position:absolute;left:6976;top:455;width:10;height:20" coordorigin="6976,455" coordsize="10,20" path="m6976,474l6986,474,6986,455,6976,455,6976,474xe" filled="true" fillcolor="#000000" stroked="false">
                <v:path arrowok="t"/>
                <v:fill type="solid"/>
              </v:shape>
            </v:group>
            <v:group style="position:absolute;left:6976;top:474;width:10;height:20" coordorigin="6976,474" coordsize="10,20">
              <v:shape style="position:absolute;left:6976;top:474;width:10;height:20" coordorigin="6976,474" coordsize="10,20" path="m6976,494l6986,494,6986,474,6976,474,6976,494xe" filled="true" fillcolor="#000000" stroked="false">
                <v:path arrowok="t"/>
                <v:fill type="solid"/>
              </v:shape>
            </v:group>
            <v:group style="position:absolute;left:6976;top:494;width:10;height:20" coordorigin="6976,494" coordsize="10,20">
              <v:shape style="position:absolute;left:6976;top:494;width:10;height:20" coordorigin="6976,494" coordsize="10,20" path="m6976,513l6986,513,6986,494,6976,494,6976,513xe" filled="true" fillcolor="#000000" stroked="false">
                <v:path arrowok="t"/>
                <v:fill type="solid"/>
              </v:shape>
            </v:group>
            <v:group style="position:absolute;left:6976;top:513;width:10;height:20" coordorigin="6976,513" coordsize="10,20">
              <v:shape style="position:absolute;left:6976;top:513;width:10;height:20" coordorigin="6976,513" coordsize="10,20" path="m6976,532l6986,532,6986,513,6976,513,6976,532xe" filled="true" fillcolor="#000000" stroked="false">
                <v:path arrowok="t"/>
                <v:fill type="solid"/>
              </v:shape>
            </v:group>
            <v:group style="position:absolute;left:6976;top:532;width:10;height:20" coordorigin="6976,532" coordsize="10,20">
              <v:shape style="position:absolute;left:6976;top:532;width:10;height:20" coordorigin="6976,532" coordsize="10,20" path="m6976,551l6986,551,6986,532,6976,532,6976,551xe" filled="true" fillcolor="#000000" stroked="false">
                <v:path arrowok="t"/>
                <v:fill type="solid"/>
              </v:shape>
            </v:group>
            <v:group style="position:absolute;left:6976;top:551;width:10;height:20" coordorigin="6976,551" coordsize="10,20">
              <v:shape style="position:absolute;left:6976;top:551;width:10;height:20" coordorigin="6976,551" coordsize="10,20" path="m6976,570l6986,570,6986,551,6976,551,6976,570xe" filled="true" fillcolor="#000000" stroked="false">
                <v:path arrowok="t"/>
                <v:fill type="solid"/>
              </v:shape>
            </v:group>
            <v:group style="position:absolute;left:6976;top:570;width:10;height:20" coordorigin="6976,570" coordsize="10,20">
              <v:shape style="position:absolute;left:6976;top:570;width:10;height:20" coordorigin="6976,570" coordsize="10,20" path="m6976,590l6986,590,6986,570,6976,570,6976,590xe" filled="true" fillcolor="#000000" stroked="false">
                <v:path arrowok="t"/>
                <v:fill type="solid"/>
              </v:shape>
            </v:group>
            <v:group style="position:absolute;left:6976;top:590;width:10;height:20" coordorigin="6976,590" coordsize="10,20">
              <v:shape style="position:absolute;left:6976;top:590;width:10;height:20" coordorigin="6976,590" coordsize="10,20" path="m6976,609l6986,609,6986,590,6976,590,6976,609xe" filled="true" fillcolor="#000000" stroked="false">
                <v:path arrowok="t"/>
                <v:fill type="solid"/>
              </v:shape>
            </v:group>
            <v:group style="position:absolute;left:6976;top:609;width:10;height:20" coordorigin="6976,609" coordsize="10,20">
              <v:shape style="position:absolute;left:6976;top:609;width:10;height:20" coordorigin="6976,609" coordsize="10,20" path="m6976,628l6986,628,6986,609,6976,609,6976,628xe" filled="true" fillcolor="#000000" stroked="false">
                <v:path arrowok="t"/>
                <v:fill type="solid"/>
              </v:shape>
            </v:group>
            <v:group style="position:absolute;left:6976;top:628;width:10;height:20" coordorigin="6976,628" coordsize="10,20">
              <v:shape style="position:absolute;left:6976;top:628;width:10;height:20" coordorigin="6976,628" coordsize="10,20" path="m6976,647l6986,647,6986,628,6976,628,6976,647xe" filled="true" fillcolor="#000000" stroked="false">
                <v:path arrowok="t"/>
                <v:fill type="solid"/>
              </v:shape>
            </v:group>
            <v:group style="position:absolute;left:6976;top:647;width:10;height:20" coordorigin="6976,647" coordsize="10,20">
              <v:shape style="position:absolute;left:6976;top:647;width:10;height:20" coordorigin="6976,647" coordsize="10,20" path="m6976,666l6986,666,6986,647,6976,647,6976,666xe" filled="true" fillcolor="#000000" stroked="false">
                <v:path arrowok="t"/>
                <v:fill type="solid"/>
              </v:shape>
              <v:shape style="position:absolute;left:6952;top:686;width:53;height:28" type="#_x0000_t75" stroked="false">
                <v:imagedata r:id="rId21" o:title=""/>
              </v:shape>
            </v:group>
            <v:group style="position:absolute;left:6976;top:732;width:10;height:20" coordorigin="6976,732" coordsize="10,20">
              <v:shape style="position:absolute;left:6976;top:732;width:10;height:20" coordorigin="6976,732" coordsize="10,20" path="m6976,752l6986,752,6986,732,6976,732,6976,752xe" filled="true" fillcolor="#000000" stroked="false">
                <v:path arrowok="t"/>
                <v:fill type="solid"/>
              </v:shape>
            </v:group>
            <v:group style="position:absolute;left:6976;top:752;width:10;height:20" coordorigin="6976,752" coordsize="10,20">
              <v:shape style="position:absolute;left:6976;top:752;width:10;height:20" coordorigin="6976,752" coordsize="10,20" path="m6976,771l6986,771,6986,752,6976,752,6976,771xe" filled="true" fillcolor="#000000" stroked="false">
                <v:path arrowok="t"/>
                <v:fill type="solid"/>
              </v:shape>
            </v:group>
            <v:group style="position:absolute;left:6976;top:771;width:10;height:20" coordorigin="6976,771" coordsize="10,20">
              <v:shape style="position:absolute;left:6976;top:771;width:10;height:20" coordorigin="6976,771" coordsize="10,20" path="m6976,790l6986,790,6986,771,6976,771,6976,790xe" filled="true" fillcolor="#000000" stroked="false">
                <v:path arrowok="t"/>
                <v:fill type="solid"/>
              </v:shape>
            </v:group>
            <v:group style="position:absolute;left:6976;top:790;width:10;height:20" coordorigin="6976,790" coordsize="10,20">
              <v:shape style="position:absolute;left:6976;top:790;width:10;height:20" coordorigin="6976,790" coordsize="10,20" path="m6976,809l6986,809,6986,790,6976,790,6976,809xe" filled="true" fillcolor="#000000" stroked="false">
                <v:path arrowok="t"/>
                <v:fill type="solid"/>
              </v:shape>
            </v:group>
            <v:group style="position:absolute;left:6976;top:809;width:10;height:20" coordorigin="6976,809" coordsize="10,20">
              <v:shape style="position:absolute;left:6976;top:809;width:10;height:20" coordorigin="6976,809" coordsize="10,20" path="m6976,828l6986,828,6986,809,6976,809,6976,828xe" filled="true" fillcolor="#000000" stroked="false">
                <v:path arrowok="t"/>
                <v:fill type="solid"/>
              </v:shape>
            </v:group>
            <v:group style="position:absolute;left:6976;top:828;width:10;height:20" coordorigin="6976,828" coordsize="10,20">
              <v:shape style="position:absolute;left:6976;top:828;width:10;height:20" coordorigin="6976,828" coordsize="10,20" path="m6976,848l6986,848,6986,828,6976,828,6976,848xe" filled="true" fillcolor="#000000" stroked="false">
                <v:path arrowok="t"/>
                <v:fill type="solid"/>
              </v:shape>
            </v:group>
            <v:group style="position:absolute;left:6976;top:848;width:10;height:20" coordorigin="6976,848" coordsize="10,20">
              <v:shape style="position:absolute;left:6976;top:848;width:10;height:20" coordorigin="6976,848" coordsize="10,20" path="m6976,867l6986,867,6986,848,6976,848,6976,867xe" filled="true" fillcolor="#000000" stroked="false">
                <v:path arrowok="t"/>
                <v:fill type="solid"/>
              </v:shape>
            </v:group>
            <v:group style="position:absolute;left:6976;top:867;width:10;height:20" coordorigin="6976,867" coordsize="10,20">
              <v:shape style="position:absolute;left:6976;top:867;width:10;height:20" coordorigin="6976,867" coordsize="10,20" path="m6976,886l6986,886,6986,867,6976,867,6976,886xe" filled="true" fillcolor="#000000" stroked="false">
                <v:path arrowok="t"/>
                <v:fill type="solid"/>
              </v:shape>
            </v:group>
            <v:group style="position:absolute;left:6976;top:886;width:10;height:20" coordorigin="6976,886" coordsize="10,20">
              <v:shape style="position:absolute;left:6976;top:886;width:10;height:20" coordorigin="6976,886" coordsize="10,20" path="m6976,905l6986,905,6986,886,6976,886,6976,905xe" filled="true" fillcolor="#000000" stroked="false">
                <v:path arrowok="t"/>
                <v:fill type="solid"/>
              </v:shape>
            </v:group>
            <v:group style="position:absolute;left:6976;top:905;width:10;height:20" coordorigin="6976,905" coordsize="10,20">
              <v:shape style="position:absolute;left:6976;top:905;width:10;height:20" coordorigin="6976,905" coordsize="10,20" path="m6976,924l6986,924,6986,905,6976,905,6976,924xe" filled="true" fillcolor="#000000" stroked="false">
                <v:path arrowok="t"/>
                <v:fill type="solid"/>
              </v:shape>
            </v:group>
            <v:group style="position:absolute;left:6976;top:924;width:10;height:20" coordorigin="6976,924" coordsize="10,20">
              <v:shape style="position:absolute;left:6976;top:924;width:10;height:20" coordorigin="6976,924" coordsize="10,20" path="m6976,944l6986,944,6986,924,6976,924,6976,944xe" filled="true" fillcolor="#000000" stroked="false">
                <v:path arrowok="t"/>
                <v:fill type="solid"/>
              </v:shape>
            </v:group>
            <v:group style="position:absolute;left:6976;top:944;width:10;height:20" coordorigin="6976,944" coordsize="10,20">
              <v:shape style="position:absolute;left:6976;top:944;width:10;height:20" coordorigin="6976,944" coordsize="10,20" path="m6976,963l6986,963,6986,944,6976,944,6976,963xe" filled="true" fillcolor="#000000" stroked="false">
                <v:path arrowok="t"/>
                <v:fill type="solid"/>
              </v:shape>
            </v:group>
            <v:group style="position:absolute;left:6976;top:963;width:10;height:20" coordorigin="6976,963" coordsize="10,20">
              <v:shape style="position:absolute;left:6976;top:963;width:10;height:20" coordorigin="6976,963" coordsize="10,20" path="m6976,982l6986,982,6986,963,6976,963,6976,982xe" filled="true" fillcolor="#000000" stroked="false">
                <v:path arrowok="t"/>
                <v:fill type="solid"/>
              </v:shape>
            </v:group>
            <v:group style="position:absolute;left:6976;top:982;width:10;height:20" coordorigin="6976,982" coordsize="10,20">
              <v:shape style="position:absolute;left:6976;top:982;width:10;height:20" coordorigin="6976,982" coordsize="10,20" path="m6976,1001l6986,1001,6986,982,6976,982,6976,1001xe" filled="true" fillcolor="#000000" stroked="false">
                <v:path arrowok="t"/>
                <v:fill type="solid"/>
              </v:shape>
            </v:group>
            <v:group style="position:absolute;left:6976;top:1001;width:10;height:20" coordorigin="6976,1001" coordsize="10,20">
              <v:shape style="position:absolute;left:6976;top:1001;width:10;height:20" coordorigin="6976,1001" coordsize="10,20" path="m6976,1020l6986,1020,6986,1001,6976,1001,6976,1020xe" filled="true" fillcolor="#000000" stroked="false">
                <v:path arrowok="t"/>
                <v:fill type="solid"/>
              </v:shape>
            </v:group>
            <v:group style="position:absolute;left:6976;top:1020;width:10;height:20" coordorigin="6976,1020" coordsize="10,20">
              <v:shape style="position:absolute;left:6976;top:1020;width:10;height:20" coordorigin="6976,1020" coordsize="10,20" path="m6976,1040l6986,1040,6986,1020,6976,1020,6976,1040xe" filled="true" fillcolor="#000000" stroked="false">
                <v:path arrowok="t"/>
                <v:fill type="solid"/>
              </v:shape>
            </v:group>
            <v:group style="position:absolute;left:6976;top:1096;width:10;height:20" coordorigin="6976,1096" coordsize="10,20">
              <v:shape style="position:absolute;left:6976;top:1096;width:10;height:20" coordorigin="6976,1096" coordsize="10,20" path="m6976,1115l6986,1115,6986,1096,6976,1096,6976,1115xe" filled="true" fillcolor="#000000" stroked="false">
                <v:path arrowok="t"/>
                <v:fill type="solid"/>
              </v:shape>
            </v:group>
            <v:group style="position:absolute;left:6976;top:1115;width:10;height:20" coordorigin="6976,1115" coordsize="10,20">
              <v:shape style="position:absolute;left:6976;top:1115;width:10;height:20" coordorigin="6976,1115" coordsize="10,20" path="m6976,1134l6986,1134,6986,1115,6976,1115,6976,1134xe" filled="true" fillcolor="#000000" stroked="false">
                <v:path arrowok="t"/>
                <v:fill type="solid"/>
              </v:shape>
            </v:group>
            <v:group style="position:absolute;left:6976;top:1134;width:10;height:20" coordorigin="6976,1134" coordsize="10,20">
              <v:shape style="position:absolute;left:6976;top:1134;width:10;height:20" coordorigin="6976,1134" coordsize="10,20" path="m6976,1154l6986,1154,6986,1134,6976,1134,6976,1154xe" filled="true" fillcolor="#000000" stroked="false">
                <v:path arrowok="t"/>
                <v:fill type="solid"/>
              </v:shape>
            </v:group>
            <v:group style="position:absolute;left:6976;top:1154;width:10;height:20" coordorigin="6976,1154" coordsize="10,20">
              <v:shape style="position:absolute;left:6976;top:1154;width:10;height:20" coordorigin="6976,1154" coordsize="10,20" path="m6976,1173l6986,1173,6986,1154,6976,1154,6976,1173xe" filled="true" fillcolor="#000000" stroked="false">
                <v:path arrowok="t"/>
                <v:fill type="solid"/>
              </v:shape>
            </v:group>
            <v:group style="position:absolute;left:6976;top:1173;width:10;height:20" coordorigin="6976,1173" coordsize="10,20">
              <v:shape style="position:absolute;left:6976;top:1173;width:10;height:20" coordorigin="6976,1173" coordsize="10,20" path="m6976,1192l6986,1192,6986,1173,6976,1173,6976,1192xe" filled="true" fillcolor="#000000" stroked="false">
                <v:path arrowok="t"/>
                <v:fill type="solid"/>
              </v:shape>
            </v:group>
            <v:group style="position:absolute;left:6976;top:1192;width:10;height:20" coordorigin="6976,1192" coordsize="10,20">
              <v:shape style="position:absolute;left:6976;top:1192;width:10;height:20" coordorigin="6976,1192" coordsize="10,20" path="m6976,1211l6986,1211,6986,1192,6976,1192,6976,1211xe" filled="true" fillcolor="#000000" stroked="false">
                <v:path arrowok="t"/>
                <v:fill type="solid"/>
              </v:shape>
            </v:group>
            <v:group style="position:absolute;left:6976;top:1211;width:10;height:20" coordorigin="6976,1211" coordsize="10,20">
              <v:shape style="position:absolute;left:6976;top:1211;width:10;height:20" coordorigin="6976,1211" coordsize="10,20" path="m6976,1230l6986,1230,6986,1211,6976,1211,6976,1230xe" filled="true" fillcolor="#000000" stroked="false">
                <v:path arrowok="t"/>
                <v:fill type="solid"/>
              </v:shape>
            </v:group>
            <v:group style="position:absolute;left:6976;top:1230;width:10;height:20" coordorigin="6976,1230" coordsize="10,20">
              <v:shape style="position:absolute;left:6976;top:1230;width:10;height:20" coordorigin="6976,1230" coordsize="10,20" path="m6976,1250l6986,1250,6986,1230,6976,1230,6976,1250xe" filled="true" fillcolor="#000000" stroked="false">
                <v:path arrowok="t"/>
                <v:fill type="solid"/>
              </v:shape>
            </v:group>
            <v:group style="position:absolute;left:6976;top:1250;width:10;height:20" coordorigin="6976,1250" coordsize="10,20">
              <v:shape style="position:absolute;left:6976;top:1250;width:10;height:20" coordorigin="6976,1250" coordsize="10,20" path="m6976,1269l6986,1269,6986,1250,6976,1250,6976,1269xe" filled="true" fillcolor="#000000" stroked="false">
                <v:path arrowok="t"/>
                <v:fill type="solid"/>
              </v:shape>
            </v:group>
            <v:group style="position:absolute;left:6976;top:1269;width:10;height:20" coordorigin="6976,1269" coordsize="10,20">
              <v:shape style="position:absolute;left:6976;top:1269;width:10;height:20" coordorigin="6976,1269" coordsize="10,20" path="m6976,1288l6986,1288,6986,1269,6976,1269,6976,1288xe" filled="true" fillcolor="#000000" stroked="false">
                <v:path arrowok="t"/>
                <v:fill type="solid"/>
              </v:shape>
            </v:group>
            <v:group style="position:absolute;left:6976;top:1288;width:10;height:20" coordorigin="6976,1288" coordsize="10,20">
              <v:shape style="position:absolute;left:6976;top:1288;width:10;height:20" coordorigin="6976,1288" coordsize="10,20" path="m6976,1307l6986,1307,6986,1288,6976,1288,6976,1307xe" filled="true" fillcolor="#000000" stroked="false">
                <v:path arrowok="t"/>
                <v:fill type="solid"/>
              </v:shape>
            </v:group>
            <v:group style="position:absolute;left:6976;top:1307;width:10;height:20" coordorigin="6976,1307" coordsize="10,20">
              <v:shape style="position:absolute;left:6976;top:1307;width:10;height:20" coordorigin="6976,1307" coordsize="10,20" path="m6976,1326l6986,1326,6986,1307,6976,1307,6976,1326xe" filled="true" fillcolor="#000000" stroked="false">
                <v:path arrowok="t"/>
                <v:fill type="solid"/>
              </v:shape>
            </v:group>
            <v:group style="position:absolute;left:6976;top:1326;width:10;height:20" coordorigin="6976,1326" coordsize="10,20">
              <v:shape style="position:absolute;left:6976;top:1326;width:10;height:20" coordorigin="6976,1326" coordsize="10,20" path="m6976,1346l6986,1346,6986,1326,6976,1326,6976,1346xe" filled="true" fillcolor="#000000" stroked="false">
                <v:path arrowok="t"/>
                <v:fill type="solid"/>
              </v:shape>
            </v:group>
            <v:group style="position:absolute;left:6976;top:1346;width:10;height:20" coordorigin="6976,1346" coordsize="10,20">
              <v:shape style="position:absolute;left:6976;top:1346;width:10;height:20" coordorigin="6976,1346" coordsize="10,20" path="m6976,1365l6986,1365,6986,1346,6976,1346,6976,1365xe" filled="true" fillcolor="#000000" stroked="false">
                <v:path arrowok="t"/>
                <v:fill type="solid"/>
              </v:shape>
            </v:group>
            <v:group style="position:absolute;left:6976;top:1365;width:10;height:20" coordorigin="6976,1365" coordsize="10,20">
              <v:shape style="position:absolute;left:6976;top:1365;width:10;height:20" coordorigin="6976,1365" coordsize="10,20" path="m6976,1384l6986,1384,6986,1365,6976,1365,6976,1384xe" filled="true" fillcolor="#000000" stroked="false">
                <v:path arrowok="t"/>
                <v:fill type="solid"/>
              </v:shape>
            </v:group>
            <v:group style="position:absolute;left:6976;top:1384;width:10;height:20" coordorigin="6976,1384" coordsize="10,20">
              <v:shape style="position:absolute;left:6976;top:1384;width:10;height:20" coordorigin="6976,1384" coordsize="10,20" path="m6976,1403l6986,1403,6986,1384,6976,1384,6976,1403xe" filled="true" fillcolor="#000000" stroked="false">
                <v:path arrowok="t"/>
                <v:fill type="solid"/>
              </v:shape>
            </v:group>
            <v:group style="position:absolute;left:6976;top:1403;width:10;height:20" coordorigin="6976,1403" coordsize="10,20">
              <v:shape style="position:absolute;left:6976;top:1403;width:10;height:20" coordorigin="6976,1403" coordsize="10,20" path="m6976,1422l6986,1422,6986,1403,6976,1403,6976,1422xe" filled="true" fillcolor="#000000" stroked="false">
                <v:path arrowok="t"/>
                <v:fill type="solid"/>
              </v:shape>
            </v:group>
            <w10:wrap type="none"/>
          </v:group>
        </w:pict>
      </w:r>
      <w:r>
        <w:rPr/>
        <w:t>据如下：</w:t>
      </w:r>
    </w:p>
    <w:p>
      <w:pPr>
        <w:spacing w:line="240" w:lineRule="auto" w:before="4"/>
        <w:rPr>
          <w:rFonts w:ascii="宋体" w:hAnsi="宋体" w:cs="宋体" w:eastAsia="宋体" w:hint="default"/>
          <w:sz w:val="10"/>
          <w:szCs w:val="10"/>
        </w:rPr>
      </w:pPr>
    </w:p>
    <w:tbl>
      <w:tblPr>
        <w:tblW w:w="0" w:type="auto"/>
        <w:jc w:val="left"/>
        <w:tblInd w:w="153" w:type="dxa"/>
        <w:tblLayout w:type="fixed"/>
        <w:tblCellMar>
          <w:top w:w="0" w:type="dxa"/>
          <w:left w:w="0" w:type="dxa"/>
          <w:bottom w:w="0" w:type="dxa"/>
          <w:right w:w="0" w:type="dxa"/>
        </w:tblCellMar>
        <w:tblLook w:val="01E0"/>
      </w:tblPr>
      <w:tblGrid>
        <w:gridCol w:w="5872"/>
        <w:gridCol w:w="3880"/>
      </w:tblGrid>
      <w:tr>
        <w:trPr>
          <w:trHeight w:val="326" w:hRule="exact"/>
        </w:trPr>
        <w:tc>
          <w:tcPr>
            <w:tcW w:w="5872"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10"/>
              <w:ind w:left="-1" w:right="131"/>
              <w:jc w:val="center"/>
              <w:rPr>
                <w:rFonts w:ascii="宋体" w:hAnsi="宋体" w:cs="宋体" w:eastAsia="宋体" w:hint="default"/>
                <w:sz w:val="18"/>
                <w:szCs w:val="18"/>
              </w:rPr>
            </w:pPr>
            <w:r>
              <w:rPr>
                <w:rFonts w:ascii="宋体" w:hAnsi="宋体" w:cs="宋体" w:eastAsia="宋体" w:hint="default"/>
                <w:color w:val="0D0D0D"/>
                <w:sz w:val="18"/>
                <w:szCs w:val="18"/>
              </w:rPr>
              <w:t>项目</w:t>
            </w:r>
            <w:r>
              <w:rPr>
                <w:rFonts w:ascii="宋体" w:hAnsi="宋体" w:cs="宋体" w:eastAsia="宋体" w:hint="default"/>
                <w:sz w:val="18"/>
                <w:szCs w:val="18"/>
              </w:rPr>
            </w:r>
          </w:p>
        </w:tc>
        <w:tc>
          <w:tcPr>
            <w:tcW w:w="3880"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31" w:lineRule="exact"/>
              <w:ind w:right="127"/>
              <w:jc w:val="center"/>
              <w:rPr>
                <w:rFonts w:ascii="宋体" w:hAnsi="宋体" w:cs="宋体" w:eastAsia="宋体" w:hint="default"/>
                <w:sz w:val="18"/>
                <w:szCs w:val="18"/>
              </w:rPr>
            </w:pPr>
            <w:r>
              <w:rPr>
                <w:rFonts w:ascii="宋体" w:hAnsi="宋体" w:cs="宋体" w:eastAsia="宋体" w:hint="default"/>
                <w:color w:val="0D0D0D"/>
                <w:sz w:val="18"/>
                <w:szCs w:val="18"/>
              </w:rPr>
              <w:t>预计使用寿命</w:t>
            </w:r>
            <w:r>
              <w:rPr>
                <w:rFonts w:ascii="宋体" w:hAnsi="宋体" w:cs="宋体" w:eastAsia="宋体" w:hint="default"/>
                <w:sz w:val="18"/>
                <w:szCs w:val="18"/>
              </w:rPr>
            </w:r>
          </w:p>
        </w:tc>
      </w:tr>
      <w:tr>
        <w:trPr>
          <w:trHeight w:val="371" w:hRule="exact"/>
        </w:trPr>
        <w:tc>
          <w:tcPr>
            <w:tcW w:w="5872"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131"/>
              <w:jc w:val="center"/>
              <w:rPr>
                <w:rFonts w:ascii="宋体" w:hAnsi="宋体" w:cs="宋体" w:eastAsia="宋体" w:hint="default"/>
                <w:sz w:val="18"/>
                <w:szCs w:val="18"/>
              </w:rPr>
            </w:pPr>
            <w:r>
              <w:rPr>
                <w:rFonts w:ascii="宋体" w:hAnsi="宋体" w:cs="宋体" w:eastAsia="宋体" w:hint="default"/>
                <w:color w:val="0D0D0D"/>
                <w:sz w:val="18"/>
                <w:szCs w:val="18"/>
              </w:rPr>
              <w:t>土地使用权</w:t>
            </w:r>
            <w:r>
              <w:rPr>
                <w:rFonts w:ascii="宋体" w:hAnsi="宋体" w:cs="宋体" w:eastAsia="宋体" w:hint="default"/>
                <w:sz w:val="18"/>
                <w:szCs w:val="18"/>
              </w:rPr>
            </w:r>
          </w:p>
        </w:tc>
        <w:tc>
          <w:tcPr>
            <w:tcW w:w="3880"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127"/>
              <w:jc w:val="center"/>
              <w:rPr>
                <w:rFonts w:ascii="宋体" w:hAnsi="宋体" w:cs="宋体" w:eastAsia="宋体" w:hint="default"/>
                <w:sz w:val="18"/>
                <w:szCs w:val="18"/>
              </w:rPr>
            </w:pPr>
            <w:r>
              <w:rPr>
                <w:rFonts w:ascii="宋体" w:hAnsi="宋体" w:cs="宋体" w:eastAsia="宋体" w:hint="default"/>
                <w:color w:val="0D0D0D"/>
                <w:sz w:val="18"/>
                <w:szCs w:val="18"/>
              </w:rPr>
              <w:t>依法律规定</w:t>
            </w:r>
            <w:r>
              <w:rPr>
                <w:rFonts w:ascii="宋体" w:hAnsi="宋体" w:cs="宋体" w:eastAsia="宋体" w:hint="default"/>
                <w:sz w:val="18"/>
                <w:szCs w:val="18"/>
              </w:rPr>
            </w:r>
          </w:p>
        </w:tc>
      </w:tr>
      <w:tr>
        <w:trPr>
          <w:trHeight w:val="374" w:hRule="exact"/>
        </w:trPr>
        <w:tc>
          <w:tcPr>
            <w:tcW w:w="5872"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1" w:right="131"/>
              <w:jc w:val="center"/>
              <w:rPr>
                <w:rFonts w:ascii="宋体" w:hAnsi="宋体" w:cs="宋体" w:eastAsia="宋体" w:hint="default"/>
                <w:sz w:val="18"/>
                <w:szCs w:val="18"/>
              </w:rPr>
            </w:pPr>
            <w:r>
              <w:rPr>
                <w:rFonts w:ascii="宋体" w:hAnsi="宋体" w:cs="宋体" w:eastAsia="宋体" w:hint="default"/>
                <w:color w:val="0D0D0D"/>
                <w:sz w:val="18"/>
                <w:szCs w:val="18"/>
              </w:rPr>
              <w:t>软件</w:t>
            </w:r>
            <w:r>
              <w:rPr>
                <w:rFonts w:ascii="宋体" w:hAnsi="宋体" w:cs="宋体" w:eastAsia="宋体" w:hint="default"/>
                <w:sz w:val="18"/>
                <w:szCs w:val="18"/>
              </w:rPr>
            </w:r>
          </w:p>
        </w:tc>
        <w:tc>
          <w:tcPr>
            <w:tcW w:w="3880" w:type="dxa"/>
            <w:tcBorders>
              <w:top w:val="single" w:sz="4" w:space="0" w:color="000000"/>
              <w:left w:val="nil" w:sz="6" w:space="0" w:color="auto"/>
              <w:bottom w:val="single" w:sz="12" w:space="0" w:color="000000"/>
              <w:right w:val="nil" w:sz="6" w:space="0" w:color="auto"/>
            </w:tcBorders>
          </w:tcPr>
          <w:p>
            <w:pPr>
              <w:pStyle w:val="TableParagraph"/>
              <w:spacing w:line="219" w:lineRule="exact"/>
              <w:ind w:right="127"/>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3-5</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年</w:t>
            </w:r>
            <w:r>
              <w:rPr>
                <w:rFonts w:ascii="宋体" w:hAnsi="宋体" w:cs="宋体" w:eastAsia="宋体" w:hint="default"/>
                <w:sz w:val="18"/>
                <w:szCs w:val="18"/>
              </w:rPr>
            </w:r>
          </w:p>
        </w:tc>
      </w:tr>
    </w:tbl>
    <w:p>
      <w:pPr>
        <w:spacing w:line="240" w:lineRule="auto" w:before="5"/>
        <w:rPr>
          <w:rFonts w:ascii="宋体" w:hAnsi="宋体" w:cs="宋体" w:eastAsia="宋体" w:hint="default"/>
          <w:sz w:val="27"/>
          <w:szCs w:val="27"/>
        </w:rPr>
      </w:pPr>
    </w:p>
    <w:p>
      <w:pPr>
        <w:pStyle w:val="BodyText"/>
        <w:spacing w:line="360" w:lineRule="auto" w:before="44"/>
        <w:ind w:left="517" w:right="1029"/>
        <w:jc w:val="left"/>
      </w:pPr>
      <w:r>
        <w:rPr/>
        <w:t>每期末，对使用寿命有限的无形资产的使用寿命及摊销方法进行复核，如与原先估计数存在差异的，进行相应的调整。</w:t>
      </w:r>
      <w:r>
        <w:rPr>
          <w:spacing w:val="-87"/>
        </w:rPr>
        <w:t> </w:t>
      </w:r>
      <w:r>
        <w:rPr>
          <w:spacing w:val="-87"/>
        </w:rPr>
      </w:r>
      <w:r>
        <w:rPr/>
        <w:t>经复核，本期期末无形资产的使用寿命及摊销方法与以前估计未有不同。</w:t>
      </w:r>
    </w:p>
    <w:p>
      <w:pPr>
        <w:pStyle w:val="BodyText"/>
        <w:spacing w:line="360" w:lineRule="auto" w:before="26"/>
        <w:ind w:left="517" w:right="3009"/>
        <w:jc w:val="left"/>
      </w:pPr>
      <w:r>
        <w:rPr/>
        <w:t>②使用寿命不确定的无形资产 对于使用寿命不确定的无形资产，在持有期间内不摊销，每期末对无形资产的寿命进行复核。 经复核，该类无形资产的使用寿命仍为不确定。</w:t>
      </w:r>
    </w:p>
    <w:p>
      <w:pPr>
        <w:spacing w:line="240" w:lineRule="auto" w:before="0"/>
        <w:rPr>
          <w:rFonts w:ascii="宋体" w:hAnsi="宋体" w:cs="宋体" w:eastAsia="宋体" w:hint="default"/>
          <w:sz w:val="18"/>
          <w:szCs w:val="18"/>
        </w:rPr>
      </w:pPr>
    </w:p>
    <w:p>
      <w:pPr>
        <w:pStyle w:val="BodyText"/>
        <w:spacing w:line="319" w:lineRule="auto" w:before="141"/>
        <w:ind w:right="1033"/>
        <w:jc w:val="left"/>
      </w:pPr>
      <w:r>
        <w:rPr>
          <w:spacing w:val="-2"/>
        </w:rPr>
        <w:t>注：说明无形资产的计价方法。使用寿命有限的无形资产，说明其使用寿命估计情况。使用寿命不确定的无形资产，说明其</w:t>
      </w:r>
      <w:r>
        <w:rPr>
          <w:spacing w:val="-66"/>
        </w:rPr>
        <w:t> </w:t>
      </w:r>
      <w:r>
        <w:rPr>
          <w:spacing w:val="-66"/>
        </w:rPr>
      </w:r>
      <w:r>
        <w:rPr/>
        <w:t>使用寿命不确定的判断依据以及对其使用寿命进行复核的程序。</w:t>
      </w:r>
    </w:p>
    <w:p>
      <w:pPr>
        <w:spacing w:line="240" w:lineRule="auto" w:before="4"/>
        <w:rPr>
          <w:rFonts w:ascii="宋体" w:hAnsi="宋体" w:cs="宋体" w:eastAsia="宋体" w:hint="default"/>
          <w:sz w:val="22"/>
          <w:szCs w:val="22"/>
        </w:rPr>
      </w:pPr>
    </w:p>
    <w:p>
      <w:pPr>
        <w:pStyle w:val="Heading4"/>
        <w:spacing w:line="240" w:lineRule="auto"/>
        <w:ind w:left="153" w:right="1033"/>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7" w:right="1033" w:hanging="2"/>
        <w:jc w:val="left"/>
      </w:pPr>
      <w:r>
        <w:rPr>
          <w:rFonts w:ascii="Times New Roman" w:hAnsi="Times New Roman" w:cs="Times New Roman" w:eastAsia="Times New Roman" w:hint="default"/>
          <w:b/>
          <w:bCs/>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52" w:lineRule="auto"/>
        <w:ind w:left="516" w:right="4450" w:hanging="363"/>
        <w:jc w:val="left"/>
      </w:pPr>
      <w:r>
        <w:rPr/>
        <w:t>进的材料、装置、产品等活动的阶段。 内部研究开发项目研究阶段的支出，在发生时计入当期损益。 </w:t>
      </w:r>
      <w:r>
        <w:rPr>
          <w:rFonts w:ascii="Times New Roman" w:hAnsi="Times New Roman" w:cs="Times New Roman" w:eastAsia="Times New Roman" w:hint="default"/>
          <w:b/>
          <w:bCs/>
        </w:rPr>
        <w:t>2</w:t>
      </w:r>
      <w:r>
        <w:rPr/>
        <w:t>）开发阶段支出符合资本化的具体标准 内部研究开发项目开发阶段的支出，同时满足下列条件时确认为无形资产：</w:t>
      </w:r>
    </w:p>
    <w:p>
      <w:pPr>
        <w:pStyle w:val="BodyText"/>
        <w:spacing w:line="240" w:lineRule="auto" w:before="31"/>
        <w:ind w:left="517" w:right="1033"/>
        <w:jc w:val="left"/>
      </w:pPr>
      <w:r>
        <w:rPr/>
        <w:t>①完成该无形资产以使其能够使用或出售在技术上具有可行性；</w:t>
      </w:r>
    </w:p>
    <w:p>
      <w:pPr>
        <w:pStyle w:val="BodyText"/>
        <w:spacing w:line="240" w:lineRule="auto" w:before="117"/>
        <w:ind w:left="517" w:right="1033"/>
        <w:jc w:val="left"/>
      </w:pPr>
      <w:r>
        <w:rPr/>
        <w:t>②具有完成该无形资产并使用或出售的意图；</w:t>
      </w:r>
    </w:p>
    <w:p>
      <w:pPr>
        <w:pStyle w:val="BodyText"/>
        <w:spacing w:line="319" w:lineRule="auto" w:before="115"/>
        <w:ind w:left="154" w:right="1033" w:firstLine="363"/>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57"/>
        <w:ind w:left="517" w:right="1033"/>
        <w:jc w:val="left"/>
      </w:pPr>
      <w:r>
        <w:rPr/>
        <w:t>④有足够的技术、财务资源和其他资源支持，以完成该无形资产的开发，并有能力使用或出售该无形资产；</w:t>
      </w:r>
    </w:p>
    <w:p>
      <w:pPr>
        <w:pStyle w:val="BodyText"/>
        <w:spacing w:line="357" w:lineRule="auto" w:before="117"/>
        <w:ind w:left="517" w:right="1033"/>
        <w:jc w:val="left"/>
      </w:pPr>
      <w:r>
        <w:rPr/>
        <w:t>⑤归属于该无形资产开发阶段的支出能够可靠地计量。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25" w:lineRule="exact"/>
        <w:ind w:left="154" w:right="1033"/>
        <w:jc w:val="left"/>
      </w:pPr>
      <w:r>
        <w:rPr/>
        <w:t>资产。已资本化的开发阶段的支出在资产负债表上列示为开发支出，自该项目达到预定用途之日起转为无形资产。</w:t>
      </w:r>
    </w:p>
    <w:p>
      <w:pPr>
        <w:spacing w:after="0" w:line="225"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233" w:right="0"/>
        <w:jc w:val="both"/>
      </w:pPr>
      <w:r>
        <w:rPr/>
        <w:t>注：结合公司内部研究开发项目特点，说明划分研究阶段和开发阶段的具体标准，以及开发阶段支出资本化的具体条件。</w:t>
      </w:r>
    </w:p>
    <w:p>
      <w:pPr>
        <w:spacing w:line="240" w:lineRule="auto" w:before="11"/>
        <w:rPr>
          <w:rFonts w:ascii="宋体" w:hAnsi="宋体" w:cs="宋体" w:eastAsia="宋体" w:hint="default"/>
          <w:sz w:val="26"/>
          <w:szCs w:val="26"/>
        </w:rPr>
      </w:pPr>
    </w:p>
    <w:p>
      <w:pPr>
        <w:pStyle w:val="Heading4"/>
        <w:spacing w:line="240" w:lineRule="auto"/>
        <w:ind w:left="233" w:right="0"/>
        <w:jc w:val="both"/>
        <w:rPr>
          <w:b w:val="0"/>
          <w:bCs w:val="0"/>
        </w:rPr>
      </w:pPr>
      <w:bookmarkStart w:name="18、长期资产减值" w:id="190"/>
      <w:bookmarkEnd w:id="190"/>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4" w:right="1133" w:firstLine="363"/>
        <w:jc w:val="both"/>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9" w:lineRule="auto" w:before="56"/>
        <w:ind w:left="233" w:right="1131" w:firstLine="363"/>
        <w:jc w:val="both"/>
      </w:pPr>
      <w:r>
        <w:rPr>
          <w:spacing w:val="-2"/>
        </w:rPr>
        <w:t>收回金额的计量结果表明，长期资产的可收回金额低于其账面价值的，将长期资产的账面价值减记至可收回金额，减记</w:t>
      </w:r>
      <w:r>
        <w:rPr/>
        <w:t> </w:t>
      </w:r>
      <w:r>
        <w:rPr>
          <w:spacing w:val="-2"/>
        </w:rPr>
        <w:t>的金额确认为资产减值损失，计入当期损益，同时计提相应的资产减值准备。资产减值损失一经确认，在以后会计期间不得</w:t>
      </w:r>
      <w:r>
        <w:rPr>
          <w:spacing w:val="-65"/>
        </w:rPr>
        <w:t> </w:t>
      </w:r>
      <w:r>
        <w:rPr>
          <w:spacing w:val="-65"/>
        </w:rPr>
      </w:r>
      <w:r>
        <w:rPr/>
        <w:t>转回。</w:t>
      </w:r>
    </w:p>
    <w:p>
      <w:pPr>
        <w:pStyle w:val="BodyText"/>
        <w:spacing w:line="319" w:lineRule="auto" w:before="55"/>
        <w:ind w:left="233" w:right="1133" w:firstLine="363"/>
        <w:jc w:val="both"/>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57" w:lineRule="auto" w:before="56"/>
        <w:ind w:left="597" w:right="1033"/>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224" w:lineRule="exact"/>
        <w:ind w:left="233" w:right="0"/>
        <w:jc w:val="both"/>
      </w:pPr>
      <w:r>
        <w:rPr/>
        <w:t>含商誉的相关资产组或者资产组组合进行减值测试时，如与商誉相关的资产组或者资产组组合存在减值迹象的，先对不包含</w:t>
      </w:r>
    </w:p>
    <w:p>
      <w:pPr>
        <w:pStyle w:val="BodyText"/>
        <w:spacing w:line="319" w:lineRule="auto" w:before="76"/>
        <w:ind w:left="233" w:right="1043"/>
        <w:jc w:val="both"/>
      </w:pP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left="233" w:right="1033"/>
        <w:jc w:val="left"/>
      </w:pPr>
      <w:r>
        <w:rPr/>
        <w:t>注：说明长期股权投资、采用成本模式计量的投资性房地产、固定资产、在建工程、采用成本模式计量的生产性生物资产、</w:t>
      </w:r>
      <w:r>
        <w:rPr>
          <w:spacing w:val="-85"/>
        </w:rPr>
        <w:t> </w:t>
      </w:r>
      <w:r>
        <w:rPr>
          <w:spacing w:val="-85"/>
        </w:rPr>
      </w:r>
      <w:r>
        <w:rPr/>
        <w:t>油气资产、无形资产、商誉、等长期资产的减值测试方法及会计处理方法。</w:t>
      </w:r>
    </w:p>
    <w:p>
      <w:pPr>
        <w:spacing w:line="240" w:lineRule="auto" w:before="4"/>
        <w:rPr>
          <w:rFonts w:ascii="宋体" w:hAnsi="宋体" w:cs="宋体" w:eastAsia="宋体" w:hint="default"/>
          <w:sz w:val="22"/>
          <w:szCs w:val="22"/>
        </w:rPr>
      </w:pPr>
    </w:p>
    <w:p>
      <w:pPr>
        <w:pStyle w:val="Heading4"/>
        <w:spacing w:line="240" w:lineRule="auto"/>
        <w:ind w:left="233" w:right="0"/>
        <w:jc w:val="both"/>
        <w:rPr>
          <w:b w:val="0"/>
          <w:bCs w:val="0"/>
        </w:rPr>
      </w:pPr>
      <w:bookmarkStart w:name="19、长期待摊费用" w:id="191"/>
      <w:bookmarkEnd w:id="191"/>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4" w:right="0"/>
        <w:jc w:val="both"/>
      </w:pPr>
      <w:r>
        <w:rPr/>
        <w:t>（</w:t>
      </w:r>
      <w:r>
        <w:rPr>
          <w:rFonts w:ascii="Times New Roman" w:hAnsi="Times New Roman" w:cs="Times New Roman" w:eastAsia="Times New Roman" w:hint="default"/>
          <w:b/>
          <w:bCs/>
        </w:rPr>
        <w:t>1</w:t>
      </w:r>
      <w:r>
        <w:rPr/>
        <w:t>）摊销方法</w:t>
      </w:r>
    </w:p>
    <w:p>
      <w:pPr>
        <w:pStyle w:val="BodyText"/>
        <w:spacing w:line="302" w:lineRule="auto" w:before="102"/>
        <w:ind w:left="233" w:right="1136" w:firstLine="363"/>
        <w:jc w:val="both"/>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益期内按平均年限法摊销。</w:t>
      </w:r>
    </w:p>
    <w:p>
      <w:pPr>
        <w:pStyle w:val="BodyText"/>
        <w:spacing w:line="240" w:lineRule="auto" w:before="69"/>
        <w:ind w:left="233" w:right="0"/>
        <w:jc w:val="both"/>
      </w:pPr>
      <w:r>
        <w:rPr/>
        <w:t>（</w:t>
      </w:r>
      <w:r>
        <w:rPr>
          <w:rFonts w:ascii="Times New Roman" w:hAnsi="Times New Roman" w:cs="Times New Roman" w:eastAsia="Times New Roman" w:hint="default"/>
          <w:b/>
          <w:bCs/>
        </w:rPr>
        <w:t>2</w:t>
      </w:r>
      <w:r>
        <w:rPr/>
        <w:t>）摊销年限</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4838"/>
        <w:gridCol w:w="5018"/>
      </w:tblGrid>
      <w:tr>
        <w:trPr>
          <w:trHeight w:val="373" w:hRule="exact"/>
        </w:trPr>
        <w:tc>
          <w:tcPr>
            <w:tcW w:w="4838"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color w:val="0D0D0D"/>
                <w:sz w:val="18"/>
                <w:szCs w:val="18"/>
              </w:rPr>
              <w:t>类别</w:t>
            </w:r>
            <w:r>
              <w:rPr>
                <w:rFonts w:ascii="宋体" w:hAnsi="宋体" w:cs="宋体" w:eastAsia="宋体" w:hint="default"/>
                <w:sz w:val="18"/>
                <w:szCs w:val="18"/>
              </w:rPr>
            </w:r>
          </w:p>
        </w:tc>
        <w:tc>
          <w:tcPr>
            <w:tcW w:w="5018"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color w:val="0D0D0D"/>
                <w:sz w:val="18"/>
                <w:szCs w:val="18"/>
              </w:rPr>
              <w:t>摊销年限</w:t>
            </w:r>
            <w:r>
              <w:rPr>
                <w:rFonts w:ascii="宋体" w:hAnsi="宋体" w:cs="宋体" w:eastAsia="宋体" w:hint="default"/>
                <w:sz w:val="18"/>
                <w:szCs w:val="18"/>
              </w:rPr>
            </w:r>
          </w:p>
        </w:tc>
      </w:tr>
      <w:tr>
        <w:trPr>
          <w:trHeight w:val="378" w:hRule="exact"/>
        </w:trPr>
        <w:tc>
          <w:tcPr>
            <w:tcW w:w="483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pacing w:val="-7"/>
                <w:sz w:val="21"/>
                <w:szCs w:val="21"/>
              </w:rPr>
              <w:t>VoIP</w:t>
            </w:r>
            <w:r>
              <w:rPr>
                <w:rFonts w:ascii="Times New Roman" w:hAnsi="Times New Roman" w:cs="Times New Roman" w:eastAsia="Times New Roman" w:hint="default"/>
                <w:sz w:val="21"/>
                <w:szCs w:val="21"/>
              </w:rPr>
              <w:t> </w:t>
            </w:r>
            <w:r>
              <w:rPr>
                <w:rFonts w:ascii="宋体" w:hAnsi="宋体" w:cs="宋体" w:eastAsia="宋体" w:hint="default"/>
                <w:color w:val="0D0D0D"/>
                <w:sz w:val="18"/>
                <w:szCs w:val="18"/>
              </w:rPr>
              <w:t>用户获取费用</w:t>
            </w:r>
            <w:r>
              <w:rPr>
                <w:rFonts w:ascii="宋体" w:hAnsi="宋体" w:cs="宋体" w:eastAsia="宋体" w:hint="default"/>
                <w:sz w:val="18"/>
                <w:szCs w:val="18"/>
              </w:rPr>
            </w:r>
          </w:p>
        </w:tc>
        <w:tc>
          <w:tcPr>
            <w:tcW w:w="5018" w:type="dxa"/>
            <w:tcBorders>
              <w:top w:val="single" w:sz="8" w:space="0" w:color="000000"/>
              <w:left w:val="nil" w:sz="6" w:space="0" w:color="auto"/>
              <w:bottom w:val="single" w:sz="8" w:space="0" w:color="000000"/>
              <w:right w:val="nil" w:sz="6" w:space="0" w:color="auto"/>
            </w:tcBorders>
          </w:tcPr>
          <w:p>
            <w:pPr>
              <w:pStyle w:val="TableParagraph"/>
              <w:spacing w:line="223" w:lineRule="exact"/>
              <w:ind w:left="90"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5</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年</w:t>
            </w:r>
            <w:r>
              <w:rPr>
                <w:rFonts w:ascii="宋体" w:hAnsi="宋体" w:cs="宋体" w:eastAsia="宋体" w:hint="default"/>
                <w:sz w:val="18"/>
                <w:szCs w:val="18"/>
              </w:rPr>
            </w:r>
          </w:p>
        </w:tc>
      </w:tr>
      <w:tr>
        <w:trPr>
          <w:trHeight w:val="364" w:hRule="exact"/>
        </w:trPr>
        <w:tc>
          <w:tcPr>
            <w:tcW w:w="4838" w:type="dxa"/>
            <w:tcBorders>
              <w:top w:val="single" w:sz="4" w:space="0" w:color="000000"/>
              <w:left w:val="nil" w:sz="6" w:space="0" w:color="auto"/>
              <w:bottom w:val="single" w:sz="4" w:space="0" w:color="000000"/>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IPTV</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用户获取费用</w:t>
            </w:r>
            <w:r>
              <w:rPr>
                <w:rFonts w:ascii="宋体" w:hAnsi="宋体" w:cs="宋体" w:eastAsia="宋体" w:hint="default"/>
                <w:sz w:val="18"/>
                <w:szCs w:val="18"/>
              </w:rPr>
            </w:r>
          </w:p>
        </w:tc>
        <w:tc>
          <w:tcPr>
            <w:tcW w:w="5018" w:type="dxa"/>
            <w:tcBorders>
              <w:top w:val="single" w:sz="8" w:space="0" w:color="000000"/>
              <w:left w:val="nil" w:sz="6" w:space="0" w:color="auto"/>
              <w:bottom w:val="single" w:sz="8" w:space="0" w:color="000000"/>
              <w:right w:val="nil" w:sz="6" w:space="0" w:color="auto"/>
            </w:tcBorders>
          </w:tcPr>
          <w:p>
            <w:pPr>
              <w:pStyle w:val="TableParagraph"/>
              <w:spacing w:line="215" w:lineRule="exact"/>
              <w:ind w:left="90"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5</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年</w:t>
            </w:r>
            <w:r>
              <w:rPr>
                <w:rFonts w:ascii="宋体" w:hAnsi="宋体" w:cs="宋体" w:eastAsia="宋体" w:hint="default"/>
                <w:sz w:val="18"/>
                <w:szCs w:val="18"/>
              </w:rPr>
            </w:r>
          </w:p>
        </w:tc>
      </w:tr>
      <w:tr>
        <w:trPr>
          <w:trHeight w:val="374" w:hRule="exact"/>
        </w:trPr>
        <w:tc>
          <w:tcPr>
            <w:tcW w:w="4838" w:type="dxa"/>
            <w:tcBorders>
              <w:top w:val="single" w:sz="4" w:space="0" w:color="000000"/>
              <w:left w:val="nil" w:sz="6" w:space="0" w:color="auto"/>
              <w:bottom w:val="single" w:sz="12" w:space="0" w:color="000000"/>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color w:val="0D0D0D"/>
                <w:sz w:val="18"/>
                <w:szCs w:val="18"/>
              </w:rPr>
              <w:t>租入固定资产改良支出</w:t>
            </w:r>
            <w:r>
              <w:rPr>
                <w:rFonts w:ascii="宋体" w:hAnsi="宋体" w:cs="宋体" w:eastAsia="宋体" w:hint="default"/>
                <w:sz w:val="18"/>
                <w:szCs w:val="18"/>
              </w:rPr>
            </w:r>
          </w:p>
        </w:tc>
        <w:tc>
          <w:tcPr>
            <w:tcW w:w="5018" w:type="dxa"/>
            <w:tcBorders>
              <w:top w:val="single" w:sz="8" w:space="0" w:color="000000"/>
              <w:left w:val="nil" w:sz="6" w:space="0" w:color="auto"/>
              <w:bottom w:val="single" w:sz="12" w:space="0" w:color="000000"/>
              <w:right w:val="nil" w:sz="6" w:space="0" w:color="auto"/>
            </w:tcBorders>
          </w:tcPr>
          <w:p>
            <w:pPr>
              <w:pStyle w:val="TableParagraph"/>
              <w:spacing w:line="215" w:lineRule="exact"/>
              <w:ind w:left="90"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3</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年</w:t>
            </w:r>
            <w:r>
              <w:rPr>
                <w:rFonts w:ascii="宋体" w:hAnsi="宋体" w:cs="宋体" w:eastAsia="宋体" w:hint="default"/>
                <w:sz w:val="18"/>
                <w:szCs w:val="18"/>
              </w:rPr>
            </w:r>
          </w:p>
        </w:tc>
      </w:tr>
    </w:tbl>
    <w:p>
      <w:pPr>
        <w:spacing w:line="240" w:lineRule="auto" w:before="6"/>
        <w:rPr>
          <w:rFonts w:ascii="宋体" w:hAnsi="宋体" w:cs="宋体" w:eastAsia="宋体" w:hint="default"/>
          <w:sz w:val="27"/>
          <w:szCs w:val="27"/>
        </w:rPr>
      </w:pPr>
    </w:p>
    <w:p>
      <w:pPr>
        <w:pStyle w:val="BodyText"/>
        <w:spacing w:line="240" w:lineRule="auto" w:before="44"/>
        <w:ind w:left="234" w:right="1033"/>
        <w:jc w:val="left"/>
      </w:pPr>
      <w:r>
        <w:rPr/>
        <w:pict>
          <v:group style="position:absolute;margin-left:297.459991pt;margin-top:-91.448257pt;width:.5pt;height:71.55pt;mso-position-horizontal-relative:page;mso-position-vertical-relative:paragraph;z-index:-1504672" coordorigin="5949,-1829" coordsize="10,1431">
            <v:group style="position:absolute;left:5949;top:-1829;width:10;height:20" coordorigin="5949,-1829" coordsize="10,20">
              <v:shape style="position:absolute;left:5949;top:-1829;width:10;height:20" coordorigin="5949,-1829" coordsize="10,20" path="m5949,-1810l5959,-1810,5959,-1829,5949,-1829,5949,-1810xe" filled="true" fillcolor="#000000" stroked="false">
                <v:path arrowok="t"/>
                <v:fill type="solid"/>
              </v:shape>
            </v:group>
            <v:group style="position:absolute;left:5949;top:-1810;width:10;height:20" coordorigin="5949,-1810" coordsize="10,20">
              <v:shape style="position:absolute;left:5949;top:-1810;width:10;height:20" coordorigin="5949,-1810" coordsize="10,20" path="m5949,-1791l5959,-1791,5959,-1810,5949,-1810,5949,-1791xe" filled="true" fillcolor="#000000" stroked="false">
                <v:path arrowok="t"/>
                <v:fill type="solid"/>
              </v:shape>
            </v:group>
            <v:group style="position:absolute;left:5949;top:-1791;width:10;height:20" coordorigin="5949,-1791" coordsize="10,20">
              <v:shape style="position:absolute;left:5949;top:-1791;width:10;height:20" coordorigin="5949,-1791" coordsize="10,20" path="m5949,-1771l5959,-1771,5959,-1791,5949,-1791,5949,-1771xe" filled="true" fillcolor="#000000" stroked="false">
                <v:path arrowok="t"/>
                <v:fill type="solid"/>
              </v:shape>
            </v:group>
            <v:group style="position:absolute;left:5949;top:-1771;width:10;height:20" coordorigin="5949,-1771" coordsize="10,20">
              <v:shape style="position:absolute;left:5949;top:-1771;width:10;height:20" coordorigin="5949,-1771" coordsize="10,20" path="m5949,-1752l5959,-1752,5959,-1771,5949,-1771,5949,-1752xe" filled="true" fillcolor="#000000" stroked="false">
                <v:path arrowok="t"/>
                <v:fill type="solid"/>
              </v:shape>
            </v:group>
            <v:group style="position:absolute;left:5949;top:-1752;width:10;height:20" coordorigin="5949,-1752" coordsize="10,20">
              <v:shape style="position:absolute;left:5949;top:-1752;width:10;height:20" coordorigin="5949,-1752" coordsize="10,20" path="m5949,-1733l5959,-1733,5959,-1752,5949,-1752,5949,-1733xe" filled="true" fillcolor="#000000" stroked="false">
                <v:path arrowok="t"/>
                <v:fill type="solid"/>
              </v:shape>
            </v:group>
            <v:group style="position:absolute;left:5949;top:-1733;width:10;height:20" coordorigin="5949,-1733" coordsize="10,20">
              <v:shape style="position:absolute;left:5949;top:-1733;width:10;height:20" coordorigin="5949,-1733" coordsize="10,20" path="m5949,-1714l5959,-1714,5959,-1733,5949,-1733,5949,-1714xe" filled="true" fillcolor="#000000" stroked="false">
                <v:path arrowok="t"/>
                <v:fill type="solid"/>
              </v:shape>
            </v:group>
            <v:group style="position:absolute;left:5949;top:-1714;width:10;height:20" coordorigin="5949,-1714" coordsize="10,20">
              <v:shape style="position:absolute;left:5949;top:-1714;width:10;height:20" coordorigin="5949,-1714" coordsize="10,20" path="m5949,-1695l5959,-1695,5959,-1714,5949,-1714,5949,-1695xe" filled="true" fillcolor="#000000" stroked="false">
                <v:path arrowok="t"/>
                <v:fill type="solid"/>
              </v:shape>
            </v:group>
            <v:group style="position:absolute;left:5949;top:-1695;width:10;height:20" coordorigin="5949,-1695" coordsize="10,20">
              <v:shape style="position:absolute;left:5949;top:-1695;width:10;height:20" coordorigin="5949,-1695" coordsize="10,20" path="m5949,-1675l5959,-1675,5959,-1695,5949,-1695,5949,-1675xe" filled="true" fillcolor="#000000" stroked="false">
                <v:path arrowok="t"/>
                <v:fill type="solid"/>
              </v:shape>
            </v:group>
            <v:group style="position:absolute;left:5949;top:-1675;width:10;height:20" coordorigin="5949,-1675" coordsize="10,20">
              <v:shape style="position:absolute;left:5949;top:-1675;width:10;height:20" coordorigin="5949,-1675" coordsize="10,20" path="m5949,-1656l5959,-1656,5959,-1675,5949,-1675,5949,-1656xe" filled="true" fillcolor="#000000" stroked="false">
                <v:path arrowok="t"/>
                <v:fill type="solid"/>
              </v:shape>
            </v:group>
            <v:group style="position:absolute;left:5949;top:-1656;width:10;height:20" coordorigin="5949,-1656" coordsize="10,20">
              <v:shape style="position:absolute;left:5949;top:-1656;width:10;height:20" coordorigin="5949,-1656" coordsize="10,20" path="m5949,-1637l5959,-1637,5959,-1656,5949,-1656,5949,-1637xe" filled="true" fillcolor="#000000" stroked="false">
                <v:path arrowok="t"/>
                <v:fill type="solid"/>
              </v:shape>
            </v:group>
            <v:group style="position:absolute;left:5949;top:-1637;width:10;height:20" coordorigin="5949,-1637" coordsize="10,20">
              <v:shape style="position:absolute;left:5949;top:-1637;width:10;height:20" coordorigin="5949,-1637" coordsize="10,20" path="m5949,-1618l5959,-1618,5959,-1637,5949,-1637,5949,-1618xe" filled="true" fillcolor="#000000" stroked="false">
                <v:path arrowok="t"/>
                <v:fill type="solid"/>
              </v:shape>
            </v:group>
            <v:group style="position:absolute;left:5949;top:-1618;width:10;height:20" coordorigin="5949,-1618" coordsize="10,20">
              <v:shape style="position:absolute;left:5949;top:-1618;width:10;height:20" coordorigin="5949,-1618" coordsize="10,20" path="m5949,-1599l5959,-1599,5959,-1618,5949,-1618,5949,-1599xe" filled="true" fillcolor="#000000" stroked="false">
                <v:path arrowok="t"/>
                <v:fill type="solid"/>
              </v:shape>
            </v:group>
            <v:group style="position:absolute;left:5949;top:-1599;width:10;height:20" coordorigin="5949,-1599" coordsize="10,20">
              <v:shape style="position:absolute;left:5949;top:-1599;width:10;height:20" coordorigin="5949,-1599" coordsize="10,20" path="m5949,-1579l5959,-1579,5959,-1599,5949,-1599,5949,-1579xe" filled="true" fillcolor="#000000" stroked="false">
                <v:path arrowok="t"/>
                <v:fill type="solid"/>
              </v:shape>
            </v:group>
            <v:group style="position:absolute;left:5949;top:-1579;width:10;height:20" coordorigin="5949,-1579" coordsize="10,20">
              <v:shape style="position:absolute;left:5949;top:-1579;width:10;height:20" coordorigin="5949,-1579" coordsize="10,20" path="m5949,-1560l5959,-1560,5959,-1579,5949,-1579,5949,-1560xe" filled="true" fillcolor="#000000" stroked="false">
                <v:path arrowok="t"/>
                <v:fill type="solid"/>
              </v:shape>
            </v:group>
            <v:group style="position:absolute;left:5949;top:-1560;width:10;height:20" coordorigin="5949,-1560" coordsize="10,20">
              <v:shape style="position:absolute;left:5949;top:-1560;width:10;height:20" coordorigin="5949,-1560" coordsize="10,20" path="m5949,-1541l5959,-1541,5959,-1560,5949,-1560,5949,-1541xe" filled="true" fillcolor="#000000" stroked="false">
                <v:path arrowok="t"/>
                <v:fill type="solid"/>
              </v:shape>
            </v:group>
            <v:group style="position:absolute;left:5949;top:-1541;width:10;height:20" coordorigin="5949,-1541" coordsize="10,20">
              <v:shape style="position:absolute;left:5949;top:-1541;width:10;height:20" coordorigin="5949,-1541" coordsize="10,20" path="m5949,-1522l5959,-1522,5959,-1541,5949,-1541,5949,-1522xe" filled="true" fillcolor="#000000" stroked="false">
                <v:path arrowok="t"/>
                <v:fill type="solid"/>
              </v:shape>
            </v:group>
            <v:group style="position:absolute;left:5949;top:-1467;width:10;height:20" coordorigin="5949,-1467" coordsize="10,20">
              <v:shape style="position:absolute;left:5949;top:-1467;width:10;height:20" coordorigin="5949,-1467" coordsize="10,20" path="m5949,-1447l5959,-1447,5959,-1467,5949,-1467,5949,-1447xe" filled="true" fillcolor="#000000" stroked="false">
                <v:path arrowok="t"/>
                <v:fill type="solid"/>
              </v:shape>
            </v:group>
            <v:group style="position:absolute;left:5949;top:-1447;width:10;height:20" coordorigin="5949,-1447" coordsize="10,20">
              <v:shape style="position:absolute;left:5949;top:-1447;width:10;height:20" coordorigin="5949,-1447" coordsize="10,20" path="m5949,-1428l5959,-1428,5959,-1447,5949,-1447,5949,-1428xe" filled="true" fillcolor="#000000" stroked="false">
                <v:path arrowok="t"/>
                <v:fill type="solid"/>
              </v:shape>
            </v:group>
            <v:group style="position:absolute;left:5949;top:-1428;width:10;height:20" coordorigin="5949,-1428" coordsize="10,20">
              <v:shape style="position:absolute;left:5949;top:-1428;width:10;height:20" coordorigin="5949,-1428" coordsize="10,20" path="m5949,-1409l5959,-1409,5959,-1428,5949,-1428,5949,-1409xe" filled="true" fillcolor="#000000" stroked="false">
                <v:path arrowok="t"/>
                <v:fill type="solid"/>
              </v:shape>
            </v:group>
            <v:group style="position:absolute;left:5949;top:-1409;width:10;height:20" coordorigin="5949,-1409" coordsize="10,20">
              <v:shape style="position:absolute;left:5949;top:-1409;width:10;height:20" coordorigin="5949,-1409" coordsize="10,20" path="m5949,-1390l5959,-1390,5959,-1409,5949,-1409,5949,-1390xe" filled="true" fillcolor="#000000" stroked="false">
                <v:path arrowok="t"/>
                <v:fill type="solid"/>
              </v:shape>
            </v:group>
            <v:group style="position:absolute;left:5949;top:-1390;width:10;height:20" coordorigin="5949,-1390" coordsize="10,20">
              <v:shape style="position:absolute;left:5949;top:-1390;width:10;height:20" coordorigin="5949,-1390" coordsize="10,20" path="m5949,-1371l5959,-1371,5959,-1390,5949,-1390,5949,-1371xe" filled="true" fillcolor="#000000" stroked="false">
                <v:path arrowok="t"/>
                <v:fill type="solid"/>
              </v:shape>
            </v:group>
            <v:group style="position:absolute;left:5949;top:-1371;width:10;height:20" coordorigin="5949,-1371" coordsize="10,20">
              <v:shape style="position:absolute;left:5949;top:-1371;width:10;height:20" coordorigin="5949,-1371" coordsize="10,20" path="m5949,-1351l5959,-1351,5959,-1371,5949,-1371,5949,-1351xe" filled="true" fillcolor="#000000" stroked="false">
                <v:path arrowok="t"/>
                <v:fill type="solid"/>
              </v:shape>
            </v:group>
            <v:group style="position:absolute;left:5949;top:-1351;width:10;height:20" coordorigin="5949,-1351" coordsize="10,20">
              <v:shape style="position:absolute;left:5949;top:-1351;width:10;height:20" coordorigin="5949,-1351" coordsize="10,20" path="m5949,-1332l5959,-1332,5959,-1351,5949,-1351,5949,-1332xe" filled="true" fillcolor="#000000" stroked="false">
                <v:path arrowok="t"/>
                <v:fill type="solid"/>
              </v:shape>
            </v:group>
            <v:group style="position:absolute;left:5949;top:-1332;width:10;height:20" coordorigin="5949,-1332" coordsize="10,20">
              <v:shape style="position:absolute;left:5949;top:-1332;width:10;height:20" coordorigin="5949,-1332" coordsize="10,20" path="m5949,-1313l5959,-1313,5959,-1332,5949,-1332,5949,-1313xe" filled="true" fillcolor="#000000" stroked="false">
                <v:path arrowok="t"/>
                <v:fill type="solid"/>
              </v:shape>
            </v:group>
            <v:group style="position:absolute;left:5949;top:-1313;width:10;height:20" coordorigin="5949,-1313" coordsize="10,20">
              <v:shape style="position:absolute;left:5949;top:-1313;width:10;height:20" coordorigin="5949,-1313" coordsize="10,20" path="m5949,-1294l5959,-1294,5959,-1313,5949,-1313,5949,-1294xe" filled="true" fillcolor="#000000" stroked="false">
                <v:path arrowok="t"/>
                <v:fill type="solid"/>
              </v:shape>
            </v:group>
            <v:group style="position:absolute;left:5949;top:-1294;width:10;height:20" coordorigin="5949,-1294" coordsize="10,20">
              <v:shape style="position:absolute;left:5949;top:-1294;width:10;height:20" coordorigin="5949,-1294" coordsize="10,20" path="m5949,-1275l5959,-1275,5959,-1294,5949,-1294,5949,-1275xe" filled="true" fillcolor="#000000" stroked="false">
                <v:path arrowok="t"/>
                <v:fill type="solid"/>
              </v:shape>
            </v:group>
            <v:group style="position:absolute;left:5949;top:-1275;width:10;height:20" coordorigin="5949,-1275" coordsize="10,20">
              <v:shape style="position:absolute;left:5949;top:-1275;width:10;height:20" coordorigin="5949,-1275" coordsize="10,20" path="m5949,-1255l5959,-1255,5959,-1275,5949,-1275,5949,-1255xe" filled="true" fillcolor="#000000" stroked="false">
                <v:path arrowok="t"/>
                <v:fill type="solid"/>
              </v:shape>
            </v:group>
            <v:group style="position:absolute;left:5949;top:-1255;width:10;height:20" coordorigin="5949,-1255" coordsize="10,20">
              <v:shape style="position:absolute;left:5949;top:-1255;width:10;height:20" coordorigin="5949,-1255" coordsize="10,20" path="m5949,-1236l5959,-1236,5959,-1255,5949,-1255,5949,-1236xe" filled="true" fillcolor="#000000" stroked="false">
                <v:path arrowok="t"/>
                <v:fill type="solid"/>
              </v:shape>
            </v:group>
            <v:group style="position:absolute;left:5949;top:-1236;width:10;height:20" coordorigin="5949,-1236" coordsize="10,20">
              <v:shape style="position:absolute;left:5949;top:-1236;width:10;height:20" coordorigin="5949,-1236" coordsize="10,20" path="m5949,-1217l5959,-1217,5959,-1236,5949,-1236,5949,-1217xe" filled="true" fillcolor="#000000" stroked="false">
                <v:path arrowok="t"/>
                <v:fill type="solid"/>
              </v:shape>
            </v:group>
            <v:group style="position:absolute;left:5949;top:-1217;width:10;height:20" coordorigin="5949,-1217" coordsize="10,20">
              <v:shape style="position:absolute;left:5949;top:-1217;width:10;height:20" coordorigin="5949,-1217" coordsize="10,20" path="m5949,-1198l5959,-1198,5959,-1217,5949,-1217,5949,-1198xe" filled="true" fillcolor="#000000" stroked="false">
                <v:path arrowok="t"/>
                <v:fill type="solid"/>
              </v:shape>
            </v:group>
            <v:group style="position:absolute;left:5949;top:-1198;width:10;height:20" coordorigin="5949,-1198" coordsize="10,20">
              <v:shape style="position:absolute;left:5949;top:-1198;width:10;height:20" coordorigin="5949,-1198" coordsize="10,20" path="m5949,-1179l5959,-1179,5959,-1198,5949,-1198,5949,-1179xe" filled="true" fillcolor="#000000" stroked="false">
                <v:path arrowok="t"/>
                <v:fill type="solid"/>
              </v:shape>
            </v:group>
            <v:group style="position:absolute;left:5949;top:-1179;width:10;height:20" coordorigin="5949,-1179" coordsize="10,20">
              <v:shape style="position:absolute;left:5949;top:-1179;width:10;height:20" coordorigin="5949,-1179" coordsize="10,20" path="m5949,-1159l5959,-1159,5959,-1179,5949,-1179,5949,-1159xe" filled="true" fillcolor="#000000" stroked="false">
                <v:path arrowok="t"/>
                <v:fill type="solid"/>
              </v:shape>
            </v:group>
            <v:group style="position:absolute;left:5949;top:-1159;width:10;height:20" coordorigin="5949,-1159" coordsize="10,20">
              <v:shape style="position:absolute;left:5949;top:-1159;width:10;height:20" coordorigin="5949,-1159" coordsize="10,20" path="m5949,-1140l5959,-1140,5959,-1159,5949,-1159,5949,-1140xe" filled="true" fillcolor="#000000" stroked="false">
                <v:path arrowok="t"/>
                <v:fill type="solid"/>
              </v:shape>
              <v:shape style="position:absolute;left:5949;top:-1121;width:10;height:4" type="#_x0000_t75" stroked="false">
                <v:imagedata r:id="rId22" o:title=""/>
              </v:shape>
            </v:group>
            <v:group style="position:absolute;left:5949;top:-1089;width:10;height:20" coordorigin="5949,-1089" coordsize="10,20">
              <v:shape style="position:absolute;left:5949;top:-1089;width:10;height:20" coordorigin="5949,-1089" coordsize="10,20" path="m5949,-1069l5959,-1069,5959,-1089,5949,-1089,5949,-1069xe" filled="true" fillcolor="#000000" stroked="false">
                <v:path arrowok="t"/>
                <v:fill type="solid"/>
              </v:shape>
            </v:group>
            <v:group style="position:absolute;left:5949;top:-1069;width:10;height:20" coordorigin="5949,-1069" coordsize="10,20">
              <v:shape style="position:absolute;left:5949;top:-1069;width:10;height:20" coordorigin="5949,-1069" coordsize="10,20" path="m5949,-1050l5959,-1050,5959,-1069,5949,-1069,5949,-1050xe" filled="true" fillcolor="#000000" stroked="false">
                <v:path arrowok="t"/>
                <v:fill type="solid"/>
              </v:shape>
            </v:group>
            <v:group style="position:absolute;left:5949;top:-1050;width:10;height:20" coordorigin="5949,-1050" coordsize="10,20">
              <v:shape style="position:absolute;left:5949;top:-1050;width:10;height:20" coordorigin="5949,-1050" coordsize="10,20" path="m5949,-1031l5959,-1031,5959,-1050,5949,-1050,5949,-1031xe" filled="true" fillcolor="#000000" stroked="false">
                <v:path arrowok="t"/>
                <v:fill type="solid"/>
              </v:shape>
            </v:group>
            <v:group style="position:absolute;left:5949;top:-1031;width:10;height:20" coordorigin="5949,-1031" coordsize="10,20">
              <v:shape style="position:absolute;left:5949;top:-1031;width:10;height:20" coordorigin="5949,-1031" coordsize="10,20" path="m5949,-1012l5959,-1012,5959,-1031,5949,-1031,5949,-1012xe" filled="true" fillcolor="#000000" stroked="false">
                <v:path arrowok="t"/>
                <v:fill type="solid"/>
              </v:shape>
            </v:group>
            <v:group style="position:absolute;left:5949;top:-1012;width:10;height:20" coordorigin="5949,-1012" coordsize="10,20">
              <v:shape style="position:absolute;left:5949;top:-1012;width:10;height:20" coordorigin="5949,-1012" coordsize="10,20" path="m5949,-993l5959,-993,5959,-1012,5949,-1012,5949,-993xe" filled="true" fillcolor="#000000" stroked="false">
                <v:path arrowok="t"/>
                <v:fill type="solid"/>
              </v:shape>
            </v:group>
            <v:group style="position:absolute;left:5949;top:-993;width:10;height:20" coordorigin="5949,-993" coordsize="10,20">
              <v:shape style="position:absolute;left:5949;top:-993;width:10;height:20" coordorigin="5949,-993" coordsize="10,20" path="m5949,-973l5959,-973,5959,-993,5949,-993,5949,-973xe" filled="true" fillcolor="#000000" stroked="false">
                <v:path arrowok="t"/>
                <v:fill type="solid"/>
              </v:shape>
            </v:group>
            <v:group style="position:absolute;left:5949;top:-973;width:10;height:20" coordorigin="5949,-973" coordsize="10,20">
              <v:shape style="position:absolute;left:5949;top:-973;width:10;height:20" coordorigin="5949,-973" coordsize="10,20" path="m5949,-954l5959,-954,5959,-973,5949,-973,5949,-954xe" filled="true" fillcolor="#000000" stroked="false">
                <v:path arrowok="t"/>
                <v:fill type="solid"/>
              </v:shape>
            </v:group>
            <v:group style="position:absolute;left:5949;top:-954;width:10;height:20" coordorigin="5949,-954" coordsize="10,20">
              <v:shape style="position:absolute;left:5949;top:-954;width:10;height:20" coordorigin="5949,-954" coordsize="10,20" path="m5949,-935l5959,-935,5959,-954,5949,-954,5949,-935xe" filled="true" fillcolor="#000000" stroked="false">
                <v:path arrowok="t"/>
                <v:fill type="solid"/>
              </v:shape>
            </v:group>
            <v:group style="position:absolute;left:5949;top:-935;width:10;height:20" coordorigin="5949,-935" coordsize="10,20">
              <v:shape style="position:absolute;left:5949;top:-935;width:10;height:20" coordorigin="5949,-935" coordsize="10,20" path="m5949,-916l5959,-916,5959,-935,5949,-935,5949,-916xe" filled="true" fillcolor="#000000" stroked="false">
                <v:path arrowok="t"/>
                <v:fill type="solid"/>
              </v:shape>
            </v:group>
            <v:group style="position:absolute;left:5949;top:-916;width:10;height:20" coordorigin="5949,-916" coordsize="10,20">
              <v:shape style="position:absolute;left:5949;top:-916;width:10;height:20" coordorigin="5949,-916" coordsize="10,20" path="m5949,-897l5959,-897,5959,-916,5949,-916,5949,-897xe" filled="true" fillcolor="#000000" stroked="false">
                <v:path arrowok="t"/>
                <v:fill type="solid"/>
              </v:shape>
            </v:group>
            <v:group style="position:absolute;left:5949;top:-897;width:10;height:20" coordorigin="5949,-897" coordsize="10,20">
              <v:shape style="position:absolute;left:5949;top:-897;width:10;height:20" coordorigin="5949,-897" coordsize="10,20" path="m5949,-877l5959,-877,5959,-897,5949,-897,5949,-877xe" filled="true" fillcolor="#000000" stroked="false">
                <v:path arrowok="t"/>
                <v:fill type="solid"/>
              </v:shape>
            </v:group>
            <v:group style="position:absolute;left:5949;top:-877;width:10;height:20" coordorigin="5949,-877" coordsize="10,20">
              <v:shape style="position:absolute;left:5949;top:-877;width:10;height:20" coordorigin="5949,-877" coordsize="10,20" path="m5949,-858l5959,-858,5959,-877,5949,-877,5949,-858xe" filled="true" fillcolor="#000000" stroked="false">
                <v:path arrowok="t"/>
                <v:fill type="solid"/>
              </v:shape>
            </v:group>
            <v:group style="position:absolute;left:5949;top:-858;width:10;height:20" coordorigin="5949,-858" coordsize="10,20">
              <v:shape style="position:absolute;left:5949;top:-858;width:10;height:20" coordorigin="5949,-858" coordsize="10,20" path="m5949,-839l5959,-839,5959,-858,5949,-858,5949,-839xe" filled="true" fillcolor="#000000" stroked="false">
                <v:path arrowok="t"/>
                <v:fill type="solid"/>
              </v:shape>
            </v:group>
            <v:group style="position:absolute;left:5949;top:-839;width:10;height:20" coordorigin="5949,-839" coordsize="10,20">
              <v:shape style="position:absolute;left:5949;top:-839;width:10;height:20" coordorigin="5949,-839" coordsize="10,20" path="m5949,-820l5959,-820,5959,-839,5949,-839,5949,-820xe" filled="true" fillcolor="#000000" stroked="false">
                <v:path arrowok="t"/>
                <v:fill type="solid"/>
              </v:shape>
            </v:group>
            <v:group style="position:absolute;left:5949;top:-820;width:10;height:20" coordorigin="5949,-820" coordsize="10,20">
              <v:shape style="position:absolute;left:5949;top:-820;width:10;height:20" coordorigin="5949,-820" coordsize="10,20" path="m5949,-801l5959,-801,5959,-820,5949,-820,5949,-801xe" filled="true" fillcolor="#000000" stroked="false">
                <v:path arrowok="t"/>
                <v:fill type="solid"/>
              </v:shape>
            </v:group>
            <v:group style="position:absolute;left:5949;top:-801;width:10;height:20" coordorigin="5949,-801" coordsize="10,20">
              <v:shape style="position:absolute;left:5949;top:-801;width:10;height:20" coordorigin="5949,-801" coordsize="10,20" path="m5949,-781l5959,-781,5959,-801,5949,-801,5949,-781xe" filled="true" fillcolor="#000000" stroked="false">
                <v:path arrowok="t"/>
                <v:fill type="solid"/>
              </v:shape>
            </v:group>
            <v:group style="position:absolute;left:5949;top:-725;width:10;height:20" coordorigin="5949,-725" coordsize="10,20">
              <v:shape style="position:absolute;left:5949;top:-725;width:10;height:20" coordorigin="5949,-725" coordsize="10,20" path="m5949,-706l5959,-706,5959,-725,5949,-725,5949,-706xe" filled="true" fillcolor="#000000" stroked="false">
                <v:path arrowok="t"/>
                <v:fill type="solid"/>
              </v:shape>
            </v:group>
            <v:group style="position:absolute;left:5949;top:-706;width:10;height:20" coordorigin="5949,-706" coordsize="10,20">
              <v:shape style="position:absolute;left:5949;top:-706;width:10;height:20" coordorigin="5949,-706" coordsize="10,20" path="m5949,-687l5959,-687,5959,-706,5949,-706,5949,-687xe" filled="true" fillcolor="#000000" stroked="false">
                <v:path arrowok="t"/>
                <v:fill type="solid"/>
              </v:shape>
            </v:group>
            <v:group style="position:absolute;left:5949;top:-687;width:10;height:20" coordorigin="5949,-687" coordsize="10,20">
              <v:shape style="position:absolute;left:5949;top:-687;width:10;height:20" coordorigin="5949,-687" coordsize="10,20" path="m5949,-667l5959,-667,5959,-687,5949,-687,5949,-667xe" filled="true" fillcolor="#000000" stroked="false">
                <v:path arrowok="t"/>
                <v:fill type="solid"/>
              </v:shape>
            </v:group>
            <v:group style="position:absolute;left:5949;top:-667;width:10;height:20" coordorigin="5949,-667" coordsize="10,20">
              <v:shape style="position:absolute;left:5949;top:-667;width:10;height:20" coordorigin="5949,-667" coordsize="10,20" path="m5949,-648l5959,-648,5959,-667,5949,-667,5949,-648xe" filled="true" fillcolor="#000000" stroked="false">
                <v:path arrowok="t"/>
                <v:fill type="solid"/>
              </v:shape>
            </v:group>
            <v:group style="position:absolute;left:5949;top:-648;width:10;height:20" coordorigin="5949,-648" coordsize="10,20">
              <v:shape style="position:absolute;left:5949;top:-648;width:10;height:20" coordorigin="5949,-648" coordsize="10,20" path="m5949,-629l5959,-629,5959,-648,5949,-648,5949,-629xe" filled="true" fillcolor="#000000" stroked="false">
                <v:path arrowok="t"/>
                <v:fill type="solid"/>
              </v:shape>
            </v:group>
            <v:group style="position:absolute;left:5949;top:-629;width:10;height:20" coordorigin="5949,-629" coordsize="10,20">
              <v:shape style="position:absolute;left:5949;top:-629;width:10;height:20" coordorigin="5949,-629" coordsize="10,20" path="m5949,-610l5959,-610,5959,-629,5949,-629,5949,-610xe" filled="true" fillcolor="#000000" stroked="false">
                <v:path arrowok="t"/>
                <v:fill type="solid"/>
              </v:shape>
            </v:group>
            <v:group style="position:absolute;left:5949;top:-610;width:10;height:20" coordorigin="5949,-610" coordsize="10,20">
              <v:shape style="position:absolute;left:5949;top:-610;width:10;height:20" coordorigin="5949,-610" coordsize="10,20" path="m5949,-591l5959,-591,5959,-610,5949,-610,5949,-591xe" filled="true" fillcolor="#000000" stroked="false">
                <v:path arrowok="t"/>
                <v:fill type="solid"/>
              </v:shape>
            </v:group>
            <v:group style="position:absolute;left:5949;top:-591;width:10;height:20" coordorigin="5949,-591" coordsize="10,20">
              <v:shape style="position:absolute;left:5949;top:-591;width:10;height:20" coordorigin="5949,-591" coordsize="10,20" path="m5949,-571l5959,-571,5959,-591,5949,-591,5949,-571xe" filled="true" fillcolor="#000000" stroked="false">
                <v:path arrowok="t"/>
                <v:fill type="solid"/>
              </v:shape>
            </v:group>
            <v:group style="position:absolute;left:5949;top:-571;width:10;height:20" coordorigin="5949,-571" coordsize="10,20">
              <v:shape style="position:absolute;left:5949;top:-571;width:10;height:20" coordorigin="5949,-571" coordsize="10,20" path="m5949,-552l5959,-552,5959,-571,5949,-571,5949,-552xe" filled="true" fillcolor="#000000" stroked="false">
                <v:path arrowok="t"/>
                <v:fill type="solid"/>
              </v:shape>
            </v:group>
            <v:group style="position:absolute;left:5949;top:-552;width:10;height:20" coordorigin="5949,-552" coordsize="10,20">
              <v:shape style="position:absolute;left:5949;top:-552;width:10;height:20" coordorigin="5949,-552" coordsize="10,20" path="m5949,-533l5959,-533,5959,-552,5949,-552,5949,-533xe" filled="true" fillcolor="#000000" stroked="false">
                <v:path arrowok="t"/>
                <v:fill type="solid"/>
              </v:shape>
            </v:group>
            <v:group style="position:absolute;left:5949;top:-533;width:10;height:20" coordorigin="5949,-533" coordsize="10,20">
              <v:shape style="position:absolute;left:5949;top:-533;width:10;height:20" coordorigin="5949,-533" coordsize="10,20" path="m5949,-514l5959,-514,5959,-533,5949,-533,5949,-514xe" filled="true" fillcolor="#000000" stroked="false">
                <v:path arrowok="t"/>
                <v:fill type="solid"/>
              </v:shape>
            </v:group>
            <v:group style="position:absolute;left:5949;top:-514;width:10;height:20" coordorigin="5949,-514" coordsize="10,20">
              <v:shape style="position:absolute;left:5949;top:-514;width:10;height:20" coordorigin="5949,-514" coordsize="10,20" path="m5949,-495l5959,-495,5959,-514,5949,-514,5949,-495xe" filled="true" fillcolor="#000000" stroked="false">
                <v:path arrowok="t"/>
                <v:fill type="solid"/>
              </v:shape>
            </v:group>
            <v:group style="position:absolute;left:5949;top:-495;width:10;height:20" coordorigin="5949,-495" coordsize="10,20">
              <v:shape style="position:absolute;left:5949;top:-495;width:10;height:20" coordorigin="5949,-495" coordsize="10,20" path="m5949,-475l5959,-475,5959,-495,5949,-495,5949,-475xe" filled="true" fillcolor="#000000" stroked="false">
                <v:path arrowok="t"/>
                <v:fill type="solid"/>
              </v:shape>
            </v:group>
            <v:group style="position:absolute;left:5949;top:-475;width:10;height:20" coordorigin="5949,-475" coordsize="10,20">
              <v:shape style="position:absolute;left:5949;top:-475;width:10;height:20" coordorigin="5949,-475" coordsize="10,20" path="m5949,-456l5959,-456,5959,-475,5949,-475,5949,-456xe" filled="true" fillcolor="#000000" stroked="false">
                <v:path arrowok="t"/>
                <v:fill type="solid"/>
              </v:shape>
            </v:group>
            <v:group style="position:absolute;left:5949;top:-456;width:10;height:20" coordorigin="5949,-456" coordsize="10,20">
              <v:shape style="position:absolute;left:5949;top:-456;width:10;height:20" coordorigin="5949,-456" coordsize="10,20" path="m5949,-437l5959,-437,5959,-456,5949,-456,5949,-437xe" filled="true" fillcolor="#000000" stroked="false">
                <v:path arrowok="t"/>
                <v:fill type="solid"/>
              </v:shape>
            </v:group>
            <v:group style="position:absolute;left:5949;top:-437;width:10;height:20" coordorigin="5949,-437" coordsize="10,20">
              <v:shape style="position:absolute;left:5949;top:-437;width:10;height:20" coordorigin="5949,-437" coordsize="10,20" path="m5949,-418l5959,-418,5959,-437,5949,-437,5949,-418xe" filled="true" fillcolor="#000000" stroked="false">
                <v:path arrowok="t"/>
                <v:fill type="solid"/>
              </v:shape>
            </v:group>
            <v:group style="position:absolute;left:5949;top:-418;width:10;height:20" coordorigin="5949,-418" coordsize="10,20">
              <v:shape style="position:absolute;left:5949;top:-418;width:10;height:20" coordorigin="5949,-418" coordsize="10,20" path="m5949,-399l5959,-399,5959,-418,5949,-418,5949,-399xe" filled="true" fillcolor="#000000" stroked="false">
                <v:path arrowok="t"/>
                <v:fill type="solid"/>
              </v:shape>
            </v:group>
            <w10:wrap type="none"/>
          </v:group>
        </w:pict>
      </w:r>
      <w:r>
        <w:rPr/>
        <w:t>注：说明长期待摊费用的性质、摊销方法及摊销年限。</w:t>
      </w:r>
    </w:p>
    <w:p>
      <w:pPr>
        <w:spacing w:line="240" w:lineRule="auto" w:before="10"/>
        <w:rPr>
          <w:rFonts w:ascii="宋体" w:hAnsi="宋体" w:cs="宋体" w:eastAsia="宋体" w:hint="default"/>
          <w:sz w:val="26"/>
          <w:szCs w:val="26"/>
        </w:rPr>
      </w:pPr>
    </w:p>
    <w:p>
      <w:pPr>
        <w:pStyle w:val="Heading4"/>
        <w:spacing w:line="240" w:lineRule="auto"/>
        <w:ind w:left="234" w:right="1033"/>
        <w:jc w:val="left"/>
        <w:rPr>
          <w:b w:val="0"/>
          <w:bCs w:val="0"/>
        </w:rPr>
      </w:pPr>
      <w:bookmarkStart w:name="20、职工薪酬" w:id="192"/>
      <w:bookmarkEnd w:id="192"/>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1033"/>
        <w:jc w:val="left"/>
        <w:rPr>
          <w:b w:val="0"/>
          <w:bCs w:val="0"/>
        </w:rPr>
      </w:pPr>
      <w:bookmarkStart w:name="（1）短期薪酬的会计处理方法" w:id="193"/>
      <w:bookmarkEnd w:id="19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1033" w:firstLine="382"/>
        <w:jc w:val="left"/>
      </w:pPr>
      <w:r>
        <w:rPr/>
        <w:t>短期薪酬是指本公司在职工提供相关服务的年度报告期间结束后十二个月内需要全部予以支付的职工薪酬，离职后福 </w:t>
      </w:r>
      <w:r>
        <w:rPr>
          <w:spacing w:val="-2"/>
        </w:rPr>
        <w:t>利和辞退福利除外。本公司在职工提供服务的会计期间，将应付的短期薪酬确认为负债，并根据职工提供服务的受益对象计</w:t>
      </w:r>
    </w:p>
    <w:p>
      <w:pPr>
        <w:spacing w:after="0" w:line="316" w:lineRule="auto"/>
        <w:jc w:val="left"/>
        <w:sectPr>
          <w:pgSz w:w="11910" w:h="16840"/>
          <w:pgMar w:header="747" w:footer="979" w:top="1060" w:bottom="1160" w:left="90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入相关资产成本和费用。</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离职后福利的会计处理方法" w:id="194"/>
      <w:bookmarkEnd w:id="19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0" w:firstLine="363"/>
        <w:jc w:val="left"/>
      </w:pPr>
      <w:r>
        <w:rPr/>
        <w:t>离职后福利是指本公司为获得职工提供的服务而在职工退休或与企业解除劳动关系后，提供的各种形式的报酬和福利， 短期薪酬和辞退福利除外。离职后福利计划分类为设定提存计划和设定受益计划。</w:t>
      </w:r>
    </w:p>
    <w:p>
      <w:pPr>
        <w:pStyle w:val="BodyText"/>
        <w:spacing w:line="319" w:lineRule="auto" w:before="55"/>
        <w:ind w:right="1033" w:firstLine="363"/>
        <w:jc w:val="left"/>
      </w:pP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58"/>
        <w:ind w:left="517" w:right="1033"/>
        <w:jc w:val="left"/>
      </w:pPr>
      <w:r>
        <w:rPr/>
        <w:t>本公司按照国家规定的标准定期缴付上述款项后，不再有其他的支付义务。</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3"/>
        <w:jc w:val="left"/>
      </w:pPr>
      <w:r>
        <w:rPr>
          <w:spacing w:val="-2"/>
        </w:rPr>
        <w:t>辞退福利是指本公司在职工劳动合同到期之前解除与职工的劳动关系，或者为鼓励职工自愿接受裁减而给予职工的补偿，</w:t>
      </w:r>
      <w:r>
        <w:rPr/>
        <w:t> 在本公司不能单方面撤回解除劳动关系计划或裁减建议时和确认与涉及支付辞退福利的重组相关的成本费用时两者孰早日，</w:t>
      </w:r>
      <w:r>
        <w:rPr>
          <w:spacing w:val="-85"/>
        </w:rPr>
        <w:t> </w:t>
      </w:r>
      <w:r>
        <w:rPr>
          <w:spacing w:val="-85"/>
        </w:rPr>
      </w:r>
      <w:r>
        <w:rPr/>
        <w:t>确认因解除与职工的劳动关系给予补偿而产生的负债，同时计入当期损益。</w:t>
      </w:r>
    </w:p>
    <w:p>
      <w:pPr>
        <w:pStyle w:val="BodyText"/>
        <w:spacing w:line="319" w:lineRule="auto" w:before="55"/>
        <w:ind w:right="1131" w:firstLine="363"/>
        <w:jc w:val="both"/>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5"/>
        </w:rPr>
        <w:t>龄止，向内退职工支付内部退养福利。对于内退福利，本公司比照辞退福利进行会计处理，在符合辞退福利相关确认条件时，</w:t>
      </w:r>
      <w:r>
        <w:rPr>
          <w:spacing w:val="-82"/>
        </w:rPr>
        <w:t> </w:t>
      </w:r>
      <w:r>
        <w:rPr>
          <w:spacing w:val="-82"/>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3"/>
        <w:rPr>
          <w:rFonts w:ascii="宋体" w:hAnsi="宋体" w:cs="宋体" w:eastAsia="宋体" w:hint="default"/>
          <w:sz w:val="22"/>
          <w:szCs w:val="22"/>
        </w:rPr>
      </w:pPr>
    </w:p>
    <w:p>
      <w:pPr>
        <w:pStyle w:val="Heading4"/>
        <w:spacing w:line="240" w:lineRule="auto"/>
        <w:ind w:left="153" w:right="1033"/>
        <w:jc w:val="left"/>
        <w:rPr>
          <w:b w:val="0"/>
          <w:bCs w:val="0"/>
        </w:rPr>
      </w:pPr>
      <w:bookmarkStart w:name="（4）其他长期职工福利的会计处理方法" w:id="196"/>
      <w:bookmarkEnd w:id="19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其他长期职工福利是指除短期薪酬、离职后福利、辞退福利之外的其他所有职工福利。</w:t>
      </w:r>
    </w:p>
    <w:p>
      <w:pPr>
        <w:spacing w:line="240" w:lineRule="auto" w:before="11"/>
        <w:rPr>
          <w:rFonts w:ascii="宋体" w:hAnsi="宋体" w:cs="宋体" w:eastAsia="宋体" w:hint="default"/>
          <w:sz w:val="26"/>
          <w:szCs w:val="26"/>
        </w:rPr>
      </w:pPr>
    </w:p>
    <w:p>
      <w:pPr>
        <w:pStyle w:val="Heading4"/>
        <w:spacing w:line="240" w:lineRule="auto"/>
        <w:ind w:left="153" w:right="1033"/>
        <w:jc w:val="left"/>
        <w:rPr>
          <w:b w:val="0"/>
          <w:bCs w:val="0"/>
        </w:rPr>
      </w:pPr>
      <w:bookmarkStart w:name="21、预计负债" w:id="197"/>
      <w:bookmarkEnd w:id="197"/>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7" w:right="4809" w:hanging="364"/>
        <w:jc w:val="left"/>
      </w:pPr>
      <w:r>
        <w:rPr/>
        <w:t>（</w:t>
      </w:r>
      <w:r>
        <w:rPr>
          <w:rFonts w:ascii="Times New Roman" w:hAnsi="Times New Roman" w:cs="Times New Roman" w:eastAsia="Times New Roman" w:hint="default"/>
          <w:b/>
          <w:bCs/>
        </w:rPr>
        <w:t>1</w:t>
      </w:r>
      <w:r>
        <w:rPr/>
        <w:t>）预计负债的确认标准 与或有事项相关的义务同时满足下列条件时，本公司确认为预计负债： </w:t>
      </w:r>
      <w:r>
        <w:rPr>
          <w:rFonts w:ascii="Times New Roman" w:hAnsi="Times New Roman" w:cs="Times New Roman" w:eastAsia="Times New Roman" w:hint="default"/>
        </w:rPr>
        <w:t>1</w:t>
      </w:r>
      <w:r>
        <w:rPr/>
        <w:t>）该义务是本公司承担的现时义务；</w:t>
      </w:r>
    </w:p>
    <w:p>
      <w:pPr>
        <w:pStyle w:val="BodyText"/>
        <w:spacing w:line="240" w:lineRule="auto" w:before="12"/>
        <w:ind w:left="517" w:right="1033"/>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103"/>
        <w:ind w:left="517" w:right="1033"/>
        <w:jc w:val="left"/>
      </w:pPr>
      <w:r>
        <w:rPr>
          <w:rFonts w:ascii="Times New Roman" w:hAnsi="Times New Roman" w:cs="Times New Roman" w:eastAsia="Times New Roman" w:hint="default"/>
        </w:rPr>
        <w:t>3</w:t>
      </w:r>
      <w:r>
        <w:rPr/>
        <w:t>）该义务的金额能够可靠地计量。</w:t>
      </w:r>
    </w:p>
    <w:p>
      <w:pPr>
        <w:pStyle w:val="BodyText"/>
        <w:spacing w:line="338" w:lineRule="auto" w:before="102"/>
        <w:ind w:left="517" w:right="4269" w:hanging="364"/>
        <w:jc w:val="left"/>
      </w:pPr>
      <w:r>
        <w:rPr/>
        <w:t>（</w:t>
      </w:r>
      <w:r>
        <w:rPr>
          <w:rFonts w:ascii="Times New Roman" w:hAnsi="Times New Roman" w:cs="Times New Roman" w:eastAsia="Times New Roman" w:hint="default"/>
          <w:b/>
          <w:bCs/>
        </w:rPr>
        <w:t>2</w:t>
      </w:r>
      <w:r>
        <w:rPr/>
        <w:t>）预计负债的计量方法 本公司预计负债按履行相关现时义务所需的支出的最佳估计数进行初始计量。</w:t>
      </w:r>
    </w:p>
    <w:p>
      <w:pPr>
        <w:pStyle w:val="BodyText"/>
        <w:spacing w:line="319" w:lineRule="auto" w:before="42"/>
        <w:ind w:right="1033" w:firstLine="363"/>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7" w:lineRule="auto" w:before="56"/>
        <w:ind w:left="517" w:right="1033"/>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ind w:left="517" w:right="1033" w:hanging="364"/>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224" w:lineRule="exact"/>
        <w:ind w:right="0"/>
        <w:jc w:val="left"/>
      </w:pPr>
      <w:r>
        <w:rPr/>
        <w:t>有事项涉及单个项目的，则最佳估计数按照最可能发生金额确定；如或有事项涉及多个项目的，则最佳估计数按各种可能结</w:t>
      </w:r>
    </w:p>
    <w:p>
      <w:pPr>
        <w:pStyle w:val="BodyText"/>
        <w:spacing w:line="357" w:lineRule="auto" w:before="77"/>
        <w:ind w:left="517" w:right="1029" w:hanging="364"/>
        <w:jc w:val="left"/>
      </w:pPr>
      <w:r>
        <w:rPr/>
        <w:t>果及相关概率计算确定。 本公司清偿预计负债所需支出全部或部分预期由第三方补偿的，补偿金额在基本确定能够收到时，作为资产单独确认，</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确认的补偿金额不超过预计负债的账面价值。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1033"/>
        <w:jc w:val="left"/>
      </w:pPr>
      <w:r>
        <w:rPr/>
        <w:t>注：说明预计负债的确认标准和各类预计负债的计量方法。</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2、股份支付" w:id="198"/>
      <w:bookmarkEnd w:id="198"/>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7" w:right="4629" w:hanging="364"/>
        <w:jc w:val="left"/>
      </w:pPr>
      <w:r>
        <w:rPr/>
        <w:t>（</w:t>
      </w:r>
      <w:r>
        <w:rPr>
          <w:rFonts w:ascii="Times New Roman" w:hAnsi="Times New Roman" w:cs="Times New Roman" w:eastAsia="Times New Roman" w:hint="default"/>
          <w:b/>
          <w:bCs/>
        </w:rPr>
        <w:t>1</w:t>
      </w:r>
      <w:r>
        <w:rPr/>
        <w:t>）股份支付的种类 本公司的股份支付分为以权益结算的股份支付和以现金结算的股份支付。</w:t>
      </w:r>
    </w:p>
    <w:p>
      <w:pPr>
        <w:pStyle w:val="BodyText"/>
        <w:spacing w:line="338" w:lineRule="auto" w:before="42"/>
        <w:ind w:left="517" w:right="1033" w:hanging="364"/>
        <w:jc w:val="left"/>
      </w:pPr>
      <w:r>
        <w:rPr/>
        <w:t>（</w:t>
      </w:r>
      <w:r>
        <w:rPr>
          <w:rFonts w:ascii="Times New Roman" w:hAnsi="Times New Roman" w:cs="Times New Roman" w:eastAsia="Times New Roman" w:hint="default"/>
          <w:b/>
          <w:bCs/>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19" w:lineRule="auto" w:before="2"/>
        <w:ind w:left="0" w:right="1130"/>
        <w:jc w:val="right"/>
      </w:pP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10"/>
        </w:rPr>
        <w:t> </w:t>
      </w:r>
      <w:r>
        <w:rPr>
          <w:spacing w:val="-5"/>
        </w:rPr>
        <w:t>权的有效期；（</w:t>
      </w:r>
      <w:r>
        <w:rPr>
          <w:rFonts w:ascii="Times New Roman" w:hAnsi="Times New Roman" w:cs="Times New Roman" w:eastAsia="Times New Roman" w:hint="default"/>
          <w:spacing w:val="-5"/>
        </w:rPr>
        <w:t>3</w:t>
      </w:r>
      <w:r>
        <w:rPr>
          <w:spacing w:val="-5"/>
        </w:rPr>
        <w:t>）标的股份的现行价格；（</w:t>
      </w:r>
      <w:r>
        <w:rPr>
          <w:rFonts w:ascii="Times New Roman" w:hAnsi="Times New Roman" w:cs="Times New Roman" w:eastAsia="Times New Roman" w:hint="default"/>
          <w:spacing w:val="-5"/>
        </w:rPr>
        <w:t>4</w:t>
      </w:r>
      <w:r>
        <w:rPr>
          <w:spacing w:val="-5"/>
        </w:rPr>
        <w:t>）股价预计波动率；（</w:t>
      </w:r>
      <w:r>
        <w:rPr>
          <w:rFonts w:ascii="Times New Roman" w:hAnsi="Times New Roman" w:cs="Times New Roman" w:eastAsia="Times New Roman" w:hint="default"/>
          <w:spacing w:val="-5"/>
        </w:rPr>
        <w:t>5</w:t>
      </w:r>
      <w:r>
        <w:rPr>
          <w:spacing w:val="-5"/>
        </w:rPr>
        <w:t>）股份的预计股利；（</w:t>
      </w:r>
      <w:r>
        <w:rPr>
          <w:rFonts w:ascii="Times New Roman" w:hAnsi="Times New Roman" w:cs="Times New Roman" w:eastAsia="Times New Roman" w:hint="default"/>
          <w:spacing w:val="-5"/>
        </w:rPr>
        <w:t>6</w:t>
      </w:r>
      <w:r>
        <w:rPr>
          <w:spacing w:val="-5"/>
        </w:rPr>
        <w:t>）期权有效期内的无风险利率。</w:t>
      </w:r>
      <w:r>
        <w:rPr>
          <w:spacing w:val="-88"/>
        </w:rPr>
        <w:t> </w:t>
      </w:r>
      <w:r>
        <w:rPr>
          <w:spacing w:val="-88"/>
        </w:rPr>
      </w: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p>
    <w:p>
      <w:pPr>
        <w:pStyle w:val="BodyText"/>
        <w:spacing w:line="240" w:lineRule="auto" w:before="18"/>
        <w:ind w:right="1033"/>
        <w:jc w:val="left"/>
      </w:pPr>
      <w:r>
        <w:rPr/>
        <w:t>相对应的成本费用。</w:t>
      </w:r>
    </w:p>
    <w:p>
      <w:pPr>
        <w:pStyle w:val="BodyText"/>
        <w:spacing w:line="338" w:lineRule="auto" w:before="116"/>
        <w:ind w:left="517" w:right="1033" w:hanging="364"/>
        <w:jc w:val="left"/>
      </w:pPr>
      <w:r>
        <w:rPr/>
        <w:t>（</w:t>
      </w:r>
      <w:r>
        <w:rPr>
          <w:rFonts w:ascii="Times New Roman" w:hAnsi="Times New Roman" w:cs="Times New Roman" w:eastAsia="Times New Roman" w:hint="default"/>
          <w:b/>
          <w:bCs/>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240" w:lineRule="auto" w:before="4"/>
        <w:ind w:left="154" w:right="1033"/>
        <w:jc w:val="left"/>
      </w:pPr>
      <w:r>
        <w:rPr/>
        <w:t>具数量。在可行权日，最终预计可行权权益工具的数量与实际可行权数量一致。</w:t>
      </w:r>
    </w:p>
    <w:p>
      <w:pPr>
        <w:pStyle w:val="BodyText"/>
        <w:spacing w:line="338" w:lineRule="auto" w:before="116"/>
        <w:ind w:left="517" w:right="1033" w:hanging="364"/>
        <w:jc w:val="left"/>
      </w:pPr>
      <w:r>
        <w:rPr/>
        <w:t>（</w:t>
      </w:r>
      <w:r>
        <w:rPr>
          <w:rFonts w:ascii="Times New Roman" w:hAnsi="Times New Roman" w:cs="Times New Roman" w:eastAsia="Times New Roman" w:hint="default"/>
          <w:b/>
          <w:bCs/>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319" w:lineRule="auto" w:before="2"/>
        <w:ind w:right="1131"/>
        <w:jc w:val="both"/>
      </w:pPr>
      <w:r>
        <w:rPr>
          <w:spacing w:val="-2"/>
        </w:rPr>
        <w:t>值计入相关成本或费用，相应增加资本公积。在完成等待期内的服务或达到规定业绩条件才可行权的，在等待期内的每个资</w:t>
      </w:r>
      <w:r>
        <w:rPr>
          <w:spacing w:val="-65"/>
        </w:rPr>
        <w:t> </w:t>
      </w:r>
      <w:r>
        <w:rPr>
          <w:spacing w:val="-65"/>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9" w:lineRule="auto" w:before="56"/>
        <w:ind w:right="1132" w:firstLine="363"/>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38" w:lineRule="auto" w:before="56"/>
        <w:ind w:left="517" w:right="1033" w:hanging="364"/>
        <w:jc w:val="left"/>
      </w:pPr>
      <w:r>
        <w:rPr/>
        <w:t>（</w:t>
      </w:r>
      <w:r>
        <w:rPr>
          <w:rFonts w:ascii="Times New Roman" w:hAnsi="Times New Roman" w:cs="Times New Roman" w:eastAsia="Times New Roman" w:hint="default"/>
          <w:b/>
          <w:bCs/>
        </w:rPr>
        <w:t>5</w:t>
      </w:r>
      <w:r>
        <w:rPr/>
        <w:t>）对于存在修改条款和条件的情况的，本期的修改情况及相关会计处理 </w:t>
      </w:r>
      <w:r>
        <w:rPr>
          <w:spacing w:val="-2"/>
        </w:rPr>
        <w:t>若在等待期内取消了授予的权益工具，本公司对取消所授予的权益性工具作为加速行权处理，将剩余等待期内应确认的</w:t>
      </w:r>
    </w:p>
    <w:p>
      <w:pPr>
        <w:pStyle w:val="BodyText"/>
        <w:spacing w:line="319" w:lineRule="auto" w:before="2"/>
        <w:ind w:right="1033"/>
        <w:jc w:val="left"/>
      </w:pP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154" w:right="1033"/>
        <w:jc w:val="left"/>
      </w:pPr>
      <w:r>
        <w:rPr/>
        <w:t>注：说明股份支付计划的会计处理方法，包括修改或终止股份支付计划的相关会计处理。</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3、优先股、永续债等其他金融工具" w:id="199"/>
      <w:bookmarkEnd w:id="199"/>
      <w:r>
        <w:rPr>
          <w:b w:val="0"/>
          <w:bCs w:val="0"/>
        </w:rPr>
      </w:r>
      <w:r>
        <w:rPr>
          <w:rFonts w:ascii="Times New Roman" w:hAnsi="Times New Roman" w:cs="Times New Roman" w:eastAsia="Times New Roman" w:hint="default"/>
        </w:rPr>
        <w:t>23</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3" w:firstLine="363"/>
        <w:jc w:val="both"/>
      </w:pPr>
      <w:r>
        <w:rPr>
          <w:spacing w:val="-2"/>
        </w:rPr>
        <w:t>本公司按照金融工具准则的规定，根据所发行优先股、永续债等金融工具的合同条款及其所反映的经济实质而非仅以法</w:t>
      </w:r>
      <w:r>
        <w:rPr/>
        <w:t> 律形式，结合金融负债和权益工具的定义，在初始确认时将该金融工具或其组成部分分类为金融负债或权益工具：</w:t>
      </w:r>
    </w:p>
    <w:p>
      <w:pPr>
        <w:pStyle w:val="BodyText"/>
        <w:spacing w:line="240" w:lineRule="auto" w:before="56"/>
        <w:ind w:right="1033"/>
        <w:jc w:val="left"/>
      </w:pPr>
      <w:r>
        <w:rPr/>
        <w:t>（</w:t>
      </w:r>
      <w:r>
        <w:rPr>
          <w:rFonts w:ascii="Times New Roman" w:hAnsi="Times New Roman" w:cs="Times New Roman" w:eastAsia="Times New Roman" w:hint="default"/>
          <w:b/>
          <w:bCs/>
        </w:rPr>
        <w:t>1</w:t>
      </w:r>
      <w:r>
        <w:rPr/>
        <w:t>）符合下列条件之一，将发行的金融工具分类为金融负债：</w:t>
      </w:r>
    </w:p>
    <w:p>
      <w:pPr>
        <w:pStyle w:val="BodyText"/>
        <w:spacing w:line="240" w:lineRule="auto" w:before="103"/>
        <w:ind w:left="517" w:right="1033"/>
        <w:jc w:val="left"/>
      </w:pP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102"/>
        <w:ind w:left="517" w:right="1033"/>
        <w:jc w:val="left"/>
      </w:pPr>
      <w:r>
        <w:rPr>
          <w:rFonts w:ascii="Times New Roman" w:hAnsi="Times New Roman" w:cs="Times New Roman" w:eastAsia="Times New Roman" w:hint="default"/>
        </w:rPr>
        <w:t>2</w:t>
      </w:r>
      <w:r>
        <w:rPr/>
        <w:t>）在潜在不利条件下，与其他方交换金融资产或金融负债的合同义务；</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7" w:right="1033"/>
        <w:jc w:val="left"/>
      </w:pPr>
      <w:r>
        <w:rPr>
          <w:rFonts w:ascii="Times New Roman" w:hAnsi="Times New Roman" w:cs="Times New Roman" w:eastAsia="Times New Roman" w:hint="default"/>
        </w:rPr>
        <w:t>3</w:t>
      </w:r>
      <w:r>
        <w:rPr>
          <w:spacing w:val="-88"/>
        </w:rPr>
        <w:t>）</w:t>
      </w:r>
      <w:r>
        <w:rPr/>
        <w:t>将来须用或可用企业自身权益工具进行结算的非衍生工具合同</w:t>
      </w:r>
      <w:r>
        <w:rPr>
          <w:spacing w:val="-88"/>
        </w:rPr>
        <w:t>，</w:t>
      </w:r>
      <w:r>
        <w:rPr/>
        <w:t>且企业根据该合同将交付可变数量的自身权益工具；</w:t>
      </w:r>
    </w:p>
    <w:p>
      <w:pPr>
        <w:pStyle w:val="BodyText"/>
        <w:spacing w:line="302" w:lineRule="auto" w:before="101"/>
        <w:ind w:right="1120" w:firstLine="363"/>
        <w:jc w:val="left"/>
      </w:pP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）将来须用或可用企业自身权益工具进行结算的衍生工具合同，但以固定数量的自身权益工具交换固定金额的现金或 其他金融资产的衍生工具合同除外。</w:t>
      </w:r>
    </w:p>
    <w:p>
      <w:pPr>
        <w:pStyle w:val="BodyText"/>
        <w:spacing w:line="240" w:lineRule="auto" w:before="70"/>
        <w:ind w:right="1033"/>
        <w:jc w:val="left"/>
      </w:pPr>
      <w:r>
        <w:rPr/>
        <w:t>（</w:t>
      </w:r>
      <w:r>
        <w:rPr>
          <w:rFonts w:ascii="Times New Roman" w:hAnsi="Times New Roman" w:cs="Times New Roman" w:eastAsia="Times New Roman" w:hint="default"/>
          <w:b/>
          <w:bCs/>
        </w:rPr>
        <w:t>2</w:t>
      </w:r>
      <w:r>
        <w:rPr/>
        <w:t>）同时满足下列条件的，将发行的金融工具分类为权益工具：</w:t>
      </w:r>
    </w:p>
    <w:p>
      <w:pPr>
        <w:pStyle w:val="BodyText"/>
        <w:spacing w:line="302" w:lineRule="auto" w:before="101"/>
        <w:ind w:right="1120" w:firstLine="363"/>
        <w:jc w:val="left"/>
      </w:pPr>
      <w:r>
        <w:rPr>
          <w:rFonts w:ascii="Times New Roman" w:hAnsi="Times New Roman" w:cs="Times New Roman" w:eastAsia="Times New Roman" w:hint="default"/>
        </w:rPr>
        <w:t>1</w:t>
      </w:r>
      <w:r>
        <w:rPr/>
        <w:t>）该金融工具不包括交付现金或其他金融资产给其他方，或在潜在不利条件下与其他方交换金融资产或金融负债的合 同义务；</w:t>
      </w:r>
    </w:p>
    <w:p>
      <w:pPr>
        <w:pStyle w:val="BodyText"/>
        <w:spacing w:line="309" w:lineRule="auto" w:before="68"/>
        <w:ind w:right="1132" w:firstLine="363"/>
        <w:jc w:val="both"/>
      </w:pPr>
      <w:r>
        <w:rPr>
          <w:rFonts w:ascii="Times New Roman" w:hAnsi="Times New Roman" w:cs="Times New Roman" w:eastAsia="Times New Roman" w:hint="default"/>
        </w:rPr>
        <w:t>2</w:t>
      </w:r>
      <w:r>
        <w:rPr/>
        <w:t>）将来须用或可用企业自身权益工具结算该金融工具的，如该金融工具为非衍生工具，不包括交付可变数量的自身权 </w:t>
      </w:r>
      <w:r>
        <w:rPr>
          <w:spacing w:val="-2"/>
        </w:rPr>
        <w:t>益工具进行结算的合同义务；如为衍生工具，企业只能通过以固定数量的自身权益工具交换固定金额的现金或其他金融资产</w:t>
      </w:r>
      <w:r>
        <w:rPr>
          <w:spacing w:val="-64"/>
        </w:rPr>
        <w:t> </w:t>
      </w:r>
      <w:r>
        <w:rPr>
          <w:spacing w:val="-64"/>
        </w:rPr>
      </w:r>
      <w:r>
        <w:rPr/>
        <w:t>结算该金融工具。</w:t>
      </w:r>
    </w:p>
    <w:p>
      <w:pPr>
        <w:pStyle w:val="BodyText"/>
        <w:spacing w:line="338" w:lineRule="auto" w:before="65"/>
        <w:ind w:left="517" w:right="1033" w:hanging="364"/>
        <w:jc w:val="left"/>
      </w:pPr>
      <w:r>
        <w:rPr/>
        <w:t>（</w:t>
      </w:r>
      <w:r>
        <w:rPr>
          <w:rFonts w:ascii="Times New Roman" w:hAnsi="Times New Roman" w:cs="Times New Roman" w:eastAsia="Times New Roman" w:hint="default"/>
          <w:b/>
          <w:bCs/>
        </w:rPr>
        <w:t>3</w:t>
      </w:r>
      <w:r>
        <w:rPr/>
        <w:t>）会计处理方法 </w:t>
      </w:r>
      <w:r>
        <w:rPr>
          <w:spacing w:val="-2"/>
        </w:rPr>
        <w:t>对于归类为权益工具的金融工具，其利息支出或股利分配都应当作为发行企业的利润分配，其回购、注销等作为权益的</w:t>
      </w:r>
    </w:p>
    <w:p>
      <w:pPr>
        <w:pStyle w:val="BodyText"/>
        <w:spacing w:line="338" w:lineRule="auto" w:before="4"/>
        <w:ind w:right="1033"/>
        <w:jc w:val="left"/>
      </w:pPr>
      <w:r>
        <w:rPr/>
        <w:t>变动处理，手续费、佣金等交易费用从权益中扣除； </w:t>
      </w:r>
      <w:r>
        <w:rPr>
          <w:spacing w:val="-2"/>
        </w:rPr>
        <w:t>对于归类为金融负债的金融工具，其利息支出或股利分配原则上按照借款费用进行处理，其回购或赎回产生的利得或损失等</w:t>
      </w:r>
      <w:r>
        <w:rPr>
          <w:spacing w:val="-64"/>
        </w:rPr>
        <w:t> </w:t>
      </w:r>
      <w:r>
        <w:rPr>
          <w:spacing w:val="-64"/>
        </w:rPr>
      </w:r>
      <w:r>
        <w:rPr/>
        <w:t>计入当期损益，手续费、佣金等交易费用计入所发行工具的初始计量金额。</w:t>
      </w:r>
    </w:p>
    <w:p>
      <w:pPr>
        <w:spacing w:line="240" w:lineRule="auto" w:before="0"/>
        <w:rPr>
          <w:rFonts w:ascii="宋体" w:hAnsi="宋体" w:cs="宋体" w:eastAsia="宋体" w:hint="default"/>
          <w:sz w:val="18"/>
          <w:szCs w:val="18"/>
        </w:rPr>
      </w:pPr>
    </w:p>
    <w:p>
      <w:pPr>
        <w:pStyle w:val="BodyText"/>
        <w:spacing w:line="240" w:lineRule="auto" w:before="159"/>
        <w:ind w:right="1033"/>
        <w:jc w:val="left"/>
      </w:pPr>
      <w:r>
        <w:rPr/>
        <w:t>注：说明优先股、永续债等其他金融工具的会计处理方法。</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4、收入" w:id="200"/>
      <w:bookmarkEnd w:id="200"/>
      <w:r>
        <w:rPr>
          <w:b w:val="0"/>
          <w:bCs w:val="0"/>
        </w:rPr>
      </w:r>
      <w:r>
        <w:rPr>
          <w:rFonts w:ascii="Times New Roman" w:hAnsi="Times New Roman" w:cs="Times New Roman" w:eastAsia="Times New Roman" w:hint="default"/>
        </w:rPr>
        <w:t>24</w:t>
      </w:r>
      <w:r>
        <w:rPr/>
        <w:t>、收入</w:t>
      </w:r>
      <w:r>
        <w:rPr>
          <w:b w:val="0"/>
          <w:bCs w:val="0"/>
        </w:rPr>
      </w:r>
    </w:p>
    <w:p>
      <w:pPr>
        <w:spacing w:line="240" w:lineRule="auto" w:before="9"/>
        <w:rPr>
          <w:rFonts w:ascii="宋体" w:hAnsi="宋体" w:cs="宋体" w:eastAsia="宋体" w:hint="default"/>
          <w:b/>
          <w:bCs/>
          <w:sz w:val="26"/>
          <w:szCs w:val="26"/>
        </w:rPr>
      </w:pPr>
    </w:p>
    <w:p>
      <w:pPr>
        <w:spacing w:line="350" w:lineRule="auto" w:before="0"/>
        <w:ind w:left="573" w:right="1513"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z w:val="18"/>
          <w:szCs w:val="18"/>
        </w:rPr>
        <w:t>本公司销售的商品在同时满足下列条件时，按从购货方已收或应收的合同或协议价款的金额确认销售商品收入： </w:t>
      </w:r>
      <w:r>
        <w:rPr>
          <w:rFonts w:ascii="Times New Roman" w:hAnsi="Times New Roman" w:cs="Times New Roman" w:eastAsia="Times New Roman" w:hint="default"/>
          <w:sz w:val="18"/>
          <w:szCs w:val="18"/>
        </w:rPr>
        <w:t>1</w:t>
      </w:r>
      <w:r>
        <w:rPr>
          <w:rFonts w:ascii="宋体" w:hAnsi="宋体" w:cs="宋体" w:eastAsia="宋体" w:hint="default"/>
          <w:sz w:val="18"/>
          <w:szCs w:val="18"/>
        </w:rPr>
        <w:t>）已将商品所有权上的主要风险和报酬转移给购货方；</w:t>
      </w:r>
    </w:p>
    <w:p>
      <w:pPr>
        <w:pStyle w:val="BodyText"/>
        <w:spacing w:line="240" w:lineRule="auto" w:before="10"/>
        <w:ind w:left="574" w:right="1033"/>
        <w:jc w:val="left"/>
      </w:pPr>
      <w:r>
        <w:rPr>
          <w:rFonts w:ascii="Times New Roman" w:hAnsi="Times New Roman" w:cs="Times New Roman" w:eastAsia="Times New Roman" w:hint="default"/>
        </w:rPr>
        <w:t>2</w:t>
      </w:r>
      <w:r>
        <w:rPr/>
        <w:t>）既没有保留通常与所有权相联系的继续管理权，也没有对已售出的商品实施有效控制；</w:t>
      </w:r>
    </w:p>
    <w:p>
      <w:pPr>
        <w:pStyle w:val="BodyText"/>
        <w:spacing w:line="240" w:lineRule="auto" w:before="102"/>
        <w:ind w:left="574" w:right="1033"/>
        <w:jc w:val="left"/>
      </w:pPr>
      <w:r>
        <w:rPr>
          <w:rFonts w:ascii="Times New Roman" w:hAnsi="Times New Roman" w:cs="Times New Roman" w:eastAsia="Times New Roman" w:hint="default"/>
        </w:rPr>
        <w:t>3</w:t>
      </w:r>
      <w:r>
        <w:rPr/>
        <w:t>）收入的金额能够可靠地计量；</w:t>
      </w:r>
    </w:p>
    <w:p>
      <w:pPr>
        <w:pStyle w:val="BodyText"/>
        <w:spacing w:line="240" w:lineRule="auto" w:before="103"/>
        <w:ind w:left="573" w:right="1033"/>
        <w:jc w:val="left"/>
      </w:pPr>
      <w:r>
        <w:rPr>
          <w:rFonts w:ascii="Times New Roman" w:hAnsi="Times New Roman" w:cs="Times New Roman" w:eastAsia="Times New Roman" w:hint="default"/>
        </w:rPr>
        <w:t>4</w:t>
      </w:r>
      <w:r>
        <w:rPr/>
        <w:t>）相关的经济利益很可能流入企业；</w:t>
      </w:r>
    </w:p>
    <w:p>
      <w:pPr>
        <w:pStyle w:val="BodyText"/>
        <w:spacing w:line="302" w:lineRule="auto" w:before="101"/>
        <w:ind w:right="1033" w:firstLine="426"/>
        <w:jc w:val="left"/>
      </w:pPr>
      <w:r>
        <w:rPr>
          <w:rFonts w:ascii="Times New Roman" w:hAnsi="Times New Roman" w:cs="Times New Roman" w:eastAsia="Times New Roman" w:hint="default"/>
          <w:spacing w:val="-2"/>
        </w:rPr>
        <w:t>5</w:t>
      </w:r>
      <w:r>
        <w:rPr>
          <w:spacing w:val="-2"/>
        </w:rPr>
        <w:t>）相关的已发生或将发生的成本能够可靠地计量。合同或协议价款的收取采用递延方式，实质上具有融资性质的，按</w:t>
      </w:r>
      <w:r>
        <w:rPr/>
        <w:t> 照应收的合同或协议价款的公允价值确定销售商品收入金额。</w:t>
      </w:r>
    </w:p>
    <w:p>
      <w:pPr>
        <w:pStyle w:val="BodyText"/>
        <w:spacing w:line="348" w:lineRule="auto" w:before="69"/>
        <w:ind w:left="573" w:right="1129" w:hanging="42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）确认让渡资产使用权收入的依据</w:t>
      </w:r>
      <w:r>
        <w:rPr>
          <w:rFonts w:ascii="宋体" w:hAnsi="宋体" w:cs="宋体" w:eastAsia="宋体" w:hint="default"/>
          <w:b/>
          <w:bCs/>
          <w:w w:val="99"/>
        </w:rPr>
        <w:t> </w:t>
      </w:r>
      <w:r>
        <w:rPr>
          <w:spacing w:val="-3"/>
        </w:rPr>
        <w:t>与交易相关的经济利益很可能流入企业，收入的金额能够可靠地计量时，分别下列情况确定让渡资产使用权收入金额：</w:t>
      </w:r>
      <w:r>
        <w:rPr/>
        <w:t>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2"/>
        <w:ind w:left="573" w:right="1033"/>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033"/>
        <w:jc w:val="left"/>
      </w:pPr>
      <w:r>
        <w:rPr/>
        <w:t>具体的：</w:t>
      </w:r>
    </w:p>
    <w:p>
      <w:pPr>
        <w:pStyle w:val="BodyText"/>
        <w:spacing w:line="357" w:lineRule="auto" w:before="116"/>
        <w:ind w:left="573" w:right="1033"/>
        <w:jc w:val="left"/>
      </w:pPr>
      <w:r>
        <w:rPr/>
        <w:t>本公司运用互联网技术和转售方式为企业和个人提供虚拟运营通信服务。 </w:t>
      </w:r>
      <w:r>
        <w:rPr>
          <w:spacing w:val="-1"/>
        </w:rPr>
        <w:t>在企业客户市场，公司在企业通信和协同办公领域为国内各类企业客户提供企业级</w:t>
      </w:r>
      <w:r>
        <w:rPr>
          <w:rFonts w:ascii="Times New Roman" w:hAnsi="Times New Roman" w:cs="Times New Roman" w:eastAsia="Times New Roman" w:hint="default"/>
          <w:spacing w:val="-1"/>
        </w:rPr>
        <w:t>SaaS</w:t>
      </w:r>
      <w:r>
        <w:rPr>
          <w:spacing w:val="-1"/>
        </w:rPr>
        <w:t>服务，包括</w:t>
      </w:r>
      <w:r>
        <w:rPr>
          <w:rFonts w:ascii="Times New Roman" w:hAnsi="Times New Roman" w:cs="Times New Roman" w:eastAsia="Times New Roman" w:hint="default"/>
          <w:spacing w:val="-1"/>
        </w:rPr>
        <w:t>:</w:t>
      </w:r>
      <w:r>
        <w:rPr>
          <w:spacing w:val="-1"/>
        </w:rPr>
        <w:t>融合企业邮箱、企</w:t>
      </w:r>
    </w:p>
    <w:p>
      <w:pPr>
        <w:pStyle w:val="BodyText"/>
        <w:spacing w:line="214" w:lineRule="exact"/>
        <w:ind w:right="1033"/>
        <w:jc w:val="left"/>
        <w:rPr>
          <w:rFonts w:ascii="Times New Roman" w:hAnsi="Times New Roman" w:cs="Times New Roman" w:eastAsia="Times New Roman" w:hint="default"/>
        </w:rPr>
      </w:pPr>
      <w:r>
        <w:rPr>
          <w:spacing w:val="-4"/>
        </w:rPr>
        <w:t>业网盘、电话会议、即时通信、网络直播、网络会议等服务的</w:t>
      </w:r>
      <w:r>
        <w:rPr>
          <w:rFonts w:ascii="Times New Roman" w:hAnsi="Times New Roman" w:cs="Times New Roman" w:eastAsia="Times New Roman" w:hint="default"/>
          <w:spacing w:val="-4"/>
        </w:rPr>
        <w:t>263</w:t>
      </w:r>
      <w:r>
        <w:rPr>
          <w:spacing w:val="-4"/>
        </w:rPr>
        <w:t>云通信服务；针对大型企业客户的集成通信服务；企业</w:t>
      </w:r>
      <w:r>
        <w:rPr>
          <w:rFonts w:ascii="Times New Roman" w:hAnsi="Times New Roman" w:cs="Times New Roman" w:eastAsia="Times New Roman" w:hint="default"/>
          <w:spacing w:val="-4"/>
        </w:rPr>
        <w:t>VPN</w:t>
      </w:r>
      <w:r>
        <w:rPr>
          <w:rFonts w:ascii="Times New Roman" w:hAnsi="Times New Roman" w:cs="Times New Roman" w:eastAsia="Times New Roman" w:hint="default"/>
        </w:rPr>
      </w:r>
    </w:p>
    <w:p>
      <w:pPr>
        <w:pStyle w:val="BodyText"/>
        <w:spacing w:line="240" w:lineRule="auto" w:before="64"/>
        <w:ind w:right="1033"/>
        <w:jc w:val="left"/>
      </w:pPr>
      <w:r>
        <w:rPr/>
        <w:t>及</w:t>
      </w:r>
      <w:r>
        <w:rPr>
          <w:rFonts w:ascii="Times New Roman" w:hAnsi="Times New Roman" w:cs="Times New Roman" w:eastAsia="Times New Roman" w:hint="default"/>
        </w:rPr>
        <w:t>IDC</w:t>
      </w:r>
      <w:r>
        <w:rPr/>
        <w:t>等服务。</w:t>
      </w:r>
    </w:p>
    <w:p>
      <w:pPr>
        <w:pStyle w:val="BodyText"/>
        <w:spacing w:line="302" w:lineRule="auto" w:before="101"/>
        <w:ind w:right="1033" w:firstLine="420"/>
        <w:jc w:val="left"/>
      </w:pPr>
      <w:r>
        <w:rPr>
          <w:spacing w:val="-1"/>
        </w:rPr>
        <w:t>在个人客户市场，公司针对全球华人跨境通信需求，为海外华人家庭提供</w:t>
      </w:r>
      <w:r>
        <w:rPr>
          <w:rFonts w:ascii="Times New Roman" w:hAnsi="Times New Roman" w:cs="Times New Roman" w:eastAsia="Times New Roman" w:hint="default"/>
          <w:spacing w:val="-1"/>
        </w:rPr>
        <w:t>VoIP</w:t>
      </w:r>
      <w:r>
        <w:rPr>
          <w:spacing w:val="-1"/>
        </w:rPr>
        <w:t>、</w:t>
      </w:r>
      <w:r>
        <w:rPr>
          <w:rFonts w:ascii="Times New Roman" w:hAnsi="Times New Roman" w:cs="Times New Roman" w:eastAsia="Times New Roman" w:hint="default"/>
          <w:spacing w:val="-1"/>
        </w:rPr>
        <w:t>IPTV</w:t>
      </w:r>
      <w:r>
        <w:rPr>
          <w:spacing w:val="-1"/>
        </w:rPr>
        <w:t>等互联网综合通信服务，为全球</w:t>
      </w:r>
      <w:r>
        <w:rPr/>
        <w:t> 商旅华人和海外华人提供虚拟移动通信服务（</w:t>
      </w:r>
      <w:r>
        <w:rPr>
          <w:rFonts w:ascii="Times New Roman" w:hAnsi="Times New Roman" w:cs="Times New Roman" w:eastAsia="Times New Roman" w:hint="default"/>
        </w:rPr>
        <w:t>MVNO</w:t>
      </w:r>
      <w:r>
        <w:rPr/>
        <w:t>）。此外，公司也为运营商提供漫游系统解决方案与服务。</w:t>
      </w:r>
    </w:p>
    <w:p>
      <w:pPr>
        <w:pStyle w:val="BodyText"/>
        <w:spacing w:line="340" w:lineRule="auto" w:before="50"/>
        <w:ind w:left="574" w:right="2592"/>
        <w:jc w:val="left"/>
      </w:pPr>
      <w:r>
        <w:rPr/>
        <w:t>公司还开展固网语音增值服务，即：</w:t>
      </w:r>
      <w:r>
        <w:rPr>
          <w:rFonts w:ascii="Times New Roman" w:hAnsi="Times New Roman" w:cs="Times New Roman" w:eastAsia="Times New Roman" w:hint="default"/>
        </w:rPr>
        <w:t>96446IP</w:t>
      </w:r>
      <w:r>
        <w:rPr/>
        <w:t>长途转售和</w:t>
      </w:r>
      <w:r>
        <w:rPr>
          <w:rFonts w:ascii="Times New Roman" w:hAnsi="Times New Roman" w:cs="Times New Roman" w:eastAsia="Times New Roman" w:hint="default"/>
        </w:rPr>
        <w:t>95050</w:t>
      </w:r>
      <w:r>
        <w:rPr/>
        <w:t>多方通话服务。 本公司根据与用户签订的协议，按与客户的收费模式不同而采取如下不同的收费方式，具体如下：</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73" w:right="1033"/>
        <w:jc w:val="left"/>
      </w:pPr>
      <w:r>
        <w:rPr/>
        <w:t>①、按年</w:t>
      </w:r>
      <w:r>
        <w:rPr>
          <w:rFonts w:ascii="Times New Roman" w:hAnsi="Times New Roman" w:cs="Times New Roman" w:eastAsia="Times New Roman" w:hint="default"/>
        </w:rPr>
        <w:t>/</w:t>
      </w:r>
      <w:r>
        <w:rPr/>
        <w:t>季度收取服务费：在服务期限内，在每月提供服务后按月结转确认收入；</w:t>
      </w:r>
    </w:p>
    <w:p>
      <w:pPr>
        <w:pStyle w:val="BodyText"/>
        <w:spacing w:line="240" w:lineRule="auto" w:before="102"/>
        <w:ind w:left="573" w:right="1033"/>
        <w:jc w:val="left"/>
      </w:pPr>
      <w:r>
        <w:rPr/>
        <w:t>②、按月收取固定服务费：在每月提供服务后按月结转确认收入；</w:t>
      </w:r>
    </w:p>
    <w:p>
      <w:pPr>
        <w:pStyle w:val="BodyText"/>
        <w:spacing w:line="240" w:lineRule="auto" w:before="117"/>
        <w:ind w:left="573" w:right="1033"/>
        <w:jc w:val="left"/>
      </w:pPr>
      <w:r>
        <w:rPr/>
        <w:t>③、按话务量、流量等实际使用量收取服务费的，在每月提供服务后，按实际使用量结转确认收入；</w:t>
      </w:r>
    </w:p>
    <w:p>
      <w:pPr>
        <w:pStyle w:val="BodyText"/>
        <w:spacing w:line="240" w:lineRule="auto" w:before="116"/>
        <w:ind w:left="573" w:right="1033"/>
        <w:jc w:val="left"/>
      </w:pPr>
      <w:r>
        <w:rPr/>
        <w:t>④、其他一次性业务的服务费在提供服务后，在收到相关款项或获得收款的权利时确认收入；</w:t>
      </w:r>
    </w:p>
    <w:p>
      <w:pPr>
        <w:pStyle w:val="BodyText"/>
        <w:spacing w:line="312" w:lineRule="auto" w:before="115"/>
        <w:ind w:right="1130" w:firstLine="420"/>
        <w:jc w:val="both"/>
      </w:pPr>
      <w:r>
        <w:rPr>
          <w:spacing w:val="-1"/>
        </w:rPr>
        <w:t>⑤、另</w:t>
      </w:r>
      <w:r>
        <w:rPr>
          <w:rFonts w:ascii="Times New Roman" w:hAnsi="Times New Roman" w:cs="Times New Roman" w:eastAsia="Times New Roman" w:hint="default"/>
          <w:spacing w:val="-1"/>
        </w:rPr>
        <w:t>9446IP</w:t>
      </w:r>
      <w:r>
        <w:rPr>
          <w:spacing w:val="-1"/>
        </w:rPr>
        <w:t>长途转售、</w:t>
      </w:r>
      <w:r>
        <w:rPr>
          <w:rFonts w:ascii="Times New Roman" w:hAnsi="Times New Roman" w:cs="Times New Roman" w:eastAsia="Times New Roman" w:hint="default"/>
          <w:spacing w:val="-1"/>
        </w:rPr>
        <w:t>95050</w:t>
      </w:r>
      <w:r>
        <w:rPr>
          <w:spacing w:val="-1"/>
        </w:rPr>
        <w:t>多方通话、立体宽带业务系委托合作基础运营商代收款。每月终了，公司根据自身计费</w:t>
      </w:r>
      <w:r>
        <w:rPr/>
        <w:t> </w:t>
      </w:r>
      <w:r>
        <w:rPr>
          <w:spacing w:val="-2"/>
        </w:rPr>
        <w:t>系统反映的当期已经发生的业务量，在与合作基础运营商营帐数据核对确认后，根据收款的经验数据估计回款率，将估计能</w:t>
      </w:r>
      <w:r>
        <w:rPr>
          <w:spacing w:val="-66"/>
        </w:rPr>
        <w:t> </w:t>
      </w:r>
      <w:r>
        <w:rPr>
          <w:spacing w:val="-66"/>
        </w:rPr>
      </w:r>
      <w:r>
        <w:rPr>
          <w:spacing w:val="-2"/>
        </w:rPr>
        <w:t>够回款的金额确认为当期收入，在实际收到合作基础运营商款项时再对已确认收入金额作相应调整，回款率每半年复核并根</w:t>
      </w:r>
      <w:r>
        <w:rPr>
          <w:spacing w:val="-64"/>
        </w:rPr>
        <w:t> </w:t>
      </w:r>
      <w:r>
        <w:rPr>
          <w:spacing w:val="-64"/>
        </w:rPr>
      </w:r>
      <w:r>
        <w:rPr/>
        <w:t>据实际情况调整。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9" w:lineRule="auto"/>
        <w:ind w:right="1133"/>
        <w:jc w:val="both"/>
      </w:pPr>
      <w:r>
        <w:rPr>
          <w:spacing w:val="-2"/>
        </w:rPr>
        <w:t>注：说明收入确认原则和计量方法。公司应结合实际生产经营特点制定收入确认会计政策，说明具体收入确认时点及计量方</w:t>
      </w:r>
      <w:r>
        <w:rPr>
          <w:spacing w:val="-66"/>
        </w:rPr>
        <w:t> </w:t>
      </w:r>
      <w:r>
        <w:rPr>
          <w:spacing w:val="-66"/>
        </w:rPr>
      </w:r>
      <w:r>
        <w:rPr>
          <w:spacing w:val="-2"/>
        </w:rPr>
        <w:t>法，同类业务采用不同经营模式在不同时点确认收入的，应当分别说明。按完工百分比法确认提供劳务和建造合同收入的收</w:t>
      </w:r>
      <w:r>
        <w:rPr>
          <w:spacing w:val="-66"/>
        </w:rPr>
        <w:t> </w:t>
      </w:r>
      <w:r>
        <w:rPr>
          <w:spacing w:val="-66"/>
        </w:rPr>
      </w:r>
      <w:r>
        <w:rPr/>
        <w:t>入的，说明确定合同完工进度的依据和方法。</w:t>
      </w:r>
    </w:p>
    <w:p>
      <w:pPr>
        <w:spacing w:line="240" w:lineRule="auto" w:before="3"/>
        <w:rPr>
          <w:rFonts w:ascii="宋体" w:hAnsi="宋体" w:cs="宋体" w:eastAsia="宋体" w:hint="default"/>
          <w:sz w:val="22"/>
          <w:szCs w:val="22"/>
        </w:rPr>
      </w:pPr>
    </w:p>
    <w:p>
      <w:pPr>
        <w:pStyle w:val="Heading4"/>
        <w:spacing w:line="240" w:lineRule="auto"/>
        <w:ind w:left="153" w:right="1033"/>
        <w:jc w:val="left"/>
        <w:rPr>
          <w:b w:val="0"/>
          <w:bCs w:val="0"/>
        </w:rPr>
      </w:pPr>
      <w:bookmarkStart w:name="25、政府补助" w:id="201"/>
      <w:bookmarkEnd w:id="201"/>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7" w:right="2469"/>
        <w:jc w:val="left"/>
      </w:pPr>
      <w:r>
        <w:rPr/>
        <w:t>与资产相关的政府补助，是指本公司取得的、用于购建或以其他方式形成长期资产的政府补助； 与资产相关的政府补助，确认为递延收益，按照所建造或购买的资产使用年限分期计入营业外收入。</w:t>
      </w:r>
    </w:p>
    <w:p>
      <w:pPr>
        <w:spacing w:line="240" w:lineRule="auto" w:before="1"/>
        <w:rPr>
          <w:rFonts w:ascii="宋体" w:hAnsi="宋体" w:cs="宋体" w:eastAsia="宋体" w:hint="default"/>
          <w:sz w:val="20"/>
          <w:szCs w:val="20"/>
        </w:rPr>
      </w:pPr>
    </w:p>
    <w:p>
      <w:pPr>
        <w:pStyle w:val="Heading4"/>
        <w:spacing w:line="240" w:lineRule="auto"/>
        <w:ind w:right="1033"/>
        <w:jc w:val="left"/>
        <w:rPr>
          <w:b w:val="0"/>
          <w:bCs w:val="0"/>
        </w:rPr>
      </w:pPr>
      <w:bookmarkStart w:name="（2）与收益相关的政府补助判断依据及会计处理方法" w:id="203"/>
      <w:bookmarkEnd w:id="20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7" w:right="1033"/>
        <w:jc w:val="left"/>
      </w:pPr>
      <w:r>
        <w:rPr/>
        <w:t>与收益相关的政府补助，是指除与资产相关的政府补助之外的政府补助。 </w:t>
      </w:r>
      <w:r>
        <w:rPr>
          <w:spacing w:val="-2"/>
        </w:rPr>
        <w:t>与收益相关的政府补助，用于补偿企业以后期间的相关费用或损失的，确认为递延收益，在确认相关费用的期间计入当</w:t>
      </w:r>
    </w:p>
    <w:p>
      <w:pPr>
        <w:pStyle w:val="BodyText"/>
        <w:spacing w:line="357" w:lineRule="auto"/>
        <w:ind w:left="517" w:right="1033" w:hanging="364"/>
        <w:jc w:val="left"/>
      </w:pPr>
      <w:r>
        <w:rPr/>
        <w:t>期营业外收入；用于补偿企业已发生的相关费用或损失的，取得时直接计入当期营业外收入。 </w:t>
      </w:r>
      <w:r>
        <w:rPr>
          <w:spacing w:val="-2"/>
        </w:rPr>
        <w:t>已确认的政府补助需要返还时，存在相关递延收益余额的，冲减相关递延收益账面余额，超出部分计入当期损益；不存</w:t>
      </w:r>
    </w:p>
    <w:p>
      <w:pPr>
        <w:pStyle w:val="BodyText"/>
        <w:spacing w:line="225" w:lineRule="exact"/>
        <w:ind w:left="154" w:right="1033"/>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left="153" w:right="1033"/>
        <w:jc w:val="left"/>
        <w:rPr>
          <w:b w:val="0"/>
          <w:bCs w:val="0"/>
        </w:rPr>
      </w:pPr>
      <w:bookmarkStart w:name="26、递延所得税资产/递延所得税负债" w:id="204"/>
      <w:bookmarkEnd w:id="204"/>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033" w:firstLine="363"/>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338" w:lineRule="auto" w:before="69"/>
        <w:ind w:left="517" w:right="1033" w:hanging="364"/>
        <w:jc w:val="left"/>
      </w:pPr>
      <w:r>
        <w:rPr/>
        <w:t>（</w:t>
      </w:r>
      <w:r>
        <w:rPr>
          <w:rFonts w:ascii="Times New Roman" w:hAnsi="Times New Roman" w:cs="Times New Roman" w:eastAsia="Times New Roman"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319" w:lineRule="auto" w:before="2"/>
        <w:ind w:right="1033"/>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9" w:lineRule="auto" w:before="36"/>
        <w:ind w:left="154" w:right="1033" w:firstLine="363"/>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pStyle w:val="BodyText"/>
        <w:spacing w:line="679" w:lineRule="auto" w:before="57"/>
        <w:ind w:left="517" w:right="3369" w:hanging="364"/>
        <w:jc w:val="left"/>
      </w:pPr>
      <w:r>
        <w:rPr/>
        <w:t>（</w:t>
      </w: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spacing w:after="0" w:line="67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w:t>
      </w:r>
      <w:r>
        <w:rPr>
          <w:rFonts w:ascii="Times New Roman" w:hAnsi="Times New Roman" w:cs="Times New Roman" w:eastAsia="Times New Roman" w:hint="default"/>
        </w:rPr>
        <w:t>1</w:t>
      </w:r>
      <w:r>
        <w:rPr/>
        <w:t>）商誉的初始确认所形成的暂时性差异；</w:t>
      </w:r>
    </w:p>
    <w:p>
      <w:pPr>
        <w:pStyle w:val="BodyText"/>
        <w:spacing w:line="302" w:lineRule="auto" w:before="101"/>
        <w:ind w:left="154" w:right="1122"/>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）非企业合并形成的交易或事项，且该交易或事项发生时既不影响会计利润，也不影响应纳税所得额（或可抵扣亏损） 所形成的暂时性差异；</w:t>
      </w:r>
    </w:p>
    <w:p>
      <w:pPr>
        <w:pStyle w:val="BodyText"/>
        <w:spacing w:line="302" w:lineRule="auto" w:before="69"/>
        <w:ind w:left="154" w:right="1122"/>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）对于与子公司、联营企业投资相关的应纳税暂时性差异，该暂时性差异转回的时间能够控制并且该暂时性差异在可预 见的未来很可能不会转回。</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154" w:right="1033"/>
        <w:jc w:val="left"/>
      </w:pPr>
      <w:r>
        <w:rPr/>
        <w:t>注：说明递延所得税资产和递延所得税负债的确认依据。</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7、租赁" w:id="205"/>
      <w:bookmarkEnd w:id="205"/>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2" w:firstLine="363"/>
        <w:jc w:val="both"/>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319" w:lineRule="auto" w:before="69"/>
        <w:ind w:right="1033"/>
        <w:jc w:val="left"/>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09" w:lineRule="auto" w:before="55"/>
        <w:ind w:right="1131" w:firstLine="363"/>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 </w:t>
      </w:r>
      <w:r>
        <w:rPr>
          <w:spacing w:val="-2"/>
        </w:rPr>
        <w:t>的与租赁交易相关的初始直接费用，计入当期费用；如金额较大的，则予以资本化，在整个租赁期间内按照与租赁收入确认</w:t>
      </w:r>
      <w:r>
        <w:rPr>
          <w:spacing w:val="-66"/>
        </w:rPr>
        <w:t> </w:t>
      </w:r>
      <w:r>
        <w:rPr>
          <w:spacing w:val="-66"/>
        </w:rPr>
      </w:r>
      <w:r>
        <w:rPr/>
        <w:t>相同的基础分期计入当期收益。</w:t>
      </w:r>
    </w:p>
    <w:p>
      <w:pPr>
        <w:pStyle w:val="BodyText"/>
        <w:spacing w:line="319" w:lineRule="auto" w:before="62"/>
        <w:ind w:left="154" w:right="1033"/>
        <w:jc w:val="left"/>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left="153" w:right="1033"/>
        <w:jc w:val="left"/>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36" w:firstLine="363"/>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 价值，将最低租赁付款额作为长期应付款的入账价值，其差额作为未确认的融资费用。</w:t>
      </w:r>
    </w:p>
    <w:p>
      <w:pPr>
        <w:pStyle w:val="BodyText"/>
        <w:spacing w:line="240" w:lineRule="auto" w:before="69"/>
        <w:ind w:left="517" w:right="1033"/>
        <w:jc w:val="left"/>
      </w:pPr>
      <w:r>
        <w:rPr/>
        <w:t>公司采用实际利率法对未确认的融资费用，在资产租赁期间内摊销，计入财务费用。</w:t>
      </w:r>
    </w:p>
    <w:p>
      <w:pPr>
        <w:pStyle w:val="BodyText"/>
        <w:spacing w:line="309" w:lineRule="auto" w:before="116"/>
        <w:ind w:right="1132" w:firstLine="363"/>
        <w:jc w:val="both"/>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left="153" w:right="1033"/>
        <w:jc w:val="left"/>
        <w:rPr>
          <w:b w:val="0"/>
          <w:bCs w:val="0"/>
        </w:rPr>
      </w:pPr>
      <w:bookmarkStart w:name="28、其他重要的会计政策和会计估计" w:id="208"/>
      <w:bookmarkEnd w:id="208"/>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9" w:lineRule="auto"/>
        <w:ind w:left="154" w:right="1033"/>
        <w:jc w:val="left"/>
      </w:pPr>
      <w:r>
        <w:rPr>
          <w:spacing w:val="-2"/>
        </w:rPr>
        <w:t>注：说明其他重要的会计政策和会计估计，包括但不限于：终止经营的确认标准、会计处理方法，采用套期会计的依据、会</w:t>
      </w:r>
      <w:r>
        <w:rPr>
          <w:spacing w:val="-67"/>
        </w:rPr>
        <w:t> </w:t>
      </w:r>
      <w:r>
        <w:rPr>
          <w:spacing w:val="-67"/>
        </w:rPr>
      </w:r>
      <w:r>
        <w:rPr/>
        <w:t>计处理方法，与回购公司股份相关的会计处理方法，资产证券化业务的会计处理方法等。</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9、重要会计政策和会计估计变更" w:id="209"/>
      <w:bookmarkEnd w:id="209"/>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各项应收款项信用风险特征存 在不同的组合</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51"/>
        <w:ind w:left="154" w:right="1132" w:firstLine="411"/>
        <w:jc w:val="both"/>
      </w:pPr>
      <w:r>
        <w:rPr>
          <w:color w:val="0D0D0D"/>
        </w:rPr>
        <w:t>本公司于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25</w:t>
      </w:r>
      <w:r>
        <w:rPr>
          <w:color w:val="0D0D0D"/>
        </w:rPr>
        <w:t>日召开了第五届董事会第八次会议，审议通过了《关于会计估计变更的议案》，鉴于通信行业 </w:t>
      </w:r>
      <w:r>
        <w:rPr>
          <w:color w:val="0D0D0D"/>
          <w:spacing w:val="-2"/>
        </w:rPr>
        <w:t>的快速的技术更新换代和公司旗下新收购业务的增加，及公司对各类别客户信用管理的经验积累，公司各项应收款项信用风</w:t>
      </w:r>
      <w:r>
        <w:rPr>
          <w:color w:val="0D0D0D"/>
          <w:spacing w:val="-64"/>
        </w:rPr>
        <w:t> </w:t>
      </w:r>
      <w:r>
        <w:rPr>
          <w:color w:val="0D0D0D"/>
          <w:spacing w:val="-64"/>
        </w:rPr>
      </w:r>
      <w:r>
        <w:rPr>
          <w:color w:val="0D0D0D"/>
        </w:rPr>
        <w:t>险特征存在不同的组合。</w:t>
      </w:r>
      <w:r>
        <w:rPr/>
      </w:r>
    </w:p>
    <w:p>
      <w:pPr>
        <w:pStyle w:val="BodyText"/>
        <w:spacing w:line="319" w:lineRule="auto" w:before="64"/>
        <w:ind w:left="154" w:right="1130" w:firstLine="426"/>
        <w:jc w:val="both"/>
      </w:pPr>
      <w:r>
        <w:rPr>
          <w:color w:val="0D0D0D"/>
        </w:rPr>
        <w:t>为更加客观真实地反映公司的财务状况和经营成果，使公司的应收债权更接近公司目前签约合同约定的结算情况、销 </w:t>
      </w:r>
      <w:r>
        <w:rPr>
          <w:color w:val="0D0D0D"/>
          <w:spacing w:val="-2"/>
        </w:rPr>
        <w:t>售服务款实际回收情况和风险状况，根据《企业会计准则》的规定，结合公司实际情况，本着谨慎性原则，公司对风险组合</w:t>
      </w:r>
      <w:r>
        <w:rPr>
          <w:color w:val="0D0D0D"/>
          <w:spacing w:val="-67"/>
        </w:rPr>
        <w:t> </w:t>
      </w:r>
      <w:r>
        <w:rPr>
          <w:color w:val="0D0D0D"/>
          <w:spacing w:val="-67"/>
        </w:rPr>
      </w:r>
      <w:r>
        <w:rPr>
          <w:color w:val="0D0D0D"/>
        </w:rPr>
        <w:t>中采用账龄分析法计提坏账准备的应收账款的坏账准备计提比例进行修改，修改后的计提比例如下：</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921" w:type="dxa"/>
        <w:tblLayout w:type="fixed"/>
        <w:tblCellMar>
          <w:top w:w="0" w:type="dxa"/>
          <w:left w:w="0" w:type="dxa"/>
          <w:bottom w:w="0" w:type="dxa"/>
          <w:right w:w="0" w:type="dxa"/>
        </w:tblCellMar>
        <w:tblLook w:val="01E0"/>
      </w:tblPr>
      <w:tblGrid>
        <w:gridCol w:w="2694"/>
        <w:gridCol w:w="1080"/>
        <w:gridCol w:w="1080"/>
        <w:gridCol w:w="1080"/>
        <w:gridCol w:w="1080"/>
        <w:gridCol w:w="1080"/>
      </w:tblGrid>
      <w:tr>
        <w:trPr>
          <w:trHeight w:val="422" w:hRule="exact"/>
        </w:trPr>
        <w:tc>
          <w:tcPr>
            <w:tcW w:w="26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风险特征</w:t>
            </w:r>
          </w:p>
        </w:tc>
      </w:tr>
      <w:tr>
        <w:trPr>
          <w:trHeight w:val="422" w:hRule="exact"/>
        </w:trPr>
        <w:tc>
          <w:tcPr>
            <w:tcW w:w="2694" w:type="dxa"/>
            <w:vMerge/>
            <w:tcBorders>
              <w:left w:val="single" w:sz="4" w:space="0" w:color="000000"/>
              <w:bottom w:val="single" w:sz="4" w:space="0" w:color="000000"/>
              <w:right w:val="single" w:sz="4" w:space="0" w:color="000000"/>
            </w:tcBorders>
            <w:shd w:val="clear" w:color="auto" w:fill="D9D9D9"/>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r>
      <w:tr>
        <w:trPr>
          <w:trHeight w:val="4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企业客户应收账款计提比例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8" w:right="0"/>
              <w:jc w:val="left"/>
              <w:rPr>
                <w:rFonts w:ascii="Times New Roman" w:hAnsi="Times New Roman" w:cs="Times New Roman" w:eastAsia="Times New Roman" w:hint="default"/>
                <w:sz w:val="18"/>
                <w:szCs w:val="18"/>
              </w:rPr>
            </w:pPr>
            <w:r>
              <w:rPr>
                <w:rFonts w:ascii="Times New Roman"/>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个人客户应收账款计提比例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50.00%</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8" w:right="0"/>
              <w:jc w:val="left"/>
              <w:rPr>
                <w:rFonts w:ascii="Times New Roman" w:hAnsi="Times New Roman" w:cs="Times New Roman" w:eastAsia="Times New Roman" w:hint="default"/>
                <w:sz w:val="18"/>
                <w:szCs w:val="18"/>
              </w:rPr>
            </w:pPr>
            <w:r>
              <w:rPr>
                <w:rFonts w:ascii="Times New Roman"/>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7"/>
          <w:szCs w:val="27"/>
        </w:rPr>
      </w:pPr>
    </w:p>
    <w:p>
      <w:pPr>
        <w:pStyle w:val="BodyText"/>
        <w:spacing w:line="302" w:lineRule="auto" w:before="44"/>
        <w:ind w:right="1116" w:firstLine="423"/>
        <w:jc w:val="left"/>
      </w:pPr>
      <w:r>
        <w:rPr/>
        <w:t>由于上述会计估计变更对截止到</w:t>
      </w:r>
      <w:r>
        <w:rPr>
          <w:rFonts w:ascii="Times New Roman" w:hAnsi="Times New Roman" w:cs="Times New Roman" w:eastAsia="Times New Roman" w:hint="default"/>
        </w:rPr>
        <w:t>2015</w:t>
      </w:r>
      <w:r>
        <w:rPr>
          <w:rFonts w:ascii="Times New Roman" w:hAnsi="Times New Roman" w:cs="Times New Roman" w:eastAsia="Times New Roman" w:hint="default"/>
          <w:spacing w:val="34"/>
        </w:rPr>
        <w:t> </w:t>
      </w:r>
      <w:r>
        <w:rPr/>
        <w:t>年度财务状况和经营业绩影响为：增加应收账款坏帐准备余额</w:t>
      </w:r>
      <w:r>
        <w:rPr>
          <w:rFonts w:ascii="Times New Roman" w:hAnsi="Times New Roman" w:cs="Times New Roman" w:eastAsia="Times New Roman" w:hint="default"/>
        </w:rPr>
        <w:t>369.81</w:t>
      </w:r>
      <w:r>
        <w:rPr/>
        <w:t>万元，减少 其他应收账款坏账准备余额</w:t>
      </w:r>
      <w:r>
        <w:rPr>
          <w:rFonts w:ascii="Times New Roman" w:hAnsi="Times New Roman" w:cs="Times New Roman" w:eastAsia="Times New Roman" w:hint="default"/>
        </w:rPr>
        <w:t>1.31</w:t>
      </w:r>
      <w:r>
        <w:rPr/>
        <w:t>万元，扣除所得税</w:t>
      </w:r>
      <w:r>
        <w:rPr>
          <w:rFonts w:ascii="Times New Roman" w:hAnsi="Times New Roman" w:cs="Times New Roman" w:eastAsia="Times New Roman" w:hint="default"/>
        </w:rPr>
        <w:t>46.06</w:t>
      </w:r>
      <w:r>
        <w:rPr/>
        <w:t>万元影响后共计减少本年度净利润</w:t>
      </w:r>
      <w:r>
        <w:rPr>
          <w:rFonts w:ascii="Times New Roman" w:hAnsi="Times New Roman" w:cs="Times New Roman" w:eastAsia="Times New Roman" w:hint="default"/>
        </w:rPr>
        <w:t>322.44</w:t>
      </w:r>
      <w:r>
        <w:rPr/>
        <w:t>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right="1033"/>
        <w:jc w:val="left"/>
      </w:pPr>
      <w:r>
        <w:rPr/>
        <w:t>注：说明受重要影响的报表项目名称和金额。</w:t>
      </w:r>
    </w:p>
    <w:p>
      <w:pPr>
        <w:spacing w:line="240" w:lineRule="auto" w:before="1"/>
        <w:rPr>
          <w:rFonts w:ascii="宋体" w:hAnsi="宋体" w:cs="宋体" w:eastAsia="宋体" w:hint="default"/>
          <w:sz w:val="25"/>
          <w:szCs w:val="25"/>
        </w:rPr>
      </w:pPr>
    </w:p>
    <w:p>
      <w:pPr>
        <w:pStyle w:val="Heading3"/>
        <w:spacing w:line="240" w:lineRule="auto"/>
        <w:ind w:right="1033"/>
        <w:jc w:val="left"/>
        <w:rPr>
          <w:b w:val="0"/>
          <w:bCs w:val="0"/>
        </w:rPr>
      </w:pPr>
      <w:bookmarkStart w:name="六、税项" w:id="212"/>
      <w:bookmarkEnd w:id="21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left="154" w:right="103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北京二六三网络科技有限公司大连分公司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北京二六三网络科技有限公司上海分公司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北京二六三网络科技有限公司珠海分公司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上海二六三通信有限公司北京通信技术分公司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上海二六三通信有限公司广州分公司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2" w:right="111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二六三增值通信香港有限公司</w:t>
            </w: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Added</w:t>
            </w:r>
            <w:r>
              <w:rPr>
                <w:rFonts w:ascii="Times New Roman" w:hAnsi="Times New Roman" w:cs="Times New Roman" w:eastAsia="Times New Roman" w:hint="default"/>
                <w:sz w:val="18"/>
                <w:szCs w:val="18"/>
              </w:rPr>
              <w:t> Communication Hong Kong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r>
              <w:rPr>
                <w:rFonts w:ascii="Times New Roman" w:hAnsi="Times New Roman" w:cs="Times New Roman" w:eastAsia="Times New Roman" w:hint="default"/>
                <w:sz w:val="18"/>
                <w:szCs w:val="18"/>
              </w:rPr>
              <w:t>iTalkTV Hongkong</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4"/>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税收优惠（</w:t>
            </w:r>
            <w:r>
              <w:rPr>
                <w:rFonts w:ascii="Times New Roman" w:hAnsi="Times New Roman" w:cs="Times New Roman" w:eastAsia="Times New Roman" w:hint="default"/>
                <w:sz w:val="18"/>
                <w:szCs w:val="18"/>
              </w:rPr>
              <w:t>8</w:t>
            </w:r>
            <w:r>
              <w:rPr>
                <w:rFonts w:ascii="宋体" w:hAnsi="宋体" w:cs="宋体" w:eastAsia="宋体" w:hint="default"/>
                <w:sz w:val="18"/>
                <w:szCs w:val="18"/>
              </w:rPr>
              <w:t>）描述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28"/>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税收优惠（</w:t>
            </w:r>
            <w:r>
              <w:rPr>
                <w:rFonts w:ascii="Times New Roman" w:hAnsi="Times New Roman" w:cs="Times New Roman" w:eastAsia="Times New Roman" w:hint="default"/>
                <w:sz w:val="18"/>
                <w:szCs w:val="18"/>
              </w:rPr>
              <w:t>8</w:t>
            </w:r>
            <w:r>
              <w:rPr>
                <w:rFonts w:ascii="宋体" w:hAnsi="宋体" w:cs="宋体" w:eastAsia="宋体" w:hint="default"/>
                <w:sz w:val="18"/>
                <w:szCs w:val="18"/>
              </w:rPr>
              <w:t>）描述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税收优惠（</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二六三香港控股有限公司（</w:t>
            </w:r>
            <w:r>
              <w:rPr>
                <w:rFonts w:ascii="Times New Roman" w:hAnsi="Times New Roman" w:cs="Times New Roman" w:eastAsia="Times New Roman" w:hint="default"/>
                <w:sz w:val="18"/>
                <w:szCs w:val="18"/>
              </w:rPr>
              <w:t>NET263 Holdings Limited</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1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8"/>
              <w:jc w:val="left"/>
              <w:rPr>
                <w:rFonts w:ascii="宋体" w:hAnsi="宋体" w:cs="宋体" w:eastAsia="宋体" w:hint="default"/>
                <w:sz w:val="18"/>
                <w:szCs w:val="18"/>
              </w:rPr>
            </w:pPr>
            <w:r>
              <w:rPr>
                <w:rFonts w:ascii="宋体" w:hAnsi="宋体" w:cs="宋体" w:eastAsia="宋体" w:hint="default"/>
                <w:sz w:val="18"/>
                <w:szCs w:val="18"/>
              </w:rPr>
              <w:t>二六三移动通信（香港）有限公司（</w:t>
            </w:r>
            <w:r>
              <w:rPr>
                <w:rFonts w:ascii="Times New Roman" w:hAnsi="Times New Roman" w:cs="Times New Roman" w:eastAsia="Times New Roman" w:hint="default"/>
                <w:sz w:val="18"/>
                <w:szCs w:val="18"/>
              </w:rPr>
              <w:t>263Mobile Communications(Hong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Kong)</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迪讯（香港）有限公司（ </w:t>
            </w:r>
            <w:r>
              <w:rPr>
                <w:rFonts w:ascii="Times New Roman" w:hAnsi="Times New Roman" w:cs="Times New Roman" w:eastAsia="Times New Roman" w:hint="default"/>
                <w:sz w:val="18"/>
                <w:szCs w:val="18"/>
              </w:rPr>
              <w:t>Declom (HK)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前海迪迅（深圳）有限公司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5"/>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1"/>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税收优惠（</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2" w:firstLine="420"/>
        <w:jc w:val="both"/>
      </w:pPr>
      <w:r>
        <w:rPr>
          <w:color w:val="0D0D0D"/>
          <w:spacing w:val="-1"/>
        </w:rPr>
        <w:t>（</w:t>
      </w:r>
      <w:r>
        <w:rPr>
          <w:rFonts w:ascii="Times New Roman" w:hAnsi="Times New Roman" w:cs="Times New Roman" w:eastAsia="Times New Roman" w:hint="default"/>
          <w:color w:val="0D0D0D"/>
          <w:spacing w:val="-1"/>
        </w:rPr>
        <w:t>1</w:t>
      </w:r>
      <w:r>
        <w:rPr>
          <w:color w:val="0D0D0D"/>
          <w:spacing w:val="-1"/>
        </w:rPr>
        <w:t>）</w:t>
      </w: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10</w:t>
      </w:r>
      <w:r>
        <w:rPr>
          <w:color w:val="0D0D0D"/>
          <w:spacing w:val="-1"/>
        </w:rPr>
        <w:t>月</w:t>
      </w:r>
      <w:r>
        <w:rPr>
          <w:rFonts w:ascii="Times New Roman" w:hAnsi="Times New Roman" w:cs="Times New Roman" w:eastAsia="Times New Roman" w:hint="default"/>
          <w:color w:val="0D0D0D"/>
          <w:spacing w:val="-1"/>
        </w:rPr>
        <w:t>30</w:t>
      </w:r>
      <w:r>
        <w:rPr>
          <w:color w:val="0D0D0D"/>
          <w:spacing w:val="-1"/>
        </w:rPr>
        <w:t>日，本公司换领了北京市科学技术委员会、北京市财政局、北京市国家税务局、北京市地方税务局</w:t>
      </w:r>
      <w:r>
        <w:rPr>
          <w:color w:val="0D0D0D"/>
        </w:rPr>
        <w:t> 共同核发的编号为</w:t>
      </w:r>
      <w:r>
        <w:rPr>
          <w:rFonts w:ascii="Times New Roman" w:hAnsi="Times New Roman" w:cs="Times New Roman" w:eastAsia="Times New Roman" w:hint="default"/>
          <w:color w:val="0D0D0D"/>
        </w:rPr>
        <w:t>GR201411001953</w:t>
      </w:r>
      <w:r>
        <w:rPr>
          <w:color w:val="0D0D0D"/>
        </w:rPr>
        <w:t>的高新技术企业证书，证书有效期三年。根据企业所得税法的相关优惠政策的规定，本 公司属国家需要重点扶持的高新技术企业，减按</w:t>
      </w:r>
      <w:r>
        <w:rPr>
          <w:rFonts w:ascii="Times New Roman" w:hAnsi="Times New Roman" w:cs="Times New Roman" w:eastAsia="Times New Roman" w:hint="default"/>
          <w:color w:val="0D0D0D"/>
        </w:rPr>
        <w:t>15%</w:t>
      </w:r>
      <w:r>
        <w:rPr>
          <w:color w:val="0D0D0D"/>
        </w:rPr>
        <w:t>的税率缴纳企业所得税。</w:t>
      </w:r>
      <w:r>
        <w:rPr/>
      </w:r>
    </w:p>
    <w:p>
      <w:pPr>
        <w:pStyle w:val="BodyText"/>
        <w:spacing w:line="302" w:lineRule="auto" w:before="130"/>
        <w:ind w:right="1188" w:firstLine="420"/>
        <w:jc w:val="both"/>
      </w:pPr>
      <w:r>
        <w:rPr>
          <w:color w:val="0D0D0D"/>
        </w:rPr>
        <w:t>根据所得税法规定，跨省市总分机构所得税统一执行</w:t>
      </w:r>
      <w:r>
        <w:rPr>
          <w:rFonts w:ascii="Times New Roman" w:hAnsi="Times New Roman" w:cs="Times New Roman" w:eastAsia="Times New Roman" w:hint="default"/>
          <w:color w:val="0D0D0D"/>
        </w:rPr>
        <w:t>“</w:t>
      </w:r>
      <w:r>
        <w:rPr>
          <w:color w:val="0D0D0D"/>
        </w:rPr>
        <w:t>统一计算、分级管理、就地预缴、汇总清算、财政调库</w:t>
      </w:r>
      <w:r>
        <w:rPr>
          <w:rFonts w:ascii="Times New Roman" w:hAnsi="Times New Roman" w:cs="Times New Roman" w:eastAsia="Times New Roman" w:hint="default"/>
          <w:color w:val="0D0D0D"/>
        </w:rPr>
        <w:t>”</w:t>
      </w:r>
      <w:r>
        <w:rPr>
          <w:color w:val="0D0D0D"/>
        </w:rPr>
        <w:t>的征收 管理办法，本公司所得税中部分所得税由各个分公司在当地预缴，年末汇总清算。</w:t>
      </w:r>
      <w:r>
        <w:rPr/>
      </w:r>
    </w:p>
    <w:p>
      <w:pPr>
        <w:pStyle w:val="BodyText"/>
        <w:spacing w:line="300" w:lineRule="auto" w:before="148"/>
        <w:ind w:right="1129" w:firstLine="420"/>
        <w:jc w:val="both"/>
      </w:pPr>
      <w:r>
        <w:rPr>
          <w:color w:val="0D0D0D"/>
          <w:spacing w:val="-1"/>
        </w:rPr>
        <w:t>（</w:t>
      </w:r>
      <w:r>
        <w:rPr>
          <w:rFonts w:ascii="Times New Roman" w:hAnsi="Times New Roman" w:cs="Times New Roman" w:eastAsia="Times New Roman" w:hint="default"/>
          <w:color w:val="0D0D0D"/>
          <w:spacing w:val="-1"/>
        </w:rPr>
        <w:t>2</w:t>
      </w:r>
      <w:r>
        <w:rPr>
          <w:color w:val="0D0D0D"/>
          <w:spacing w:val="-1"/>
        </w:rPr>
        <w:t>）经北京市经济和信息化委员会认定：北京二六三企业通信有限公司符合《鼓励软件产业和集成电路产业发展的若</w:t>
      </w:r>
      <w:r>
        <w:rPr>
          <w:color w:val="0D0D0D"/>
        </w:rPr>
        <w:t> 干政策》和《软件企业认定标准及管理办法》（试行）的有关规定，被认定为软件企业。</w:t>
      </w:r>
      <w:r>
        <w:rPr>
          <w:rFonts w:ascii="Times New Roman" w:hAnsi="Times New Roman" w:cs="Times New Roman" w:eastAsia="Times New Roman" w:hint="default"/>
          <w:color w:val="0D0D0D"/>
        </w:rPr>
        <w:t>2013</w:t>
      </w:r>
      <w:r>
        <w:rPr>
          <w:color w:val="0D0D0D"/>
        </w:rPr>
        <w:t>年</w:t>
      </w:r>
      <w:r>
        <w:rPr>
          <w:rFonts w:ascii="Times New Roman" w:hAnsi="Times New Roman" w:cs="Times New Roman" w:eastAsia="Times New Roman" w:hint="default"/>
          <w:color w:val="0D0D0D"/>
        </w:rPr>
        <w:t>5</w:t>
      </w:r>
      <w:r>
        <w:rPr>
          <w:color w:val="0D0D0D"/>
        </w:rPr>
        <w:t>月</w:t>
      </w:r>
      <w:r>
        <w:rPr>
          <w:rFonts w:ascii="Times New Roman" w:hAnsi="Times New Roman" w:cs="Times New Roman" w:eastAsia="Times New Roman" w:hint="default"/>
          <w:color w:val="0D0D0D"/>
        </w:rPr>
        <w:t>17</w:t>
      </w:r>
      <w:r>
        <w:rPr>
          <w:color w:val="0D0D0D"/>
        </w:rPr>
        <w:t>日，北京二六三企业 通信有限公司获取了核发的编号为京</w:t>
      </w:r>
      <w:r>
        <w:rPr>
          <w:rFonts w:ascii="Times New Roman" w:hAnsi="Times New Roman" w:cs="Times New Roman" w:eastAsia="Times New Roman" w:hint="default"/>
          <w:color w:val="0D0D0D"/>
        </w:rPr>
        <w:t>R-2013-0136</w:t>
      </w:r>
      <w:r>
        <w:rPr>
          <w:color w:val="0D0D0D"/>
        </w:rPr>
        <w:t>的软件企业认定证书。</w:t>
      </w:r>
      <w:r>
        <w:rPr/>
      </w:r>
    </w:p>
    <w:p>
      <w:pPr>
        <w:pStyle w:val="BodyText"/>
        <w:spacing w:line="300" w:lineRule="auto" w:before="131"/>
        <w:ind w:right="1149" w:firstLine="420"/>
        <w:jc w:val="both"/>
      </w:pPr>
      <w:r>
        <w:rPr>
          <w:color w:val="0D0D0D"/>
        </w:rPr>
        <w:t>根据国发</w:t>
      </w:r>
      <w:r>
        <w:rPr>
          <w:rFonts w:ascii="Times New Roman" w:hAnsi="Times New Roman" w:cs="Times New Roman" w:eastAsia="Times New Roman" w:hint="default"/>
          <w:color w:val="0D0D0D"/>
        </w:rPr>
        <w:t>[2000]18</w:t>
      </w:r>
      <w:r>
        <w:rPr>
          <w:color w:val="0D0D0D"/>
        </w:rPr>
        <w:t>号《鼓励软件产业和集成电路产业发展的若干政策》第六条</w:t>
      </w:r>
      <w:r>
        <w:rPr>
          <w:rFonts w:ascii="Times New Roman" w:hAnsi="Times New Roman" w:cs="Times New Roman" w:eastAsia="Times New Roman" w:hint="default"/>
          <w:color w:val="0D0D0D"/>
        </w:rPr>
        <w:t>“</w:t>
      </w:r>
      <w:r>
        <w:rPr>
          <w:color w:val="0D0D0D"/>
        </w:rPr>
        <w:t>在我国境内设立的软件企业可享受企业 所得税优惠政策。新创办软件企业经认定后，自获利年度起，享受企业所得税</w:t>
      </w:r>
      <w:r>
        <w:rPr>
          <w:rFonts w:ascii="Times New Roman" w:hAnsi="Times New Roman" w:cs="Times New Roman" w:eastAsia="Times New Roman" w:hint="default"/>
          <w:color w:val="0D0D0D"/>
        </w:rPr>
        <w:t>"</w:t>
      </w:r>
      <w:r>
        <w:rPr>
          <w:color w:val="0D0D0D"/>
        </w:rPr>
        <w:t>两免三减半</w:t>
      </w:r>
      <w:r>
        <w:rPr>
          <w:rFonts w:ascii="Times New Roman" w:hAnsi="Times New Roman" w:cs="Times New Roman" w:eastAsia="Times New Roman" w:hint="default"/>
          <w:color w:val="0D0D0D"/>
        </w:rPr>
        <w:t>"</w:t>
      </w:r>
      <w:r>
        <w:rPr>
          <w:color w:val="0D0D0D"/>
        </w:rPr>
        <w:t>的优惠政策。</w:t>
      </w:r>
      <w:r>
        <w:rPr>
          <w:rFonts w:ascii="Times New Roman" w:hAnsi="Times New Roman" w:cs="Times New Roman" w:eastAsia="Times New Roman" w:hint="default"/>
          <w:color w:val="0D0D0D"/>
        </w:rPr>
        <w:t>”</w:t>
      </w:r>
      <w:r>
        <w:rPr>
          <w:color w:val="0D0D0D"/>
        </w:rPr>
        <w:t>北京二六三企业 通信有限公司</w:t>
      </w:r>
      <w:r>
        <w:rPr>
          <w:rFonts w:ascii="Times New Roman" w:hAnsi="Times New Roman" w:cs="Times New Roman" w:eastAsia="Times New Roman" w:hint="default"/>
          <w:color w:val="0D0D0D"/>
        </w:rPr>
        <w:t>2015</w:t>
      </w:r>
      <w:r>
        <w:rPr>
          <w:color w:val="0D0D0D"/>
        </w:rPr>
        <w:t>年度享受减半征收企业所得税的优惠。</w:t>
      </w:r>
      <w:r>
        <w:rPr/>
      </w:r>
    </w:p>
    <w:p>
      <w:pPr>
        <w:pStyle w:val="BodyText"/>
        <w:spacing w:line="300" w:lineRule="auto" w:before="131"/>
        <w:ind w:right="1132" w:firstLine="420"/>
        <w:jc w:val="both"/>
      </w:pPr>
      <w:r>
        <w:rPr>
          <w:color w:val="0D0D0D"/>
          <w:spacing w:val="-2"/>
        </w:rPr>
        <w:t>（</w:t>
      </w:r>
      <w:r>
        <w:rPr>
          <w:rFonts w:ascii="Times New Roman" w:hAnsi="Times New Roman" w:cs="Times New Roman" w:eastAsia="Times New Roman" w:hint="default"/>
          <w:color w:val="0D0D0D"/>
          <w:spacing w:val="-2"/>
        </w:rPr>
        <w:t>3</w:t>
      </w:r>
      <w:r>
        <w:rPr>
          <w:color w:val="0D0D0D"/>
          <w:spacing w:val="-2"/>
        </w:rPr>
        <w:t>）经上海市经济和信息化委员会认定：上海通信公司符合《鼓励软件产业和集成电路产业发展的若干政策》和《软</w:t>
      </w:r>
      <w:r>
        <w:rPr>
          <w:color w:val="0D0D0D"/>
        </w:rPr>
        <w:t> 件企业认定标准及管理办法》（试行）的有关规定，被认定为软件企业。</w:t>
      </w:r>
      <w:r>
        <w:rPr>
          <w:rFonts w:ascii="Times New Roman" w:hAnsi="Times New Roman" w:cs="Times New Roman" w:eastAsia="Times New Roman" w:hint="default"/>
          <w:color w:val="0D0D0D"/>
        </w:rPr>
        <w:t>2013</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10</w:t>
      </w:r>
      <w:r>
        <w:rPr>
          <w:color w:val="0D0D0D"/>
        </w:rPr>
        <w:t>日，上海二六三通信有限公司获取了 核发的编号为沪</w:t>
      </w:r>
      <w:r>
        <w:rPr>
          <w:rFonts w:ascii="Times New Roman" w:hAnsi="Times New Roman" w:cs="Times New Roman" w:eastAsia="Times New Roman" w:hint="default"/>
          <w:color w:val="0D0D0D"/>
        </w:rPr>
        <w:t>R-2013-0331</w:t>
      </w:r>
      <w:r>
        <w:rPr>
          <w:color w:val="0D0D0D"/>
        </w:rPr>
        <w:t>的软件企业认定证书。</w:t>
      </w:r>
      <w:r>
        <w:rPr/>
      </w:r>
    </w:p>
    <w:p>
      <w:pPr>
        <w:pStyle w:val="BodyText"/>
        <w:spacing w:line="300" w:lineRule="auto" w:before="131"/>
        <w:ind w:right="1160" w:firstLine="420"/>
        <w:jc w:val="both"/>
      </w:pP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10</w:t>
      </w:r>
      <w:r>
        <w:rPr>
          <w:color w:val="0D0D0D"/>
        </w:rPr>
        <w:t>月</w:t>
      </w:r>
      <w:r>
        <w:rPr>
          <w:rFonts w:ascii="Times New Roman" w:hAnsi="Times New Roman" w:cs="Times New Roman" w:eastAsia="Times New Roman" w:hint="default"/>
          <w:color w:val="0D0D0D"/>
        </w:rPr>
        <w:t>23</w:t>
      </w:r>
      <w:r>
        <w:rPr>
          <w:color w:val="0D0D0D"/>
        </w:rPr>
        <w:t>日，上海通信公司领取了上海市科学技术委员会、上海市财政局、上海市国家税务局、上海市地方税务 局联合颁发证书编号为</w:t>
      </w:r>
      <w:r>
        <w:rPr>
          <w:rFonts w:ascii="Times New Roman" w:hAnsi="Times New Roman" w:cs="Times New Roman" w:eastAsia="Times New Roman" w:hint="default"/>
          <w:color w:val="0D0D0D"/>
        </w:rPr>
        <w:t>GR201431001448</w:t>
      </w:r>
      <w:r>
        <w:rPr>
          <w:color w:val="0D0D0D"/>
        </w:rPr>
        <w:t>的《高新技术企业证书》，证书有效期三年。根据新企业所得税法的相关优惠政策 的规定，该公司属国家需要重点扶持的高新技术企业，减按</w:t>
      </w:r>
      <w:r>
        <w:rPr>
          <w:rFonts w:ascii="Times New Roman" w:hAnsi="Times New Roman" w:cs="Times New Roman" w:eastAsia="Times New Roman" w:hint="default"/>
          <w:color w:val="0D0D0D"/>
        </w:rPr>
        <w:t>15%</w:t>
      </w:r>
      <w:r>
        <w:rPr>
          <w:color w:val="0D0D0D"/>
        </w:rPr>
        <w:t>的税率征收企业所得税。</w:t>
      </w:r>
      <w:r>
        <w:rPr/>
      </w:r>
    </w:p>
    <w:p>
      <w:pPr>
        <w:pStyle w:val="BodyText"/>
        <w:spacing w:line="300" w:lineRule="auto" w:before="131"/>
        <w:ind w:right="1130" w:firstLine="420"/>
        <w:jc w:val="both"/>
      </w:pPr>
      <w:r>
        <w:rPr>
          <w:rFonts w:ascii="Times New Roman" w:hAnsi="Times New Roman" w:cs="Times New Roman" w:eastAsia="Times New Roman" w:hint="default"/>
          <w:color w:val="0D0D0D"/>
          <w:spacing w:val="-1"/>
        </w:rPr>
        <w:t>2014</w:t>
      </w:r>
      <w:r>
        <w:rPr>
          <w:color w:val="0D0D0D"/>
          <w:spacing w:val="-1"/>
        </w:rPr>
        <w:t>年</w:t>
      </w:r>
      <w:r>
        <w:rPr>
          <w:rFonts w:ascii="Times New Roman" w:hAnsi="Times New Roman" w:cs="Times New Roman" w:eastAsia="Times New Roman" w:hint="default"/>
          <w:color w:val="0D0D0D"/>
          <w:spacing w:val="-1"/>
        </w:rPr>
        <w:t>1</w:t>
      </w:r>
      <w:r>
        <w:rPr>
          <w:color w:val="0D0D0D"/>
          <w:spacing w:val="-1"/>
        </w:rPr>
        <w:t>月</w:t>
      </w:r>
      <w:r>
        <w:rPr>
          <w:rFonts w:ascii="Times New Roman" w:hAnsi="Times New Roman" w:cs="Times New Roman" w:eastAsia="Times New Roman" w:hint="default"/>
          <w:color w:val="0D0D0D"/>
          <w:spacing w:val="-1"/>
        </w:rPr>
        <w:t>21</w:t>
      </w:r>
      <w:r>
        <w:rPr>
          <w:color w:val="0D0D0D"/>
          <w:spacing w:val="-1"/>
        </w:rPr>
        <w:t>日，经上海市虹口区国家税务局以沪虹税受</w:t>
      </w:r>
      <w:r>
        <w:rPr>
          <w:rFonts w:ascii="Times New Roman" w:hAnsi="Times New Roman" w:cs="Times New Roman" w:eastAsia="Times New Roman" w:hint="default"/>
          <w:color w:val="0D0D0D"/>
          <w:spacing w:val="-1"/>
        </w:rPr>
        <w:t>1401001205“</w:t>
      </w:r>
      <w:r>
        <w:rPr>
          <w:color w:val="0D0D0D"/>
          <w:spacing w:val="-1"/>
        </w:rPr>
        <w:t>企业所得税优惠事先备案结果通知书</w:t>
      </w:r>
      <w:r>
        <w:rPr>
          <w:rFonts w:ascii="Times New Roman" w:hAnsi="Times New Roman" w:cs="Times New Roman" w:eastAsia="Times New Roman" w:hint="default"/>
          <w:color w:val="0D0D0D"/>
          <w:spacing w:val="-1"/>
        </w:rPr>
        <w:t>”</w:t>
      </w:r>
      <w:r>
        <w:rPr>
          <w:color w:val="0D0D0D"/>
          <w:spacing w:val="-1"/>
        </w:rPr>
        <w:t>批准，上海</w:t>
      </w:r>
      <w:r>
        <w:rPr>
          <w:color w:val="0D0D0D"/>
        </w:rPr>
        <w:t> 通信公司新办软件生产企业、集成电路设计企业免征企业所得税的执行期自</w:t>
      </w:r>
      <w:r>
        <w:rPr>
          <w:rFonts w:ascii="Times New Roman" w:hAnsi="Times New Roman" w:cs="Times New Roman" w:eastAsia="Times New Roman" w:hint="default"/>
          <w:color w:val="0D0D0D"/>
        </w:rPr>
        <w:t>2013</w:t>
      </w:r>
      <w:r>
        <w:rPr>
          <w:color w:val="0D0D0D"/>
        </w:rPr>
        <w:t>年</w:t>
      </w:r>
      <w:r>
        <w:rPr>
          <w:rFonts w:ascii="Times New Roman" w:hAnsi="Times New Roman" w:cs="Times New Roman" w:eastAsia="Times New Roman" w:hint="default"/>
          <w:color w:val="0D0D0D"/>
        </w:rPr>
        <w:t>1</w:t>
      </w:r>
      <w:r>
        <w:rPr>
          <w:rFonts w:ascii="Times New Roman" w:hAnsi="Times New Roman" w:cs="Times New Roman" w:eastAsia="Times New Roman" w:hint="default"/>
          <w:color w:val="0D0D0D"/>
          <w:spacing w:val="26"/>
        </w:rPr>
        <w:t> </w:t>
      </w:r>
      <w:r>
        <w:rPr>
          <w:color w:val="0D0D0D"/>
        </w:rPr>
        <w:t>月</w:t>
      </w:r>
      <w:r>
        <w:rPr>
          <w:rFonts w:ascii="Times New Roman" w:hAnsi="Times New Roman" w:cs="Times New Roman" w:eastAsia="Times New Roman" w:hint="default"/>
          <w:color w:val="0D0D0D"/>
        </w:rPr>
        <w:t>1</w:t>
      </w:r>
      <w:r>
        <w:rPr>
          <w:color w:val="0D0D0D"/>
        </w:rPr>
        <w:t>日起，到</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日止；减半 </w:t>
      </w:r>
      <w:r>
        <w:rPr>
          <w:color w:val="0D0D0D"/>
          <w:spacing w:val="-2"/>
        </w:rPr>
        <w:t>征收企业所得税的执行期自</w:t>
      </w:r>
      <w:r>
        <w:rPr>
          <w:rFonts w:ascii="Times New Roman" w:hAnsi="Times New Roman" w:cs="Times New Roman" w:eastAsia="Times New Roman" w:hint="default"/>
          <w:color w:val="0D0D0D"/>
          <w:spacing w:val="-2"/>
        </w:rPr>
        <w:t>2015</w:t>
      </w:r>
      <w:r>
        <w:rPr>
          <w:color w:val="0D0D0D"/>
          <w:spacing w:val="-2"/>
        </w:rPr>
        <w:t>年</w:t>
      </w:r>
      <w:r>
        <w:rPr>
          <w:rFonts w:ascii="Times New Roman" w:hAnsi="Times New Roman" w:cs="Times New Roman" w:eastAsia="Times New Roman" w:hint="default"/>
          <w:color w:val="0D0D0D"/>
          <w:spacing w:val="-2"/>
        </w:rPr>
        <w:t>1</w:t>
      </w:r>
      <w:r>
        <w:rPr>
          <w:color w:val="0D0D0D"/>
          <w:spacing w:val="-2"/>
        </w:rPr>
        <w:t>月</w:t>
      </w:r>
      <w:r>
        <w:rPr>
          <w:rFonts w:ascii="Times New Roman" w:hAnsi="Times New Roman" w:cs="Times New Roman" w:eastAsia="Times New Roman" w:hint="default"/>
          <w:color w:val="0D0D0D"/>
          <w:spacing w:val="-2"/>
        </w:rPr>
        <w:t>1</w:t>
      </w:r>
      <w:r>
        <w:rPr>
          <w:color w:val="0D0D0D"/>
          <w:spacing w:val="-2"/>
        </w:rPr>
        <w:t>日起，至</w:t>
      </w:r>
      <w:r>
        <w:rPr>
          <w:rFonts w:ascii="Times New Roman" w:hAnsi="Times New Roman" w:cs="Times New Roman" w:eastAsia="Times New Roman" w:hint="default"/>
          <w:color w:val="0D0D0D"/>
          <w:spacing w:val="-2"/>
        </w:rPr>
        <w:t>2017</w:t>
      </w:r>
      <w:r>
        <w:rPr>
          <w:color w:val="0D0D0D"/>
          <w:spacing w:val="-2"/>
        </w:rPr>
        <w:t>年</w:t>
      </w:r>
      <w:r>
        <w:rPr>
          <w:rFonts w:ascii="Times New Roman" w:hAnsi="Times New Roman" w:cs="Times New Roman" w:eastAsia="Times New Roman" w:hint="default"/>
          <w:color w:val="0D0D0D"/>
          <w:spacing w:val="-2"/>
        </w:rPr>
        <w:t>12</w:t>
      </w:r>
      <w:r>
        <w:rPr>
          <w:color w:val="0D0D0D"/>
          <w:spacing w:val="-2"/>
        </w:rPr>
        <w:t>月</w:t>
      </w:r>
      <w:r>
        <w:rPr>
          <w:rFonts w:ascii="Times New Roman" w:hAnsi="Times New Roman" w:cs="Times New Roman" w:eastAsia="Times New Roman" w:hint="default"/>
          <w:color w:val="0D0D0D"/>
          <w:spacing w:val="-2"/>
        </w:rPr>
        <w:t>31</w:t>
      </w:r>
      <w:r>
        <w:rPr>
          <w:color w:val="0D0D0D"/>
          <w:spacing w:val="-2"/>
        </w:rPr>
        <w:t>日止。上海通信公司及其分公司</w:t>
      </w:r>
      <w:r>
        <w:rPr>
          <w:rFonts w:ascii="Times New Roman" w:hAnsi="Times New Roman" w:cs="Times New Roman" w:eastAsia="Times New Roman" w:hint="default"/>
          <w:color w:val="0D0D0D"/>
          <w:spacing w:val="-2"/>
        </w:rPr>
        <w:t>2015</w:t>
      </w:r>
      <w:r>
        <w:rPr>
          <w:color w:val="0D0D0D"/>
          <w:spacing w:val="-2"/>
        </w:rPr>
        <w:t>年度享受减半征收企业所</w:t>
      </w:r>
      <w:r>
        <w:rPr>
          <w:color w:val="0D0D0D"/>
          <w:spacing w:val="-46"/>
        </w:rPr>
        <w:t> </w:t>
      </w:r>
      <w:r>
        <w:rPr>
          <w:color w:val="0D0D0D"/>
        </w:rPr>
        <w:t>得税的优惠。</w:t>
      </w:r>
      <w:r>
        <w:rPr/>
      </w:r>
    </w:p>
    <w:p>
      <w:pPr>
        <w:pStyle w:val="BodyText"/>
        <w:spacing w:line="302" w:lineRule="auto" w:before="150"/>
        <w:ind w:left="154" w:right="1044" w:firstLine="420"/>
        <w:jc w:val="both"/>
      </w:pPr>
      <w:r>
        <w:rPr>
          <w:color w:val="0D0D0D"/>
        </w:rPr>
        <w:t>（</w:t>
      </w:r>
      <w:r>
        <w:rPr>
          <w:rFonts w:ascii="Times New Roman" w:hAnsi="Times New Roman" w:cs="Times New Roman" w:eastAsia="Times New Roman" w:hint="default"/>
          <w:color w:val="0D0D0D"/>
        </w:rPr>
        <w:t>4</w:t>
      </w:r>
      <w:r>
        <w:rPr>
          <w:color w:val="0D0D0D"/>
        </w:rPr>
        <w:t>）依《香港法例》第</w:t>
      </w:r>
      <w:r>
        <w:rPr>
          <w:rFonts w:ascii="Times New Roman" w:hAnsi="Times New Roman" w:cs="Times New Roman" w:eastAsia="Times New Roman" w:hint="default"/>
          <w:color w:val="0D0D0D"/>
        </w:rPr>
        <w:t>112</w:t>
      </w:r>
      <w:r>
        <w:rPr>
          <w:color w:val="0D0D0D"/>
        </w:rPr>
        <w:t>章</w:t>
      </w:r>
      <w:r>
        <w:rPr>
          <w:rFonts w:ascii="Times New Roman" w:hAnsi="Times New Roman" w:cs="Times New Roman" w:eastAsia="Times New Roman" w:hint="default"/>
          <w:color w:val="0D0D0D"/>
        </w:rPr>
        <w:t>“</w:t>
      </w:r>
      <w:r>
        <w:rPr>
          <w:color w:val="0D0D0D"/>
        </w:rPr>
        <w:t>税务条例</w:t>
      </w:r>
      <w:r>
        <w:rPr>
          <w:rFonts w:ascii="Times New Roman" w:hAnsi="Times New Roman" w:cs="Times New Roman" w:eastAsia="Times New Roman" w:hint="default"/>
          <w:color w:val="0D0D0D"/>
        </w:rPr>
        <w:t>”</w:t>
      </w:r>
      <w:r>
        <w:rPr>
          <w:color w:val="0D0D0D"/>
        </w:rPr>
        <w:t>，本公司之间接子公司二六三增值通信香港有限公司、爱涛网络电视香港有 限公司、二六三香港控股有限公司、二六三移动通信（香港）有限公司、迪讯（香港）有限公司适用</w:t>
      </w:r>
      <w:r>
        <w:rPr>
          <w:rFonts w:ascii="Times New Roman" w:hAnsi="Times New Roman" w:cs="Times New Roman" w:eastAsia="Times New Roman" w:hint="default"/>
          <w:color w:val="0D0D0D"/>
        </w:rPr>
        <w:t>16.5%</w:t>
      </w:r>
      <w:r>
        <w:rPr>
          <w:color w:val="0D0D0D"/>
        </w:rPr>
        <w:t>企业所得税率。</w:t>
      </w:r>
      <w:r>
        <w:rPr/>
      </w:r>
    </w:p>
    <w:p>
      <w:pPr>
        <w:pStyle w:val="BodyText"/>
        <w:spacing w:line="302" w:lineRule="auto" w:before="130"/>
        <w:ind w:right="1208" w:firstLine="420"/>
        <w:jc w:val="both"/>
      </w:pPr>
      <w:r>
        <w:rPr>
          <w:color w:val="0D0D0D"/>
        </w:rPr>
        <w:t>（</w:t>
      </w:r>
      <w:r>
        <w:rPr>
          <w:rFonts w:ascii="Times New Roman" w:hAnsi="Times New Roman" w:cs="Times New Roman" w:eastAsia="Times New Roman" w:hint="default"/>
          <w:color w:val="0D0D0D"/>
        </w:rPr>
        <w:t>5</w:t>
      </w:r>
      <w:r>
        <w:rPr>
          <w:color w:val="0D0D0D"/>
        </w:rPr>
        <w:t>）北京首都在线网络技术有限公司</w:t>
      </w:r>
      <w:r>
        <w:rPr/>
        <w:t>编号为</w:t>
      </w:r>
      <w:r>
        <w:rPr>
          <w:rFonts w:ascii="Times New Roman" w:hAnsi="Times New Roman" w:cs="Times New Roman" w:eastAsia="Times New Roman" w:hint="default"/>
          <w:color w:val="0D0D0D"/>
        </w:rPr>
        <w:t>GF201211001040</w:t>
      </w:r>
      <w:r>
        <w:rPr/>
        <w:t>高新技术企业证书有效期至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日，公司已办 理新证书申请，根据以前年度申请情况判断取得企业高新技术资格的可能性极大</w:t>
      </w:r>
      <w:r>
        <w:rPr>
          <w:color w:val="0D0D0D"/>
        </w:rPr>
        <w:t>。</w:t>
      </w:r>
      <w:r>
        <w:rPr/>
      </w:r>
    </w:p>
    <w:p>
      <w:pPr>
        <w:pStyle w:val="BodyText"/>
        <w:spacing w:line="300" w:lineRule="auto" w:before="148"/>
        <w:ind w:right="1132" w:firstLine="420"/>
        <w:jc w:val="both"/>
      </w:pPr>
      <w:r>
        <w:rPr>
          <w:color w:val="0D0D0D"/>
          <w:spacing w:val="-2"/>
        </w:rPr>
        <w:t>（</w:t>
      </w:r>
      <w:r>
        <w:rPr>
          <w:rFonts w:ascii="Times New Roman" w:hAnsi="Times New Roman" w:cs="Times New Roman" w:eastAsia="Times New Roman" w:hint="default"/>
          <w:color w:val="0D0D0D"/>
          <w:spacing w:val="-2"/>
        </w:rPr>
        <w:t>6</w:t>
      </w:r>
      <w:r>
        <w:rPr>
          <w:color w:val="0D0D0D"/>
          <w:spacing w:val="-2"/>
        </w:rPr>
        <w:t>）经北京市经济和信息化委员会认定：二六三软件技术（北京）有限公司符合《进一步鼓励软件产业和集成电路产</w:t>
      </w:r>
      <w:r>
        <w:rPr>
          <w:color w:val="0D0D0D"/>
        </w:rPr>
        <w:t> 业发展的若干政策》和《软件企业认定标准及管理办法》的有关规定，被认定为软件企业。</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4</w:t>
      </w:r>
      <w:r>
        <w:rPr>
          <w:color w:val="0D0D0D"/>
        </w:rPr>
        <w:t>月</w:t>
      </w:r>
      <w:r>
        <w:rPr>
          <w:rFonts w:ascii="Times New Roman" w:hAnsi="Times New Roman" w:cs="Times New Roman" w:eastAsia="Times New Roman" w:hint="default"/>
          <w:color w:val="0D0D0D"/>
        </w:rPr>
        <w:t>21</w:t>
      </w:r>
      <w:r>
        <w:rPr>
          <w:color w:val="0D0D0D"/>
        </w:rPr>
        <w:t>日，二六三软件技 术（北京）有限公司获取了核发的编号为京</w:t>
      </w:r>
      <w:r>
        <w:rPr>
          <w:rFonts w:ascii="Times New Roman" w:hAnsi="Times New Roman" w:cs="Times New Roman" w:eastAsia="Times New Roman" w:hint="default"/>
          <w:color w:val="0D0D0D"/>
        </w:rPr>
        <w:t>R-2014-0087</w:t>
      </w:r>
      <w:r>
        <w:rPr>
          <w:color w:val="0D0D0D"/>
        </w:rPr>
        <w:t>的软件企业认定证书。</w:t>
      </w:r>
      <w:r>
        <w:rPr/>
      </w:r>
    </w:p>
    <w:p>
      <w:pPr>
        <w:pStyle w:val="BodyText"/>
        <w:spacing w:line="300" w:lineRule="auto" w:before="131"/>
        <w:ind w:right="1169" w:firstLine="420"/>
        <w:jc w:val="both"/>
      </w:pPr>
      <w:r>
        <w:rPr>
          <w:color w:val="0D0D0D"/>
        </w:rPr>
        <w:t>根据国发【</w:t>
      </w:r>
      <w:r>
        <w:rPr>
          <w:rFonts w:ascii="Times New Roman" w:hAnsi="Times New Roman" w:cs="Times New Roman" w:eastAsia="Times New Roman" w:hint="default"/>
          <w:color w:val="0D0D0D"/>
        </w:rPr>
        <w:t>2011</w:t>
      </w:r>
      <w:r>
        <w:rPr>
          <w:color w:val="0D0D0D"/>
        </w:rPr>
        <w:t>】</w:t>
      </w:r>
      <w:r>
        <w:rPr>
          <w:rFonts w:ascii="Times New Roman" w:hAnsi="Times New Roman" w:cs="Times New Roman" w:eastAsia="Times New Roman" w:hint="default"/>
          <w:color w:val="0D0D0D"/>
        </w:rPr>
        <w:t>4</w:t>
      </w:r>
      <w:r>
        <w:rPr>
          <w:color w:val="0D0D0D"/>
        </w:rPr>
        <w:t>号《进一步鼓励软件产业和集成电路产业发展若干政策的通知》第六条政策，</w:t>
      </w:r>
      <w:r>
        <w:rPr>
          <w:rFonts w:ascii="Times New Roman" w:hAnsi="Times New Roman" w:cs="Times New Roman" w:eastAsia="Times New Roman" w:hint="default"/>
          <w:color w:val="0D0D0D"/>
        </w:rPr>
        <w:t>“</w:t>
      </w:r>
      <w:r>
        <w:rPr>
          <w:color w:val="0D0D0D"/>
        </w:rPr>
        <w:t>对我国境内新办集 成电路设计企业和符合条件的软件企业，经认定后，自获利年度起，享受企业所得税</w:t>
      </w:r>
      <w:r>
        <w:rPr>
          <w:rFonts w:ascii="Times New Roman" w:hAnsi="Times New Roman" w:cs="Times New Roman" w:eastAsia="Times New Roman" w:hint="default"/>
          <w:color w:val="0D0D0D"/>
        </w:rPr>
        <w:t>“</w:t>
      </w:r>
      <w:r>
        <w:rPr>
          <w:color w:val="0D0D0D"/>
        </w:rPr>
        <w:t>两免三减半</w:t>
      </w:r>
      <w:r>
        <w:rPr>
          <w:rFonts w:ascii="Times New Roman" w:hAnsi="Times New Roman" w:cs="Times New Roman" w:eastAsia="Times New Roman" w:hint="default"/>
          <w:color w:val="0D0D0D"/>
        </w:rPr>
        <w:t>”</w:t>
      </w:r>
      <w:r>
        <w:rPr>
          <w:color w:val="0D0D0D"/>
        </w:rPr>
        <w:t>优惠政策</w:t>
      </w:r>
      <w:r>
        <w:rPr>
          <w:rFonts w:ascii="Times New Roman" w:hAnsi="Times New Roman" w:cs="Times New Roman" w:eastAsia="Times New Roman" w:hint="default"/>
          <w:color w:val="0D0D0D"/>
        </w:rPr>
        <w:t>”</w:t>
      </w:r>
      <w:r>
        <w:rPr>
          <w:color w:val="0D0D0D"/>
        </w:rPr>
        <w:t>自</w:t>
      </w:r>
      <w:r>
        <w:rPr>
          <w:rFonts w:ascii="Times New Roman" w:hAnsi="Times New Roman" w:cs="Times New Roman" w:eastAsia="Times New Roman" w:hint="default"/>
          <w:color w:val="0D0D0D"/>
        </w:rPr>
        <w:t>2014</w:t>
      </w:r>
      <w:r>
        <w:rPr>
          <w:color w:val="0D0D0D"/>
        </w:rPr>
        <w:t>年度起 免征企业所得税，</w:t>
      </w:r>
      <w:r>
        <w:rPr>
          <w:rFonts w:ascii="Times New Roman" w:hAnsi="Times New Roman" w:cs="Times New Roman" w:eastAsia="Times New Roman" w:hint="default"/>
          <w:color w:val="0D0D0D"/>
        </w:rPr>
        <w:t>2016</w:t>
      </w:r>
      <w:r>
        <w:rPr>
          <w:color w:val="0D0D0D"/>
        </w:rPr>
        <w:t>年度</w:t>
      </w:r>
      <w:r>
        <w:rPr>
          <w:rFonts w:ascii="Times New Roman" w:hAnsi="Times New Roman" w:cs="Times New Roman" w:eastAsia="Times New Roman" w:hint="default"/>
          <w:color w:val="0D0D0D"/>
        </w:rPr>
        <w:t>-2018</w:t>
      </w:r>
      <w:r>
        <w:rPr>
          <w:color w:val="0D0D0D"/>
        </w:rPr>
        <w:t>年度减半征收企业所得税。</w:t>
      </w:r>
      <w:r>
        <w:rPr/>
      </w:r>
    </w:p>
    <w:p>
      <w:pPr>
        <w:pStyle w:val="BodyText"/>
        <w:spacing w:line="300" w:lineRule="auto" w:before="51"/>
        <w:ind w:left="154" w:right="1132" w:firstLine="363"/>
        <w:jc w:val="both"/>
      </w:pPr>
      <w:r>
        <w:rPr>
          <w:color w:val="0D0D0D"/>
        </w:rPr>
        <w:t>（</w:t>
      </w:r>
      <w:r>
        <w:rPr>
          <w:rFonts w:ascii="Times New Roman" w:hAnsi="Times New Roman" w:cs="Times New Roman" w:eastAsia="Times New Roman" w:hint="default"/>
          <w:color w:val="0D0D0D"/>
        </w:rPr>
        <w:t>7</w:t>
      </w:r>
      <w:r>
        <w:rPr>
          <w:color w:val="0D0D0D"/>
        </w:rPr>
        <w:t>）根据《财政部、国家</w:t>
      </w:r>
      <w:hyperlink r:id="rId23">
        <w:r>
          <w:rPr>
            <w:color w:val="0D0D0D"/>
            <w:u w:val="single" w:color="0D0D0D"/>
          </w:rPr>
          <w:t>税务</w:t>
        </w:r>
        <w:r>
          <w:rPr>
            <w:color w:val="0D0D0D"/>
          </w:rPr>
        </w:r>
      </w:hyperlink>
      <w:r>
        <w:rPr>
          <w:color w:val="0D0D0D"/>
        </w:rPr>
        <w:t>总局关于广东横琴新区、福建平潭综合实验区、深圳前海深港现代化服务业合作区企业</w:t>
      </w:r>
      <w:r>
        <w:rPr>
          <w:color w:val="0D0D0D"/>
        </w:rPr>
        <w:t> </w:t>
      </w:r>
      <w:r>
        <w:rPr>
          <w:color w:val="0D0D0D"/>
          <w:spacing w:val="-1"/>
        </w:rPr>
        <w:t>所得税优惠政策及优惠目录的通知》，深圳迪讯公司属于前海深港现代服务业合作区的鼓励类产业企业，减按</w:t>
      </w:r>
      <w:r>
        <w:rPr>
          <w:rFonts w:ascii="Times New Roman" w:hAnsi="Times New Roman" w:cs="Times New Roman" w:eastAsia="Times New Roman" w:hint="default"/>
          <w:color w:val="0D0D0D"/>
          <w:spacing w:val="-1"/>
        </w:rPr>
        <w:t>15%</w:t>
      </w:r>
      <w:r>
        <w:rPr>
          <w:color w:val="0D0D0D"/>
          <w:spacing w:val="-1"/>
        </w:rPr>
        <w:t>缴纳企业</w:t>
      </w:r>
      <w:r>
        <w:rPr>
          <w:color w:val="0D0D0D"/>
        </w:rPr>
        <w:t> 所得税。</w:t>
      </w:r>
      <w:r>
        <w:rPr/>
      </w:r>
    </w:p>
    <w:p>
      <w:pPr>
        <w:pStyle w:val="BodyText"/>
        <w:spacing w:line="240" w:lineRule="auto" w:before="152"/>
        <w:ind w:left="574" w:right="1033"/>
        <w:jc w:val="left"/>
      </w:pPr>
      <w:r>
        <w:rPr>
          <w:color w:val="0D0D0D"/>
        </w:rPr>
        <w:t>（</w:t>
      </w:r>
      <w:r>
        <w:rPr>
          <w:rFonts w:ascii="Times New Roman" w:hAnsi="Times New Roman" w:cs="Times New Roman" w:eastAsia="Times New Roman" w:hint="default"/>
          <w:color w:val="0D0D0D"/>
        </w:rPr>
        <w:t>8</w:t>
      </w:r>
      <w:r>
        <w:rPr>
          <w:color w:val="0D0D0D"/>
        </w:rPr>
        <w:t>）美国联邦所得税和州所得税（特许权税）：</w:t>
      </w:r>
      <w:r>
        <w:rPr/>
      </w:r>
    </w:p>
    <w:p>
      <w:pPr>
        <w:spacing w:line="240" w:lineRule="auto" w:before="13"/>
        <w:rPr>
          <w:rFonts w:ascii="宋体" w:hAnsi="宋体" w:cs="宋体" w:eastAsia="宋体" w:hint="default"/>
          <w:sz w:val="13"/>
          <w:szCs w:val="13"/>
        </w:rPr>
      </w:pPr>
    </w:p>
    <w:p>
      <w:pPr>
        <w:pStyle w:val="BodyText"/>
        <w:spacing w:line="240" w:lineRule="auto"/>
        <w:ind w:left="580" w:right="1033"/>
        <w:jc w:val="left"/>
      </w:pPr>
      <w:r>
        <w:rPr>
          <w:color w:val="0D0D0D"/>
        </w:rPr>
        <w:t>①联邦所得税率</w:t>
      </w:r>
      <w:r>
        <w:rPr/>
      </w:r>
    </w:p>
    <w:p>
      <w:pPr>
        <w:spacing w:line="240" w:lineRule="auto" w:before="1"/>
        <w:rPr>
          <w:rFonts w:ascii="宋体" w:hAnsi="宋体" w:cs="宋体" w:eastAsia="宋体" w:hint="default"/>
          <w:sz w:val="8"/>
          <w:szCs w:val="8"/>
        </w:rPr>
      </w:pPr>
    </w:p>
    <w:tbl>
      <w:tblPr>
        <w:tblW w:w="0" w:type="auto"/>
        <w:jc w:val="left"/>
        <w:tblInd w:w="705" w:type="dxa"/>
        <w:tblLayout w:type="fixed"/>
        <w:tblCellMar>
          <w:top w:w="0" w:type="dxa"/>
          <w:left w:w="0" w:type="dxa"/>
          <w:bottom w:w="0" w:type="dxa"/>
          <w:right w:w="0" w:type="dxa"/>
        </w:tblCellMar>
        <w:tblLook w:val="01E0"/>
      </w:tblPr>
      <w:tblGrid>
        <w:gridCol w:w="6382"/>
        <w:gridCol w:w="2141"/>
      </w:tblGrid>
      <w:tr>
        <w:trPr>
          <w:trHeight w:val="427" w:hRule="exact"/>
        </w:trPr>
        <w:tc>
          <w:tcPr>
            <w:tcW w:w="63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473" w:right="0"/>
              <w:jc w:val="left"/>
              <w:rPr>
                <w:rFonts w:ascii="宋体" w:hAnsi="宋体" w:cs="宋体" w:eastAsia="宋体" w:hint="default"/>
                <w:sz w:val="18"/>
                <w:szCs w:val="18"/>
              </w:rPr>
            </w:pPr>
            <w:r>
              <w:rPr>
                <w:rFonts w:ascii="宋体" w:hAnsi="宋体" w:cs="宋体" w:eastAsia="宋体" w:hint="default"/>
                <w:color w:val="0D0D0D"/>
                <w:sz w:val="18"/>
                <w:szCs w:val="18"/>
              </w:rPr>
              <w:t>应纳税所得额（含税级距，单位：美元）</w:t>
            </w:r>
            <w:r>
              <w:rPr>
                <w:rFonts w:ascii="宋体" w:hAnsi="宋体" w:cs="宋体" w:eastAsia="宋体" w:hint="default"/>
                <w:sz w:val="18"/>
                <w:szCs w:val="18"/>
              </w:rPr>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77"/>
              <w:jc w:val="center"/>
              <w:rPr>
                <w:rFonts w:ascii="宋体" w:hAnsi="宋体" w:cs="宋体" w:eastAsia="宋体" w:hint="default"/>
                <w:sz w:val="18"/>
                <w:szCs w:val="18"/>
              </w:rPr>
            </w:pPr>
            <w:r>
              <w:rPr>
                <w:rFonts w:ascii="宋体" w:hAnsi="宋体" w:cs="宋体" w:eastAsia="宋体" w:hint="default"/>
                <w:color w:val="0D0D0D"/>
                <w:sz w:val="18"/>
                <w:szCs w:val="18"/>
              </w:rPr>
              <w:t>税率</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3868"/>
        <w:gridCol w:w="2514"/>
        <w:gridCol w:w="2141"/>
      </w:tblGrid>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tabs>
                <w:tab w:pos="1746" w:val="left" w:leader="none"/>
              </w:tabs>
              <w:spacing w:line="240" w:lineRule="auto" w:before="102"/>
              <w:ind w:right="182"/>
              <w:jc w:val="right"/>
              <w:rPr>
                <w:rFonts w:ascii="Times New Roman" w:hAnsi="Times New Roman" w:cs="Times New Roman" w:eastAsia="Times New Roman" w:hint="default"/>
                <w:sz w:val="18"/>
                <w:szCs w:val="18"/>
              </w:rPr>
            </w:pPr>
            <w:r>
              <w:rPr>
                <w:rFonts w:ascii="Times New Roman"/>
                <w:color w:val="0D0D0D"/>
                <w:sz w:val="18"/>
              </w:rPr>
              <w:t>$</w:t>
              <w:tab/>
              <w:t>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tabs>
                <w:tab w:pos="738" w:val="left" w:leader="none"/>
              </w:tabs>
              <w:spacing w:line="240" w:lineRule="auto" w:before="102"/>
              <w:ind w:right="182"/>
              <w:jc w:val="right"/>
              <w:rPr>
                <w:rFonts w:ascii="Times New Roman" w:hAnsi="Times New Roman" w:cs="Times New Roman" w:eastAsia="Times New Roman" w:hint="default"/>
                <w:sz w:val="18"/>
                <w:szCs w:val="18"/>
              </w:rPr>
            </w:pPr>
            <w:r>
              <w:rPr>
                <w:rFonts w:ascii="Times New Roman"/>
                <w:color w:val="0D0D0D"/>
                <w:sz w:val="18"/>
              </w:rPr>
              <w:t>$</w:t>
              <w:tab/>
            </w:r>
            <w:r>
              <w:rPr>
                <w:rFonts w:ascii="Times New Roman"/>
                <w:color w:val="0D0D0D"/>
                <w:spacing w:val="-1"/>
                <w:sz w:val="18"/>
              </w:rPr>
              <w:t>50,000</w:t>
            </w:r>
            <w:r>
              <w:rPr>
                <w:rFonts w:ascii="Times New Roman"/>
                <w:spacing w:val="-1"/>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15%</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50,000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75,000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25%</w:t>
            </w:r>
            <w:r>
              <w:rPr>
                <w:rFonts w:ascii="Times New Roman"/>
                <w:sz w:val="18"/>
              </w:rPr>
            </w:r>
          </w:p>
        </w:tc>
      </w:tr>
      <w:tr>
        <w:trPr>
          <w:trHeight w:val="426"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8"/>
              <w:jc w:val="right"/>
              <w:rPr>
                <w:rFonts w:ascii="Times New Roman" w:hAnsi="Times New Roman" w:cs="Times New Roman" w:eastAsia="Times New Roman" w:hint="default"/>
                <w:sz w:val="18"/>
                <w:szCs w:val="18"/>
              </w:rPr>
            </w:pPr>
            <w:r>
              <w:rPr>
                <w:rFonts w:ascii="Times New Roman"/>
                <w:color w:val="0D0D0D"/>
                <w:sz w:val="18"/>
              </w:rPr>
              <w:t>75,000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8"/>
              <w:jc w:val="right"/>
              <w:rPr>
                <w:rFonts w:ascii="Times New Roman" w:hAnsi="Times New Roman" w:cs="Times New Roman" w:eastAsia="Times New Roman" w:hint="default"/>
                <w:sz w:val="18"/>
                <w:szCs w:val="18"/>
              </w:rPr>
            </w:pPr>
            <w:r>
              <w:rPr>
                <w:rFonts w:ascii="Times New Roman"/>
                <w:color w:val="0D0D0D"/>
                <w:sz w:val="18"/>
              </w:rPr>
              <w:t>100,000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color w:val="0D0D0D"/>
                <w:w w:val="95"/>
                <w:sz w:val="18"/>
              </w:rPr>
              <w:t>34%</w:t>
            </w:r>
            <w:r>
              <w:rPr>
                <w:rFonts w:ascii="Times New Roman"/>
                <w:sz w:val="18"/>
              </w:rPr>
            </w:r>
          </w:p>
        </w:tc>
      </w:tr>
      <w:tr>
        <w:trPr>
          <w:trHeight w:val="428"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335,000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39%</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335,000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34%</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15,000,000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35%</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15,000,000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18,333,333</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38%</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18,333,333</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spacing w:val="-1"/>
                <w:sz w:val="18"/>
              </w:rPr>
              <w:t>..........</w:t>
            </w:r>
            <w:r>
              <w:rPr>
                <w:rFonts w:ascii="Times New Roman"/>
                <w:spacing w:val="-1"/>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35%</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307" w:lineRule="auto" w:before="44"/>
        <w:ind w:left="154" w:right="1132" w:firstLine="426"/>
        <w:jc w:val="both"/>
      </w:pPr>
      <w:r>
        <w:rPr>
          <w:color w:val="0D0D0D"/>
        </w:rPr>
        <w:t>美国联邦所得税纳税申报表要求同时计算两种类型的所得税：常规所得税</w:t>
      </w:r>
      <w:r>
        <w:rPr>
          <w:rFonts w:ascii="Times New Roman" w:hAnsi="Times New Roman" w:cs="Times New Roman" w:eastAsia="Times New Roman" w:hint="default"/>
          <w:color w:val="0D0D0D"/>
        </w:rPr>
        <w:t>(REGULAR INCOME</w:t>
      </w:r>
      <w:r>
        <w:rPr>
          <w:rFonts w:ascii="Times New Roman" w:hAnsi="Times New Roman" w:cs="Times New Roman" w:eastAsia="Times New Roman" w:hint="default"/>
          <w:color w:val="0D0D0D"/>
          <w:spacing w:val="-1"/>
        </w:rPr>
        <w:t> </w:t>
      </w:r>
      <w:r>
        <w:rPr>
          <w:rFonts w:ascii="Times New Roman" w:hAnsi="Times New Roman" w:cs="Times New Roman" w:eastAsia="Times New Roman" w:hint="default"/>
          <w:color w:val="0D0D0D"/>
        </w:rPr>
        <w:t>TAX)</w:t>
      </w:r>
      <w:r>
        <w:rPr>
          <w:color w:val="0D0D0D"/>
        </w:rPr>
        <w:t>和替代性最低税 </w:t>
      </w:r>
      <w:r>
        <w:rPr>
          <w:rFonts w:ascii="Times New Roman" w:hAnsi="Times New Roman" w:cs="Times New Roman" w:eastAsia="Times New Roman" w:hint="default"/>
          <w:color w:val="0D0D0D"/>
        </w:rPr>
        <w:t>(ALTERNATIVE</w:t>
      </w:r>
      <w:r>
        <w:rPr>
          <w:rFonts w:ascii="Times New Roman" w:hAnsi="Times New Roman" w:cs="Times New Roman" w:eastAsia="Times New Roman" w:hint="default"/>
          <w:color w:val="0D0D0D"/>
          <w:spacing w:val="-22"/>
        </w:rPr>
        <w:t> </w:t>
      </w:r>
      <w:r>
        <w:rPr>
          <w:rFonts w:ascii="Times New Roman" w:hAnsi="Times New Roman" w:cs="Times New Roman" w:eastAsia="Times New Roman" w:hint="default"/>
          <w:color w:val="0D0D0D"/>
        </w:rPr>
        <w:t>MINIMUM</w:t>
      </w:r>
      <w:r>
        <w:rPr>
          <w:rFonts w:ascii="Times New Roman" w:hAnsi="Times New Roman" w:cs="Times New Roman" w:eastAsia="Times New Roman" w:hint="default"/>
          <w:color w:val="0D0D0D"/>
          <w:spacing w:val="-22"/>
        </w:rPr>
        <w:t> </w:t>
      </w:r>
      <w:r>
        <w:rPr>
          <w:rFonts w:ascii="Times New Roman" w:hAnsi="Times New Roman" w:cs="Times New Roman" w:eastAsia="Times New Roman" w:hint="default"/>
          <w:color w:val="0D0D0D"/>
        </w:rPr>
        <w:t>TAX)</w:t>
      </w:r>
      <w:r>
        <w:rPr>
          <w:color w:val="0D0D0D"/>
        </w:rPr>
        <w:t>。常规企业所得税为上表所列的累进税率；替代性最低税税率为</w:t>
      </w:r>
      <w:r>
        <w:rPr>
          <w:rFonts w:ascii="Times New Roman" w:hAnsi="Times New Roman" w:cs="Times New Roman" w:eastAsia="Times New Roman" w:hint="default"/>
          <w:color w:val="0D0D0D"/>
        </w:rPr>
        <w:t>20%</w:t>
      </w:r>
      <w:r>
        <w:rPr>
          <w:color w:val="0D0D0D"/>
        </w:rPr>
        <w:t>，按常规企业所得税</w:t>
      </w:r>
      <w:r>
        <w:rPr>
          <w:color w:val="0D0D0D"/>
          <w:w w:val="99"/>
        </w:rPr>
        <w:t> </w:t>
      </w:r>
      <w:r>
        <w:rPr>
          <w:color w:val="0D0D0D"/>
          <w:spacing w:val="-2"/>
        </w:rPr>
        <w:t>和替代性最低税孰高缴纳。以前年度缴纳的替代性最低税可以抵减当年的常规企业所得税，但以不使抵减后的当年常规企业</w:t>
      </w:r>
      <w:r>
        <w:rPr>
          <w:color w:val="0D0D0D"/>
          <w:spacing w:val="-65"/>
        </w:rPr>
        <w:t> </w:t>
      </w:r>
      <w:r>
        <w:rPr>
          <w:color w:val="0D0D0D"/>
          <w:spacing w:val="-65"/>
        </w:rPr>
      </w:r>
      <w:r>
        <w:rPr>
          <w:color w:val="0D0D0D"/>
        </w:rPr>
        <w:t>所得税低于当年替代性最低税为限。</w:t>
      </w:r>
      <w:r>
        <w:rPr/>
      </w:r>
    </w:p>
    <w:p>
      <w:pPr>
        <w:pStyle w:val="BodyText"/>
        <w:spacing w:line="240" w:lineRule="auto" w:before="75"/>
        <w:ind w:left="580" w:right="1033"/>
        <w:jc w:val="left"/>
      </w:pPr>
      <w:r>
        <w:rPr>
          <w:color w:val="0D0D0D"/>
        </w:rPr>
        <w:t>最低税负的相关税务规定：弥补亏损前应纳税所得额的</w:t>
      </w:r>
      <w:r>
        <w:rPr>
          <w:rFonts w:ascii="Times New Roman" w:hAnsi="Times New Roman" w:cs="Times New Roman" w:eastAsia="Times New Roman" w:hint="default"/>
          <w:color w:val="0D0D0D"/>
        </w:rPr>
        <w:t>10%</w:t>
      </w:r>
      <w:r>
        <w:rPr>
          <w:color w:val="0D0D0D"/>
        </w:rPr>
        <w:t>须按</w:t>
      </w:r>
      <w:r>
        <w:rPr>
          <w:rFonts w:ascii="Times New Roman" w:hAnsi="Times New Roman" w:cs="Times New Roman" w:eastAsia="Times New Roman" w:hint="default"/>
          <w:color w:val="0D0D0D"/>
        </w:rPr>
        <w:t>20%</w:t>
      </w:r>
      <w:r>
        <w:rPr>
          <w:color w:val="0D0D0D"/>
        </w:rPr>
        <w:t>税率计提缴纳。</w:t>
      </w:r>
      <w:r>
        <w:rPr/>
      </w:r>
    </w:p>
    <w:p>
      <w:pPr>
        <w:pStyle w:val="BodyText"/>
        <w:spacing w:line="348" w:lineRule="auto" w:before="113"/>
        <w:ind w:left="573" w:right="1153"/>
        <w:jc w:val="left"/>
      </w:pPr>
      <w:r>
        <w:rPr>
          <w:color w:val="0D0D0D"/>
        </w:rPr>
        <w:t>②州所得税</w:t>
      </w:r>
      <w:r>
        <w:rPr>
          <w:rFonts w:ascii="Times New Roman" w:hAnsi="Times New Roman" w:cs="Times New Roman" w:eastAsia="Times New Roman" w:hint="default"/>
          <w:color w:val="0D0D0D"/>
        </w:rPr>
        <w:t>/</w:t>
      </w:r>
      <w:r>
        <w:rPr>
          <w:color w:val="0D0D0D"/>
        </w:rPr>
        <w:t>特许权税（</w:t>
      </w:r>
      <w:r>
        <w:rPr>
          <w:rFonts w:ascii="Times New Roman" w:hAnsi="Times New Roman" w:cs="Times New Roman" w:eastAsia="Times New Roman" w:hint="default"/>
          <w:color w:val="0D0D0D"/>
        </w:rPr>
        <w:t>state corporate income tax or franchise</w:t>
      </w:r>
      <w:r>
        <w:rPr>
          <w:rFonts w:ascii="Times New Roman" w:hAnsi="Times New Roman" w:cs="Times New Roman" w:eastAsia="Times New Roman" w:hint="default"/>
          <w:color w:val="0D0D0D"/>
          <w:spacing w:val="-4"/>
        </w:rPr>
        <w:t> </w:t>
      </w:r>
      <w:r>
        <w:rPr>
          <w:rFonts w:ascii="Times New Roman" w:hAnsi="Times New Roman" w:cs="Times New Roman" w:eastAsia="Times New Roman" w:hint="default"/>
          <w:color w:val="0D0D0D"/>
        </w:rPr>
        <w:t>tax</w:t>
      </w:r>
      <w:r>
        <w:rPr>
          <w:color w:val="0D0D0D"/>
        </w:rPr>
        <w:t>）率： 美国除联邦企业所得税外，很多州针对与该州有税务关联的企业（如在该州有财产、雇员、管理人员等）征收州所得</w:t>
      </w:r>
      <w:r>
        <w:rPr/>
      </w:r>
    </w:p>
    <w:p>
      <w:pPr>
        <w:pStyle w:val="BodyText"/>
        <w:spacing w:line="319" w:lineRule="auto"/>
        <w:ind w:right="1033"/>
        <w:jc w:val="left"/>
      </w:pPr>
      <w:r>
        <w:rPr>
          <w:color w:val="0D0D0D"/>
          <w:spacing w:val="-2"/>
        </w:rPr>
        <w:t>税或特许权税。与所得税略有差异，特许权税的税基通常不基于净利而着重于净值。一般来说，所得税负高的州特许权税负</w:t>
      </w:r>
      <w:r>
        <w:rPr>
          <w:color w:val="0D0D0D"/>
          <w:spacing w:val="-66"/>
        </w:rPr>
        <w:t> </w:t>
      </w:r>
      <w:r>
        <w:rPr>
          <w:color w:val="0D0D0D"/>
          <w:spacing w:val="-66"/>
        </w:rPr>
      </w:r>
      <w:r>
        <w:rPr>
          <w:color w:val="0D0D0D"/>
        </w:rPr>
        <w:t>则低。报告期内</w:t>
      </w:r>
      <w:r>
        <w:rPr>
          <w:rFonts w:ascii="Times New Roman" w:hAnsi="Times New Roman" w:cs="Times New Roman" w:eastAsia="Times New Roman" w:hint="default"/>
          <w:color w:val="0D0D0D"/>
        </w:rPr>
        <w:t>iTalk Global Communications</w:t>
      </w:r>
      <w:r>
        <w:rPr>
          <w:rFonts w:ascii="Times New Roman" w:hAnsi="Times New Roman" w:cs="Times New Roman" w:eastAsia="Times New Roman" w:hint="default"/>
          <w:color w:val="0D0D0D"/>
          <w:spacing w:val="-6"/>
        </w:rPr>
        <w:t> </w:t>
      </w:r>
      <w:r>
        <w:rPr>
          <w:rFonts w:ascii="Times New Roman" w:hAnsi="Times New Roman" w:cs="Times New Roman" w:eastAsia="Times New Roman" w:hint="default"/>
          <w:color w:val="0D0D0D"/>
        </w:rPr>
        <w:t>Inc.</w:t>
      </w:r>
      <w:r>
        <w:rPr>
          <w:color w:val="0D0D0D"/>
        </w:rPr>
        <w:t>在如下四个州有所得税</w:t>
      </w:r>
      <w:r>
        <w:rPr>
          <w:rFonts w:ascii="Times New Roman" w:hAnsi="Times New Roman" w:cs="Times New Roman" w:eastAsia="Times New Roman" w:hint="default"/>
          <w:color w:val="0D0D0D"/>
        </w:rPr>
        <w:t>/</w:t>
      </w:r>
      <w:r>
        <w:rPr>
          <w:color w:val="0D0D0D"/>
        </w:rPr>
        <w:t>特许权税的纳税义务：</w:t>
      </w:r>
      <w:r>
        <w:rPr/>
      </w:r>
    </w:p>
    <w:p>
      <w:pPr>
        <w:pStyle w:val="BodyText"/>
        <w:spacing w:line="302" w:lineRule="auto" w:before="46"/>
        <w:ind w:right="1129" w:firstLine="420"/>
        <w:jc w:val="both"/>
      </w:pPr>
      <w:r>
        <w:rPr>
          <w:color w:val="0D0D0D"/>
          <w:spacing w:val="-1"/>
        </w:rPr>
        <w:t>德克萨斯州：没有企业所得税，但针对收入超过</w:t>
      </w:r>
      <w:r>
        <w:rPr>
          <w:rFonts w:ascii="Times New Roman" w:hAnsi="Times New Roman" w:cs="Times New Roman" w:eastAsia="Times New Roman" w:hint="default"/>
          <w:color w:val="0D0D0D"/>
          <w:spacing w:val="-1"/>
        </w:rPr>
        <w:t>100</w:t>
      </w:r>
      <w:r>
        <w:rPr>
          <w:color w:val="0D0D0D"/>
          <w:spacing w:val="-1"/>
        </w:rPr>
        <w:t>万美元的企业其在州内所获应税收入征收特许权税。特许权税率为</w:t>
      </w:r>
      <w:r>
        <w:rPr>
          <w:color w:val="0D0D0D"/>
        </w:rPr>
        <w:t> 累进制，但最大税率不超过</w:t>
      </w:r>
      <w:r>
        <w:rPr>
          <w:rFonts w:ascii="Times New Roman" w:hAnsi="Times New Roman" w:cs="Times New Roman" w:eastAsia="Times New Roman" w:hint="default"/>
          <w:color w:val="0D0D0D"/>
        </w:rPr>
        <w:t>1%  </w:t>
      </w:r>
      <w:r>
        <w:rPr>
          <w:color w:val="0D0D0D"/>
        </w:rPr>
        <w:t>。</w:t>
      </w:r>
      <w:r>
        <w:rPr>
          <w:rFonts w:ascii="Times New Roman" w:hAnsi="Times New Roman" w:cs="Times New Roman" w:eastAsia="Times New Roman" w:hint="default"/>
          <w:color w:val="0D0D0D"/>
        </w:rPr>
        <w:t>iTalk Global Communications</w:t>
      </w:r>
      <w:r>
        <w:rPr>
          <w:rFonts w:ascii="Times New Roman" w:hAnsi="Times New Roman" w:cs="Times New Roman" w:eastAsia="Times New Roman" w:hint="default"/>
          <w:color w:val="0D0D0D"/>
          <w:spacing w:val="-24"/>
        </w:rPr>
        <w:t> </w:t>
      </w:r>
      <w:r>
        <w:rPr>
          <w:rFonts w:ascii="Times New Roman" w:hAnsi="Times New Roman" w:cs="Times New Roman" w:eastAsia="Times New Roman" w:hint="default"/>
          <w:color w:val="0D0D0D"/>
        </w:rPr>
        <w:t>Inc.</w:t>
      </w:r>
      <w:r>
        <w:rPr>
          <w:color w:val="0D0D0D"/>
        </w:rPr>
        <w:t>报告期内适用税率为</w:t>
      </w:r>
      <w:r>
        <w:rPr>
          <w:rFonts w:ascii="Times New Roman" w:hAnsi="Times New Roman" w:cs="Times New Roman" w:eastAsia="Times New Roman" w:hint="default"/>
          <w:color w:val="0D0D0D"/>
        </w:rPr>
        <w:t>1%</w:t>
      </w:r>
      <w:r>
        <w:rPr>
          <w:color w:val="0D0D0D"/>
        </w:rPr>
        <w:t>。</w:t>
      </w:r>
      <w:r>
        <w:rPr/>
      </w:r>
    </w:p>
    <w:p>
      <w:pPr>
        <w:pStyle w:val="BodyText"/>
        <w:spacing w:line="300" w:lineRule="auto" w:before="60"/>
        <w:ind w:right="1171" w:firstLine="420"/>
        <w:jc w:val="both"/>
      </w:pPr>
      <w:r>
        <w:rPr>
          <w:color w:val="0D0D0D"/>
        </w:rPr>
        <w:t>加利福尼亚州：在应纳所得税额不低于最小特许权税额的情况下，企业所得税税率为</w:t>
      </w:r>
      <w:r>
        <w:rPr>
          <w:color w:val="0D0D0D"/>
          <w:spacing w:val="-18"/>
        </w:rPr>
        <w:t> </w:t>
      </w:r>
      <w:r>
        <w:rPr>
          <w:rFonts w:ascii="Times New Roman" w:hAnsi="Times New Roman" w:cs="Times New Roman" w:eastAsia="Times New Roman" w:hint="default"/>
          <w:color w:val="0D0D0D"/>
        </w:rPr>
        <w:t>8.84%</w:t>
      </w:r>
      <w:r>
        <w:rPr>
          <w:color w:val="0D0D0D"/>
        </w:rPr>
        <w:t>（税基为州内所获应税净 利或按指定方法分配计算的州内所获应税净利）。</w:t>
      </w:r>
      <w:r>
        <w:rPr/>
      </w:r>
    </w:p>
    <w:p>
      <w:pPr>
        <w:pStyle w:val="BodyText"/>
        <w:spacing w:line="348" w:lineRule="auto" w:before="82"/>
        <w:ind w:left="574" w:right="3387"/>
        <w:jc w:val="left"/>
      </w:pPr>
      <w:r>
        <w:rPr>
          <w:color w:val="0D0D0D"/>
        </w:rPr>
        <w:t>马里兰州：企业所得税率为</w:t>
      </w:r>
      <w:r>
        <w:rPr>
          <w:rFonts w:ascii="Times New Roman" w:hAnsi="Times New Roman" w:cs="Times New Roman" w:eastAsia="Times New Roman" w:hint="default"/>
          <w:color w:val="0D0D0D"/>
        </w:rPr>
        <w:t>8.25%</w:t>
      </w:r>
      <w:r>
        <w:rPr>
          <w:color w:val="0D0D0D"/>
        </w:rPr>
        <w:t>（税基为按指定方法分配计算的州内所获应税净利）。 维吉尼亚州：企业所得税率为</w:t>
      </w:r>
      <w:r>
        <w:rPr>
          <w:rFonts w:ascii="Times New Roman" w:hAnsi="Times New Roman" w:cs="Times New Roman" w:eastAsia="Times New Roman" w:hint="default"/>
          <w:color w:val="0D0D0D"/>
        </w:rPr>
        <w:t>6%</w:t>
      </w:r>
      <w:r>
        <w:rPr>
          <w:color w:val="0D0D0D"/>
        </w:rPr>
        <w:t>（税基为按指定方法分配计算的州内所获应税净利）。</w:t>
      </w:r>
      <w:r>
        <w:rPr/>
      </w:r>
    </w:p>
    <w:p>
      <w:pPr>
        <w:pStyle w:val="BodyText"/>
        <w:spacing w:line="240" w:lineRule="auto" w:before="23"/>
        <w:ind w:left="573" w:right="1033"/>
        <w:jc w:val="left"/>
      </w:pPr>
      <w:r>
        <w:rPr>
          <w:color w:val="0D0D0D"/>
        </w:rPr>
        <w:t>（</w:t>
      </w:r>
      <w:r>
        <w:rPr>
          <w:rFonts w:ascii="Times New Roman" w:hAnsi="Times New Roman" w:cs="Times New Roman" w:eastAsia="Times New Roman" w:hint="default"/>
          <w:color w:val="0D0D0D"/>
        </w:rPr>
        <w:t>9</w:t>
      </w:r>
      <w:r>
        <w:rPr>
          <w:color w:val="0D0D0D"/>
        </w:rPr>
        <w:t>）新加坡企业所得税税率为</w:t>
      </w:r>
      <w:r>
        <w:rPr>
          <w:rFonts w:ascii="Times New Roman" w:hAnsi="Times New Roman" w:cs="Times New Roman" w:eastAsia="Times New Roman" w:hint="default"/>
          <w:color w:val="0D0D0D"/>
        </w:rPr>
        <w:t>17%</w:t>
      </w:r>
      <w:r>
        <w:rPr>
          <w:color w:val="0D0D0D"/>
        </w:rPr>
        <w:t>，</w:t>
      </w:r>
      <w:r>
        <w:rPr>
          <w:rFonts w:ascii="Times New Roman" w:hAnsi="Times New Roman" w:cs="Times New Roman" w:eastAsia="Times New Roman" w:hint="default"/>
          <w:color w:val="0D0D0D"/>
        </w:rPr>
        <w:t>iTalkBB Singapore Pte,</w:t>
      </w:r>
      <w:r>
        <w:rPr>
          <w:rFonts w:ascii="Times New Roman" w:hAnsi="Times New Roman" w:cs="Times New Roman" w:eastAsia="Times New Roman" w:hint="default"/>
          <w:color w:val="0D0D0D"/>
          <w:spacing w:val="-6"/>
        </w:rPr>
        <w:t> </w:t>
      </w:r>
      <w:r>
        <w:rPr>
          <w:rFonts w:ascii="Times New Roman" w:hAnsi="Times New Roman" w:cs="Times New Roman" w:eastAsia="Times New Roman" w:hint="default"/>
          <w:color w:val="0D0D0D"/>
        </w:rPr>
        <w:t>Ltd.</w:t>
      </w:r>
      <w:r>
        <w:rPr>
          <w:color w:val="0D0D0D"/>
        </w:rPr>
        <w:t>处于累计亏损状态，不存在所得税纳税义务。</w:t>
      </w:r>
      <w:r>
        <w:rPr/>
      </w:r>
    </w:p>
    <w:p>
      <w:pPr>
        <w:pStyle w:val="BodyText"/>
        <w:spacing w:line="240" w:lineRule="auto" w:before="113"/>
        <w:ind w:left="580" w:right="1033"/>
        <w:jc w:val="left"/>
      </w:pPr>
      <w:r>
        <w:rPr>
          <w:color w:val="0D0D0D"/>
        </w:rPr>
        <w:t>（</w:t>
      </w:r>
      <w:r>
        <w:rPr>
          <w:rFonts w:ascii="Times New Roman" w:hAnsi="Times New Roman" w:cs="Times New Roman" w:eastAsia="Times New Roman" w:hint="default"/>
          <w:color w:val="0D0D0D"/>
        </w:rPr>
        <w:t>10</w:t>
      </w:r>
      <w:r>
        <w:rPr>
          <w:color w:val="0D0D0D"/>
        </w:rPr>
        <w:t>）</w:t>
      </w:r>
      <w:r>
        <w:rPr>
          <w:rFonts w:ascii="Times New Roman" w:hAnsi="Times New Roman" w:cs="Times New Roman" w:eastAsia="Times New Roman" w:hint="default"/>
          <w:color w:val="0D0D0D"/>
        </w:rPr>
        <w:t>iTalkBB Canada</w:t>
      </w:r>
      <w:r>
        <w:rPr>
          <w:rFonts w:ascii="Times New Roman" w:hAnsi="Times New Roman" w:cs="Times New Roman" w:eastAsia="Times New Roman" w:hint="default"/>
          <w:color w:val="0D0D0D"/>
          <w:spacing w:val="-5"/>
        </w:rPr>
        <w:t> </w:t>
      </w:r>
      <w:r>
        <w:rPr>
          <w:rFonts w:ascii="Times New Roman" w:hAnsi="Times New Roman" w:cs="Times New Roman" w:eastAsia="Times New Roman" w:hint="default"/>
          <w:color w:val="0D0D0D"/>
        </w:rPr>
        <w:t>Inc.</w:t>
      </w:r>
      <w:r>
        <w:rPr>
          <w:color w:val="0D0D0D"/>
        </w:rPr>
        <w:t>为在加拿大安大略省注册的公司，应缴纳所得税情况如下：</w:t>
      </w:r>
      <w:r>
        <w:rPr/>
      </w:r>
    </w:p>
    <w:p>
      <w:pPr>
        <w:spacing w:line="240" w:lineRule="auto" w:before="12"/>
        <w:rPr>
          <w:rFonts w:ascii="宋体" w:hAnsi="宋体" w:cs="宋体" w:eastAsia="宋体" w:hint="default"/>
          <w:sz w:val="6"/>
          <w:szCs w:val="6"/>
        </w:rPr>
      </w:pPr>
    </w:p>
    <w:tbl>
      <w:tblPr>
        <w:tblW w:w="0" w:type="auto"/>
        <w:jc w:val="left"/>
        <w:tblInd w:w="785" w:type="dxa"/>
        <w:tblLayout w:type="fixed"/>
        <w:tblCellMar>
          <w:top w:w="0" w:type="dxa"/>
          <w:left w:w="0" w:type="dxa"/>
          <w:bottom w:w="0" w:type="dxa"/>
          <w:right w:w="0" w:type="dxa"/>
        </w:tblCellMar>
        <w:tblLook w:val="01E0"/>
      </w:tblPr>
      <w:tblGrid>
        <w:gridCol w:w="4209"/>
        <w:gridCol w:w="4154"/>
      </w:tblGrid>
      <w:tr>
        <w:trPr>
          <w:trHeight w:val="427" w:hRule="exact"/>
        </w:trPr>
        <w:tc>
          <w:tcPr>
            <w:tcW w:w="42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公司名称</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889" w:right="0"/>
              <w:jc w:val="left"/>
              <w:rPr>
                <w:rFonts w:ascii="宋体" w:hAnsi="宋体" w:cs="宋体" w:eastAsia="宋体" w:hint="default"/>
                <w:sz w:val="18"/>
                <w:szCs w:val="18"/>
              </w:rPr>
            </w:pPr>
            <w:r>
              <w:rPr>
                <w:rFonts w:ascii="宋体" w:hAnsi="宋体" w:cs="宋体" w:eastAsia="宋体" w:hint="default"/>
                <w:color w:val="0D0D0D"/>
                <w:sz w:val="18"/>
                <w:szCs w:val="18"/>
              </w:rPr>
              <w:t>税率</w:t>
            </w:r>
            <w:r>
              <w:rPr>
                <w:rFonts w:ascii="宋体" w:hAnsi="宋体" w:cs="宋体" w:eastAsia="宋体" w:hint="default"/>
                <w:sz w:val="18"/>
                <w:szCs w:val="18"/>
              </w:rPr>
            </w:r>
          </w:p>
        </w:tc>
      </w:tr>
      <w:tr>
        <w:trPr>
          <w:trHeight w:val="427" w:hRule="exact"/>
        </w:trPr>
        <w:tc>
          <w:tcPr>
            <w:tcW w:w="4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联邦所得税</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4" w:right="0"/>
              <w:jc w:val="left"/>
              <w:rPr>
                <w:rFonts w:ascii="Times New Roman" w:hAnsi="Times New Roman" w:cs="Times New Roman" w:eastAsia="Times New Roman" w:hint="default"/>
                <w:sz w:val="18"/>
                <w:szCs w:val="18"/>
              </w:rPr>
            </w:pPr>
            <w:r>
              <w:rPr>
                <w:rFonts w:ascii="Times New Roman"/>
                <w:color w:val="0D0D0D"/>
                <w:sz w:val="18"/>
              </w:rPr>
              <w:t>15%</w:t>
            </w:r>
            <w:r>
              <w:rPr>
                <w:rFonts w:ascii="Times New Roman"/>
                <w:sz w:val="18"/>
              </w:rPr>
            </w:r>
          </w:p>
        </w:tc>
      </w:tr>
      <w:tr>
        <w:trPr>
          <w:trHeight w:val="427" w:hRule="exact"/>
        </w:trPr>
        <w:tc>
          <w:tcPr>
            <w:tcW w:w="4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安大略省所得税</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4" w:right="0"/>
              <w:jc w:val="left"/>
              <w:rPr>
                <w:rFonts w:ascii="Times New Roman" w:hAnsi="Times New Roman" w:cs="Times New Roman" w:eastAsia="Times New Roman" w:hint="default"/>
                <w:sz w:val="18"/>
                <w:szCs w:val="18"/>
              </w:rPr>
            </w:pPr>
            <w:r>
              <w:rPr>
                <w:rFonts w:ascii="Times New Roman"/>
                <w:color w:val="0D0D0D"/>
                <w:sz w:val="18"/>
              </w:rPr>
              <w:t>11%</w:t>
            </w:r>
            <w:r>
              <w:rPr>
                <w:rFonts w:ascii="Times New Roman"/>
                <w:sz w:val="18"/>
              </w:rPr>
            </w:r>
          </w:p>
        </w:tc>
      </w:tr>
    </w:tbl>
    <w:p>
      <w:pPr>
        <w:spacing w:line="240" w:lineRule="auto" w:before="9"/>
        <w:rPr>
          <w:rFonts w:ascii="宋体" w:hAnsi="宋体" w:cs="宋体" w:eastAsia="宋体" w:hint="default"/>
          <w:sz w:val="6"/>
          <w:szCs w:val="6"/>
        </w:rPr>
      </w:pPr>
    </w:p>
    <w:p>
      <w:pPr>
        <w:pStyle w:val="BodyText"/>
        <w:spacing w:line="240" w:lineRule="auto" w:before="44"/>
        <w:ind w:left="514" w:right="1033"/>
        <w:jc w:val="left"/>
      </w:pPr>
      <w:r>
        <w:rPr>
          <w:color w:val="0D0D0D"/>
        </w:rPr>
        <w:t>（</w:t>
      </w:r>
      <w:r>
        <w:rPr>
          <w:rFonts w:ascii="Times New Roman" w:hAnsi="Times New Roman" w:cs="Times New Roman" w:eastAsia="Times New Roman" w:hint="default"/>
          <w:color w:val="0D0D0D"/>
        </w:rPr>
        <w:t>11</w:t>
      </w:r>
      <w:r>
        <w:rPr>
          <w:color w:val="0D0D0D"/>
        </w:rPr>
        <w:t>）</w:t>
      </w:r>
      <w:r>
        <w:rPr>
          <w:rFonts w:ascii="Times New Roman" w:hAnsi="Times New Roman" w:cs="Times New Roman" w:eastAsia="Times New Roman" w:hint="default"/>
          <w:color w:val="0D0D0D"/>
        </w:rPr>
        <w:t>iTalkBB</w:t>
      </w:r>
      <w:r>
        <w:rPr>
          <w:rFonts w:ascii="Times New Roman" w:hAnsi="Times New Roman" w:cs="Times New Roman" w:eastAsia="Times New Roman" w:hint="default"/>
          <w:color w:val="0D0D0D"/>
          <w:spacing w:val="-7"/>
        </w:rPr>
        <w:t> </w:t>
      </w:r>
      <w:r>
        <w:rPr>
          <w:rFonts w:ascii="Times New Roman" w:hAnsi="Times New Roman" w:cs="Times New Roman" w:eastAsia="Times New Roman" w:hint="default"/>
          <w:color w:val="0D0D0D"/>
        </w:rPr>
        <w:t>Australia</w:t>
      </w:r>
      <w:r>
        <w:rPr>
          <w:color w:val="0D0D0D"/>
        </w:rPr>
        <w:t>公司依据澳大利亚企业所得税的规定，适用于小企业</w:t>
      </w:r>
      <w:r>
        <w:rPr>
          <w:rFonts w:ascii="Times New Roman" w:hAnsi="Times New Roman" w:cs="Times New Roman" w:eastAsia="Times New Roman" w:hint="default"/>
          <w:color w:val="0D0D0D"/>
        </w:rPr>
        <w:t>28.5%</w:t>
      </w:r>
      <w:r>
        <w:rPr>
          <w:color w:val="0D0D0D"/>
        </w:rPr>
        <w:t>税率。</w:t>
      </w:r>
      <w:r>
        <w:rPr/>
      </w:r>
    </w:p>
    <w:p>
      <w:pPr>
        <w:spacing w:line="240" w:lineRule="auto" w:before="13"/>
        <w:rPr>
          <w:rFonts w:ascii="宋体" w:hAnsi="宋体" w:cs="宋体" w:eastAsia="宋体" w:hint="default"/>
          <w:sz w:val="13"/>
          <w:szCs w:val="13"/>
        </w:rPr>
      </w:pPr>
    </w:p>
    <w:p>
      <w:pPr>
        <w:pStyle w:val="BodyText"/>
        <w:spacing w:line="300" w:lineRule="auto"/>
        <w:ind w:right="1176" w:firstLine="388"/>
        <w:jc w:val="left"/>
      </w:pPr>
      <w:r>
        <w:rPr>
          <w:color w:val="0D0D0D"/>
        </w:rPr>
        <w:t>（</w:t>
      </w:r>
      <w:r>
        <w:rPr>
          <w:rFonts w:ascii="Times New Roman" w:hAnsi="Times New Roman" w:cs="Times New Roman" w:eastAsia="Times New Roman" w:hint="default"/>
          <w:color w:val="0D0D0D"/>
        </w:rPr>
        <w:t>12</w:t>
      </w:r>
      <w:r>
        <w:rPr>
          <w:color w:val="0D0D0D"/>
        </w:rPr>
        <w:t>）</w:t>
      </w:r>
      <w:r>
        <w:rPr>
          <w:rFonts w:ascii="Times New Roman" w:hAnsi="Times New Roman" w:cs="Times New Roman" w:eastAsia="Times New Roman" w:hint="default"/>
          <w:color w:val="0D0D0D"/>
        </w:rPr>
        <w:t>United Wise Services</w:t>
      </w:r>
      <w:r>
        <w:rPr>
          <w:rFonts w:ascii="Times New Roman" w:hAnsi="Times New Roman" w:cs="Times New Roman" w:eastAsia="Times New Roman" w:hint="default"/>
          <w:color w:val="0D0D0D"/>
          <w:spacing w:val="-5"/>
        </w:rPr>
        <w:t> </w:t>
      </w:r>
      <w:r>
        <w:rPr>
          <w:rFonts w:ascii="Times New Roman" w:hAnsi="Times New Roman" w:cs="Times New Roman" w:eastAsia="Times New Roman" w:hint="default"/>
          <w:color w:val="0D0D0D"/>
        </w:rPr>
        <w:t>Limited</w:t>
      </w:r>
      <w:r>
        <w:rPr>
          <w:color w:val="0D0D0D"/>
        </w:rPr>
        <w:t>：系设立在英属维尔京群岛的公司，依据英属维尔京群岛商业公司法，离岸公司不 需向政府缴纳任何税项。</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3" w:right="1033"/>
        <w:jc w:val="left"/>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3" w:right="1033"/>
        <w:jc w:val="left"/>
      </w:pPr>
      <w:r>
        <w:rPr>
          <w:color w:val="0D0D0D"/>
        </w:rPr>
        <w:t>（</w:t>
      </w:r>
      <w:r>
        <w:rPr>
          <w:rFonts w:ascii="Times New Roman" w:hAnsi="Times New Roman" w:cs="Times New Roman" w:eastAsia="Times New Roman" w:hint="default"/>
          <w:color w:val="0D0D0D"/>
        </w:rPr>
        <w:t>1</w:t>
      </w:r>
      <w:r>
        <w:rPr>
          <w:color w:val="0D0D0D"/>
        </w:rPr>
        <w:t>）根据国家营改增政策，本公司及所属子公司提供增值电信业务、现代服务业的技术开发、技术服务业务按</w:t>
      </w:r>
      <w:r>
        <w:rPr>
          <w:rFonts w:ascii="Times New Roman" w:hAnsi="Times New Roman" w:cs="Times New Roman" w:eastAsia="Times New Roman" w:hint="default"/>
          <w:color w:val="0D0D0D"/>
        </w:rPr>
        <w:t>6%</w:t>
      </w:r>
      <w:r>
        <w:rPr>
          <w:color w:val="0D0D0D"/>
        </w:rPr>
        <w:t>征</w:t>
      </w:r>
      <w:r>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color w:val="0D0D0D"/>
        </w:rPr>
        <w:t>收增值税。</w:t>
      </w:r>
      <w:r>
        <w:rPr/>
      </w:r>
    </w:p>
    <w:p>
      <w:pPr>
        <w:pStyle w:val="BodyText"/>
        <w:spacing w:line="302" w:lineRule="auto" w:before="115"/>
        <w:ind w:right="1183" w:firstLine="420"/>
        <w:jc w:val="left"/>
      </w:pPr>
      <w:r>
        <w:rPr>
          <w:color w:val="0D0D0D"/>
        </w:rPr>
        <w:t>本公司销售使用过的</w:t>
      </w:r>
      <w:r>
        <w:rPr>
          <w:rFonts w:ascii="Times New Roman" w:hAnsi="Times New Roman" w:cs="Times New Roman" w:eastAsia="Times New Roman" w:hint="default"/>
          <w:color w:val="0D0D0D"/>
        </w:rPr>
        <w:t>2009</w:t>
      </w:r>
      <w:r>
        <w:rPr>
          <w:color w:val="0D0D0D"/>
        </w:rPr>
        <w:t>年</w:t>
      </w:r>
      <w:r>
        <w:rPr>
          <w:rFonts w:ascii="Times New Roman" w:hAnsi="Times New Roman" w:cs="Times New Roman" w:eastAsia="Times New Roman" w:hint="default"/>
          <w:color w:val="0D0D0D"/>
        </w:rPr>
        <w:t>1</w:t>
      </w:r>
      <w:r>
        <w:rPr>
          <w:color w:val="0D0D0D"/>
        </w:rPr>
        <w:t>月</w:t>
      </w:r>
      <w:r>
        <w:rPr>
          <w:rFonts w:ascii="Times New Roman" w:hAnsi="Times New Roman" w:cs="Times New Roman" w:eastAsia="Times New Roman" w:hint="default"/>
          <w:color w:val="0D0D0D"/>
        </w:rPr>
        <w:t>1</w:t>
      </w:r>
      <w:r>
        <w:rPr>
          <w:color w:val="0D0D0D"/>
        </w:rPr>
        <w:t>日以后购进的固定资产，按照</w:t>
      </w:r>
      <w:r>
        <w:rPr>
          <w:rFonts w:ascii="Times New Roman" w:hAnsi="Times New Roman" w:cs="Times New Roman" w:eastAsia="Times New Roman" w:hint="default"/>
          <w:color w:val="0D0D0D"/>
        </w:rPr>
        <w:t>17%</w:t>
      </w:r>
      <w:r>
        <w:rPr>
          <w:color w:val="0D0D0D"/>
        </w:rPr>
        <w:t>申报纳税；销售使用过的</w:t>
      </w:r>
      <w:r>
        <w:rPr>
          <w:rFonts w:ascii="Times New Roman" w:hAnsi="Times New Roman" w:cs="Times New Roman" w:eastAsia="Times New Roman" w:hint="default"/>
          <w:color w:val="0D0D0D"/>
        </w:rPr>
        <w:t>2008</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日以前购进 的固定资产，按照</w:t>
      </w:r>
      <w:r>
        <w:rPr>
          <w:rFonts w:ascii="Times New Roman" w:hAnsi="Times New Roman" w:cs="Times New Roman" w:eastAsia="Times New Roman" w:hint="default"/>
          <w:color w:val="0D0D0D"/>
        </w:rPr>
        <w:t>4%</w:t>
      </w:r>
      <w:r>
        <w:rPr>
          <w:color w:val="0D0D0D"/>
        </w:rPr>
        <w:t>征收率减半申报纳税。</w:t>
      </w:r>
      <w:r>
        <w:rPr/>
      </w:r>
    </w:p>
    <w:p>
      <w:pPr>
        <w:pStyle w:val="BodyText"/>
        <w:spacing w:line="302" w:lineRule="auto" w:before="50"/>
        <w:ind w:right="1033" w:firstLine="420"/>
        <w:jc w:val="left"/>
      </w:pPr>
      <w:r>
        <w:rPr>
          <w:color w:val="0D0D0D"/>
        </w:rPr>
        <w:t>根据国家税务总局</w:t>
      </w:r>
      <w:r>
        <w:rPr>
          <w:rFonts w:ascii="Times New Roman" w:hAnsi="Times New Roman" w:cs="Times New Roman" w:eastAsia="Times New Roman" w:hint="default"/>
          <w:color w:val="0D0D0D"/>
        </w:rPr>
        <w:t>2014</w:t>
      </w:r>
      <w:r>
        <w:rPr>
          <w:color w:val="0D0D0D"/>
        </w:rPr>
        <w:t>年第</w:t>
      </w:r>
      <w:r>
        <w:rPr>
          <w:rFonts w:ascii="Times New Roman" w:hAnsi="Times New Roman" w:cs="Times New Roman" w:eastAsia="Times New Roman" w:hint="default"/>
          <w:color w:val="0D0D0D"/>
        </w:rPr>
        <w:t>49</w:t>
      </w:r>
      <w:r>
        <w:rPr>
          <w:color w:val="0D0D0D"/>
        </w:rPr>
        <w:t>号</w:t>
      </w:r>
      <w:r>
        <w:rPr>
          <w:rFonts w:ascii="Times New Roman" w:hAnsi="Times New Roman" w:cs="Times New Roman" w:eastAsia="Times New Roman" w:hint="default"/>
          <w:color w:val="0D0D0D"/>
        </w:rPr>
        <w:t>“</w:t>
      </w:r>
      <w:r>
        <w:rPr>
          <w:color w:val="0D0D0D"/>
        </w:rPr>
        <w:t>营业税改征增值税跨境应税服务增值税免税管理办法（试行）</w:t>
      </w:r>
      <w:r>
        <w:rPr>
          <w:rFonts w:ascii="Times New Roman" w:hAnsi="Times New Roman" w:cs="Times New Roman" w:eastAsia="Times New Roman" w:hint="default"/>
          <w:color w:val="0D0D0D"/>
        </w:rPr>
        <w:t>”</w:t>
      </w:r>
      <w:r>
        <w:rPr>
          <w:color w:val="0D0D0D"/>
        </w:rPr>
        <w:t>文的有关政策规定， </w:t>
      </w:r>
      <w:r>
        <w:rPr>
          <w:color w:val="0D0D0D"/>
          <w:spacing w:val="-5"/>
        </w:rPr>
        <w:t>自</w:t>
      </w:r>
      <w:r>
        <w:rPr>
          <w:rFonts w:ascii="Times New Roman" w:hAnsi="Times New Roman" w:cs="Times New Roman" w:eastAsia="Times New Roman" w:hint="default"/>
          <w:color w:val="0D0D0D"/>
          <w:spacing w:val="-5"/>
        </w:rPr>
        <w:t>2014</w:t>
      </w:r>
      <w:r>
        <w:rPr>
          <w:color w:val="0D0D0D"/>
          <w:spacing w:val="-5"/>
        </w:rPr>
        <w:t>年</w:t>
      </w:r>
      <w:r>
        <w:rPr>
          <w:rFonts w:ascii="Times New Roman" w:hAnsi="Times New Roman" w:cs="Times New Roman" w:eastAsia="Times New Roman" w:hint="default"/>
          <w:color w:val="0D0D0D"/>
          <w:spacing w:val="-5"/>
        </w:rPr>
        <w:t>1</w:t>
      </w:r>
      <w:r>
        <w:rPr>
          <w:color w:val="0D0D0D"/>
          <w:spacing w:val="-5"/>
        </w:rPr>
        <w:t>月</w:t>
      </w:r>
      <w:r>
        <w:rPr>
          <w:rFonts w:ascii="Times New Roman" w:hAnsi="Times New Roman" w:cs="Times New Roman" w:eastAsia="Times New Roman" w:hint="default"/>
          <w:color w:val="0D0D0D"/>
          <w:spacing w:val="-5"/>
        </w:rPr>
        <w:t>1</w:t>
      </w:r>
      <w:r>
        <w:rPr>
          <w:color w:val="0D0D0D"/>
          <w:spacing w:val="-5"/>
        </w:rPr>
        <w:t>日至</w:t>
      </w:r>
      <w:r>
        <w:rPr>
          <w:rFonts w:ascii="Times New Roman" w:hAnsi="Times New Roman" w:cs="Times New Roman" w:eastAsia="Times New Roman" w:hint="default"/>
          <w:color w:val="0D0D0D"/>
          <w:spacing w:val="-5"/>
        </w:rPr>
        <w:t>2018</w:t>
      </w:r>
      <w:r>
        <w:rPr>
          <w:color w:val="0D0D0D"/>
          <w:spacing w:val="-5"/>
        </w:rPr>
        <w:t>年</w:t>
      </w:r>
      <w:r>
        <w:rPr>
          <w:rFonts w:ascii="Times New Roman" w:hAnsi="Times New Roman" w:cs="Times New Roman" w:eastAsia="Times New Roman" w:hint="default"/>
          <w:color w:val="0D0D0D"/>
          <w:spacing w:val="-5"/>
        </w:rPr>
        <w:t>12</w:t>
      </w:r>
      <w:r>
        <w:rPr>
          <w:color w:val="0D0D0D"/>
          <w:spacing w:val="-5"/>
        </w:rPr>
        <w:t>月</w:t>
      </w:r>
      <w:r>
        <w:rPr>
          <w:rFonts w:ascii="Times New Roman" w:hAnsi="Times New Roman" w:cs="Times New Roman" w:eastAsia="Times New Roman" w:hint="default"/>
          <w:color w:val="0D0D0D"/>
          <w:spacing w:val="-5"/>
        </w:rPr>
        <w:t>31</w:t>
      </w:r>
      <w:r>
        <w:rPr>
          <w:color w:val="0D0D0D"/>
          <w:spacing w:val="-5"/>
        </w:rPr>
        <w:t>日，网络科技公司、软件技术公司、首都在线公司向境外单位提供技术转让服务免征增值税。</w:t>
      </w:r>
      <w:r>
        <w:rPr>
          <w:spacing w:val="-5"/>
        </w:rPr>
      </w:r>
    </w:p>
    <w:p>
      <w:pPr>
        <w:pStyle w:val="BodyText"/>
        <w:spacing w:line="240" w:lineRule="auto" w:before="50"/>
        <w:ind w:left="573" w:right="1033"/>
        <w:jc w:val="left"/>
      </w:pPr>
      <w:r>
        <w:rPr>
          <w:color w:val="0D0D0D"/>
        </w:rPr>
        <w:t>（</w:t>
      </w:r>
      <w:r>
        <w:rPr>
          <w:rFonts w:ascii="Times New Roman" w:hAnsi="Times New Roman" w:cs="Times New Roman" w:eastAsia="Times New Roman" w:hint="default"/>
          <w:color w:val="0D0D0D"/>
        </w:rPr>
        <w:t>2</w:t>
      </w:r>
      <w:r>
        <w:rPr>
          <w:color w:val="0D0D0D"/>
        </w:rPr>
        <w:t>）美国销售税</w:t>
      </w:r>
      <w:r>
        <w:rPr/>
      </w:r>
    </w:p>
    <w:p>
      <w:pPr>
        <w:spacing w:line="240" w:lineRule="auto" w:before="12"/>
        <w:rPr>
          <w:rFonts w:ascii="宋体" w:hAnsi="宋体" w:cs="宋体" w:eastAsia="宋体" w:hint="default"/>
          <w:sz w:val="6"/>
          <w:szCs w:val="6"/>
        </w:rPr>
      </w:pPr>
    </w:p>
    <w:tbl>
      <w:tblPr>
        <w:tblW w:w="0" w:type="auto"/>
        <w:jc w:val="left"/>
        <w:tblInd w:w="785" w:type="dxa"/>
        <w:tblLayout w:type="fixed"/>
        <w:tblCellMar>
          <w:top w:w="0" w:type="dxa"/>
          <w:left w:w="0" w:type="dxa"/>
          <w:bottom w:w="0" w:type="dxa"/>
          <w:right w:w="0" w:type="dxa"/>
        </w:tblCellMar>
        <w:tblLook w:val="01E0"/>
      </w:tblPr>
      <w:tblGrid>
        <w:gridCol w:w="2161"/>
        <w:gridCol w:w="2030"/>
        <w:gridCol w:w="2030"/>
        <w:gridCol w:w="2141"/>
      </w:tblGrid>
      <w:tr>
        <w:trPr>
          <w:trHeight w:val="427" w:hRule="exact"/>
        </w:trPr>
        <w:tc>
          <w:tcPr>
            <w:tcW w:w="2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税目</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州名</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纳税（费）基础</w:t>
            </w:r>
            <w:r>
              <w:rPr>
                <w:rFonts w:ascii="宋体" w:hAnsi="宋体" w:cs="宋体" w:eastAsia="宋体" w:hint="default"/>
                <w:sz w:val="18"/>
                <w:szCs w:val="18"/>
              </w:rPr>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税（费）率</w:t>
            </w:r>
            <w:r>
              <w:rPr>
                <w:rFonts w:ascii="宋体" w:hAnsi="宋体" w:cs="宋体" w:eastAsia="宋体" w:hint="default"/>
                <w:sz w:val="18"/>
                <w:szCs w:val="18"/>
              </w:rPr>
            </w:r>
          </w:p>
        </w:tc>
      </w:tr>
      <w:tr>
        <w:trPr>
          <w:trHeight w:val="427"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 w:right="0"/>
              <w:jc w:val="center"/>
              <w:rPr>
                <w:rFonts w:ascii="宋体" w:hAnsi="宋体" w:cs="宋体" w:eastAsia="宋体" w:hint="default"/>
                <w:sz w:val="18"/>
                <w:szCs w:val="18"/>
              </w:rPr>
            </w:pPr>
            <w:r>
              <w:rPr>
                <w:rFonts w:ascii="宋体" w:hAnsi="宋体" w:cs="宋体" w:eastAsia="宋体" w:hint="default"/>
                <w:color w:val="0D0D0D"/>
                <w:sz w:val="18"/>
                <w:szCs w:val="18"/>
              </w:rPr>
              <w:t>销售税</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Texas</w:t>
            </w:r>
            <w:r>
              <w:rPr>
                <w:rFonts w:ascii="宋体" w:hAnsi="宋体" w:cs="宋体" w:eastAsia="宋体" w:hint="default"/>
                <w:color w:val="0D0D0D"/>
                <w:sz w:val="18"/>
                <w:szCs w:val="18"/>
              </w:rPr>
              <w:t>德克萨斯</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VoIP</w:t>
            </w:r>
            <w:r>
              <w:rPr>
                <w:rFonts w:ascii="宋体" w:hAnsi="宋体" w:cs="宋体" w:eastAsia="宋体" w:hint="default"/>
                <w:color w:val="0D0D0D"/>
                <w:spacing w:val="-4"/>
                <w:sz w:val="18"/>
                <w:szCs w:val="18"/>
              </w:rPr>
              <w:t>服务收入</w:t>
            </w:r>
            <w:r>
              <w:rPr>
                <w:rFonts w:ascii="宋体" w:hAnsi="宋体" w:cs="宋体" w:eastAsia="宋体" w:hint="default"/>
                <w:spacing w:val="-4"/>
                <w:sz w:val="18"/>
                <w:szCs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8.25%</w:t>
            </w:r>
            <w:r>
              <w:rPr>
                <w:rFonts w:ascii="Times New Roman"/>
                <w:sz w:val="18"/>
              </w:rPr>
            </w:r>
          </w:p>
        </w:tc>
      </w:tr>
      <w:tr>
        <w:trPr>
          <w:trHeight w:val="427"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销售税</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Virginia</w:t>
            </w:r>
            <w:r>
              <w:rPr>
                <w:rFonts w:ascii="Times New Roman" w:hAnsi="Times New Roman" w:cs="Times New Roman" w:eastAsia="Times New Roman" w:hint="default"/>
                <w:color w:val="0D0D0D"/>
                <w:spacing w:val="25"/>
                <w:sz w:val="18"/>
                <w:szCs w:val="18"/>
              </w:rPr>
              <w:t> </w:t>
            </w:r>
            <w:r>
              <w:rPr>
                <w:rFonts w:ascii="宋体" w:hAnsi="宋体" w:cs="宋体" w:eastAsia="宋体" w:hint="default"/>
                <w:color w:val="0D0D0D"/>
                <w:sz w:val="18"/>
                <w:szCs w:val="18"/>
              </w:rPr>
              <w:t>弗吉尼亚</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VoIP</w:t>
            </w:r>
            <w:r>
              <w:rPr>
                <w:rFonts w:ascii="宋体" w:hAnsi="宋体" w:cs="宋体" w:eastAsia="宋体" w:hint="default"/>
                <w:color w:val="0D0D0D"/>
                <w:spacing w:val="-4"/>
                <w:sz w:val="18"/>
                <w:szCs w:val="18"/>
              </w:rPr>
              <w:t>服务收入</w:t>
            </w:r>
            <w:r>
              <w:rPr>
                <w:rFonts w:ascii="宋体" w:hAnsi="宋体" w:cs="宋体" w:eastAsia="宋体" w:hint="default"/>
                <w:spacing w:val="-4"/>
                <w:sz w:val="18"/>
                <w:szCs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5%</w:t>
            </w:r>
            <w:r>
              <w:rPr>
                <w:rFonts w:ascii="Times New Roman"/>
                <w:sz w:val="18"/>
              </w:rPr>
            </w:r>
          </w:p>
        </w:tc>
      </w:tr>
    </w:tbl>
    <w:p>
      <w:pPr>
        <w:pStyle w:val="BodyText"/>
        <w:spacing w:line="302" w:lineRule="auto" w:before="51"/>
        <w:ind w:right="1142" w:firstLine="420"/>
        <w:jc w:val="left"/>
      </w:pPr>
      <w:r>
        <w:rPr>
          <w:color w:val="0D0D0D"/>
        </w:rPr>
        <w:t>美国税法规定，如果公司在某个州以实体方式（</w:t>
      </w:r>
      <w:r>
        <w:rPr>
          <w:rFonts w:ascii="Times New Roman" w:hAnsi="Times New Roman" w:cs="Times New Roman" w:eastAsia="Times New Roman" w:hint="default"/>
          <w:color w:val="0D0D0D"/>
        </w:rPr>
        <w:t>physical</w:t>
      </w:r>
      <w:r>
        <w:rPr>
          <w:rFonts w:ascii="Times New Roman" w:hAnsi="Times New Roman" w:cs="Times New Roman" w:eastAsia="Times New Roman" w:hint="default"/>
          <w:color w:val="0D0D0D"/>
          <w:spacing w:val="-3"/>
        </w:rPr>
        <w:t> </w:t>
      </w:r>
      <w:r>
        <w:rPr>
          <w:rFonts w:ascii="Times New Roman" w:hAnsi="Times New Roman" w:cs="Times New Roman" w:eastAsia="Times New Roman" w:hint="default"/>
          <w:color w:val="0D0D0D"/>
        </w:rPr>
        <w:t>presence</w:t>
      </w:r>
      <w:r>
        <w:rPr>
          <w:color w:val="0D0D0D"/>
        </w:rPr>
        <w:t>，如在该州有财产、雇员、管理人员等）经营，则必 须在该州向消费者收取并缴纳销售税。</w:t>
      </w:r>
      <w:r>
        <w:rPr/>
      </w:r>
    </w:p>
    <w:p>
      <w:pPr>
        <w:pStyle w:val="BodyText"/>
        <w:spacing w:line="240" w:lineRule="auto" w:before="69"/>
        <w:ind w:left="580" w:right="1033"/>
        <w:jc w:val="left"/>
      </w:pPr>
      <w:r>
        <w:rPr>
          <w:color w:val="0D0D0D"/>
        </w:rPr>
        <w:t>（</w:t>
      </w:r>
      <w:r>
        <w:rPr>
          <w:rFonts w:ascii="Times New Roman" w:hAnsi="Times New Roman" w:cs="Times New Roman" w:eastAsia="Times New Roman" w:hint="default"/>
          <w:color w:val="0D0D0D"/>
        </w:rPr>
        <w:t>3</w:t>
      </w:r>
      <w:r>
        <w:rPr>
          <w:color w:val="0D0D0D"/>
        </w:rPr>
        <w:t>）加拿大销售税</w:t>
      </w:r>
      <w:r>
        <w:rPr/>
      </w:r>
    </w:p>
    <w:p>
      <w:pPr>
        <w:pStyle w:val="BodyText"/>
        <w:spacing w:line="302" w:lineRule="auto" w:before="101"/>
        <w:ind w:right="1178" w:firstLine="426"/>
        <w:jc w:val="left"/>
      </w:pPr>
      <w:r>
        <w:rPr>
          <w:rFonts w:ascii="Times New Roman" w:hAnsi="Times New Roman" w:cs="Times New Roman" w:eastAsia="Times New Roman" w:hint="default"/>
          <w:color w:val="0D0D0D"/>
        </w:rPr>
        <w:t>iTalkBB Canada</w:t>
      </w:r>
      <w:r>
        <w:rPr>
          <w:rFonts w:ascii="Times New Roman" w:hAnsi="Times New Roman" w:cs="Times New Roman" w:eastAsia="Times New Roman" w:hint="default"/>
          <w:color w:val="0D0D0D"/>
          <w:spacing w:val="-6"/>
        </w:rPr>
        <w:t> </w:t>
      </w:r>
      <w:r>
        <w:rPr>
          <w:rFonts w:ascii="Times New Roman" w:hAnsi="Times New Roman" w:cs="Times New Roman" w:eastAsia="Times New Roman" w:hint="default"/>
          <w:color w:val="0D0D0D"/>
        </w:rPr>
        <w:t>Inc.</w:t>
      </w:r>
      <w:r>
        <w:rPr>
          <w:color w:val="0D0D0D"/>
        </w:rPr>
        <w:t>为在加拿大安大略省注册的公司，就符合应税条件的商品销售及服务征收</w:t>
      </w:r>
      <w:r>
        <w:rPr>
          <w:rFonts w:ascii="Times New Roman" w:hAnsi="Times New Roman" w:cs="Times New Roman" w:eastAsia="Times New Roman" w:hint="default"/>
          <w:color w:val="0D0D0D"/>
        </w:rPr>
        <w:t>13%</w:t>
      </w:r>
      <w:r>
        <w:rPr>
          <w:color w:val="0D0D0D"/>
        </w:rPr>
        <w:t>的销售税</w:t>
      </w:r>
      <w:r>
        <w:rPr>
          <w:rFonts w:ascii="Times New Roman" w:hAnsi="Times New Roman" w:cs="Times New Roman" w:eastAsia="Times New Roman" w:hint="default"/>
          <w:color w:val="0D0D0D"/>
        </w:rPr>
        <w:t>(GST)</w:t>
      </w:r>
      <w:r>
        <w:rPr>
          <w:color w:val="0D0D0D"/>
        </w:rPr>
        <w:t>，同</w:t>
      </w:r>
      <w:r>
        <w:rPr>
          <w:color w:val="0D0D0D"/>
          <w:w w:val="99"/>
        </w:rPr>
        <w:t> </w:t>
      </w:r>
      <w:r>
        <w:rPr>
          <w:color w:val="0D0D0D"/>
        </w:rPr>
        <w:t>时可抵减购买商品、接受劳务的销售税</w:t>
      </w:r>
      <w:r>
        <w:rPr>
          <w:rFonts w:ascii="Times New Roman" w:hAnsi="Times New Roman" w:cs="Times New Roman" w:eastAsia="Times New Roman" w:hint="default"/>
          <w:color w:val="0D0D0D"/>
        </w:rPr>
        <w:t>(GST)</w:t>
      </w:r>
      <w:r>
        <w:rPr>
          <w:color w:val="0D0D0D"/>
        </w:rPr>
        <w:t>，按抵减后余额上缴。</w:t>
      </w:r>
      <w:r>
        <w:rPr/>
      </w:r>
    </w:p>
    <w:p>
      <w:pPr>
        <w:pStyle w:val="BodyText"/>
        <w:spacing w:line="240" w:lineRule="auto" w:before="52"/>
        <w:ind w:left="579" w:right="1033"/>
        <w:jc w:val="left"/>
      </w:pPr>
      <w:r>
        <w:rPr>
          <w:color w:val="0D0D0D"/>
        </w:rPr>
        <w:t>（</w:t>
      </w:r>
      <w:r>
        <w:rPr>
          <w:rFonts w:ascii="Times New Roman" w:hAnsi="Times New Roman" w:cs="Times New Roman" w:eastAsia="Times New Roman" w:hint="default"/>
          <w:color w:val="0D0D0D"/>
        </w:rPr>
        <w:t>4</w:t>
      </w:r>
      <w:r>
        <w:rPr>
          <w:color w:val="0D0D0D"/>
        </w:rPr>
        <w:t>）新加坡销售税</w:t>
      </w:r>
      <w:r>
        <w:rPr/>
      </w:r>
    </w:p>
    <w:p>
      <w:pPr>
        <w:pStyle w:val="BodyText"/>
        <w:spacing w:line="302" w:lineRule="auto" w:before="101"/>
        <w:ind w:right="1119" w:firstLine="420"/>
        <w:jc w:val="left"/>
      </w:pPr>
      <w:r>
        <w:rPr>
          <w:rFonts w:ascii="Times New Roman" w:hAnsi="Times New Roman" w:cs="Times New Roman" w:eastAsia="Times New Roman" w:hint="default"/>
          <w:color w:val="0D0D0D"/>
        </w:rPr>
        <w:t>iTalkBB</w:t>
      </w:r>
      <w:r>
        <w:rPr>
          <w:rFonts w:ascii="Times New Roman" w:hAnsi="Times New Roman" w:cs="Times New Roman" w:eastAsia="Times New Roman" w:hint="default"/>
          <w:color w:val="0D0D0D"/>
          <w:spacing w:val="-22"/>
        </w:rPr>
        <w:t> </w:t>
      </w:r>
      <w:r>
        <w:rPr>
          <w:rFonts w:ascii="Times New Roman" w:hAnsi="Times New Roman" w:cs="Times New Roman" w:eastAsia="Times New Roman" w:hint="default"/>
          <w:color w:val="0D0D0D"/>
        </w:rPr>
        <w:t>Singapore</w:t>
      </w:r>
      <w:r>
        <w:rPr>
          <w:rFonts w:ascii="Times New Roman" w:hAnsi="Times New Roman" w:cs="Times New Roman" w:eastAsia="Times New Roman" w:hint="default"/>
          <w:color w:val="0D0D0D"/>
          <w:spacing w:val="-22"/>
        </w:rPr>
        <w:t> </w:t>
      </w:r>
      <w:r>
        <w:rPr>
          <w:rFonts w:ascii="Times New Roman" w:hAnsi="Times New Roman" w:cs="Times New Roman" w:eastAsia="Times New Roman" w:hint="default"/>
          <w:color w:val="0D0D0D"/>
        </w:rPr>
        <w:t>Pte,</w:t>
      </w:r>
      <w:r>
        <w:rPr>
          <w:rFonts w:ascii="Times New Roman" w:hAnsi="Times New Roman" w:cs="Times New Roman" w:eastAsia="Times New Roman" w:hint="default"/>
          <w:color w:val="0D0D0D"/>
          <w:spacing w:val="-23"/>
        </w:rPr>
        <w:t> </w:t>
      </w:r>
      <w:r>
        <w:rPr>
          <w:rFonts w:ascii="Times New Roman" w:hAnsi="Times New Roman" w:cs="Times New Roman" w:eastAsia="Times New Roman" w:hint="default"/>
          <w:color w:val="0D0D0D"/>
        </w:rPr>
        <w:t>Ltd.</w:t>
      </w:r>
      <w:r>
        <w:rPr>
          <w:rFonts w:ascii="Times New Roman" w:hAnsi="Times New Roman" w:cs="Times New Roman" w:eastAsia="Times New Roman" w:hint="default"/>
          <w:color w:val="0D0D0D"/>
          <w:spacing w:val="1"/>
        </w:rPr>
        <w:t> </w:t>
      </w:r>
      <w:r>
        <w:rPr>
          <w:color w:val="0D0D0D"/>
        </w:rPr>
        <w:t>就其在新加坡境内符合应税条件的商品销售及服务征收</w:t>
      </w:r>
      <w:r>
        <w:rPr>
          <w:rFonts w:ascii="Times New Roman" w:hAnsi="Times New Roman" w:cs="Times New Roman" w:eastAsia="Times New Roman" w:hint="default"/>
          <w:color w:val="0D0D0D"/>
        </w:rPr>
        <w:t>7%</w:t>
      </w:r>
      <w:r>
        <w:rPr>
          <w:color w:val="0D0D0D"/>
        </w:rPr>
        <w:t>的销售税</w:t>
      </w:r>
      <w:r>
        <w:rPr>
          <w:rFonts w:ascii="Times New Roman" w:hAnsi="Times New Roman" w:cs="Times New Roman" w:eastAsia="Times New Roman" w:hint="default"/>
          <w:color w:val="0D0D0D"/>
        </w:rPr>
        <w:t>(GST)</w:t>
      </w:r>
      <w:r>
        <w:rPr>
          <w:color w:val="0D0D0D"/>
        </w:rPr>
        <w:t>，同时可抵减在新</w:t>
      </w:r>
      <w:r>
        <w:rPr>
          <w:color w:val="0D0D0D"/>
          <w:w w:val="99"/>
        </w:rPr>
        <w:t> </w:t>
      </w:r>
      <w:r>
        <w:rPr>
          <w:color w:val="0D0D0D"/>
        </w:rPr>
        <w:t>加坡境内购买商品、接受劳务的销售税</w:t>
      </w:r>
      <w:r>
        <w:rPr>
          <w:rFonts w:ascii="Times New Roman" w:hAnsi="Times New Roman" w:cs="Times New Roman" w:eastAsia="Times New Roman" w:hint="default"/>
          <w:color w:val="0D0D0D"/>
        </w:rPr>
        <w:t>(GST)</w:t>
      </w:r>
      <w:r>
        <w:rPr>
          <w:color w:val="0D0D0D"/>
        </w:rPr>
        <w:t>，按抵减后余额上缴，如抵减有余可从政府取得税费返还。</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1033"/>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73" w:right="1033"/>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331,494.22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960,485,304.41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509,419,297.25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511,254.96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542,594.68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961,055,363.66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510,293,386.15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73,332,402.75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125,339,243.94</w:t>
            </w:r>
          </w:p>
        </w:tc>
      </w:tr>
    </w:tbl>
    <w:p>
      <w:pPr>
        <w:pStyle w:val="BodyText"/>
        <w:spacing w:line="240" w:lineRule="auto" w:before="51"/>
        <w:ind w:left="154" w:right="103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4" w:right="1033"/>
        <w:jc w:val="left"/>
      </w:pPr>
      <w:r>
        <w:rPr>
          <w:color w:val="0D0D0D"/>
        </w:rPr>
        <w:t>其中受限制的货币资金明细如下：</w:t>
      </w:r>
      <w:r>
        <w:rPr/>
      </w:r>
    </w:p>
    <w:p>
      <w:pPr>
        <w:spacing w:line="240" w:lineRule="auto" w:before="1"/>
        <w:rPr>
          <w:rFonts w:ascii="宋体" w:hAnsi="宋体" w:cs="宋体" w:eastAsia="宋体" w:hint="default"/>
          <w:sz w:val="8"/>
          <w:szCs w:val="8"/>
        </w:rPr>
      </w:pPr>
    </w:p>
    <w:tbl>
      <w:tblPr>
        <w:tblW w:w="0" w:type="auto"/>
        <w:jc w:val="left"/>
        <w:tblInd w:w="702" w:type="dxa"/>
        <w:tblLayout w:type="fixed"/>
        <w:tblCellMar>
          <w:top w:w="0" w:type="dxa"/>
          <w:left w:w="0" w:type="dxa"/>
          <w:bottom w:w="0" w:type="dxa"/>
          <w:right w:w="0" w:type="dxa"/>
        </w:tblCellMar>
        <w:tblLook w:val="01E0"/>
      </w:tblPr>
      <w:tblGrid>
        <w:gridCol w:w="3652"/>
        <w:gridCol w:w="2438"/>
        <w:gridCol w:w="2438"/>
      </w:tblGrid>
      <w:tr>
        <w:trPr>
          <w:trHeight w:val="430" w:hRule="exact"/>
        </w:trPr>
        <w:tc>
          <w:tcPr>
            <w:tcW w:w="365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项目</w:t>
            </w:r>
            <w:r>
              <w:rPr>
                <w:rFonts w:ascii="宋体" w:hAnsi="宋体" w:cs="宋体" w:eastAsia="宋体" w:hint="default"/>
                <w:sz w:val="18"/>
                <w:szCs w:val="18"/>
              </w:rPr>
            </w:r>
          </w:p>
        </w:tc>
        <w:tc>
          <w:tcPr>
            <w:tcW w:w="243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期末余额</w:t>
            </w:r>
            <w:r>
              <w:rPr>
                <w:rFonts w:ascii="宋体" w:hAnsi="宋体" w:cs="宋体" w:eastAsia="宋体" w:hint="default"/>
                <w:sz w:val="18"/>
                <w:szCs w:val="18"/>
              </w:rPr>
            </w:r>
          </w:p>
        </w:tc>
        <w:tc>
          <w:tcPr>
            <w:tcW w:w="2438"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期初余额</w:t>
            </w:r>
            <w:r>
              <w:rPr>
                <w:rFonts w:ascii="宋体" w:hAnsi="宋体" w:cs="宋体" w:eastAsia="宋体" w:hint="default"/>
                <w:sz w:val="18"/>
                <w:szCs w:val="18"/>
              </w:rPr>
            </w:r>
          </w:p>
        </w:tc>
      </w:tr>
      <w:tr>
        <w:trPr>
          <w:trHeight w:val="437"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color w:val="0D0D0D"/>
                <w:sz w:val="18"/>
                <w:szCs w:val="18"/>
              </w:rPr>
              <w:t>用于担保的存款</w:t>
            </w:r>
            <w:r>
              <w:rPr>
                <w:rFonts w:ascii="宋体" w:hAnsi="宋体" w:cs="宋体" w:eastAsia="宋体" w:hint="default"/>
                <w:sz w:val="18"/>
                <w:szCs w:val="18"/>
              </w:rPr>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color w:val="0D0D0D"/>
                <w:sz w:val="18"/>
              </w:rPr>
              <w:t>511,254.96</w:t>
            </w:r>
            <w:r>
              <w:rPr>
                <w:rFonts w:ascii="Times New Roman"/>
                <w:sz w:val="18"/>
              </w:rPr>
            </w:r>
          </w:p>
        </w:tc>
        <w:tc>
          <w:tcPr>
            <w:tcW w:w="243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color w:val="0D0D0D"/>
                <w:sz w:val="18"/>
              </w:rPr>
              <w:t>542,594.68</w:t>
            </w:r>
            <w:r>
              <w:rPr>
                <w:rFonts w:ascii="Times New Roman"/>
                <w:sz w:val="18"/>
              </w:rPr>
            </w:r>
          </w:p>
        </w:tc>
      </w:tr>
      <w:tr>
        <w:trPr>
          <w:trHeight w:val="43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color w:val="0D0D0D"/>
                <w:sz w:val="18"/>
                <w:szCs w:val="18"/>
              </w:rPr>
              <w:t>合计</w:t>
            </w:r>
            <w:r>
              <w:rPr>
                <w:rFonts w:ascii="宋体" w:hAnsi="宋体" w:cs="宋体" w:eastAsia="宋体" w:hint="default"/>
                <w:sz w:val="18"/>
                <w:szCs w:val="18"/>
              </w:rPr>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z w:val="18"/>
              </w:rPr>
              <w:t>511,254.96</w:t>
            </w:r>
            <w:r>
              <w:rPr>
                <w:rFonts w:ascii="Times New Roman"/>
                <w:sz w:val="18"/>
              </w:rPr>
            </w:r>
          </w:p>
        </w:tc>
        <w:tc>
          <w:tcPr>
            <w:tcW w:w="243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sz w:val="18"/>
              </w:rPr>
              <w:t>542,594.68</w:t>
            </w:r>
            <w:r>
              <w:rPr>
                <w:rFonts w:ascii="Times New Roman"/>
                <w:sz w:val="18"/>
              </w:rPr>
            </w:r>
          </w:p>
        </w:tc>
      </w:tr>
    </w:tbl>
    <w:p>
      <w:pPr>
        <w:spacing w:line="240" w:lineRule="auto" w:before="9"/>
        <w:rPr>
          <w:rFonts w:ascii="宋体" w:hAnsi="宋体" w:cs="宋体" w:eastAsia="宋体" w:hint="default"/>
          <w:sz w:val="6"/>
          <w:szCs w:val="6"/>
        </w:rPr>
      </w:pPr>
    </w:p>
    <w:p>
      <w:pPr>
        <w:pStyle w:val="BodyText"/>
        <w:spacing w:line="240" w:lineRule="auto" w:before="44"/>
        <w:ind w:left="571" w:right="1033"/>
        <w:jc w:val="left"/>
      </w:pPr>
      <w:r>
        <w:rPr>
          <w:color w:val="0D0D0D"/>
        </w:rPr>
        <w:t>货币资金余额年末较年初增加</w:t>
      </w:r>
      <w:r>
        <w:rPr>
          <w:rFonts w:ascii="Times New Roman" w:hAnsi="Times New Roman" w:cs="Times New Roman" w:eastAsia="Times New Roman" w:hint="default"/>
          <w:color w:val="0D0D0D"/>
        </w:rPr>
        <w:t>88.33%</w:t>
      </w:r>
      <w:r>
        <w:rPr>
          <w:color w:val="0D0D0D"/>
        </w:rPr>
        <w:t>，主要系本公司</w:t>
      </w:r>
      <w:r>
        <w:rPr>
          <w:rFonts w:ascii="Times New Roman" w:hAnsi="Times New Roman" w:cs="Times New Roman" w:eastAsia="Times New Roman" w:hint="default"/>
          <w:color w:val="0D0D0D"/>
        </w:rPr>
        <w:t>2015</w:t>
      </w:r>
      <w:r>
        <w:rPr>
          <w:color w:val="0D0D0D"/>
        </w:rPr>
        <w:t>年末非公开定向募集资金到位所致。</w:t>
      </w:r>
      <w:r>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033"/>
        <w:jc w:val="left"/>
      </w:pPr>
      <w:r>
        <w:rPr/>
        <w:t>注：因抵押、质押或冻结等对使用有限制，以及存放在境外且资金汇回受到限制的款项应单独说明。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以公允价值计量且其变动计入当期损益的金融资产" w:id="218"/>
      <w:bookmarkEnd w:id="21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3"/>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34,500,000.00</w:t>
            </w:r>
          </w:p>
        </w:tc>
      </w:tr>
    </w:tbl>
    <w:p>
      <w:pPr>
        <w:pStyle w:val="BodyText"/>
        <w:spacing w:line="240" w:lineRule="auto" w:before="51"/>
        <w:ind w:left="154" w:right="1033"/>
        <w:jc w:val="left"/>
      </w:pPr>
      <w:r>
        <w:rPr/>
        <w:t>其他说明：</w:t>
      </w:r>
    </w:p>
    <w:p>
      <w:pPr>
        <w:spacing w:line="240" w:lineRule="auto" w:before="12"/>
        <w:rPr>
          <w:rFonts w:ascii="宋体" w:hAnsi="宋体" w:cs="宋体" w:eastAsia="宋体" w:hint="default"/>
          <w:sz w:val="14"/>
          <w:szCs w:val="14"/>
        </w:rPr>
      </w:pPr>
    </w:p>
    <w:p>
      <w:pPr>
        <w:pStyle w:val="BodyText"/>
        <w:spacing w:line="319" w:lineRule="auto"/>
        <w:ind w:right="1033" w:firstLine="420"/>
        <w:jc w:val="left"/>
      </w:pPr>
      <w:r>
        <w:rPr>
          <w:color w:val="0D0D0D"/>
        </w:rPr>
        <w:t>以公允价值计量且其变动计入当期损益的金融资产余额年末较年初减少较多，主要</w:t>
      </w:r>
      <w:r>
        <w:rPr/>
        <w:t>系本公司原持有的可随时赎回型理</w:t>
      </w:r>
      <w:r>
        <w:rPr/>
        <w:t> 财产品到期，本期理财产品变更为期限</w:t>
      </w:r>
      <w:r>
        <w:rPr>
          <w:rFonts w:ascii="Times New Roman" w:hAnsi="Times New Roman" w:cs="Times New Roman" w:eastAsia="Times New Roman" w:hint="default"/>
        </w:rPr>
        <w:t>3</w:t>
      </w:r>
      <w:r>
        <w:rPr/>
        <w:t>个月以内的保本收益型理财产品，于其他流动资产列示所致。</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应收账款" w:id="219"/>
      <w:bookmarkEnd w:id="21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分类披露" w:id="220"/>
      <w:bookmarkEnd w:id="22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70,545,9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91.39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5,185,04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65,360,94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1,055,568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48,448,631.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70,545,9</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91.39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5,185,04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65,360,94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199.81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1,055,568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48,448,631.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期末单项金额重大并单项计提坏账准备的应收账款：</w:t>
      </w:r>
    </w:p>
    <w:p>
      <w:pPr>
        <w:pStyle w:val="BodyText"/>
        <w:spacing w:line="340" w:lineRule="auto" w:before="116"/>
        <w:ind w:right="679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组合中，按账龄分析法计提坏账准备的应收账款：</w:t>
      </w:r>
    </w:p>
    <w:p>
      <w:pPr>
        <w:pStyle w:val="BodyText"/>
        <w:spacing w:line="338" w:lineRule="auto" w:before="40"/>
        <w:ind w:right="64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组合中，采用余额百分比法计提坏账准备的应收账款：</w:t>
      </w:r>
    </w:p>
    <w:p>
      <w:pPr>
        <w:pStyle w:val="BodyText"/>
        <w:spacing w:line="348" w:lineRule="auto" w:before="43"/>
        <w:ind w:right="679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组合中，采用其他方法计提坏账准备的应收账款： </w:t>
      </w:r>
      <w:r>
        <w:rPr>
          <w:rFonts w:ascii="宋体" w:hAnsi="宋体" w:cs="宋体" w:eastAsia="宋体" w:hint="default"/>
        </w:rPr>
        <w:t>1.  </w:t>
      </w:r>
      <w:r>
        <w:rPr/>
        <w:t>企业客户按账龄计提坏账准备的应收账款</w:t>
      </w:r>
    </w:p>
    <w:tbl>
      <w:tblPr>
        <w:tblW w:w="0" w:type="auto"/>
        <w:jc w:val="left"/>
        <w:tblInd w:w="1156" w:type="dxa"/>
        <w:tblLayout w:type="fixed"/>
        <w:tblCellMar>
          <w:top w:w="0" w:type="dxa"/>
          <w:left w:w="0" w:type="dxa"/>
          <w:bottom w:w="0" w:type="dxa"/>
          <w:right w:w="0" w:type="dxa"/>
        </w:tblCellMar>
        <w:tblLook w:val="01E0"/>
      </w:tblPr>
      <w:tblGrid>
        <w:gridCol w:w="1668"/>
        <w:gridCol w:w="1750"/>
        <w:gridCol w:w="1384"/>
        <w:gridCol w:w="1798"/>
        <w:gridCol w:w="1026"/>
      </w:tblGrid>
      <w:tr>
        <w:trPr>
          <w:trHeight w:val="425" w:hRule="exact"/>
        </w:trPr>
        <w:tc>
          <w:tcPr>
            <w:tcW w:w="1668"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5958" w:type="dxa"/>
            <w:gridSpan w:val="4"/>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18" w:hRule="exact"/>
        </w:trPr>
        <w:tc>
          <w:tcPr>
            <w:tcW w:w="1668" w:type="dxa"/>
            <w:vMerge/>
            <w:tcBorders>
              <w:left w:val="single" w:sz="4" w:space="0" w:color="000000"/>
              <w:right w:val="single" w:sz="6" w:space="0" w:color="000000"/>
            </w:tcBorders>
            <w:shd w:val="clear" w:color="auto" w:fill="D9D9D9"/>
          </w:tcPr>
          <w:p>
            <w:pPr/>
          </w:p>
        </w:tc>
        <w:tc>
          <w:tcPr>
            <w:tcW w:w="313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82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416" w:hRule="exact"/>
        </w:trPr>
        <w:tc>
          <w:tcPr>
            <w:tcW w:w="1668" w:type="dxa"/>
            <w:vMerge/>
            <w:tcBorders>
              <w:left w:val="single" w:sz="4" w:space="0" w:color="000000"/>
              <w:bottom w:val="single" w:sz="6" w:space="0" w:color="000000"/>
              <w:right w:val="single" w:sz="6" w:space="0" w:color="000000"/>
            </w:tcBorders>
            <w:shd w:val="clear" w:color="auto" w:fill="D9D9D9"/>
          </w:tcPr>
          <w:p>
            <w:pPr/>
          </w:p>
        </w:tc>
        <w:tc>
          <w:tcPr>
            <w:tcW w:w="17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7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05"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18"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0"/>
                <w:szCs w:val="20"/>
              </w:rPr>
            </w:pPr>
            <w:r>
              <w:rPr>
                <w:rFonts w:ascii="Times New Roman"/>
                <w:spacing w:val="-1"/>
                <w:sz w:val="20"/>
              </w:rPr>
              <w:t>38,293,823.85</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0"/>
                <w:szCs w:val="20"/>
              </w:rPr>
            </w:pPr>
            <w:r>
              <w:rPr>
                <w:rFonts w:ascii="Times New Roman"/>
                <w:sz w:val="20"/>
              </w:rPr>
              <w:t>61.00%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20"/>
                <w:szCs w:val="20"/>
              </w:rPr>
            </w:pPr>
            <w:r>
              <w:rPr>
                <w:rFonts w:ascii="Times New Roman"/>
                <w:w w:val="100"/>
                <w:sz w:val="20"/>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20"/>
                <w:szCs w:val="20"/>
              </w:rPr>
            </w:pPr>
            <w:r>
              <w:rPr>
                <w:rFonts w:ascii="Times New Roman"/>
                <w:sz w:val="20"/>
              </w:rPr>
              <w:t>0.00%</w:t>
            </w:r>
          </w:p>
        </w:tc>
      </w:tr>
      <w:tr>
        <w:trPr>
          <w:trHeight w:val="416"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w:t>
            </w: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pacing w:val="-1"/>
                <w:sz w:val="20"/>
              </w:rPr>
              <w:t>17,018,557.54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z w:val="20"/>
              </w:rPr>
              <w:t>27.00%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20"/>
                <w:szCs w:val="20"/>
              </w:rPr>
            </w:pPr>
            <w:r>
              <w:rPr>
                <w:rFonts w:ascii="Times New Roman"/>
                <w:spacing w:val="-1"/>
                <w:sz w:val="20"/>
              </w:rPr>
              <w:t>1,701,855.75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z w:val="20"/>
              </w:rPr>
              <w:t>10.00%</w:t>
            </w:r>
          </w:p>
        </w:tc>
      </w:tr>
      <w:tr>
        <w:trPr>
          <w:trHeight w:val="422"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6"/>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20"/>
                <w:szCs w:val="20"/>
              </w:rPr>
            </w:pPr>
            <w:r>
              <w:rPr>
                <w:rFonts w:ascii="Times New Roman"/>
                <w:spacing w:val="-1"/>
                <w:sz w:val="20"/>
              </w:rPr>
              <w:t>5,976,274.54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20"/>
                <w:szCs w:val="20"/>
              </w:rPr>
            </w:pPr>
            <w:r>
              <w:rPr>
                <w:rFonts w:ascii="Times New Roman"/>
                <w:sz w:val="20"/>
              </w:rPr>
              <w:t>10.00%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20"/>
                <w:szCs w:val="20"/>
              </w:rPr>
            </w:pPr>
            <w:r>
              <w:rPr>
                <w:rFonts w:ascii="Times New Roman"/>
                <w:spacing w:val="-1"/>
                <w:sz w:val="20"/>
              </w:rPr>
              <w:t>1,792,882.35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20"/>
                <w:szCs w:val="20"/>
              </w:rPr>
            </w:pPr>
            <w:r>
              <w:rPr>
                <w:rFonts w:ascii="Times New Roman"/>
                <w:sz w:val="20"/>
              </w:rPr>
              <w:t>30.00%</w:t>
            </w:r>
          </w:p>
        </w:tc>
      </w:tr>
      <w:tr>
        <w:trPr>
          <w:trHeight w:val="417"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
              <w:jc w:val="right"/>
              <w:rPr>
                <w:rFonts w:ascii="Times New Roman" w:hAnsi="Times New Roman" w:cs="Times New Roman" w:eastAsia="Times New Roman" w:hint="default"/>
                <w:sz w:val="20"/>
                <w:szCs w:val="20"/>
              </w:rPr>
            </w:pPr>
            <w:r>
              <w:rPr>
                <w:rFonts w:ascii="Times New Roman"/>
                <w:spacing w:val="-1"/>
                <w:sz w:val="20"/>
              </w:rPr>
              <w:t>1,020,594.69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20"/>
                <w:szCs w:val="20"/>
              </w:rPr>
            </w:pPr>
            <w:r>
              <w:rPr>
                <w:rFonts w:ascii="Times New Roman"/>
                <w:sz w:val="20"/>
              </w:rPr>
              <w:t>2.00%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pacing w:val="-1"/>
                <w:sz w:val="20"/>
              </w:rPr>
              <w:t>510,297.35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z w:val="20"/>
              </w:rPr>
              <w:t>50.00%</w:t>
            </w:r>
          </w:p>
        </w:tc>
      </w:tr>
      <w:tr>
        <w:trPr>
          <w:trHeight w:val="418"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年以上</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0"/>
                <w:szCs w:val="20"/>
              </w:rPr>
            </w:pPr>
            <w:r>
              <w:rPr>
                <w:rFonts w:ascii="Times New Roman"/>
                <w:spacing w:val="-1"/>
                <w:sz w:val="20"/>
              </w:rPr>
              <w:t>92,517.05</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20"/>
                <w:szCs w:val="20"/>
              </w:rPr>
            </w:pPr>
            <w:r>
              <w:rPr>
                <w:rFonts w:ascii="Times New Roman"/>
                <w:sz w:val="20"/>
              </w:rPr>
              <w:t>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20"/>
                <w:szCs w:val="20"/>
              </w:rPr>
            </w:pPr>
            <w:r>
              <w:rPr>
                <w:rFonts w:ascii="Times New Roman"/>
                <w:spacing w:val="-1"/>
                <w:sz w:val="20"/>
              </w:rPr>
              <w:t>92,517.05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18"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pacing w:val="-1"/>
                <w:sz w:val="20"/>
              </w:rPr>
              <w:t>62,401,767.67</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pacing w:val="-1"/>
                <w:sz w:val="20"/>
              </w:rPr>
              <w:t>100.00%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20"/>
                <w:szCs w:val="20"/>
              </w:rPr>
            </w:pPr>
            <w:r>
              <w:rPr>
                <w:rFonts w:ascii="Times New Roman"/>
                <w:spacing w:val="-1"/>
                <w:sz w:val="20"/>
              </w:rPr>
              <w:t>4,097,552.50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20"/>
                <w:szCs w:val="20"/>
              </w:rPr>
            </w:pPr>
            <w:r>
              <w:rPr>
                <w:rFonts w:ascii="Times New Roman"/>
                <w:sz w:val="20"/>
              </w:rPr>
              <w:t>6.57%</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27" w:right="10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个人客户按账龄计提坏账准备的应收账款</w:t>
      </w:r>
    </w:p>
    <w:p>
      <w:pPr>
        <w:spacing w:line="240" w:lineRule="auto" w:before="12"/>
        <w:rPr>
          <w:rFonts w:ascii="宋体" w:hAnsi="宋体" w:cs="宋体" w:eastAsia="宋体" w:hint="default"/>
          <w:sz w:val="6"/>
          <w:szCs w:val="6"/>
        </w:rPr>
      </w:pPr>
    </w:p>
    <w:tbl>
      <w:tblPr>
        <w:tblW w:w="0" w:type="auto"/>
        <w:jc w:val="left"/>
        <w:tblInd w:w="1173" w:type="dxa"/>
        <w:tblLayout w:type="fixed"/>
        <w:tblCellMar>
          <w:top w:w="0" w:type="dxa"/>
          <w:left w:w="0" w:type="dxa"/>
          <w:bottom w:w="0" w:type="dxa"/>
          <w:right w:w="0" w:type="dxa"/>
        </w:tblCellMar>
        <w:tblLook w:val="01E0"/>
      </w:tblPr>
      <w:tblGrid>
        <w:gridCol w:w="1806"/>
        <w:gridCol w:w="1626"/>
        <w:gridCol w:w="1132"/>
        <w:gridCol w:w="1628"/>
        <w:gridCol w:w="1399"/>
      </w:tblGrid>
      <w:tr>
        <w:trPr>
          <w:trHeight w:val="425" w:hRule="exact"/>
        </w:trPr>
        <w:tc>
          <w:tcPr>
            <w:tcW w:w="1806"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5785" w:type="dxa"/>
            <w:gridSpan w:val="4"/>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16" w:hRule="exact"/>
        </w:trPr>
        <w:tc>
          <w:tcPr>
            <w:tcW w:w="1806" w:type="dxa"/>
            <w:vMerge/>
            <w:tcBorders>
              <w:left w:val="single" w:sz="4" w:space="0" w:color="000000"/>
              <w:right w:val="single" w:sz="6" w:space="0" w:color="000000"/>
            </w:tcBorders>
            <w:shd w:val="clear" w:color="auto" w:fill="D9D9D9"/>
          </w:tcPr>
          <w:p>
            <w:pPr/>
          </w:p>
        </w:tc>
        <w:tc>
          <w:tcPr>
            <w:tcW w:w="27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02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418" w:hRule="exact"/>
        </w:trPr>
        <w:tc>
          <w:tcPr>
            <w:tcW w:w="1806" w:type="dxa"/>
            <w:vMerge/>
            <w:tcBorders>
              <w:left w:val="single" w:sz="4" w:space="0" w:color="000000"/>
              <w:bottom w:val="single" w:sz="6" w:space="0" w:color="000000"/>
              <w:right w:val="single" w:sz="6" w:space="0" w:color="000000"/>
            </w:tcBorders>
            <w:shd w:val="clear" w:color="auto" w:fill="D9D9D9"/>
          </w:tcPr>
          <w:p>
            <w:pPr/>
          </w:p>
        </w:tc>
        <w:tc>
          <w:tcPr>
            <w:tcW w:w="16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35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6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416" w:hRule="exact"/>
        </w:trPr>
        <w:tc>
          <w:tcPr>
            <w:tcW w:w="18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个月以内</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5,847,550.49</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71.80%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w w:val="100"/>
                <w:sz w:val="20"/>
              </w:rPr>
              <w:t>-</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0.00%</w:t>
            </w:r>
          </w:p>
        </w:tc>
      </w:tr>
      <w:tr>
        <w:trPr>
          <w:trHeight w:val="418" w:hRule="exact"/>
        </w:trPr>
        <w:tc>
          <w:tcPr>
            <w:tcW w:w="18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w:t>
            </w: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1,266,438.24</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15.55%</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379,931.47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30.00%</w:t>
            </w:r>
          </w:p>
        </w:tc>
      </w:tr>
      <w:tr>
        <w:trPr>
          <w:trHeight w:val="416" w:hRule="exact"/>
        </w:trPr>
        <w:tc>
          <w:tcPr>
            <w:tcW w:w="18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645,339.65</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7.92%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322,669.83</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50.00%</w:t>
            </w:r>
          </w:p>
        </w:tc>
      </w:tr>
      <w:tr>
        <w:trPr>
          <w:trHeight w:val="418" w:hRule="exact"/>
        </w:trPr>
        <w:tc>
          <w:tcPr>
            <w:tcW w:w="18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384,895.34</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4.73%</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384,895.34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18" w:hRule="exact"/>
        </w:trPr>
        <w:tc>
          <w:tcPr>
            <w:tcW w:w="18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8,144,223.72</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100.00%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1,087,496.64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13.35%</w:t>
            </w:r>
          </w:p>
        </w:tc>
      </w:tr>
    </w:tbl>
    <w:p>
      <w:pPr>
        <w:spacing w:line="240" w:lineRule="auto" w:before="6"/>
        <w:rPr>
          <w:rFonts w:ascii="宋体" w:hAnsi="宋体" w:cs="宋体" w:eastAsia="宋体" w:hint="default"/>
          <w:sz w:val="27"/>
          <w:szCs w:val="27"/>
        </w:rPr>
      </w:pPr>
    </w:p>
    <w:p>
      <w:pPr>
        <w:pStyle w:val="BodyText"/>
        <w:spacing w:line="240" w:lineRule="auto" w:before="44"/>
        <w:ind w:left="154" w:right="1033"/>
        <w:jc w:val="left"/>
      </w:pPr>
      <w:r>
        <w:rPr/>
        <w:t>注：说明确定该组合的依据、该组合中各类应收款项期末余额、坏账准备期末余额，以及坏账准备的计提比例。</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7" w:right="1033"/>
        <w:jc w:val="left"/>
      </w:pPr>
      <w:r>
        <w:rPr/>
        <w:t>本期计提坏账准备金额</w:t>
      </w:r>
      <w:r>
        <w:rPr>
          <w:spacing w:val="-47"/>
        </w:rPr>
        <w:t> </w:t>
      </w:r>
      <w:r>
        <w:rPr>
          <w:rFonts w:ascii="Times New Roman" w:hAnsi="Times New Roman" w:cs="Times New Roman" w:eastAsia="Times New Roman" w:hint="default"/>
        </w:rPr>
        <w:t>5,185,049.14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3）本期实际核销的应收账款情况" w:id="222"/>
      <w:bookmarkEnd w:id="22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3,431,450.19</w:t>
            </w:r>
          </w:p>
        </w:tc>
      </w:tr>
    </w:tbl>
    <w:p>
      <w:pPr>
        <w:pStyle w:val="BodyText"/>
        <w:spacing w:line="240" w:lineRule="auto" w:before="51"/>
        <w:ind w:left="154" w:right="1033"/>
        <w:jc w:val="left"/>
      </w:pPr>
      <w:r>
        <w:rPr/>
        <w:t>其中重要的应收账款核销情况：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个人用户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2,837,945.52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已通过审批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上海游驰网络技术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已通过审批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其他企业用户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448,222.93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已通过审批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3,431,450.19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t>应收账款核销说明：</w:t>
      </w:r>
    </w:p>
    <w:p>
      <w:pPr>
        <w:spacing w:line="240" w:lineRule="auto" w:before="12"/>
        <w:rPr>
          <w:rFonts w:ascii="宋体" w:hAnsi="宋体" w:cs="宋体" w:eastAsia="宋体" w:hint="default"/>
          <w:sz w:val="14"/>
          <w:szCs w:val="14"/>
        </w:rPr>
      </w:pPr>
    </w:p>
    <w:p>
      <w:pPr>
        <w:pStyle w:val="BodyText"/>
        <w:spacing w:line="302" w:lineRule="auto"/>
        <w:ind w:left="154" w:right="1152" w:firstLine="420"/>
        <w:jc w:val="left"/>
      </w:pPr>
      <w:r>
        <w:rPr>
          <w:color w:val="0D0D0D"/>
        </w:rPr>
        <w:t>如财务报告五，</w:t>
      </w:r>
      <w:r>
        <w:rPr>
          <w:rFonts w:ascii="Times New Roman" w:hAnsi="Times New Roman" w:cs="Times New Roman" w:eastAsia="Times New Roman" w:hint="default"/>
          <w:color w:val="0D0D0D"/>
        </w:rPr>
        <w:t>33</w:t>
      </w:r>
      <w:r>
        <w:rPr>
          <w:color w:val="0D0D0D"/>
        </w:rPr>
        <w:t>、重要会计政策和会计估计变更所述，本公司重新调整了应收账款计提的估计，判断超出信用期个 人用户、企业用户应收账款的可收回性，对超出信用期并多次催收无法收回的应收账款经董事长批准后予以核销。</w:t>
      </w:r>
      <w:r>
        <w:rPr/>
      </w:r>
    </w:p>
    <w:p>
      <w:pPr>
        <w:spacing w:line="240" w:lineRule="auto" w:before="2"/>
        <w:rPr>
          <w:rFonts w:ascii="宋体" w:hAnsi="宋体" w:cs="宋体" w:eastAsia="宋体" w:hint="default"/>
          <w:sz w:val="23"/>
          <w:szCs w:val="23"/>
        </w:rPr>
      </w:pPr>
    </w:p>
    <w:p>
      <w:pPr>
        <w:pStyle w:val="Heading4"/>
        <w:spacing w:line="240" w:lineRule="auto"/>
        <w:ind w:left="153" w:right="1033"/>
        <w:jc w:val="left"/>
        <w:rPr>
          <w:b w:val="0"/>
          <w:bCs w:val="0"/>
        </w:rPr>
      </w:pPr>
      <w:bookmarkStart w:name="（4）按欠款方归集的期末余额前五名的应收账款情况" w:id="223"/>
      <w:bookmarkEnd w:id="22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33" w:type="dxa"/>
        <w:tblLayout w:type="fixed"/>
        <w:tblCellMar>
          <w:top w:w="0" w:type="dxa"/>
          <w:left w:w="0" w:type="dxa"/>
          <w:bottom w:w="0" w:type="dxa"/>
          <w:right w:w="0" w:type="dxa"/>
        </w:tblCellMar>
        <w:tblLook w:val="01E0"/>
      </w:tblPr>
      <w:tblGrid>
        <w:gridCol w:w="2425"/>
        <w:gridCol w:w="1985"/>
        <w:gridCol w:w="1559"/>
        <w:gridCol w:w="1702"/>
      </w:tblGrid>
      <w:tr>
        <w:trPr>
          <w:trHeight w:val="739" w:hRule="exact"/>
        </w:trPr>
        <w:tc>
          <w:tcPr>
            <w:tcW w:w="2425" w:type="dxa"/>
            <w:tcBorders>
              <w:top w:val="single" w:sz="4" w:space="0" w:color="000000"/>
              <w:left w:val="single" w:sz="4"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985"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84"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59"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85" w:lineRule="auto" w:before="45"/>
              <w:ind w:left="271" w:right="71" w:hanging="201"/>
              <w:jc w:val="left"/>
              <w:rPr>
                <w:rFonts w:ascii="宋体" w:hAnsi="宋体" w:cs="宋体" w:eastAsia="宋体" w:hint="default"/>
                <w:sz w:val="20"/>
                <w:szCs w:val="20"/>
              </w:rPr>
            </w:pPr>
            <w:r>
              <w:rPr>
                <w:rFonts w:ascii="宋体" w:hAnsi="宋体" w:cs="宋体" w:eastAsia="宋体" w:hint="default"/>
                <w:sz w:val="20"/>
                <w:szCs w:val="20"/>
              </w:rPr>
              <w:t>占应收账款期末</w:t>
            </w:r>
            <w:r>
              <w:rPr>
                <w:rFonts w:ascii="宋体" w:hAnsi="宋体" w:cs="宋体" w:eastAsia="宋体" w:hint="default"/>
                <w:w w:val="100"/>
                <w:sz w:val="20"/>
                <w:szCs w:val="20"/>
              </w:rPr>
              <w:t> </w:t>
            </w:r>
            <w:r>
              <w:rPr>
                <w:rFonts w:ascii="宋体" w:hAnsi="宋体" w:cs="宋体" w:eastAsia="宋体" w:hint="default"/>
                <w:sz w:val="20"/>
                <w:szCs w:val="20"/>
              </w:rPr>
              <w:t>余额的比例</w:t>
            </w:r>
          </w:p>
        </w:tc>
        <w:tc>
          <w:tcPr>
            <w:tcW w:w="1702"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43" w:right="0"/>
              <w:jc w:val="left"/>
              <w:rPr>
                <w:rFonts w:ascii="宋体" w:hAnsi="宋体" w:cs="宋体" w:eastAsia="宋体" w:hint="default"/>
                <w:sz w:val="20"/>
                <w:szCs w:val="20"/>
              </w:rPr>
            </w:pPr>
            <w:r>
              <w:rPr>
                <w:rFonts w:ascii="宋体" w:hAnsi="宋体" w:cs="宋体" w:eastAsia="宋体" w:hint="default"/>
                <w:sz w:val="20"/>
                <w:szCs w:val="20"/>
              </w:rPr>
              <w:t>已计提坏账准备</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tbl>
      <w:tblPr>
        <w:tblW w:w="0" w:type="auto"/>
        <w:jc w:val="left"/>
        <w:tblInd w:w="1133" w:type="dxa"/>
        <w:tblLayout w:type="fixed"/>
        <w:tblCellMar>
          <w:top w:w="0" w:type="dxa"/>
          <w:left w:w="0" w:type="dxa"/>
          <w:bottom w:w="0" w:type="dxa"/>
          <w:right w:w="0" w:type="dxa"/>
        </w:tblCellMar>
        <w:tblLook w:val="01E0"/>
      </w:tblPr>
      <w:tblGrid>
        <w:gridCol w:w="2425"/>
        <w:gridCol w:w="1985"/>
        <w:gridCol w:w="1559"/>
        <w:gridCol w:w="1702"/>
      </w:tblGrid>
      <w:tr>
        <w:trPr>
          <w:trHeight w:val="421" w:hRule="exact"/>
        </w:trPr>
        <w:tc>
          <w:tcPr>
            <w:tcW w:w="2425" w:type="dxa"/>
            <w:tcBorders>
              <w:top w:val="nil" w:sz="6" w:space="0" w:color="auto"/>
              <w:left w:val="single" w:sz="4" w:space="0" w:color="000000"/>
              <w:bottom w:val="single" w:sz="8" w:space="0" w:color="000000"/>
              <w:right w:val="single" w:sz="6" w:space="0" w:color="000000"/>
            </w:tcBorders>
          </w:tcPr>
          <w:p>
            <w:pPr>
              <w:pStyle w:val="TableParagraph"/>
              <w:spacing w:line="240" w:lineRule="auto" w:before="4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1</w:t>
            </w:r>
          </w:p>
        </w:tc>
        <w:tc>
          <w:tcPr>
            <w:tcW w:w="1985" w:type="dxa"/>
            <w:tcBorders>
              <w:top w:val="nil" w:sz="6" w:space="0" w:color="auto"/>
              <w:left w:val="single" w:sz="6" w:space="0" w:color="000000"/>
              <w:bottom w:val="single" w:sz="8"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20,646,773.87</w:t>
            </w:r>
          </w:p>
        </w:tc>
        <w:tc>
          <w:tcPr>
            <w:tcW w:w="1559" w:type="dxa"/>
            <w:tcBorders>
              <w:top w:val="nil" w:sz="6" w:space="0" w:color="auto"/>
              <w:left w:val="single" w:sz="6" w:space="0" w:color="000000"/>
              <w:bottom w:val="single" w:sz="8"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z w:val="20"/>
              </w:rPr>
              <w:t>29.27%</w:t>
            </w:r>
          </w:p>
        </w:tc>
        <w:tc>
          <w:tcPr>
            <w:tcW w:w="1702" w:type="dxa"/>
            <w:tcBorders>
              <w:top w:val="nil" w:sz="6" w:space="0" w:color="auto"/>
              <w:left w:val="single" w:sz="6" w:space="0" w:color="000000"/>
              <w:bottom w:val="single" w:sz="8"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1,741,851.00</w:t>
            </w:r>
          </w:p>
        </w:tc>
      </w:tr>
      <w:tr>
        <w:trPr>
          <w:trHeight w:val="422" w:hRule="exact"/>
        </w:trPr>
        <w:tc>
          <w:tcPr>
            <w:tcW w:w="2425"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5,519,322.54</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7.82%</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134,870.77</w:t>
            </w:r>
          </w:p>
        </w:tc>
      </w:tr>
      <w:tr>
        <w:trPr>
          <w:trHeight w:val="422" w:hRule="exact"/>
        </w:trPr>
        <w:tc>
          <w:tcPr>
            <w:tcW w:w="2425"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3</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3,030,748.78</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4.30%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126,111.22</w:t>
            </w:r>
          </w:p>
        </w:tc>
      </w:tr>
      <w:tr>
        <w:trPr>
          <w:trHeight w:val="422" w:hRule="exact"/>
        </w:trPr>
        <w:tc>
          <w:tcPr>
            <w:tcW w:w="2425"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pacing w:val="-1"/>
                <w:sz w:val="20"/>
              </w:rPr>
              <w:t>2,371,403.44</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3.36%</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110,584.61</w:t>
            </w:r>
          </w:p>
        </w:tc>
      </w:tr>
      <w:tr>
        <w:trPr>
          <w:trHeight w:val="422" w:hRule="exact"/>
        </w:trPr>
        <w:tc>
          <w:tcPr>
            <w:tcW w:w="2425"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2,170,656.78</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3.08%</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422" w:hRule="exact"/>
        </w:trPr>
        <w:tc>
          <w:tcPr>
            <w:tcW w:w="2425"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33,738,905.41</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47.83%</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2,113,417.60</w:t>
            </w:r>
          </w:p>
        </w:tc>
      </w:tr>
    </w:tbl>
    <w:p>
      <w:pPr>
        <w:spacing w:line="240" w:lineRule="auto" w:before="5"/>
        <w:rPr>
          <w:rFonts w:ascii="宋体" w:hAnsi="宋体" w:cs="宋体" w:eastAsia="宋体" w:hint="default"/>
          <w:b/>
          <w:bCs/>
          <w:sz w:val="27"/>
          <w:szCs w:val="27"/>
        </w:rPr>
      </w:pPr>
    </w:p>
    <w:p>
      <w:pPr>
        <w:pStyle w:val="BodyText"/>
        <w:spacing w:line="319" w:lineRule="auto" w:before="44"/>
        <w:ind w:left="154" w:right="1033"/>
        <w:jc w:val="left"/>
      </w:pPr>
      <w:r>
        <w:rPr>
          <w:spacing w:val="-2"/>
        </w:rPr>
        <w:t>注：按欠款方集中度，汇总或分别披露期末余额前五名的应收账款的期末余额及占应收账款期末余额合计数的比例，以及相</w:t>
      </w:r>
      <w:r>
        <w:rPr>
          <w:spacing w:val="-66"/>
        </w:rPr>
        <w:t> </w:t>
      </w:r>
      <w:r>
        <w:rPr>
          <w:spacing w:val="-66"/>
        </w:rPr>
      </w:r>
      <w:r>
        <w:rPr/>
        <w:t>应计提的坏账准备期末余额。</w:t>
      </w:r>
    </w:p>
    <w:p>
      <w:pPr>
        <w:spacing w:line="240" w:lineRule="auto" w:before="3"/>
        <w:rPr>
          <w:rFonts w:ascii="宋体" w:hAnsi="宋体" w:cs="宋体" w:eastAsia="宋体" w:hint="default"/>
          <w:sz w:val="22"/>
          <w:szCs w:val="22"/>
        </w:rPr>
      </w:pPr>
    </w:p>
    <w:p>
      <w:pPr>
        <w:pStyle w:val="Heading4"/>
        <w:spacing w:line="240" w:lineRule="auto"/>
        <w:ind w:right="1033"/>
        <w:jc w:val="left"/>
        <w:rPr>
          <w:b w:val="0"/>
          <w:bCs w:val="0"/>
        </w:rPr>
      </w:pPr>
      <w:bookmarkStart w:name="4、预付款项" w:id="224"/>
      <w:bookmarkEnd w:id="224"/>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预付款项按账龄列示" w:id="225"/>
      <w:bookmarkEnd w:id="22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55,363,119.27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34,470,201.82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1,799,610.28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233,882.28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558,135.21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13,357.59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57,162,729.55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35,275,576.90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按预付对象归集的期末余额前五名的预付款情况" w:id="226"/>
      <w:bookmarkEnd w:id="22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780" w:type="dxa"/>
        <w:tblLayout w:type="fixed"/>
        <w:tblCellMar>
          <w:top w:w="0" w:type="dxa"/>
          <w:left w:w="0" w:type="dxa"/>
          <w:bottom w:w="0" w:type="dxa"/>
          <w:right w:w="0" w:type="dxa"/>
        </w:tblCellMar>
        <w:tblLook w:val="01E0"/>
      </w:tblPr>
      <w:tblGrid>
        <w:gridCol w:w="1146"/>
        <w:gridCol w:w="2300"/>
        <w:gridCol w:w="1387"/>
        <w:gridCol w:w="1218"/>
        <w:gridCol w:w="2326"/>
      </w:tblGrid>
      <w:tr>
        <w:trPr>
          <w:trHeight w:val="734" w:hRule="exact"/>
        </w:trPr>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1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1"/>
              <w:ind w:left="417" w:right="59" w:hanging="360"/>
              <w:jc w:val="left"/>
              <w:rPr>
                <w:rFonts w:ascii="宋体" w:hAnsi="宋体" w:cs="宋体" w:eastAsia="宋体" w:hint="default"/>
                <w:sz w:val="18"/>
                <w:szCs w:val="18"/>
              </w:rPr>
            </w:pPr>
            <w:r>
              <w:rPr>
                <w:rFonts w:ascii="宋体" w:hAnsi="宋体" w:cs="宋体" w:eastAsia="宋体" w:hint="default"/>
                <w:sz w:val="18"/>
                <w:szCs w:val="18"/>
              </w:rPr>
              <w:t>占预付账款总额 的比例</w:t>
            </w:r>
          </w:p>
        </w:tc>
        <w:tc>
          <w:tcPr>
            <w:tcW w:w="12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35,418,188.00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未完成股权变更手续</w:t>
            </w:r>
          </w:p>
        </w:tc>
      </w:tr>
      <w:tr>
        <w:trPr>
          <w:trHeight w:val="40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1,729,895.04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产品尚未到货</w:t>
            </w:r>
          </w:p>
        </w:tc>
      </w:tr>
      <w:tr>
        <w:trPr>
          <w:trHeight w:val="40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844,812.17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产品尚未到货</w:t>
            </w:r>
          </w:p>
        </w:tc>
      </w:tr>
      <w:tr>
        <w:trPr>
          <w:trHeight w:val="40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807,061.82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产品尚未到货</w:t>
            </w:r>
          </w:p>
        </w:tc>
      </w:tr>
      <w:tr>
        <w:trPr>
          <w:trHeight w:val="40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720,730.11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1072"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39,520,687.14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69.14%</w:t>
            </w:r>
          </w:p>
        </w:tc>
        <w:tc>
          <w:tcPr>
            <w:tcW w:w="121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357" w:lineRule="auto" w:before="44"/>
        <w:ind w:right="1393"/>
        <w:jc w:val="left"/>
      </w:pPr>
      <w:r>
        <w:rPr/>
        <w:t>注：按预付对象集中度，汇总或分别披露期末余额前五名的预付款项的期末余额及占预付款项期末余额合计数的比例。 其他说明：</w:t>
      </w:r>
    </w:p>
    <w:p>
      <w:pPr>
        <w:pStyle w:val="BodyText"/>
        <w:spacing w:line="300" w:lineRule="auto" w:before="28"/>
        <w:ind w:right="1033" w:firstLine="420"/>
        <w:jc w:val="left"/>
      </w:pPr>
      <w:r>
        <w:rPr>
          <w:color w:val="0D0D0D"/>
          <w:spacing w:val="-2"/>
        </w:rPr>
        <w:t>期末余额比期初余额增加</w:t>
      </w:r>
      <w:r>
        <w:rPr>
          <w:rFonts w:ascii="Times New Roman" w:hAnsi="Times New Roman" w:cs="Times New Roman" w:eastAsia="Times New Roman" w:hint="default"/>
          <w:color w:val="0D0D0D"/>
          <w:spacing w:val="-2"/>
        </w:rPr>
        <w:t>62.05%</w:t>
      </w:r>
      <w:r>
        <w:rPr>
          <w:color w:val="0D0D0D"/>
          <w:spacing w:val="-2"/>
        </w:rPr>
        <w:t>，主要系根据本公司</w:t>
      </w:r>
      <w:r>
        <w:rPr>
          <w:rFonts w:ascii="Times New Roman" w:hAnsi="Times New Roman" w:cs="Times New Roman" w:eastAsia="Times New Roman" w:hint="default"/>
          <w:color w:val="0D0D0D"/>
          <w:spacing w:val="-2"/>
        </w:rPr>
        <w:t>2015</w:t>
      </w:r>
      <w:r>
        <w:rPr>
          <w:color w:val="0D0D0D"/>
          <w:spacing w:val="-2"/>
        </w:rPr>
        <w:t>年</w:t>
      </w:r>
      <w:r>
        <w:rPr>
          <w:rFonts w:ascii="Times New Roman" w:hAnsi="Times New Roman" w:cs="Times New Roman" w:eastAsia="Times New Roman" w:hint="default"/>
          <w:color w:val="0D0D0D"/>
          <w:spacing w:val="-2"/>
        </w:rPr>
        <w:t>11</w:t>
      </w:r>
      <w:r>
        <w:rPr>
          <w:color w:val="0D0D0D"/>
          <w:spacing w:val="-2"/>
        </w:rPr>
        <w:t>月</w:t>
      </w:r>
      <w:r>
        <w:rPr>
          <w:rFonts w:ascii="Times New Roman" w:hAnsi="Times New Roman" w:cs="Times New Roman" w:eastAsia="Times New Roman" w:hint="default"/>
          <w:color w:val="0D0D0D"/>
          <w:spacing w:val="-2"/>
        </w:rPr>
        <w:t>6</w:t>
      </w:r>
      <w:r>
        <w:rPr>
          <w:color w:val="0D0D0D"/>
          <w:spacing w:val="-2"/>
        </w:rPr>
        <w:t>日第五届董事会第五次会议，拟通过全资子公司</w:t>
      </w:r>
      <w:r>
        <w:rPr>
          <w:rFonts w:ascii="Times New Roman" w:hAnsi="Times New Roman" w:cs="Times New Roman" w:eastAsia="Times New Roman" w:hint="default"/>
          <w:color w:val="0D0D0D"/>
          <w:spacing w:val="-2"/>
        </w:rPr>
        <w:t>——</w:t>
      </w:r>
      <w:r>
        <w:rPr>
          <w:rFonts w:ascii="Times New Roman" w:hAnsi="Times New Roman" w:cs="Times New Roman" w:eastAsia="Times New Roman" w:hint="default"/>
          <w:color w:val="0D0D0D"/>
        </w:rPr>
        <w:t> </w:t>
      </w:r>
      <w:r>
        <w:rPr>
          <w:color w:val="0D0D0D"/>
        </w:rPr>
        <w:t>北京二六三企业通信有限公司（以下简称</w:t>
      </w:r>
      <w:r>
        <w:rPr>
          <w:rFonts w:ascii="Times New Roman" w:hAnsi="Times New Roman" w:cs="Times New Roman" w:eastAsia="Times New Roman" w:hint="default"/>
          <w:color w:val="0D0D0D"/>
        </w:rPr>
        <w:t>“</w:t>
      </w:r>
      <w:r>
        <w:rPr>
          <w:color w:val="0D0D0D"/>
        </w:rPr>
        <w:t>企业通信</w:t>
      </w:r>
      <w:r>
        <w:rPr>
          <w:rFonts w:ascii="Times New Roman" w:hAnsi="Times New Roman" w:cs="Times New Roman" w:eastAsia="Times New Roman" w:hint="default"/>
          <w:color w:val="0D0D0D"/>
        </w:rPr>
        <w:t>”</w:t>
      </w:r>
      <w:r>
        <w:rPr>
          <w:color w:val="0D0D0D"/>
        </w:rPr>
        <w:t>）收购展动科技（北京）有限公司股权，企业通信依约预付</w:t>
      </w:r>
      <w:r>
        <w:rPr>
          <w:rFonts w:ascii="Times New Roman" w:hAnsi="Times New Roman" w:cs="Times New Roman" w:eastAsia="Times New Roman" w:hint="default"/>
          <w:color w:val="0D0D0D"/>
        </w:rPr>
        <w:t>3,542</w:t>
      </w:r>
      <w:r>
        <w:rPr>
          <w:color w:val="0D0D0D"/>
        </w:rPr>
        <w:t>万元 </w:t>
      </w:r>
      <w:r>
        <w:rPr>
          <w:color w:val="0D0D0D"/>
          <w:spacing w:val="-2"/>
        </w:rPr>
        <w:t>股权收购款，截至</w:t>
      </w:r>
      <w:r>
        <w:rPr>
          <w:rFonts w:ascii="Times New Roman" w:hAnsi="Times New Roman" w:cs="Times New Roman" w:eastAsia="Times New Roman" w:hint="default"/>
          <w:color w:val="0D0D0D"/>
          <w:spacing w:val="-2"/>
        </w:rPr>
        <w:t>2015</w:t>
      </w:r>
      <w:r>
        <w:rPr>
          <w:color w:val="0D0D0D"/>
          <w:spacing w:val="-2"/>
        </w:rPr>
        <w:t>年</w:t>
      </w:r>
      <w:r>
        <w:rPr>
          <w:rFonts w:ascii="Times New Roman" w:hAnsi="Times New Roman" w:cs="Times New Roman" w:eastAsia="Times New Roman" w:hint="default"/>
          <w:color w:val="0D0D0D"/>
          <w:spacing w:val="-2"/>
        </w:rPr>
        <w:t>12</w:t>
      </w:r>
      <w:r>
        <w:rPr>
          <w:color w:val="0D0D0D"/>
          <w:spacing w:val="-2"/>
        </w:rPr>
        <w:t>月</w:t>
      </w:r>
      <w:r>
        <w:rPr>
          <w:rFonts w:ascii="Times New Roman" w:hAnsi="Times New Roman" w:cs="Times New Roman" w:eastAsia="Times New Roman" w:hint="default"/>
          <w:color w:val="0D0D0D"/>
          <w:spacing w:val="-2"/>
        </w:rPr>
        <w:t>31</w:t>
      </w:r>
      <w:r>
        <w:rPr>
          <w:color w:val="0D0D0D"/>
          <w:spacing w:val="-2"/>
        </w:rPr>
        <w:t>日，展动科技（北京）有限公司尚未完成股权工商变更手续，本公司期末将该投资款在预付</w:t>
      </w:r>
      <w:r>
        <w:rPr>
          <w:color w:val="0D0D0D"/>
          <w:spacing w:val="-58"/>
        </w:rPr>
        <w:t> </w:t>
      </w:r>
      <w:r>
        <w:rPr>
          <w:color w:val="0D0D0D"/>
          <w:spacing w:val="-58"/>
        </w:rPr>
      </w:r>
      <w:r>
        <w:rPr>
          <w:color w:val="0D0D0D"/>
        </w:rPr>
        <w:t>账款中核算。</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4"/>
        <w:spacing w:line="240" w:lineRule="auto"/>
        <w:ind w:left="153" w:right="1033"/>
        <w:jc w:val="left"/>
        <w:rPr>
          <w:b w:val="0"/>
          <w:bCs w:val="0"/>
        </w:rPr>
      </w:pPr>
      <w:bookmarkStart w:name="5、应收利息" w:id="227"/>
      <w:bookmarkEnd w:id="227"/>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利息分类" w:id="228"/>
      <w:bookmarkEnd w:id="22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1,189,315.07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浮动收益理财产品应计利息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468,430.69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468,430.69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1,189,315.07</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重要逾期利息:无" w:id="229"/>
      <w:bookmarkEnd w:id="229"/>
      <w:r>
        <w:rPr>
          <w:b w:val="0"/>
          <w:bCs w:val="0"/>
        </w:rPr>
      </w:r>
      <w:r>
        <w:rPr/>
        <w:t>（</w:t>
      </w:r>
      <w:r>
        <w:rPr>
          <w:rFonts w:ascii="Times New Roman" w:hAnsi="Times New Roman" w:cs="Times New Roman" w:eastAsia="Times New Roman" w:hint="default"/>
        </w:rPr>
        <w:t>2</w:t>
      </w:r>
      <w:r>
        <w:rPr/>
        <w:t>）重要逾期利息</w:t>
      </w:r>
      <w:r>
        <w:rPr>
          <w:rFonts w:ascii="Times New Roman" w:hAnsi="Times New Roman" w:cs="Times New Roman" w:eastAsia="Times New Roman" w:hint="default"/>
        </w:rPr>
        <w:t>:</w:t>
      </w:r>
      <w:r>
        <w:rPr/>
        <w:t>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33"/>
        <w:jc w:val="left"/>
      </w:pPr>
      <w:r>
        <w:rPr>
          <w:color w:val="0D0D0D"/>
        </w:rPr>
        <w:t>应收利息余额期末较期初减少较多，主要系本公司期末持有的理财产品均于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月购入，持有期较短所致。</w:t>
      </w:r>
      <w:r>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其他应收款分类披露" w:id="231"/>
      <w:bookmarkEnd w:id="23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13,906,6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385,637.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13,521,01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15,338,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425,247.2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14,913,314.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13,906,6</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54.81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385,637.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13,521,01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15,338,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562.19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425,247.2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14,913,314.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107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1,017,543.53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1,108,422.34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1,108,422.34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left="154" w:right="-20"/>
        <w:jc w:val="left"/>
      </w:pPr>
      <w:r>
        <w:rPr/>
        <w:t>确定该组合依据的说明： 组合中，采用余额百分比法计提坏账准备的其他应收款：</w:t>
      </w:r>
    </w:p>
    <w:p>
      <w:pPr>
        <w:pStyle w:val="BodyText"/>
        <w:spacing w:line="240" w:lineRule="auto" w:before="26"/>
        <w:ind w:left="154"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8,778,731.06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175,574.63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4,019,501.41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200,975.09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12,798,232.47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376,549.72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bl>
    <w:p>
      <w:pPr>
        <w:pStyle w:val="BodyText"/>
        <w:spacing w:line="360" w:lineRule="auto" w:before="51"/>
        <w:ind w:left="154" w:right="8772"/>
        <w:jc w:val="left"/>
      </w:pPr>
      <w:r>
        <w:rPr/>
        <w:t>注：填写具体组合名称。 确定该组合依据的说明：</w:t>
      </w:r>
    </w:p>
    <w:p>
      <w:pPr>
        <w:pStyle w:val="BodyText"/>
        <w:spacing w:line="240" w:lineRule="auto" w:before="26"/>
        <w:ind w:left="154" w:right="1033"/>
        <w:jc w:val="left"/>
      </w:pPr>
      <w:r>
        <w:rPr/>
        <w:t>组合中，采用其他方法计提坏账准备的其他应收款：</w:t>
      </w:r>
    </w:p>
    <w:p>
      <w:pPr>
        <w:pStyle w:val="BodyText"/>
        <w:spacing w:line="338" w:lineRule="auto" w:before="117"/>
        <w:ind w:right="175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注：说明确定该组合的依据、该组合中各类其他应收款期末余额、坏账准备期末余额，以及坏账准备的计提比例。</w:t>
      </w:r>
    </w:p>
    <w:p>
      <w:pPr>
        <w:spacing w:line="240" w:lineRule="auto" w:before="1"/>
        <w:rPr>
          <w:rFonts w:ascii="宋体" w:hAnsi="宋体" w:cs="宋体" w:eastAsia="宋体" w:hint="default"/>
          <w:sz w:val="21"/>
          <w:szCs w:val="21"/>
        </w:rPr>
      </w:pPr>
    </w:p>
    <w:p>
      <w:pPr>
        <w:pStyle w:val="Heading4"/>
        <w:spacing w:line="240" w:lineRule="auto"/>
        <w:ind w:left="153" w:right="1033"/>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39,609.63</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3）本期实际核销的其他应收款情况" w:id="233"/>
      <w:bookmarkEnd w:id="23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其他应收款按款项性质分类情况" w:id="234"/>
      <w:bookmarkEnd w:id="23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12,798,232.47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10,462,463.57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262,377.53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180,426.52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666,253.91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4,048,267.72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309,945.85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179,790.90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337,458.53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13,906,654.81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15,338,562.19</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按欠款方归集的期末余额前五名的其他应收款情况" w:id="235"/>
      <w:bookmarkEnd w:id="23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1,088,976.72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21,779.53</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835,718.19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302" w:lineRule="auto" w:before="63"/>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532,353.66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303,364.53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41,785.91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732,128.51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36,606.43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679,490.30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13,589.81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9,336,313.72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233,761.68</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7,517,662.11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277,136.15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7,240,525.96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4,605,229.52</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4,605,229.52</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4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3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242,107.48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242,107.48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233,040.23</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233,040.23</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3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78" w:right="0"/>
              <w:jc w:val="left"/>
              <w:rPr>
                <w:rFonts w:ascii="Times New Roman" w:hAnsi="Times New Roman" w:cs="Times New Roman" w:eastAsia="Times New Roman" w:hint="default"/>
                <w:sz w:val="18"/>
                <w:szCs w:val="18"/>
              </w:rPr>
            </w:pPr>
            <w:r>
              <w:rPr>
                <w:rFonts w:ascii="Times New Roman"/>
                <w:sz w:val="18"/>
              </w:rPr>
              <w:t>7,759,769.59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277,136.15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7,482,633.44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4,838,269.75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4,838,269.75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2734"/>
        <w:gridCol w:w="2735"/>
        <w:gridCol w:w="1367"/>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9" w:space="0" w:color="D2D2D2"/>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277,136.15</w:t>
            </w: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277,136.15</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38"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277,136.15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277,136.15</w:t>
            </w:r>
          </w:p>
        </w:tc>
      </w:tr>
    </w:tbl>
    <w:p>
      <w:pPr>
        <w:pStyle w:val="BodyText"/>
        <w:spacing w:line="360" w:lineRule="auto" w:before="51"/>
        <w:ind w:left="517" w:right="2665" w:hanging="364"/>
        <w:jc w:val="left"/>
      </w:pPr>
      <w:r>
        <w:rPr/>
        <w:t>注：说明确定可变现净值的具体依据及本期转回或转销存货跌价准备的原因。 存货期末余额较期初余额增加了</w:t>
      </w:r>
      <w:r>
        <w:rPr>
          <w:spacing w:val="-50"/>
        </w:rPr>
        <w:t> </w:t>
      </w:r>
      <w:r>
        <w:rPr>
          <w:rFonts w:ascii="Times New Roman" w:hAnsi="Times New Roman" w:cs="Times New Roman" w:eastAsia="Times New Roman" w:hint="default"/>
        </w:rPr>
        <w:t>60.38%</w:t>
      </w:r>
      <w:r>
        <w:rPr/>
        <w:t>，主要系</w:t>
      </w:r>
      <w:r>
        <w:rPr>
          <w:spacing w:val="-50"/>
        </w:rPr>
        <w:t> </w:t>
      </w:r>
      <w:r>
        <w:rPr>
          <w:rFonts w:ascii="Times New Roman" w:hAnsi="Times New Roman" w:cs="Times New Roman" w:eastAsia="Times New Roman" w:hint="default"/>
        </w:rPr>
        <w:t>iTalkTV</w:t>
      </w:r>
      <w:r>
        <w:rPr>
          <w:rFonts w:ascii="Times New Roman" w:hAnsi="Times New Roman" w:cs="Times New Roman" w:eastAsia="Times New Roman" w:hint="default"/>
          <w:spacing w:val="-8"/>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
        </w:rPr>
        <w:t> </w:t>
      </w:r>
      <w:r>
        <w:rPr/>
        <w:t>因业务增长备货所致。</w:t>
      </w:r>
    </w:p>
    <w:p>
      <w:pPr>
        <w:spacing w:line="240" w:lineRule="auto" w:before="1"/>
        <w:rPr>
          <w:rFonts w:ascii="宋体" w:hAnsi="宋体" w:cs="宋体" w:eastAsia="宋体" w:hint="default"/>
          <w:sz w:val="18"/>
          <w:szCs w:val="18"/>
        </w:rPr>
      </w:pPr>
    </w:p>
    <w:p>
      <w:pPr>
        <w:pStyle w:val="Heading4"/>
        <w:spacing w:line="240" w:lineRule="auto"/>
        <w:ind w:left="153" w:right="1033"/>
        <w:jc w:val="left"/>
        <w:rPr>
          <w:b w:val="0"/>
          <w:bCs w:val="0"/>
        </w:rPr>
      </w:pPr>
      <w:bookmarkStart w:name="8、其他流动资产" w:id="239"/>
      <w:bookmarkEnd w:id="23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保本收益类理财产品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增值税待抵扣税额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3,563,090.23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3,299,892.64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212,862,982.87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r>
    </w:tbl>
    <w:p>
      <w:pPr>
        <w:pStyle w:val="BodyText"/>
        <w:spacing w:line="439" w:lineRule="auto" w:before="51"/>
        <w:ind w:right="5353"/>
        <w:jc w:val="left"/>
      </w:pPr>
      <w:r>
        <w:rPr/>
        <w:t>其他说明： 其他流动资产期末余额较上年增长较多，系购买不同理财产品所致。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4"/>
        <w:spacing w:line="240" w:lineRule="auto"/>
        <w:ind w:left="153" w:right="1033"/>
        <w:jc w:val="left"/>
        <w:rPr>
          <w:b w:val="0"/>
          <w:bCs w:val="0"/>
        </w:rPr>
      </w:pPr>
      <w:bookmarkStart w:name="9、可供出售金融资产" w:id="240"/>
      <w:bookmarkEnd w:id="240"/>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可供出售金融资产情况" w:id="241"/>
      <w:bookmarkEnd w:id="24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50,553,808.93</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50,553,808.93</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50,553,808.93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期末按公允价值计量的可供出售金融资产" w:id="242"/>
      <w:bookmarkEnd w:id="24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89,550,917.95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89,550,917.95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160,532,424.51</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70,981,506.56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70,981,506.56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报告期内可供出售金融资产减值的变动情况" w:id="243"/>
      <w:bookmarkEnd w:id="243"/>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其中：从其他综合收益 转入</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其中：期后公允价值回 升转回</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可供出售权益工具期末公允价值严重下跌或非暂时性下跌但未计提减值准备的相关说" w:id="244"/>
      <w:bookmarkEnd w:id="244"/>
      <w:r>
        <w:rPr>
          <w:b w:val="0"/>
          <w:bCs w:val="0"/>
        </w:rPr>
      </w:r>
      <w:r>
        <w:rPr/>
        <w:t>（</w:t>
      </w:r>
      <w:r>
        <w:rPr>
          <w:rFonts w:ascii="Times New Roman" w:hAnsi="Times New Roman" w:cs="Times New Roman" w:eastAsia="Times New Roman" w:hint="default"/>
        </w:rPr>
        <w:t>4</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9" w:lineRule="auto" w:before="51"/>
        <w:ind w:right="1132"/>
        <w:jc w:val="both"/>
      </w:pPr>
      <w:r>
        <w:rPr/>
        <w:t>注：对于期末公允价值相对于成本的下跌幅度已达到或超过</w:t>
      </w:r>
      <w:r>
        <w:rPr>
          <w:spacing w:val="-48"/>
        </w:rPr>
        <w:t> </w:t>
      </w:r>
      <w:r>
        <w:rPr>
          <w:rFonts w:ascii="Times New Roman" w:hAnsi="Times New Roman" w:cs="Times New Roman" w:eastAsia="Times New Roman" w:hint="default"/>
        </w:rPr>
        <w:t>50%</w:t>
      </w:r>
      <w:r>
        <w:rPr/>
        <w:t>，或者持续下跌时间已达到或超过</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个月，尚未根据成本 </w:t>
      </w:r>
      <w:r>
        <w:rPr>
          <w:spacing w:val="-2"/>
        </w:rPr>
        <w:t>与期末公允价值差额计提减值的可供出售权益工具，公司应详细说明各项投资的成本和公允价值的金额、公允价值相对于成</w:t>
      </w:r>
      <w:r>
        <w:rPr>
          <w:spacing w:val="-64"/>
        </w:rPr>
        <w:t> </w:t>
      </w:r>
      <w:r>
        <w:rPr>
          <w:spacing w:val="-64"/>
        </w:rPr>
      </w:r>
      <w:r>
        <w:rPr/>
        <w:t>本的下跌幅度、持续下跌时间、已计提减值金额，以及未根据成本与期末公允价值的差额计提减值的理由。</w:t>
      </w:r>
    </w:p>
    <w:p>
      <w:pPr>
        <w:pStyle w:val="BodyText"/>
        <w:spacing w:line="240" w:lineRule="auto" w:before="64"/>
        <w:ind w:right="0"/>
        <w:jc w:val="both"/>
      </w:pPr>
      <w:r>
        <w:rPr/>
        <w:t>其他说明</w:t>
      </w:r>
    </w:p>
    <w:p>
      <w:pPr>
        <w:pStyle w:val="BodyText"/>
        <w:spacing w:line="240" w:lineRule="auto" w:before="116"/>
        <w:ind w:left="517" w:right="1033"/>
        <w:jc w:val="left"/>
      </w:pPr>
      <w:r>
        <w:rPr>
          <w:color w:val="0D0D0D"/>
        </w:rPr>
        <w:t>可供出售金融资产期末余额较期初余额增加</w:t>
      </w:r>
      <w:r>
        <w:rPr>
          <w:color w:val="0D0D0D"/>
          <w:spacing w:val="-45"/>
        </w:rPr>
        <w:t> </w:t>
      </w:r>
      <w:r>
        <w:rPr>
          <w:rFonts w:ascii="Times New Roman" w:hAnsi="Times New Roman" w:cs="Times New Roman" w:eastAsia="Times New Roman" w:hint="default"/>
          <w:color w:val="0D0D0D"/>
        </w:rPr>
        <w:t>217.55%</w:t>
      </w:r>
      <w:r>
        <w:rPr>
          <w:color w:val="0D0D0D"/>
        </w:rPr>
        <w:t>，主要系：</w:t>
      </w:r>
      <w:r>
        <w:rPr/>
      </w:r>
    </w:p>
    <w:p>
      <w:pPr>
        <w:pStyle w:val="BodyText"/>
        <w:spacing w:line="300" w:lineRule="auto" w:before="102"/>
        <w:ind w:right="1132" w:firstLine="363"/>
        <w:jc w:val="both"/>
      </w:pPr>
      <w:r>
        <w:rPr>
          <w:color w:val="0D0D0D"/>
          <w:spacing w:val="-6"/>
        </w:rPr>
        <w:t>（</w:t>
      </w:r>
      <w:r>
        <w:rPr>
          <w:rFonts w:ascii="Times New Roman" w:hAnsi="Times New Roman" w:cs="Times New Roman" w:eastAsia="Times New Roman" w:hint="default"/>
          <w:color w:val="0D0D0D"/>
          <w:spacing w:val="-6"/>
        </w:rPr>
        <w:t>1</w:t>
      </w:r>
      <w:r>
        <w:rPr>
          <w:color w:val="0D0D0D"/>
          <w:spacing w:val="-6"/>
        </w:rPr>
        <w:t>）</w:t>
      </w:r>
      <w:r>
        <w:rPr>
          <w:rFonts w:ascii="Times New Roman" w:hAnsi="Times New Roman" w:cs="Times New Roman" w:eastAsia="Times New Roman" w:hint="default"/>
          <w:color w:val="0D0D0D"/>
          <w:spacing w:val="-6"/>
        </w:rPr>
        <w:t>2014</w:t>
      </w:r>
      <w:r>
        <w:rPr>
          <w:rFonts w:ascii="Times New Roman" w:hAnsi="Times New Roman" w:cs="Times New Roman" w:eastAsia="Times New Roman" w:hint="default"/>
          <w:color w:val="0D0D0D"/>
          <w:spacing w:val="5"/>
        </w:rPr>
        <w:t> </w:t>
      </w:r>
      <w:r>
        <w:rPr>
          <w:color w:val="0D0D0D"/>
        </w:rPr>
        <w:t>年</w:t>
      </w:r>
      <w:r>
        <w:rPr>
          <w:color w:val="0D0D0D"/>
          <w:spacing w:val="-40"/>
        </w:rPr>
        <w:t> </w:t>
      </w:r>
      <w:r>
        <w:rPr>
          <w:rFonts w:ascii="Times New Roman" w:hAnsi="Times New Roman" w:cs="Times New Roman" w:eastAsia="Times New Roman" w:hint="default"/>
          <w:color w:val="0D0D0D"/>
        </w:rPr>
        <w:t>12</w:t>
      </w:r>
      <w:r>
        <w:rPr>
          <w:rFonts w:ascii="Times New Roman" w:hAnsi="Times New Roman" w:cs="Times New Roman" w:eastAsia="Times New Roman" w:hint="default"/>
          <w:color w:val="0D0D0D"/>
          <w:spacing w:val="5"/>
        </w:rPr>
        <w:t> </w:t>
      </w:r>
      <w:r>
        <w:rPr>
          <w:color w:val="0D0D0D"/>
        </w:rPr>
        <w:t>月</w:t>
      </w:r>
      <w:r>
        <w:rPr>
          <w:color w:val="0D0D0D"/>
          <w:spacing w:val="-40"/>
        </w:rPr>
        <w:t> </w:t>
      </w:r>
      <w:r>
        <w:rPr>
          <w:rFonts w:ascii="Times New Roman" w:hAnsi="Times New Roman" w:cs="Times New Roman" w:eastAsia="Times New Roman" w:hint="default"/>
          <w:color w:val="0D0D0D"/>
        </w:rPr>
        <w:t>26</w:t>
      </w:r>
      <w:r>
        <w:rPr>
          <w:rFonts w:ascii="Times New Roman" w:hAnsi="Times New Roman" w:cs="Times New Roman" w:eastAsia="Times New Roman" w:hint="default"/>
          <w:color w:val="0D0D0D"/>
          <w:spacing w:val="5"/>
        </w:rPr>
        <w:t> </w:t>
      </w:r>
      <w:r>
        <w:rPr>
          <w:color w:val="0D0D0D"/>
          <w:spacing w:val="-5"/>
        </w:rPr>
        <w:t>日，本公司和北京用友幸福云创创业投资中心（有限合伙）、华软创新创业投资无锡合伙企业（有</w:t>
      </w:r>
      <w:r>
        <w:rPr>
          <w:color w:val="0D0D0D"/>
        </w:rPr>
        <w:t> </w:t>
      </w:r>
      <w:r>
        <w:rPr>
          <w:color w:val="0D0D0D"/>
          <w:spacing w:val="-2"/>
        </w:rPr>
        <w:t>限合伙）、北京华软投资管理有限公司与北京慧友云商科技有限公司（以下简称</w:t>
      </w:r>
      <w:r>
        <w:rPr>
          <w:rFonts w:ascii="Times New Roman" w:hAnsi="Times New Roman" w:cs="Times New Roman" w:eastAsia="Times New Roman" w:hint="default"/>
          <w:color w:val="0D0D0D"/>
          <w:spacing w:val="-2"/>
        </w:rPr>
        <w:t>“</w:t>
      </w:r>
      <w:r>
        <w:rPr>
          <w:color w:val="0D0D0D"/>
          <w:spacing w:val="-2"/>
        </w:rPr>
        <w:t>慧友云商</w:t>
      </w:r>
      <w:r>
        <w:rPr>
          <w:rFonts w:ascii="Times New Roman" w:hAnsi="Times New Roman" w:cs="Times New Roman" w:eastAsia="Times New Roman" w:hint="default"/>
          <w:color w:val="0D0D0D"/>
          <w:spacing w:val="-2"/>
        </w:rPr>
        <w:t>”</w:t>
      </w:r>
      <w:r>
        <w:rPr>
          <w:color w:val="0D0D0D"/>
          <w:spacing w:val="-2"/>
        </w:rPr>
        <w:t>）、北京凌云悦翔科技有限公司</w:t>
      </w:r>
      <w:r>
        <w:rPr>
          <w:spacing w:val="-2"/>
        </w:rPr>
      </w:r>
    </w:p>
    <w:p>
      <w:pPr>
        <w:pStyle w:val="BodyText"/>
        <w:spacing w:line="302" w:lineRule="auto" w:before="13"/>
        <w:ind w:right="1124"/>
        <w:jc w:val="left"/>
      </w:pPr>
      <w:r>
        <w:rPr>
          <w:color w:val="0D0D0D"/>
        </w:rPr>
        <w:t>（慧友云商原股东）、北京致远协创软件有限公司（慧友云商原股东）签订投资协议，协议约定，本公司用现金</w:t>
      </w:r>
      <w:r>
        <w:rPr>
          <w:color w:val="0D0D0D"/>
          <w:spacing w:val="-45"/>
        </w:rPr>
        <w:t> </w:t>
      </w:r>
      <w:r>
        <w:rPr>
          <w:rFonts w:ascii="Times New Roman" w:hAnsi="Times New Roman" w:cs="Times New Roman" w:eastAsia="Times New Roman" w:hint="default"/>
          <w:color w:val="0D0D0D"/>
        </w:rPr>
        <w:t>1500</w:t>
      </w:r>
      <w:r>
        <w:rPr>
          <w:rFonts w:ascii="Times New Roman" w:hAnsi="Times New Roman" w:cs="Times New Roman" w:eastAsia="Times New Roman" w:hint="default"/>
          <w:color w:val="0D0D0D"/>
          <w:spacing w:val="-1"/>
        </w:rPr>
        <w:t> </w:t>
      </w:r>
      <w:r>
        <w:rPr>
          <w:color w:val="0D0D0D"/>
        </w:rPr>
        <w:t>万元 分两期收购及认购慧友云商新增注册资本：</w:t>
      </w:r>
      <w:r>
        <w:rPr/>
      </w:r>
    </w:p>
    <w:p>
      <w:pPr>
        <w:pStyle w:val="BodyText"/>
        <w:spacing w:line="302" w:lineRule="auto" w:before="68"/>
        <w:ind w:right="1132" w:firstLine="363"/>
        <w:jc w:val="both"/>
      </w:pPr>
      <w:r>
        <w:rPr>
          <w:color w:val="0D0D0D"/>
        </w:rPr>
        <w:t>第一期：本公司应于</w:t>
      </w:r>
      <w:r>
        <w:rPr>
          <w:color w:val="0D0D0D"/>
          <w:spacing w:val="-48"/>
        </w:rPr>
        <w:t> </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3"/>
        </w:rPr>
        <w:t> </w:t>
      </w:r>
      <w:r>
        <w:rPr>
          <w:color w:val="0D0D0D"/>
        </w:rPr>
        <w:t>年</w:t>
      </w:r>
      <w:r>
        <w:rPr>
          <w:color w:val="0D0D0D"/>
          <w:spacing w:val="-47"/>
        </w:rPr>
        <w:t> </w:t>
      </w:r>
      <w:r>
        <w:rPr>
          <w:rFonts w:ascii="Times New Roman" w:hAnsi="Times New Roman" w:cs="Times New Roman" w:eastAsia="Times New Roman" w:hint="default"/>
          <w:color w:val="0D0D0D"/>
        </w:rPr>
        <w:t>1</w:t>
      </w:r>
      <w:r>
        <w:rPr>
          <w:rFonts w:ascii="Times New Roman" w:hAnsi="Times New Roman" w:cs="Times New Roman" w:eastAsia="Times New Roman" w:hint="default"/>
          <w:color w:val="0D0D0D"/>
          <w:spacing w:val="-3"/>
        </w:rPr>
        <w:t> </w:t>
      </w:r>
      <w:r>
        <w:rPr>
          <w:color w:val="0D0D0D"/>
        </w:rPr>
        <w:t>月</w:t>
      </w:r>
      <w:r>
        <w:rPr>
          <w:color w:val="0D0D0D"/>
          <w:spacing w:val="-48"/>
        </w:rPr>
        <w:t> </w:t>
      </w:r>
      <w:r>
        <w:rPr>
          <w:rFonts w:ascii="Times New Roman" w:hAnsi="Times New Roman" w:cs="Times New Roman" w:eastAsia="Times New Roman" w:hint="default"/>
          <w:color w:val="0D0D0D"/>
        </w:rPr>
        <w:t>20</w:t>
      </w:r>
      <w:r>
        <w:rPr>
          <w:rFonts w:ascii="Times New Roman" w:hAnsi="Times New Roman" w:cs="Times New Roman" w:eastAsia="Times New Roman" w:hint="default"/>
          <w:color w:val="0D0D0D"/>
          <w:spacing w:val="-3"/>
        </w:rPr>
        <w:t> </w:t>
      </w:r>
      <w:r>
        <w:rPr>
          <w:color w:val="0D0D0D"/>
        </w:rPr>
        <w:t>日前完成，以</w:t>
      </w:r>
      <w:r>
        <w:rPr>
          <w:color w:val="0D0D0D"/>
          <w:spacing w:val="-48"/>
        </w:rPr>
        <w:t> </w:t>
      </w:r>
      <w:r>
        <w:rPr>
          <w:rFonts w:ascii="Times New Roman" w:hAnsi="Times New Roman" w:cs="Times New Roman" w:eastAsia="Times New Roman" w:hint="default"/>
          <w:color w:val="0D0D0D"/>
        </w:rPr>
        <w:t>515.79</w:t>
      </w:r>
      <w:r>
        <w:rPr>
          <w:rFonts w:ascii="Times New Roman" w:hAnsi="Times New Roman" w:cs="Times New Roman" w:eastAsia="Times New Roman" w:hint="default"/>
          <w:color w:val="0D0D0D"/>
          <w:spacing w:val="-2"/>
        </w:rPr>
        <w:t> </w:t>
      </w:r>
      <w:r>
        <w:rPr>
          <w:color w:val="0D0D0D"/>
        </w:rPr>
        <w:t>万元购买北京凌云悦翔科技有限公司持有慧友云商</w:t>
      </w:r>
      <w:r>
        <w:rPr>
          <w:color w:val="0D0D0D"/>
          <w:spacing w:val="-48"/>
        </w:rPr>
        <w:t> </w:t>
      </w:r>
      <w:r>
        <w:rPr>
          <w:rFonts w:ascii="Times New Roman" w:hAnsi="Times New Roman" w:cs="Times New Roman" w:eastAsia="Times New Roman" w:hint="default"/>
          <w:color w:val="0D0D0D"/>
        </w:rPr>
        <w:t>6.451%</w:t>
      </w:r>
      <w:r>
        <w:rPr>
          <w:color w:val="0D0D0D"/>
        </w:rPr>
        <w:t>股 权；以</w:t>
      </w:r>
      <w:r>
        <w:rPr>
          <w:color w:val="0D0D0D"/>
          <w:spacing w:val="-46"/>
        </w:rPr>
        <w:t> </w:t>
      </w:r>
      <w:r>
        <w:rPr>
          <w:rFonts w:ascii="Times New Roman" w:hAnsi="Times New Roman" w:cs="Times New Roman" w:eastAsia="Times New Roman" w:hint="default"/>
          <w:color w:val="0D0D0D"/>
        </w:rPr>
        <w:t>184.21</w:t>
      </w:r>
      <w:r>
        <w:rPr>
          <w:rFonts w:ascii="Times New Roman" w:hAnsi="Times New Roman" w:cs="Times New Roman" w:eastAsia="Times New Roman" w:hint="default"/>
          <w:color w:val="0D0D0D"/>
          <w:spacing w:val="-1"/>
        </w:rPr>
        <w:t> </w:t>
      </w:r>
      <w:r>
        <w:rPr>
          <w:color w:val="0D0D0D"/>
        </w:rPr>
        <w:t>万元购买北京致远协创软件有限公司持有慧友云商</w:t>
      </w:r>
      <w:r>
        <w:rPr>
          <w:color w:val="0D0D0D"/>
          <w:spacing w:val="-46"/>
        </w:rPr>
        <w:t> </w:t>
      </w:r>
      <w:r>
        <w:rPr>
          <w:rFonts w:ascii="Times New Roman" w:hAnsi="Times New Roman" w:cs="Times New Roman" w:eastAsia="Times New Roman" w:hint="default"/>
          <w:color w:val="0D0D0D"/>
        </w:rPr>
        <w:t>2.303%</w:t>
      </w:r>
      <w:r>
        <w:rPr>
          <w:color w:val="0D0D0D"/>
        </w:rPr>
        <w:t>股权；</w:t>
      </w:r>
      <w:r>
        <w:rPr/>
      </w:r>
    </w:p>
    <w:p>
      <w:pPr>
        <w:pStyle w:val="BodyText"/>
        <w:spacing w:line="240" w:lineRule="auto" w:before="49"/>
        <w:ind w:left="517" w:right="1033"/>
        <w:jc w:val="left"/>
      </w:pPr>
      <w:r>
        <w:rPr>
          <w:color w:val="0D0D0D"/>
        </w:rPr>
        <w:t>第二期：本公司应于</w:t>
      </w:r>
      <w:r>
        <w:rPr>
          <w:color w:val="0D0D0D"/>
          <w:spacing w:val="-46"/>
        </w:rPr>
        <w:t> </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1"/>
        </w:rPr>
        <w:t> </w:t>
      </w:r>
      <w:r>
        <w:rPr>
          <w:color w:val="0D0D0D"/>
        </w:rPr>
        <w:t>年</w:t>
      </w:r>
      <w:r>
        <w:rPr>
          <w:color w:val="0D0D0D"/>
          <w:spacing w:val="-45"/>
        </w:rPr>
        <w:t> </w:t>
      </w:r>
      <w:r>
        <w:rPr>
          <w:rFonts w:ascii="Times New Roman" w:hAnsi="Times New Roman" w:cs="Times New Roman" w:eastAsia="Times New Roman" w:hint="default"/>
          <w:color w:val="0D0D0D"/>
        </w:rPr>
        <w:t>4</w:t>
      </w:r>
      <w:r>
        <w:rPr>
          <w:rFonts w:ascii="Times New Roman" w:hAnsi="Times New Roman" w:cs="Times New Roman" w:eastAsia="Times New Roman" w:hint="default"/>
          <w:color w:val="0D0D0D"/>
          <w:spacing w:val="-1"/>
        </w:rPr>
        <w:t> </w:t>
      </w:r>
      <w:r>
        <w:rPr>
          <w:color w:val="0D0D0D"/>
        </w:rPr>
        <w:t>月</w:t>
      </w:r>
      <w:r>
        <w:rPr>
          <w:color w:val="0D0D0D"/>
          <w:spacing w:val="-46"/>
        </w:rPr>
        <w:t> </w:t>
      </w:r>
      <w:r>
        <w:rPr>
          <w:rFonts w:ascii="Times New Roman" w:hAnsi="Times New Roman" w:cs="Times New Roman" w:eastAsia="Times New Roman" w:hint="default"/>
          <w:color w:val="0D0D0D"/>
        </w:rPr>
        <w:t>20</w:t>
      </w:r>
      <w:r>
        <w:rPr>
          <w:rFonts w:ascii="Times New Roman" w:hAnsi="Times New Roman" w:cs="Times New Roman" w:eastAsia="Times New Roman" w:hint="default"/>
          <w:color w:val="0D0D0D"/>
          <w:spacing w:val="-1"/>
        </w:rPr>
        <w:t> </w:t>
      </w:r>
      <w:r>
        <w:rPr>
          <w:color w:val="0D0D0D"/>
        </w:rPr>
        <w:t>日前完成，以现金出资</w:t>
      </w:r>
      <w:r>
        <w:rPr>
          <w:color w:val="0D0D0D"/>
          <w:spacing w:val="-46"/>
        </w:rPr>
        <w:t> </w:t>
      </w:r>
      <w:r>
        <w:rPr>
          <w:rFonts w:ascii="Times New Roman" w:hAnsi="Times New Roman" w:cs="Times New Roman" w:eastAsia="Times New Roman" w:hint="default"/>
          <w:color w:val="0D0D0D"/>
        </w:rPr>
        <w:t>550</w:t>
      </w:r>
      <w:r>
        <w:rPr>
          <w:rFonts w:ascii="Times New Roman" w:hAnsi="Times New Roman" w:cs="Times New Roman" w:eastAsia="Times New Roman" w:hint="default"/>
          <w:color w:val="0D0D0D"/>
          <w:spacing w:val="-1"/>
        </w:rPr>
        <w:t> </w:t>
      </w:r>
      <w:r>
        <w:rPr>
          <w:color w:val="0D0D0D"/>
        </w:rPr>
        <w:t>万元认购新增注册资本</w:t>
      </w:r>
      <w:r>
        <w:rPr>
          <w:color w:val="0D0D0D"/>
          <w:spacing w:val="-46"/>
        </w:rPr>
        <w:t> </w:t>
      </w:r>
      <w:r>
        <w:rPr>
          <w:rFonts w:ascii="Times New Roman" w:hAnsi="Times New Roman" w:cs="Times New Roman" w:eastAsia="Times New Roman" w:hint="default"/>
          <w:color w:val="0D0D0D"/>
        </w:rPr>
        <w:t>0.0537</w:t>
      </w:r>
      <w:r>
        <w:rPr>
          <w:rFonts w:ascii="Times New Roman" w:hAnsi="Times New Roman" w:cs="Times New Roman" w:eastAsia="Times New Roman" w:hint="default"/>
          <w:color w:val="0D0D0D"/>
          <w:spacing w:val="-1"/>
        </w:rPr>
        <w:t> </w:t>
      </w:r>
      <w:r>
        <w:rPr>
          <w:color w:val="0D0D0D"/>
        </w:rPr>
        <w:t>万元；同时，本公司以</w:t>
      </w:r>
      <w:r>
        <w:rPr/>
      </w:r>
    </w:p>
    <w:p>
      <w:pPr>
        <w:pStyle w:val="BodyText"/>
        <w:spacing w:line="302" w:lineRule="auto" w:before="63"/>
        <w:ind w:right="1127"/>
        <w:jc w:val="left"/>
      </w:pPr>
      <w:r>
        <w:rPr>
          <w:rFonts w:ascii="Times New Roman" w:hAnsi="Times New Roman" w:cs="Times New Roman" w:eastAsia="Times New Roman" w:hint="default"/>
          <w:color w:val="0D0D0D"/>
        </w:rPr>
        <w:t>184.21</w:t>
      </w:r>
      <w:r>
        <w:rPr>
          <w:rFonts w:ascii="Times New Roman" w:hAnsi="Times New Roman" w:cs="Times New Roman" w:eastAsia="Times New Roman" w:hint="default"/>
          <w:color w:val="0D0D0D"/>
          <w:spacing w:val="-1"/>
        </w:rPr>
        <w:t> </w:t>
      </w:r>
      <w:r>
        <w:rPr>
          <w:color w:val="0D0D0D"/>
        </w:rPr>
        <w:t>万元购买北京致远协创软件有限公司持有慧友云商</w:t>
      </w:r>
      <w:r>
        <w:rPr>
          <w:color w:val="0D0D0D"/>
          <w:spacing w:val="-46"/>
        </w:rPr>
        <w:t> </w:t>
      </w:r>
      <w:r>
        <w:rPr>
          <w:rFonts w:ascii="Times New Roman" w:hAnsi="Times New Roman" w:cs="Times New Roman" w:eastAsia="Times New Roman" w:hint="default"/>
          <w:color w:val="0D0D0D"/>
          <w:spacing w:val="-3"/>
        </w:rPr>
        <w:t>1.418%</w:t>
      </w:r>
      <w:r>
        <w:rPr>
          <w:color w:val="0D0D0D"/>
          <w:spacing w:val="-3"/>
        </w:rPr>
        <w:t>股权，以</w:t>
      </w:r>
      <w:r>
        <w:rPr>
          <w:color w:val="0D0D0D"/>
          <w:spacing w:val="-46"/>
        </w:rPr>
        <w:t> </w:t>
      </w:r>
      <w:r>
        <w:rPr>
          <w:rFonts w:ascii="Times New Roman" w:hAnsi="Times New Roman" w:cs="Times New Roman" w:eastAsia="Times New Roman" w:hint="default"/>
          <w:color w:val="0D0D0D"/>
        </w:rPr>
        <w:t>65.79</w:t>
      </w:r>
      <w:r>
        <w:rPr>
          <w:rFonts w:ascii="Times New Roman" w:hAnsi="Times New Roman" w:cs="Times New Roman" w:eastAsia="Times New Roman" w:hint="default"/>
          <w:color w:val="0D0D0D"/>
          <w:spacing w:val="-1"/>
        </w:rPr>
        <w:t> </w:t>
      </w:r>
      <w:r>
        <w:rPr>
          <w:color w:val="0D0D0D"/>
          <w:spacing w:val="-7"/>
        </w:rPr>
        <w:t>万元；以</w:t>
      </w:r>
      <w:r>
        <w:rPr>
          <w:color w:val="0D0D0D"/>
          <w:spacing w:val="-46"/>
        </w:rPr>
        <w:t> </w:t>
      </w:r>
      <w:r>
        <w:rPr>
          <w:rFonts w:ascii="Times New Roman" w:hAnsi="Times New Roman" w:cs="Times New Roman" w:eastAsia="Times New Roman" w:hint="default"/>
          <w:color w:val="0D0D0D"/>
        </w:rPr>
        <w:t>65.79</w:t>
      </w:r>
      <w:r>
        <w:rPr>
          <w:rFonts w:ascii="Times New Roman" w:hAnsi="Times New Roman" w:cs="Times New Roman" w:eastAsia="Times New Roman" w:hint="default"/>
          <w:color w:val="0D0D0D"/>
          <w:spacing w:val="-1"/>
        </w:rPr>
        <w:t> </w:t>
      </w:r>
      <w:r>
        <w:rPr>
          <w:color w:val="0D0D0D"/>
        </w:rPr>
        <w:t>万元购买北京凌云悦翔科技 有限公司持有慧友云商</w:t>
      </w:r>
      <w:r>
        <w:rPr>
          <w:color w:val="0D0D0D"/>
          <w:spacing w:val="-46"/>
        </w:rPr>
        <w:t> </w:t>
      </w:r>
      <w:r>
        <w:rPr>
          <w:rFonts w:ascii="Times New Roman" w:hAnsi="Times New Roman" w:cs="Times New Roman" w:eastAsia="Times New Roman" w:hint="default"/>
          <w:color w:val="0D0D0D"/>
        </w:rPr>
        <w:t>0.504%</w:t>
      </w:r>
      <w:r>
        <w:rPr>
          <w:color w:val="0D0D0D"/>
        </w:rPr>
        <w:t>股权；</w:t>
      </w:r>
      <w:r>
        <w:rPr/>
      </w:r>
    </w:p>
    <w:p>
      <w:pPr>
        <w:pStyle w:val="BodyText"/>
        <w:spacing w:line="240" w:lineRule="auto" w:before="50"/>
        <w:ind w:left="517" w:right="1033"/>
        <w:jc w:val="left"/>
      </w:pPr>
      <w:r>
        <w:rPr>
          <w:color w:val="0D0D0D"/>
        </w:rPr>
        <w:t>本公司已于</w:t>
      </w:r>
      <w:r>
        <w:rPr>
          <w:color w:val="0D0D0D"/>
          <w:spacing w:val="-51"/>
        </w:rPr>
        <w:t> </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6"/>
        </w:rPr>
        <w:t> </w:t>
      </w:r>
      <w:r>
        <w:rPr>
          <w:color w:val="0D0D0D"/>
        </w:rPr>
        <w:t>年</w:t>
      </w:r>
      <w:r>
        <w:rPr>
          <w:color w:val="0D0D0D"/>
          <w:spacing w:val="-51"/>
        </w:rPr>
        <w:t> </w:t>
      </w:r>
      <w:r>
        <w:rPr>
          <w:rFonts w:ascii="Times New Roman" w:hAnsi="Times New Roman" w:cs="Times New Roman" w:eastAsia="Times New Roman" w:hint="default"/>
          <w:color w:val="0D0D0D"/>
        </w:rPr>
        <w:t>1</w:t>
      </w:r>
      <w:r>
        <w:rPr>
          <w:rFonts w:ascii="Times New Roman" w:hAnsi="Times New Roman" w:cs="Times New Roman" w:eastAsia="Times New Roman" w:hint="default"/>
          <w:color w:val="0D0D0D"/>
          <w:spacing w:val="-6"/>
        </w:rPr>
        <w:t> </w:t>
      </w:r>
      <w:r>
        <w:rPr>
          <w:color w:val="0D0D0D"/>
          <w:spacing w:val="-4"/>
        </w:rPr>
        <w:t>月支付第一期购买股权款，于</w:t>
      </w:r>
      <w:r>
        <w:rPr>
          <w:color w:val="0D0D0D"/>
          <w:spacing w:val="-51"/>
        </w:rPr>
        <w:t> </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5"/>
        </w:rPr>
        <w:t> </w:t>
      </w:r>
      <w:r>
        <w:rPr>
          <w:color w:val="0D0D0D"/>
        </w:rPr>
        <w:t>年</w:t>
      </w:r>
      <w:r>
        <w:rPr>
          <w:color w:val="0D0D0D"/>
          <w:spacing w:val="-50"/>
        </w:rPr>
        <w:t> </w:t>
      </w:r>
      <w:r>
        <w:rPr>
          <w:rFonts w:ascii="Times New Roman" w:hAnsi="Times New Roman" w:cs="Times New Roman" w:eastAsia="Times New Roman" w:hint="default"/>
          <w:color w:val="0D0D0D"/>
        </w:rPr>
        <w:t>4</w:t>
      </w:r>
      <w:r>
        <w:rPr>
          <w:rFonts w:ascii="Times New Roman" w:hAnsi="Times New Roman" w:cs="Times New Roman" w:eastAsia="Times New Roman" w:hint="default"/>
          <w:color w:val="0D0D0D"/>
          <w:spacing w:val="-6"/>
        </w:rPr>
        <w:t> </w:t>
      </w:r>
      <w:r>
        <w:rPr>
          <w:color w:val="0D0D0D"/>
        </w:rPr>
        <w:t>月支付第二期购买股权款及新增注册资本款，慧友云商于</w:t>
      </w:r>
      <w:r>
        <w:rPr/>
      </w:r>
    </w:p>
    <w:p>
      <w:pPr>
        <w:pStyle w:val="BodyText"/>
        <w:spacing w:line="240" w:lineRule="auto" w:before="64"/>
        <w:ind w:left="154" w:right="0"/>
        <w:jc w:val="both"/>
      </w:pP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1"/>
        </w:rPr>
        <w:t> </w:t>
      </w:r>
      <w:r>
        <w:rPr>
          <w:color w:val="0D0D0D"/>
        </w:rPr>
        <w:t>年</w:t>
      </w:r>
      <w:r>
        <w:rPr>
          <w:color w:val="0D0D0D"/>
          <w:spacing w:val="-46"/>
        </w:rPr>
        <w:t> </w:t>
      </w:r>
      <w:r>
        <w:rPr>
          <w:rFonts w:ascii="Times New Roman" w:hAnsi="Times New Roman" w:cs="Times New Roman" w:eastAsia="Times New Roman" w:hint="default"/>
          <w:color w:val="0D0D0D"/>
        </w:rPr>
        <w:t>6 </w:t>
      </w:r>
      <w:r>
        <w:rPr>
          <w:color w:val="0D0D0D"/>
        </w:rPr>
        <w:t>月</w:t>
      </w:r>
      <w:r>
        <w:rPr>
          <w:color w:val="0D0D0D"/>
          <w:spacing w:val="-46"/>
        </w:rPr>
        <w:t> </w:t>
      </w:r>
      <w:r>
        <w:rPr>
          <w:rFonts w:ascii="Times New Roman" w:hAnsi="Times New Roman" w:cs="Times New Roman" w:eastAsia="Times New Roman" w:hint="default"/>
          <w:color w:val="0D0D0D"/>
        </w:rPr>
        <w:t>12 </w:t>
      </w:r>
      <w:r>
        <w:rPr>
          <w:color w:val="0D0D0D"/>
        </w:rPr>
        <w:t>日完成第二期变更的工商变更手续，本公司持有其</w:t>
      </w:r>
      <w:r>
        <w:rPr>
          <w:color w:val="0D0D0D"/>
          <w:spacing w:val="-46"/>
        </w:rPr>
        <w:t> </w:t>
      </w:r>
      <w:r>
        <w:rPr>
          <w:rFonts w:ascii="Times New Roman" w:hAnsi="Times New Roman" w:cs="Times New Roman" w:eastAsia="Times New Roman" w:hint="default"/>
          <w:color w:val="0D0D0D"/>
        </w:rPr>
        <w:t>14.268%</w:t>
      </w:r>
      <w:r>
        <w:rPr>
          <w:color w:val="0D0D0D"/>
        </w:rPr>
        <w:t>股权。</w:t>
      </w:r>
      <w:r>
        <w:rPr/>
      </w:r>
    </w:p>
    <w:p>
      <w:pPr>
        <w:pStyle w:val="BodyText"/>
        <w:spacing w:line="302" w:lineRule="auto" w:before="101"/>
        <w:ind w:right="1182" w:firstLine="363"/>
        <w:jc w:val="both"/>
      </w:pP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1"/>
        </w:rPr>
        <w:t> </w:t>
      </w:r>
      <w:r>
        <w:rPr>
          <w:color w:val="0D0D0D"/>
        </w:rPr>
        <w:t>年</w:t>
      </w:r>
      <w:r>
        <w:rPr>
          <w:color w:val="0D0D0D"/>
          <w:spacing w:val="-46"/>
        </w:rPr>
        <w:t> </w:t>
      </w:r>
      <w:r>
        <w:rPr>
          <w:rFonts w:ascii="Times New Roman" w:hAnsi="Times New Roman" w:cs="Times New Roman" w:eastAsia="Times New Roman" w:hint="default"/>
          <w:color w:val="0D0D0D"/>
        </w:rPr>
        <w:t>9</w:t>
      </w:r>
      <w:r>
        <w:rPr>
          <w:rFonts w:ascii="Times New Roman" w:hAnsi="Times New Roman" w:cs="Times New Roman" w:eastAsia="Times New Roman" w:hint="default"/>
          <w:color w:val="0D0D0D"/>
          <w:spacing w:val="-1"/>
        </w:rPr>
        <w:t> </w:t>
      </w:r>
      <w:r>
        <w:rPr>
          <w:color w:val="0D0D0D"/>
        </w:rPr>
        <w:t>月华软新兴创业投资无锡合伙企业（有限合伙）、成都盈创成长股权投资基金合伙企业（有限合伙）分别向 慧友云商增资</w:t>
      </w:r>
      <w:r>
        <w:rPr>
          <w:color w:val="0D0D0D"/>
          <w:spacing w:val="-47"/>
        </w:rPr>
        <w:t> </w:t>
      </w:r>
      <w:r>
        <w:rPr>
          <w:rFonts w:ascii="Times New Roman" w:hAnsi="Times New Roman" w:cs="Times New Roman" w:eastAsia="Times New Roman" w:hint="default"/>
          <w:color w:val="0D0D0D"/>
        </w:rPr>
        <w:t>200</w:t>
      </w:r>
      <w:r>
        <w:rPr>
          <w:rFonts w:ascii="Times New Roman" w:hAnsi="Times New Roman" w:cs="Times New Roman" w:eastAsia="Times New Roman" w:hint="default"/>
          <w:color w:val="0D0D0D"/>
          <w:spacing w:val="-2"/>
        </w:rPr>
        <w:t> </w:t>
      </w:r>
      <w:r>
        <w:rPr>
          <w:color w:val="0D0D0D"/>
        </w:rPr>
        <w:t>万元和</w:t>
      </w:r>
      <w:r>
        <w:rPr>
          <w:color w:val="0D0D0D"/>
          <w:spacing w:val="-47"/>
        </w:rPr>
        <w:t> </w:t>
      </w:r>
      <w:r>
        <w:rPr>
          <w:rFonts w:ascii="Times New Roman" w:hAnsi="Times New Roman" w:cs="Times New Roman" w:eastAsia="Times New Roman" w:hint="default"/>
          <w:color w:val="0D0D0D"/>
        </w:rPr>
        <w:t>900</w:t>
      </w:r>
      <w:r>
        <w:rPr>
          <w:rFonts w:ascii="Times New Roman" w:hAnsi="Times New Roman" w:cs="Times New Roman" w:eastAsia="Times New Roman" w:hint="default"/>
          <w:color w:val="0D0D0D"/>
          <w:spacing w:val="-1"/>
        </w:rPr>
        <w:t> </w:t>
      </w:r>
      <w:r>
        <w:rPr>
          <w:color w:val="0D0D0D"/>
        </w:rPr>
        <w:t>万元，分别占其注册资本的</w:t>
      </w:r>
      <w:r>
        <w:rPr>
          <w:color w:val="0D0D0D"/>
          <w:spacing w:val="-47"/>
        </w:rPr>
        <w:t> </w:t>
      </w:r>
      <w:r>
        <w:rPr>
          <w:rFonts w:ascii="Times New Roman" w:hAnsi="Times New Roman" w:cs="Times New Roman" w:eastAsia="Times New Roman" w:hint="default"/>
          <w:color w:val="0D0D0D"/>
        </w:rPr>
        <w:t>0.800%</w:t>
      </w:r>
      <w:r>
        <w:rPr>
          <w:color w:val="0D0D0D"/>
        </w:rPr>
        <w:t>、</w:t>
      </w:r>
      <w:r>
        <w:rPr>
          <w:rFonts w:ascii="Times New Roman" w:hAnsi="Times New Roman" w:cs="Times New Roman" w:eastAsia="Times New Roman" w:hint="default"/>
          <w:color w:val="0D0D0D"/>
        </w:rPr>
        <w:t>3.600%</w:t>
      </w:r>
      <w:r>
        <w:rPr>
          <w:color w:val="0D0D0D"/>
        </w:rPr>
        <w:t>。此次增资后，本公司持有慧友云商</w:t>
      </w:r>
      <w:r>
        <w:rPr>
          <w:color w:val="0D0D0D"/>
          <w:spacing w:val="-47"/>
        </w:rPr>
        <w:t> </w:t>
      </w:r>
      <w:r>
        <w:rPr>
          <w:rFonts w:ascii="Times New Roman" w:hAnsi="Times New Roman" w:cs="Times New Roman" w:eastAsia="Times New Roman" w:hint="default"/>
          <w:color w:val="0D0D0D"/>
        </w:rPr>
        <w:t>13.374%</w:t>
      </w:r>
      <w:r>
        <w:rPr>
          <w:color w:val="0D0D0D"/>
        </w:rPr>
        <w:t>的 股权。本公司依该次增资价格作为公允价值的参考，确认计入本年其他综合收益的公允价值变动金额</w:t>
      </w:r>
      <w:r>
        <w:rPr>
          <w:color w:val="0D0D0D"/>
          <w:spacing w:val="-46"/>
        </w:rPr>
        <w:t> </w:t>
      </w:r>
      <w:r>
        <w:rPr>
          <w:rFonts w:ascii="Times New Roman" w:hAnsi="Times New Roman" w:cs="Times New Roman" w:eastAsia="Times New Roman" w:hint="default"/>
          <w:color w:val="0D0D0D"/>
        </w:rPr>
        <w:t>18,434,922.00</w:t>
      </w:r>
      <w:r>
        <w:rPr>
          <w:rFonts w:ascii="Times New Roman" w:hAnsi="Times New Roman" w:cs="Times New Roman" w:eastAsia="Times New Roman" w:hint="default"/>
          <w:color w:val="0D0D0D"/>
          <w:spacing w:val="-1"/>
        </w:rPr>
        <w:t> </w:t>
      </w:r>
      <w:r>
        <w:rPr>
          <w:color w:val="0D0D0D"/>
        </w:rPr>
        <w:t>元；</w:t>
      </w:r>
      <w:r>
        <w:rPr/>
      </w:r>
    </w:p>
    <w:p>
      <w:pPr>
        <w:pStyle w:val="BodyText"/>
        <w:spacing w:line="240" w:lineRule="auto" w:before="49"/>
        <w:ind w:left="517" w:right="0"/>
        <w:jc w:val="left"/>
        <w:rPr>
          <w:rFonts w:ascii="Times New Roman" w:hAnsi="Times New Roman" w:cs="Times New Roman" w:eastAsia="Times New Roman" w:hint="default"/>
        </w:rPr>
      </w:pPr>
      <w:r>
        <w:rPr>
          <w:color w:val="0D0D0D"/>
          <w:spacing w:val="-3"/>
        </w:rPr>
        <w:t>（</w:t>
      </w:r>
      <w:r>
        <w:rPr>
          <w:rFonts w:ascii="Times New Roman" w:hAnsi="Times New Roman" w:cs="Times New Roman" w:eastAsia="Times New Roman" w:hint="default"/>
          <w:color w:val="0D0D0D"/>
          <w:spacing w:val="-3"/>
        </w:rPr>
        <w:t>2</w:t>
      </w:r>
      <w:r>
        <w:rPr>
          <w:color w:val="0D0D0D"/>
          <w:spacing w:val="-3"/>
        </w:rPr>
        <w:t>）</w:t>
      </w:r>
      <w:r>
        <w:rPr>
          <w:rFonts w:ascii="Times New Roman" w:hAnsi="Times New Roman" w:cs="Times New Roman" w:eastAsia="Times New Roman" w:hint="default"/>
          <w:color w:val="0D0D0D"/>
          <w:spacing w:val="-3"/>
        </w:rPr>
        <w:t>2015  </w:t>
      </w:r>
      <w:r>
        <w:rPr>
          <w:color w:val="0D0D0D"/>
        </w:rPr>
        <w:t>年 </w:t>
      </w:r>
      <w:r>
        <w:rPr>
          <w:rFonts w:ascii="Times New Roman" w:hAnsi="Times New Roman" w:cs="Times New Roman" w:eastAsia="Times New Roman" w:hint="default"/>
          <w:color w:val="0D0D0D"/>
        </w:rPr>
        <w:t>12  </w:t>
      </w:r>
      <w:r>
        <w:rPr>
          <w:color w:val="0D0D0D"/>
        </w:rPr>
        <w:t>月 </w:t>
      </w:r>
      <w:r>
        <w:rPr>
          <w:rFonts w:ascii="Times New Roman" w:hAnsi="Times New Roman" w:cs="Times New Roman" w:eastAsia="Times New Roman" w:hint="default"/>
          <w:color w:val="0D0D0D"/>
        </w:rPr>
        <w:t>11  </w:t>
      </w:r>
      <w:r>
        <w:rPr>
          <w:color w:val="0D0D0D"/>
        </w:rPr>
        <w:t>日，本公司第五届董事会第六次会议审议通过了关于公司收购北京致远协创软件有限公司</w:t>
      </w:r>
      <w:r>
        <w:rPr>
          <w:color w:val="0D0D0D"/>
          <w:spacing w:val="-15"/>
        </w:rPr>
        <w:t> </w:t>
      </w:r>
      <w:r>
        <w:rPr>
          <w:rFonts w:ascii="Times New Roman" w:hAnsi="Times New Roman" w:cs="Times New Roman" w:eastAsia="Times New Roman" w:hint="default"/>
          <w:color w:val="0D0D0D"/>
        </w:rPr>
        <w:t>7.5%</w:t>
      </w:r>
      <w:r>
        <w:rPr>
          <w:rFonts w:ascii="Times New Roman" w:hAnsi="Times New Roman" w:cs="Times New Roman" w:eastAsia="Times New Roman" w:hint="default"/>
        </w:rPr>
      </w:r>
    </w:p>
    <w:p>
      <w:pPr>
        <w:pStyle w:val="BodyText"/>
        <w:spacing w:line="240" w:lineRule="auto" w:before="63"/>
        <w:ind w:right="0"/>
        <w:jc w:val="both"/>
      </w:pPr>
      <w:r>
        <w:rPr>
          <w:color w:val="0D0D0D"/>
        </w:rPr>
        <w:t>股权的议案，同意与用友网络科技股份有限公司签署股权转让协议：支付</w:t>
      </w:r>
      <w:r>
        <w:rPr>
          <w:color w:val="0D0D0D"/>
          <w:spacing w:val="-46"/>
        </w:rPr>
        <w:t> </w:t>
      </w:r>
      <w:r>
        <w:rPr>
          <w:rFonts w:ascii="Times New Roman" w:hAnsi="Times New Roman" w:cs="Times New Roman" w:eastAsia="Times New Roman" w:hint="default"/>
          <w:color w:val="0D0D0D"/>
        </w:rPr>
        <w:t>52,500,000.00</w:t>
      </w:r>
      <w:r>
        <w:rPr>
          <w:rFonts w:ascii="Times New Roman" w:hAnsi="Times New Roman" w:cs="Times New Roman" w:eastAsia="Times New Roman" w:hint="default"/>
          <w:color w:val="0D0D0D"/>
          <w:spacing w:val="-1"/>
        </w:rPr>
        <w:t> </w:t>
      </w:r>
      <w:r>
        <w:rPr>
          <w:color w:val="0D0D0D"/>
        </w:rPr>
        <w:t>元股权转让价款，收购其持有北京</w:t>
      </w:r>
      <w:r>
        <w:rPr/>
      </w:r>
    </w:p>
    <w:p>
      <w:pPr>
        <w:pStyle w:val="BodyText"/>
        <w:spacing w:line="240" w:lineRule="auto" w:before="64"/>
        <w:ind w:right="0"/>
        <w:jc w:val="both"/>
      </w:pPr>
      <w:r>
        <w:rPr>
          <w:color w:val="0D0D0D"/>
        </w:rPr>
        <w:t>致远协创软件有限公司</w:t>
      </w:r>
      <w:r>
        <w:rPr>
          <w:color w:val="0D0D0D"/>
          <w:spacing w:val="-46"/>
        </w:rPr>
        <w:t> </w:t>
      </w:r>
      <w:r>
        <w:rPr>
          <w:rFonts w:ascii="Times New Roman" w:hAnsi="Times New Roman" w:cs="Times New Roman" w:eastAsia="Times New Roman" w:hint="default"/>
          <w:color w:val="0D0D0D"/>
        </w:rPr>
        <w:t>7.5%</w:t>
      </w:r>
      <w:r>
        <w:rPr>
          <w:color w:val="0D0D0D"/>
        </w:rPr>
        <w:t>的股权，该公司于</w:t>
      </w:r>
      <w:r>
        <w:rPr>
          <w:color w:val="0D0D0D"/>
          <w:spacing w:val="-46"/>
        </w:rPr>
        <w:t> </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1"/>
        </w:rPr>
        <w:t> </w:t>
      </w:r>
      <w:r>
        <w:rPr>
          <w:color w:val="0D0D0D"/>
        </w:rPr>
        <w:t>年</w:t>
      </w:r>
      <w:r>
        <w:rPr>
          <w:color w:val="0D0D0D"/>
          <w:spacing w:val="-46"/>
        </w:rPr>
        <w:t> </w:t>
      </w:r>
      <w:r>
        <w:rPr>
          <w:rFonts w:ascii="Times New Roman" w:hAnsi="Times New Roman" w:cs="Times New Roman" w:eastAsia="Times New Roman" w:hint="default"/>
          <w:color w:val="0D0D0D"/>
        </w:rPr>
        <w:t>12</w:t>
      </w:r>
      <w:r>
        <w:rPr>
          <w:rFonts w:ascii="Times New Roman" w:hAnsi="Times New Roman" w:cs="Times New Roman" w:eastAsia="Times New Roman" w:hint="default"/>
          <w:color w:val="0D0D0D"/>
          <w:spacing w:val="-1"/>
        </w:rPr>
        <w:t> </w:t>
      </w:r>
      <w:r>
        <w:rPr>
          <w:color w:val="0D0D0D"/>
        </w:rPr>
        <w:t>月</w:t>
      </w:r>
      <w:r>
        <w:rPr>
          <w:color w:val="0D0D0D"/>
          <w:spacing w:val="-46"/>
        </w:rPr>
        <w:t> </w:t>
      </w:r>
      <w:r>
        <w:rPr>
          <w:rFonts w:ascii="Times New Roman" w:hAnsi="Times New Roman" w:cs="Times New Roman" w:eastAsia="Times New Roman" w:hint="default"/>
          <w:color w:val="0D0D0D"/>
        </w:rPr>
        <w:t>25</w:t>
      </w:r>
      <w:r>
        <w:rPr>
          <w:rFonts w:ascii="Times New Roman" w:hAnsi="Times New Roman" w:cs="Times New Roman" w:eastAsia="Times New Roman" w:hint="default"/>
          <w:color w:val="0D0D0D"/>
          <w:spacing w:val="-1"/>
        </w:rPr>
        <w:t> </w:t>
      </w:r>
      <w:r>
        <w:rPr>
          <w:color w:val="0D0D0D"/>
        </w:rPr>
        <w:t>日完成股权转让的工商变更登记手续</w:t>
      </w:r>
      <w:r>
        <w:rPr/>
      </w:r>
    </w:p>
    <w:p>
      <w:pPr>
        <w:pStyle w:val="BodyText"/>
        <w:spacing w:line="302" w:lineRule="auto" w:before="102"/>
        <w:ind w:right="1130" w:firstLine="363"/>
        <w:jc w:val="both"/>
      </w:pPr>
      <w:r>
        <w:rPr>
          <w:color w:val="0D0D0D"/>
        </w:rPr>
        <w:t>（</w:t>
      </w:r>
      <w:r>
        <w:rPr>
          <w:rFonts w:ascii="Times New Roman" w:hAnsi="Times New Roman" w:cs="Times New Roman" w:eastAsia="Times New Roman" w:hint="default"/>
          <w:color w:val="0D0D0D"/>
        </w:rPr>
        <w:t>3</w:t>
      </w:r>
      <w:r>
        <w:rPr>
          <w:color w:val="0D0D0D"/>
        </w:rPr>
        <w:t>）</w:t>
      </w: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3"/>
        </w:rPr>
        <w:t> </w:t>
      </w:r>
      <w:r>
        <w:rPr>
          <w:color w:val="0D0D0D"/>
        </w:rPr>
        <w:t>年</w:t>
      </w:r>
      <w:r>
        <w:rPr>
          <w:color w:val="0D0D0D"/>
          <w:spacing w:val="-48"/>
        </w:rPr>
        <w:t> </w:t>
      </w:r>
      <w:r>
        <w:rPr>
          <w:rFonts w:ascii="Times New Roman" w:hAnsi="Times New Roman" w:cs="Times New Roman" w:eastAsia="Times New Roman" w:hint="default"/>
          <w:color w:val="0D0D0D"/>
        </w:rPr>
        <w:t>6</w:t>
      </w:r>
      <w:r>
        <w:rPr>
          <w:rFonts w:ascii="Times New Roman" w:hAnsi="Times New Roman" w:cs="Times New Roman" w:eastAsia="Times New Roman" w:hint="default"/>
          <w:color w:val="0D0D0D"/>
          <w:spacing w:val="-2"/>
        </w:rPr>
        <w:t> </w:t>
      </w:r>
      <w:r>
        <w:rPr>
          <w:color w:val="0D0D0D"/>
        </w:rPr>
        <w:t>月，本公司全资子公司</w:t>
      </w:r>
      <w:r>
        <w:rPr>
          <w:rFonts w:ascii="Times New Roman" w:hAnsi="Times New Roman" w:cs="Times New Roman" w:eastAsia="Times New Roman" w:hint="default"/>
          <w:color w:val="0D0D0D"/>
        </w:rPr>
        <w:t>-</w:t>
      </w:r>
      <w:r>
        <w:rPr>
          <w:color w:val="0D0D0D"/>
        </w:rPr>
        <w:t>二六三香港控股有限公司以</w:t>
      </w:r>
      <w:r>
        <w:rPr>
          <w:color w:val="0D0D0D"/>
          <w:spacing w:val="-48"/>
        </w:rPr>
        <w:t> </w:t>
      </w:r>
      <w:r>
        <w:rPr>
          <w:rFonts w:ascii="Times New Roman" w:hAnsi="Times New Roman" w:cs="Times New Roman" w:eastAsia="Times New Roman" w:hint="default"/>
          <w:color w:val="0D0D0D"/>
        </w:rPr>
        <w:t>199.9998</w:t>
      </w:r>
      <w:r>
        <w:rPr>
          <w:rFonts w:ascii="Times New Roman" w:hAnsi="Times New Roman" w:cs="Times New Roman" w:eastAsia="Times New Roman" w:hint="default"/>
          <w:color w:val="0D0D0D"/>
          <w:spacing w:val="-3"/>
        </w:rPr>
        <w:t> </w:t>
      </w:r>
      <w:r>
        <w:rPr>
          <w:color w:val="0D0D0D"/>
        </w:rPr>
        <w:t>万美元（折合人民币</w:t>
      </w:r>
      <w:r>
        <w:rPr>
          <w:color w:val="0D0D0D"/>
          <w:spacing w:val="-48"/>
        </w:rPr>
        <w:t> </w:t>
      </w:r>
      <w:r>
        <w:rPr>
          <w:rFonts w:ascii="Times New Roman" w:hAnsi="Times New Roman" w:cs="Times New Roman" w:eastAsia="Times New Roman" w:hint="default"/>
          <w:color w:val="0D0D0D"/>
        </w:rPr>
        <w:t>12,987,187.01</w:t>
      </w:r>
      <w:r>
        <w:rPr>
          <w:rFonts w:ascii="Times New Roman" w:hAnsi="Times New Roman" w:cs="Times New Roman" w:eastAsia="Times New Roman" w:hint="default"/>
          <w:color w:val="0D0D0D"/>
          <w:spacing w:val="-2"/>
        </w:rPr>
        <w:t> </w:t>
      </w:r>
      <w:r>
        <w:rPr>
          <w:color w:val="0D0D0D"/>
        </w:rPr>
        <w:t>元）的 价格购买了</w:t>
      </w:r>
      <w:r>
        <w:rPr>
          <w:color w:val="0D0D0D"/>
          <w:spacing w:val="-47"/>
        </w:rPr>
        <w:t> </w:t>
      </w:r>
      <w:r>
        <w:rPr>
          <w:rFonts w:ascii="Times New Roman" w:hAnsi="Times New Roman" w:cs="Times New Roman" w:eastAsia="Times New Roman" w:hint="default"/>
          <w:color w:val="0D0D0D"/>
        </w:rPr>
        <w:t>Globetouch</w:t>
      </w:r>
      <w:r>
        <w:rPr>
          <w:rFonts w:ascii="Times New Roman" w:hAnsi="Times New Roman" w:cs="Times New Roman" w:eastAsia="Times New Roman" w:hint="default"/>
          <w:color w:val="0D0D0D"/>
          <w:spacing w:val="-2"/>
        </w:rPr>
        <w:t> </w:t>
      </w:r>
      <w:r>
        <w:rPr>
          <w:rFonts w:ascii="Times New Roman" w:hAnsi="Times New Roman" w:cs="Times New Roman" w:eastAsia="Times New Roman" w:hint="default"/>
          <w:color w:val="0D0D0D"/>
        </w:rPr>
        <w:t>Inc.</w:t>
      </w:r>
      <w:r>
        <w:rPr>
          <w:color w:val="0D0D0D"/>
        </w:rPr>
        <w:t>发行的</w:t>
      </w:r>
      <w:r>
        <w:rPr>
          <w:color w:val="0D0D0D"/>
          <w:spacing w:val="-47"/>
        </w:rPr>
        <w:t> </w:t>
      </w:r>
      <w:r>
        <w:rPr>
          <w:rFonts w:ascii="Times New Roman" w:hAnsi="Times New Roman" w:cs="Times New Roman" w:eastAsia="Times New Roman" w:hint="default"/>
          <w:color w:val="0D0D0D"/>
        </w:rPr>
        <w:t>B</w:t>
      </w:r>
      <w:r>
        <w:rPr>
          <w:rFonts w:ascii="Times New Roman" w:hAnsi="Times New Roman" w:cs="Times New Roman" w:eastAsia="Times New Roman" w:hint="default"/>
          <w:color w:val="0D0D0D"/>
          <w:spacing w:val="-2"/>
        </w:rPr>
        <w:t> </w:t>
      </w:r>
      <w:r>
        <w:rPr>
          <w:color w:val="0D0D0D"/>
        </w:rPr>
        <w:t>类优先股</w:t>
      </w:r>
      <w:r>
        <w:rPr>
          <w:color w:val="0D0D0D"/>
          <w:spacing w:val="-47"/>
        </w:rPr>
        <w:t> </w:t>
      </w:r>
      <w:r>
        <w:rPr>
          <w:rFonts w:ascii="Times New Roman" w:hAnsi="Times New Roman" w:cs="Times New Roman" w:eastAsia="Times New Roman" w:hint="default"/>
          <w:color w:val="0D0D0D"/>
        </w:rPr>
        <w:t>444,444</w:t>
      </w:r>
      <w:r>
        <w:rPr>
          <w:rFonts w:ascii="Times New Roman" w:hAnsi="Times New Roman" w:cs="Times New Roman" w:eastAsia="Times New Roman" w:hint="default"/>
          <w:color w:val="0D0D0D"/>
          <w:spacing w:val="-1"/>
        </w:rPr>
        <w:t> </w:t>
      </w:r>
      <w:r>
        <w:rPr>
          <w:color w:val="0D0D0D"/>
        </w:rPr>
        <w:t>股（相当于</w:t>
      </w:r>
      <w:r>
        <w:rPr>
          <w:color w:val="0D0D0D"/>
          <w:spacing w:val="-47"/>
        </w:rPr>
        <w:t> </w:t>
      </w:r>
      <w:r>
        <w:rPr>
          <w:rFonts w:ascii="Times New Roman" w:hAnsi="Times New Roman" w:cs="Times New Roman" w:eastAsia="Times New Roman" w:hint="default"/>
          <w:color w:val="0D0D0D"/>
        </w:rPr>
        <w:t>4.5</w:t>
      </w:r>
      <w:r>
        <w:rPr>
          <w:rFonts w:ascii="Times New Roman" w:hAnsi="Times New Roman" w:cs="Times New Roman" w:eastAsia="Times New Roman" w:hint="default"/>
          <w:color w:val="0D0D0D"/>
          <w:spacing w:val="-2"/>
        </w:rPr>
        <w:t> </w:t>
      </w:r>
      <w:r>
        <w:rPr>
          <w:color w:val="0D0D0D"/>
        </w:rPr>
        <w:t>美元</w:t>
      </w:r>
      <w:r>
        <w:rPr>
          <w:rFonts w:ascii="Times New Roman" w:hAnsi="Times New Roman" w:cs="Times New Roman" w:eastAsia="Times New Roman" w:hint="default"/>
          <w:color w:val="0D0D0D"/>
        </w:rPr>
        <w:t>/</w:t>
      </w:r>
      <w:r>
        <w:rPr>
          <w:color w:val="0D0D0D"/>
        </w:rPr>
        <w:t>股）</w:t>
      </w:r>
      <w:r>
        <w:rPr>
          <w:rFonts w:ascii="Times New Roman" w:hAnsi="Times New Roman" w:cs="Times New Roman" w:eastAsia="Times New Roman" w:hint="default"/>
          <w:color w:val="0D0D0D"/>
        </w:rPr>
        <w:t>,</w:t>
      </w:r>
      <w:r>
        <w:rPr>
          <w:color w:val="0D0D0D"/>
        </w:rPr>
        <w:t>持有其</w:t>
      </w:r>
      <w:r>
        <w:rPr>
          <w:color w:val="0D0D0D"/>
          <w:spacing w:val="-47"/>
        </w:rPr>
        <w:t> </w:t>
      </w:r>
      <w:r>
        <w:rPr>
          <w:rFonts w:ascii="Times New Roman" w:hAnsi="Times New Roman" w:cs="Times New Roman" w:eastAsia="Times New Roman" w:hint="default"/>
          <w:color w:val="0D0D0D"/>
        </w:rPr>
        <w:t>3.23%</w:t>
      </w:r>
      <w:r>
        <w:rPr>
          <w:color w:val="0D0D0D"/>
        </w:rPr>
        <w:t>的股权。</w:t>
      </w:r>
      <w:r>
        <w:rPr/>
      </w:r>
    </w:p>
    <w:p>
      <w:pPr>
        <w:pStyle w:val="BodyText"/>
        <w:spacing w:line="300" w:lineRule="auto" w:before="49"/>
        <w:ind w:right="1132" w:firstLine="453"/>
        <w:jc w:val="both"/>
      </w:pPr>
      <w:r>
        <w:rPr>
          <w:rFonts w:ascii="Times New Roman" w:hAnsi="Times New Roman" w:cs="Times New Roman" w:eastAsia="Times New Roman" w:hint="default"/>
          <w:color w:val="0D0D0D"/>
        </w:rPr>
        <w:t>2015</w:t>
      </w:r>
      <w:r>
        <w:rPr>
          <w:rFonts w:ascii="Times New Roman" w:hAnsi="Times New Roman" w:cs="Times New Roman" w:eastAsia="Times New Roman" w:hint="default"/>
          <w:color w:val="0D0D0D"/>
          <w:spacing w:val="-1"/>
        </w:rPr>
        <w:t> </w:t>
      </w:r>
      <w:r>
        <w:rPr>
          <w:color w:val="0D0D0D"/>
        </w:rPr>
        <w:t>年</w:t>
      </w:r>
      <w:r>
        <w:rPr>
          <w:color w:val="0D0D0D"/>
          <w:spacing w:val="-46"/>
        </w:rPr>
        <w:t> </w:t>
      </w:r>
      <w:r>
        <w:rPr>
          <w:rFonts w:ascii="Times New Roman" w:hAnsi="Times New Roman" w:cs="Times New Roman" w:eastAsia="Times New Roman" w:hint="default"/>
          <w:color w:val="0D0D0D"/>
        </w:rPr>
        <w:t>12 </w:t>
      </w:r>
      <w:r>
        <w:rPr>
          <w:color w:val="0D0D0D"/>
        </w:rPr>
        <w:t>月</w:t>
      </w:r>
      <w:r>
        <w:rPr>
          <w:color w:val="0D0D0D"/>
          <w:spacing w:val="-45"/>
        </w:rPr>
        <w:t> </w:t>
      </w:r>
      <w:r>
        <w:rPr>
          <w:rFonts w:ascii="Times New Roman" w:hAnsi="Times New Roman" w:cs="Times New Roman" w:eastAsia="Times New Roman" w:hint="default"/>
          <w:color w:val="0D0D0D"/>
        </w:rPr>
        <w:t>25</w:t>
      </w:r>
      <w:r>
        <w:rPr>
          <w:rFonts w:ascii="Times New Roman" w:hAnsi="Times New Roman" w:cs="Times New Roman" w:eastAsia="Times New Roman" w:hint="default"/>
          <w:color w:val="0D0D0D"/>
          <w:spacing w:val="-1"/>
        </w:rPr>
        <w:t> </w:t>
      </w:r>
      <w:r>
        <w:rPr>
          <w:color w:val="0D0D0D"/>
        </w:rPr>
        <w:t>日，本公司第五届董事会第八次会议审议通过了《关于公司全资子公司向</w:t>
      </w:r>
      <w:r>
        <w:rPr>
          <w:color w:val="0D0D0D"/>
          <w:spacing w:val="-45"/>
        </w:rPr>
        <w:t> </w:t>
      </w:r>
      <w:r>
        <w:rPr>
          <w:rFonts w:ascii="Times New Roman" w:hAnsi="Times New Roman" w:cs="Times New Roman" w:eastAsia="Times New Roman" w:hint="default"/>
          <w:color w:val="0D0D0D"/>
        </w:rPr>
        <w:t>GLOBETOUCH</w:t>
      </w:r>
      <w:r>
        <w:rPr>
          <w:rFonts w:ascii="Times New Roman" w:hAnsi="Times New Roman" w:cs="Times New Roman" w:eastAsia="Times New Roman" w:hint="default"/>
          <w:color w:val="0D0D0D"/>
          <w:spacing w:val="-1"/>
        </w:rPr>
        <w:t> </w:t>
      </w:r>
      <w:r>
        <w:rPr>
          <w:rFonts w:ascii="Times New Roman" w:hAnsi="Times New Roman" w:cs="Times New Roman" w:eastAsia="Times New Roman" w:hint="default"/>
          <w:color w:val="0D0D0D"/>
        </w:rPr>
        <w:t>INC.,</w:t>
      </w:r>
      <w:r>
        <w:rPr>
          <w:color w:val="0D0D0D"/>
        </w:rPr>
        <w:t>增资 的议案》。同日，二六三香港控股有限公司与</w:t>
      </w:r>
      <w:r>
        <w:rPr>
          <w:color w:val="0D0D0D"/>
          <w:spacing w:val="-46"/>
        </w:rPr>
        <w:t> </w:t>
      </w:r>
      <w:r>
        <w:rPr>
          <w:rFonts w:ascii="Times New Roman" w:hAnsi="Times New Roman" w:cs="Times New Roman" w:eastAsia="Times New Roman" w:hint="default"/>
          <w:color w:val="0D0D0D"/>
        </w:rPr>
        <w:t>GLOBETOUCH</w:t>
      </w:r>
      <w:r>
        <w:rPr>
          <w:rFonts w:ascii="Times New Roman" w:hAnsi="Times New Roman" w:cs="Times New Roman" w:eastAsia="Times New Roman" w:hint="default"/>
          <w:color w:val="0D0D0D"/>
          <w:spacing w:val="-1"/>
        </w:rPr>
        <w:t> </w:t>
      </w:r>
      <w:r>
        <w:rPr>
          <w:rFonts w:ascii="Times New Roman" w:hAnsi="Times New Roman" w:cs="Times New Roman" w:eastAsia="Times New Roman" w:hint="default"/>
          <w:color w:val="0D0D0D"/>
        </w:rPr>
        <w:t>INC.,</w:t>
      </w:r>
      <w:r>
        <w:rPr>
          <w:color w:val="0D0D0D"/>
        </w:rPr>
        <w:t>签署了对其增资的协议：拟向其增资</w:t>
      </w:r>
      <w:r>
        <w:rPr>
          <w:color w:val="0D0D0D"/>
          <w:spacing w:val="-46"/>
        </w:rPr>
        <w:t> </w:t>
      </w:r>
      <w:r>
        <w:rPr>
          <w:rFonts w:ascii="Times New Roman" w:hAnsi="Times New Roman" w:cs="Times New Roman" w:eastAsia="Times New Roman" w:hint="default"/>
          <w:color w:val="0D0D0D"/>
        </w:rPr>
        <w:t>99.9999</w:t>
      </w:r>
      <w:r>
        <w:rPr>
          <w:rFonts w:ascii="Times New Roman" w:hAnsi="Times New Roman" w:cs="Times New Roman" w:eastAsia="Times New Roman" w:hint="default"/>
          <w:color w:val="0D0D0D"/>
          <w:spacing w:val="-1"/>
        </w:rPr>
        <w:t> </w:t>
      </w:r>
      <w:r>
        <w:rPr>
          <w:color w:val="0D0D0D"/>
        </w:rPr>
        <w:t>万美元， 再获得其发行的</w:t>
      </w:r>
      <w:r>
        <w:rPr>
          <w:color w:val="0D0D0D"/>
          <w:spacing w:val="-49"/>
        </w:rPr>
        <w:t> </w:t>
      </w:r>
      <w:r>
        <w:rPr>
          <w:rFonts w:ascii="Times New Roman" w:hAnsi="Times New Roman" w:cs="Times New Roman" w:eastAsia="Times New Roman" w:hint="default"/>
          <w:color w:val="0D0D0D"/>
        </w:rPr>
        <w:t>222,222</w:t>
      </w:r>
      <w:r>
        <w:rPr>
          <w:rFonts w:ascii="Times New Roman" w:hAnsi="Times New Roman" w:cs="Times New Roman" w:eastAsia="Times New Roman" w:hint="default"/>
          <w:color w:val="0D0D0D"/>
          <w:spacing w:val="-4"/>
        </w:rPr>
        <w:t> </w:t>
      </w:r>
      <w:r>
        <w:rPr>
          <w:color w:val="0D0D0D"/>
        </w:rPr>
        <w:t>股</w:t>
      </w:r>
      <w:r>
        <w:rPr>
          <w:color w:val="0D0D0D"/>
          <w:spacing w:val="-48"/>
        </w:rPr>
        <w:t> </w:t>
      </w:r>
      <w:r>
        <w:rPr>
          <w:rFonts w:ascii="Times New Roman" w:hAnsi="Times New Roman" w:cs="Times New Roman" w:eastAsia="Times New Roman" w:hint="default"/>
          <w:color w:val="0D0D0D"/>
        </w:rPr>
        <w:t>B</w:t>
      </w:r>
      <w:r>
        <w:rPr>
          <w:rFonts w:ascii="Times New Roman" w:hAnsi="Times New Roman" w:cs="Times New Roman" w:eastAsia="Times New Roman" w:hint="default"/>
          <w:color w:val="0D0D0D"/>
          <w:spacing w:val="-4"/>
        </w:rPr>
        <w:t> </w:t>
      </w:r>
      <w:r>
        <w:rPr>
          <w:color w:val="0D0D0D"/>
        </w:rPr>
        <w:t>类优先股（相当于</w:t>
      </w:r>
      <w:r>
        <w:rPr>
          <w:color w:val="0D0D0D"/>
          <w:spacing w:val="-49"/>
        </w:rPr>
        <w:t> </w:t>
      </w:r>
      <w:r>
        <w:rPr>
          <w:rFonts w:ascii="Times New Roman" w:hAnsi="Times New Roman" w:cs="Times New Roman" w:eastAsia="Times New Roman" w:hint="default"/>
          <w:color w:val="0D0D0D"/>
        </w:rPr>
        <w:t>4.5</w:t>
      </w:r>
      <w:r>
        <w:rPr>
          <w:rFonts w:ascii="Times New Roman" w:hAnsi="Times New Roman" w:cs="Times New Roman" w:eastAsia="Times New Roman" w:hint="default"/>
          <w:color w:val="0D0D0D"/>
          <w:spacing w:val="-4"/>
        </w:rPr>
        <w:t> </w:t>
      </w:r>
      <w:r>
        <w:rPr>
          <w:color w:val="0D0D0D"/>
        </w:rPr>
        <w:t>美元</w:t>
      </w:r>
      <w:r>
        <w:rPr>
          <w:rFonts w:ascii="Times New Roman" w:hAnsi="Times New Roman" w:cs="Times New Roman" w:eastAsia="Times New Roman" w:hint="default"/>
          <w:color w:val="0D0D0D"/>
        </w:rPr>
        <w:t>/</w:t>
      </w:r>
      <w:r>
        <w:rPr>
          <w:color w:val="0D0D0D"/>
        </w:rPr>
        <w:t>股），同时获得在本次增资后</w:t>
      </w:r>
      <w:r>
        <w:rPr>
          <w:color w:val="0D0D0D"/>
          <w:spacing w:val="-49"/>
        </w:rPr>
        <w:t> </w:t>
      </w:r>
      <w:r>
        <w:rPr>
          <w:rFonts w:ascii="Times New Roman" w:hAnsi="Times New Roman" w:cs="Times New Roman" w:eastAsia="Times New Roman" w:hint="default"/>
          <w:color w:val="0D0D0D"/>
        </w:rPr>
        <w:t>3</w:t>
      </w:r>
      <w:r>
        <w:rPr>
          <w:rFonts w:ascii="Times New Roman" w:hAnsi="Times New Roman" w:cs="Times New Roman" w:eastAsia="Times New Roman" w:hint="default"/>
          <w:color w:val="0D0D0D"/>
          <w:spacing w:val="-4"/>
        </w:rPr>
        <w:t> </w:t>
      </w:r>
      <w:r>
        <w:rPr>
          <w:color w:val="0D0D0D"/>
        </w:rPr>
        <w:t>个月内再次以</w:t>
      </w:r>
      <w:r>
        <w:rPr>
          <w:color w:val="0D0D0D"/>
          <w:spacing w:val="-49"/>
        </w:rPr>
        <w:t> </w:t>
      </w:r>
      <w:r>
        <w:rPr>
          <w:rFonts w:ascii="Times New Roman" w:hAnsi="Times New Roman" w:cs="Times New Roman" w:eastAsia="Times New Roman" w:hint="default"/>
          <w:color w:val="0D0D0D"/>
        </w:rPr>
        <w:t>99.9999</w:t>
      </w:r>
      <w:r>
        <w:rPr>
          <w:rFonts w:ascii="Times New Roman" w:hAnsi="Times New Roman" w:cs="Times New Roman" w:eastAsia="Times New Roman" w:hint="default"/>
          <w:color w:val="0D0D0D"/>
          <w:spacing w:val="-4"/>
        </w:rPr>
        <w:t> </w:t>
      </w:r>
      <w:r>
        <w:rPr>
          <w:color w:val="0D0D0D"/>
        </w:rPr>
        <w:t>万美元获得 其发行的</w:t>
      </w:r>
      <w:r>
        <w:rPr>
          <w:color w:val="0D0D0D"/>
          <w:spacing w:val="-46"/>
        </w:rPr>
        <w:t> </w:t>
      </w:r>
      <w:r>
        <w:rPr>
          <w:rFonts w:ascii="Times New Roman" w:hAnsi="Times New Roman" w:cs="Times New Roman" w:eastAsia="Times New Roman" w:hint="default"/>
          <w:color w:val="0D0D0D"/>
        </w:rPr>
        <w:t>222,222</w:t>
      </w:r>
      <w:r>
        <w:rPr>
          <w:rFonts w:ascii="Times New Roman" w:hAnsi="Times New Roman" w:cs="Times New Roman" w:eastAsia="Times New Roman" w:hint="default"/>
          <w:color w:val="0D0D0D"/>
          <w:spacing w:val="-1"/>
        </w:rPr>
        <w:t> </w:t>
      </w:r>
      <w:r>
        <w:rPr>
          <w:color w:val="0D0D0D"/>
        </w:rPr>
        <w:t>股</w:t>
      </w:r>
      <w:r>
        <w:rPr>
          <w:color w:val="0D0D0D"/>
          <w:spacing w:val="-45"/>
        </w:rPr>
        <w:t> </w:t>
      </w:r>
      <w:r>
        <w:rPr>
          <w:rFonts w:ascii="Times New Roman" w:hAnsi="Times New Roman" w:cs="Times New Roman" w:eastAsia="Times New Roman" w:hint="default"/>
          <w:color w:val="0D0D0D"/>
        </w:rPr>
        <w:t>B</w:t>
      </w:r>
      <w:r>
        <w:rPr>
          <w:rFonts w:ascii="Times New Roman" w:hAnsi="Times New Roman" w:cs="Times New Roman" w:eastAsia="Times New Roman" w:hint="default"/>
          <w:color w:val="0D0D0D"/>
          <w:spacing w:val="-1"/>
        </w:rPr>
        <w:t> </w:t>
      </w:r>
      <w:r>
        <w:rPr>
          <w:color w:val="0D0D0D"/>
        </w:rPr>
        <w:t>类优先股的认股权（相当于</w:t>
      </w:r>
      <w:r>
        <w:rPr>
          <w:color w:val="0D0D0D"/>
          <w:spacing w:val="-46"/>
        </w:rPr>
        <w:t> </w:t>
      </w:r>
      <w:r>
        <w:rPr>
          <w:rFonts w:ascii="Times New Roman" w:hAnsi="Times New Roman" w:cs="Times New Roman" w:eastAsia="Times New Roman" w:hint="default"/>
          <w:color w:val="0D0D0D"/>
        </w:rPr>
        <w:t>4.5</w:t>
      </w:r>
      <w:r>
        <w:rPr>
          <w:rFonts w:ascii="Times New Roman" w:hAnsi="Times New Roman" w:cs="Times New Roman" w:eastAsia="Times New Roman" w:hint="default"/>
          <w:color w:val="0D0D0D"/>
          <w:spacing w:val="-1"/>
        </w:rPr>
        <w:t> </w:t>
      </w:r>
      <w:r>
        <w:rPr>
          <w:color w:val="0D0D0D"/>
        </w:rPr>
        <w:t>美元</w:t>
      </w:r>
      <w:r>
        <w:rPr>
          <w:rFonts w:ascii="Times New Roman" w:hAnsi="Times New Roman" w:cs="Times New Roman" w:eastAsia="Times New Roman" w:hint="default"/>
          <w:color w:val="0D0D0D"/>
        </w:rPr>
        <w:t>/</w:t>
      </w:r>
      <w:r>
        <w:rPr>
          <w:color w:val="0D0D0D"/>
        </w:rPr>
        <w:t>股）。</w:t>
      </w:r>
      <w:r>
        <w:rPr/>
      </w:r>
    </w:p>
    <w:p>
      <w:pPr>
        <w:pStyle w:val="BodyText"/>
        <w:spacing w:line="240" w:lineRule="auto" w:before="52"/>
        <w:ind w:left="517" w:right="1033"/>
        <w:jc w:val="left"/>
      </w:pPr>
      <w:r>
        <w:rPr>
          <w:color w:val="0D0D0D"/>
        </w:rPr>
        <w:t>本公司对其不具有控制、共同控制或重大影响，将该权益性投资计入可供出售金融资产科目核算。</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left="153" w:right="0"/>
        <w:jc w:val="both"/>
        <w:rPr>
          <w:b w:val="0"/>
          <w:bCs w:val="0"/>
        </w:rPr>
      </w:pPr>
      <w:bookmarkStart w:name="10、长期股权投资" w:id="245"/>
      <w:bookmarkEnd w:id="245"/>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北京企飞 力网络科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1,998,966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31,911.62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2,030,878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易美云</w:t>
            </w:r>
          </w:p>
          <w:p>
            <w:pPr>
              <w:pStyle w:val="TableParagraph"/>
              <w:spacing w:line="316"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信息技术 有限公司</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26,469,42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（北京） 有限公司</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821,118.9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32,322,56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北京和丰 信科技有 限公司</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3,732,520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-418,603.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3"/>
              <w:jc w:val="left"/>
              <w:rPr>
                <w:rFonts w:ascii="Times New Roman" w:hAnsi="Times New Roman" w:cs="Times New Roman" w:eastAsia="Times New Roman" w:hint="default"/>
                <w:sz w:val="18"/>
                <w:szCs w:val="18"/>
              </w:rPr>
            </w:pPr>
            <w:r>
              <w:rPr>
                <w:rFonts w:ascii="Times New Roman"/>
                <w:spacing w:val="-2"/>
                <w:sz w:val="18"/>
              </w:rPr>
              <w:t>iTalkBB</w:t>
            </w:r>
            <w:r>
              <w:rPr>
                <w:rFonts w:ascii="Times New Roman"/>
                <w:sz w:val="18"/>
              </w:rPr>
              <w:t> Media 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2,480,902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-1,604,17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876,726.3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34,681,81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-3,170,51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59,698,82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34,681,81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-3,170,51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59,698,82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r>
    </w:tbl>
    <w:p>
      <w:pPr>
        <w:pStyle w:val="BodyText"/>
        <w:spacing w:line="240" w:lineRule="auto" w:before="51"/>
        <w:ind w:left="154" w:right="1033"/>
        <w:jc w:val="left"/>
      </w:pPr>
      <w:r>
        <w:rPr/>
        <w:t>其他说明</w:t>
      </w:r>
    </w:p>
    <w:p>
      <w:pPr>
        <w:pStyle w:val="BodyText"/>
        <w:spacing w:line="300" w:lineRule="auto" w:before="116"/>
        <w:ind w:right="1129" w:firstLine="424"/>
        <w:jc w:val="both"/>
      </w:pPr>
      <w:r>
        <w:rPr>
          <w:rFonts w:ascii="Times New Roman" w:hAnsi="Times New Roman" w:cs="Times New Roman" w:eastAsia="Times New Roman" w:hint="default"/>
        </w:rPr>
        <w:t>*1.2013</w:t>
      </w:r>
      <w:r>
        <w:rPr/>
        <w:t>年</w:t>
      </w:r>
      <w:r>
        <w:rPr>
          <w:rFonts w:ascii="Times New Roman" w:hAnsi="Times New Roman" w:cs="Times New Roman" w:eastAsia="Times New Roman" w:hint="default"/>
        </w:rPr>
        <w:t>12</w:t>
      </w:r>
      <w:r>
        <w:rPr/>
        <w:t>月本公司以</w:t>
      </w:r>
      <w:r>
        <w:rPr>
          <w:rFonts w:ascii="Times New Roman" w:hAnsi="Times New Roman" w:cs="Times New Roman" w:eastAsia="Times New Roman" w:hint="default"/>
        </w:rPr>
        <w:t>1147</w:t>
      </w:r>
      <w:r>
        <w:rPr/>
        <w:t>万元人民币认购展动科技（北京）有限公司（以下简称：展动科技）增资后</w:t>
      </w:r>
      <w:r>
        <w:rPr>
          <w:rFonts w:ascii="Times New Roman" w:hAnsi="Times New Roman" w:cs="Times New Roman" w:eastAsia="Times New Roman" w:hint="default"/>
        </w:rPr>
        <w:t>15%</w:t>
      </w:r>
      <w:r>
        <w:rPr/>
        <w:t>股权，因 对该公司不具有重大影响，故</w:t>
      </w:r>
      <w:r>
        <w:rPr>
          <w:rFonts w:ascii="Times New Roman" w:hAnsi="Times New Roman" w:cs="Times New Roman" w:eastAsia="Times New Roman" w:hint="default"/>
        </w:rPr>
        <w:t>2014</w:t>
      </w:r>
      <w:r>
        <w:rPr/>
        <w:t>年依修订后的会计准则列示在可供出售金融资产；</w:t>
      </w:r>
      <w:r>
        <w:rPr>
          <w:spacing w:val="-3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月，本公司以货币资金</w:t>
      </w:r>
      <w:r>
        <w:rPr>
          <w:rFonts w:ascii="Times New Roman" w:hAnsi="Times New Roman" w:cs="Times New Roman" w:eastAsia="Times New Roman" w:hint="default"/>
        </w:rPr>
        <w:t>1,853 </w:t>
      </w:r>
      <w:r>
        <w:rPr/>
        <w:t>万元对展动科技（北京）有限公司增加投资，增资后持有该公司</w:t>
      </w:r>
      <w:r>
        <w:rPr>
          <w:rFonts w:ascii="Times New Roman" w:hAnsi="Times New Roman" w:cs="Times New Roman" w:eastAsia="Times New Roman" w:hint="default"/>
        </w:rPr>
        <w:t>30%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月底，展动科技（北京）有限公司完</w:t>
      </w:r>
      <w:r>
        <w:rPr>
          <w:spacing w:val="-55"/>
        </w:rPr>
        <w:t> </w:t>
      </w:r>
      <w:r>
        <w:rPr>
          <w:spacing w:val="-55"/>
        </w:rPr>
      </w:r>
      <w:r>
        <w:rPr>
          <w:spacing w:val="-1"/>
        </w:rPr>
        <w:t>成工商变更手续，本公司持股比例为</w:t>
      </w:r>
      <w:r>
        <w:rPr>
          <w:rFonts w:ascii="Times New Roman" w:hAnsi="Times New Roman" w:cs="Times New Roman" w:eastAsia="Times New Roman" w:hint="default"/>
          <w:spacing w:val="-1"/>
        </w:rPr>
        <w:t>30%</w:t>
      </w:r>
      <w:r>
        <w:rPr>
          <w:spacing w:val="-1"/>
        </w:rPr>
        <w:t>。本公司依会计准则规定将原在可供出售金融资产核算的该项投资转为在长期股权</w:t>
      </w:r>
      <w:r>
        <w:rPr/>
        <w:t> 投资中以权益法核算。</w:t>
      </w:r>
    </w:p>
    <w:p>
      <w:pPr>
        <w:pStyle w:val="BodyText"/>
        <w:spacing w:line="300" w:lineRule="auto" w:before="70"/>
        <w:ind w:right="1132" w:firstLine="424"/>
        <w:jc w:val="both"/>
      </w:pPr>
      <w:r>
        <w:rPr>
          <w:rFonts w:ascii="Times New Roman" w:hAnsi="Times New Roman" w:cs="Times New Roman" w:eastAsia="Times New Roman" w:hint="default"/>
          <w:spacing w:val="-1"/>
        </w:rPr>
        <w:t>*2.</w:t>
      </w:r>
      <w:r>
        <w:rPr>
          <w:spacing w:val="-1"/>
        </w:rPr>
        <w:t>北京和丰信科技有限公司的原有产品未在市场上达到预期的用户规模，新产品尝试也未获得成功，北京和丰信科技</w:t>
      </w:r>
      <w:r>
        <w:rPr/>
        <w:t> </w:t>
      </w:r>
      <w:r>
        <w:rPr>
          <w:spacing w:val="-2"/>
        </w:rPr>
        <w:t>有限公司持续亏损，北京和丰信科技有限公司股东会决定清算该公司，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日，北京和丰信科技有限公司完成工商</w:t>
      </w:r>
      <w:r>
        <w:rPr>
          <w:spacing w:val="-57"/>
        </w:rPr>
        <w:t> </w:t>
      </w:r>
      <w:r>
        <w:rPr>
          <w:spacing w:val="-57"/>
        </w:rPr>
      </w:r>
      <w:r>
        <w:rPr/>
        <w:t>登记注销，本公司将对北京和丰信科技有限公司长期股权投资</w:t>
      </w:r>
      <w:r>
        <w:rPr>
          <w:rFonts w:ascii="Times New Roman" w:hAnsi="Times New Roman" w:cs="Times New Roman" w:eastAsia="Times New Roman" w:hint="default"/>
        </w:rPr>
        <w:t>3,313,917.33</w:t>
      </w:r>
      <w:r>
        <w:rPr/>
        <w:t>元确认为投资损失。</w:t>
      </w:r>
    </w:p>
    <w:p>
      <w:pPr>
        <w:pStyle w:val="BodyText"/>
        <w:spacing w:line="304" w:lineRule="auto" w:before="52"/>
        <w:ind w:right="1041" w:firstLine="424"/>
        <w:jc w:val="both"/>
      </w:pPr>
      <w:r>
        <w:rPr>
          <w:rFonts w:ascii="Times New Roman" w:hAnsi="Times New Roman" w:cs="Times New Roman" w:eastAsia="Times New Roman" w:hint="default"/>
        </w:rPr>
        <w:t>*3.</w:t>
      </w:r>
      <w:r>
        <w:rPr/>
        <w:t>易美云（北京）信息技术有限公司由于业务发展不佳及核心管理人员的失联等原因，使得易美云（北京）信息技术 </w:t>
      </w:r>
      <w:r>
        <w:rPr>
          <w:spacing w:val="-2"/>
        </w:rPr>
        <w:t>有限公司融资搁置导致运营资金不足以支撑业务进一步发展给易美云（北京）信息技术有限公司持续经营带来不确定性。根</w:t>
      </w:r>
      <w:r>
        <w:rPr>
          <w:spacing w:val="-66"/>
        </w:rPr>
        <w:t> </w:t>
      </w:r>
      <w:r>
        <w:rPr>
          <w:spacing w:val="-66"/>
        </w:rPr>
      </w:r>
      <w:r>
        <w:rPr/>
        <w:t>据该公司 </w:t>
      </w:r>
      <w:r>
        <w:rPr>
          <w:rFonts w:ascii="Times New Roman" w:hAnsi="Times New Roman" w:cs="Times New Roman" w:eastAsia="Times New Roman" w:hint="default"/>
          <w:spacing w:val="-3"/>
        </w:rPr>
        <w:t>2015</w:t>
      </w:r>
      <w:r>
        <w:rPr>
          <w:spacing w:val="-3"/>
        </w:rPr>
        <w:t>年度审计报告，</w:t>
      </w:r>
      <w:r>
        <w:rPr>
          <w:rFonts w:ascii="Times New Roman" w:hAnsi="Times New Roman" w:cs="Times New Roman" w:eastAsia="Times New Roman" w:hint="default"/>
          <w:spacing w:val="-3"/>
        </w:rPr>
        <w:t>2015</w:t>
      </w:r>
      <w:r>
        <w:rPr>
          <w:spacing w:val="-3"/>
        </w:rPr>
        <w:t>年营业收入</w:t>
      </w:r>
      <w:r>
        <w:rPr>
          <w:rFonts w:ascii="Times New Roman" w:hAnsi="Times New Roman" w:cs="Times New Roman" w:eastAsia="Times New Roman" w:hint="default"/>
          <w:spacing w:val="-3"/>
        </w:rPr>
        <w:t>643.2</w:t>
      </w:r>
      <w:r>
        <w:rPr>
          <w:spacing w:val="-3"/>
        </w:rPr>
        <w:t>万元其中运营收入</w:t>
      </w:r>
      <w:r>
        <w:rPr>
          <w:rFonts w:ascii="Times New Roman" w:hAnsi="Times New Roman" w:cs="Times New Roman" w:eastAsia="Times New Roman" w:hint="default"/>
          <w:spacing w:val="-3"/>
        </w:rPr>
        <w:t>467.08</w:t>
      </w:r>
      <w:r>
        <w:rPr>
          <w:spacing w:val="-3"/>
        </w:rPr>
        <w:t>万元（扣除私有云一次性销售收入），经营性现</w:t>
      </w:r>
      <w:r>
        <w:rPr>
          <w:spacing w:val="-86"/>
        </w:rPr>
        <w:t> </w:t>
      </w:r>
      <w:r>
        <w:rPr>
          <w:spacing w:val="-86"/>
        </w:rPr>
      </w:r>
      <w:r>
        <w:rPr/>
        <w:t>金流为</w:t>
      </w:r>
      <w:r>
        <w:rPr>
          <w:rFonts w:ascii="Times New Roman" w:hAnsi="Times New Roman" w:cs="Times New Roman" w:eastAsia="Times New Roman" w:hint="default"/>
        </w:rPr>
        <w:t>-561.43</w:t>
      </w:r>
      <w:r>
        <w:rPr/>
        <w:t>万，未达到原增资协议中约定的最低业务指标，符合增资协议中赎回条款的约定，原则上避免了本公司的投</w:t>
      </w:r>
      <w:r>
        <w:rPr>
          <w:spacing w:val="-24"/>
        </w:rPr>
        <w:t> </w:t>
      </w:r>
      <w:r>
        <w:rPr>
          <w:spacing w:val="-24"/>
        </w:rPr>
      </w:r>
      <w:r>
        <w:rPr>
          <w:spacing w:val="-3"/>
        </w:rPr>
        <w:t>资损失，可以要求创始人股东以投资总额加上每年</w:t>
      </w:r>
      <w:r>
        <w:rPr>
          <w:rFonts w:ascii="Times New Roman" w:hAnsi="Times New Roman" w:cs="Times New Roman" w:eastAsia="Times New Roman" w:hint="default"/>
          <w:spacing w:val="-3"/>
        </w:rPr>
        <w:t>15%</w:t>
      </w:r>
      <w:r>
        <w:rPr>
          <w:spacing w:val="-3"/>
        </w:rPr>
        <w:t>单利的价格赎回本公司投资。但现在创始人股东无法联系上的情况下，</w:t>
      </w:r>
    </w:p>
    <w:p>
      <w:pPr>
        <w:spacing w:after="0" w:line="304"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最终投资的价值是否能够保全，存在不确定性，故需要对其长期股权投资</w:t>
      </w:r>
      <w:r>
        <w:rPr>
          <w:rFonts w:ascii="Times New Roman" w:hAnsi="Times New Roman" w:cs="Times New Roman" w:eastAsia="Times New Roman" w:hint="default"/>
        </w:rPr>
        <w:t>24,468,655.19</w:t>
      </w:r>
      <w:r>
        <w:rPr/>
        <w:t>元全额计提减值准备。</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11、投资性房地产" w:id="246"/>
      <w:bookmarkEnd w:id="246"/>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采用成本计量模式的投资性房地产" w:id="247"/>
      <w:bookmarkEnd w:id="24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3" w:right="0"/>
              <w:jc w:val="left"/>
              <w:rPr>
                <w:rFonts w:ascii="Times New Roman" w:hAnsi="Times New Roman" w:cs="Times New Roman" w:eastAsia="Times New Roman" w:hint="default"/>
                <w:sz w:val="18"/>
                <w:szCs w:val="18"/>
              </w:rPr>
            </w:pPr>
            <w:r>
              <w:rPr>
                <w:rFonts w:ascii="Times New Roman"/>
                <w:sz w:val="18"/>
              </w:rPr>
              <w:t>32,347,146.05</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7,753,358.40</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40,100,504.45</w:t>
            </w:r>
          </w:p>
        </w:tc>
      </w:tr>
      <w:tr>
        <w:trPr>
          <w:trHeight w:val="391"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3" w:right="0"/>
              <w:jc w:val="left"/>
              <w:rPr>
                <w:rFonts w:ascii="Times New Roman" w:hAnsi="Times New Roman" w:cs="Times New Roman" w:eastAsia="Times New Roman" w:hint="default"/>
                <w:sz w:val="18"/>
                <w:szCs w:val="18"/>
              </w:rPr>
            </w:pPr>
            <w:r>
              <w:rPr>
                <w:rFonts w:ascii="Times New Roman"/>
                <w:sz w:val="18"/>
              </w:rPr>
              <w:t>30,472,151.32</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7,303,936.80</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37,776,088.12</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39"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02" w:lineRule="auto"/>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）外币报表折算</w:t>
            </w:r>
            <w:r>
              <w:rPr>
                <w:rFonts w:ascii="宋体" w:hAnsi="宋体" w:cs="宋体" w:eastAsia="宋体" w:hint="default"/>
                <w:sz w:val="18"/>
                <w:szCs w:val="18"/>
              </w:rPr>
              <w:t> 差额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1,874,994.73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449,421.60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2,324,416.33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32,347,146.05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7,753,358.40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40,100,504.45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345,589.13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345,589.13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07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337,199.52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337,199.52</w:t>
            </w: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）外币报表折算差额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8,389.61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345,589.13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345,589.13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32,001,556.92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7,753,358.40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39,754,915.32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采用公允价值计量模式的投资性房地产" w:id="248"/>
      <w:bookmarkEnd w:id="24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left="153" w:right="1033"/>
        <w:jc w:val="left"/>
        <w:rPr>
          <w:b w:val="0"/>
          <w:bCs w:val="0"/>
        </w:rPr>
      </w:pPr>
      <w:bookmarkStart w:name="（3）本公司无未办妥产权证书的投资性房地产情况" w:id="249"/>
      <w:bookmarkEnd w:id="249"/>
      <w:r>
        <w:rPr>
          <w:b w:val="0"/>
          <w:bCs w:val="0"/>
        </w:rPr>
      </w:r>
      <w:r>
        <w:rPr/>
        <w:t>（</w:t>
      </w:r>
      <w:r>
        <w:rPr>
          <w:rFonts w:ascii="Times New Roman" w:hAnsi="Times New Roman" w:cs="Times New Roman" w:eastAsia="Times New Roman" w:hint="default"/>
        </w:rPr>
        <w:t>3</w:t>
      </w:r>
      <w:r>
        <w:rPr/>
        <w:t>）本公司无未办妥产权证书的投资性房地产情况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5" w:firstLine="363"/>
        <w:jc w:val="left"/>
        <w:rPr>
          <w:rFonts w:ascii="Times New Roman" w:hAnsi="Times New Roman" w:cs="Times New Roman" w:eastAsia="Times New Roman" w:hint="default"/>
        </w:rPr>
      </w:pPr>
      <w:r>
        <w:rPr/>
        <w:t>本期新增的投资性房地产系本公司间接子公司</w:t>
      </w:r>
      <w:r>
        <w:rPr>
          <w:rFonts w:ascii="Times New Roman" w:hAnsi="Times New Roman" w:cs="Times New Roman" w:eastAsia="Times New Roman" w:hint="default"/>
        </w:rPr>
        <w:t>iTalk Global </w:t>
      </w:r>
      <w:r>
        <w:rPr/>
        <w:t>以购买</w:t>
      </w:r>
      <w:r>
        <w:rPr>
          <w:rFonts w:ascii="Times New Roman" w:hAnsi="Times New Roman" w:cs="Times New Roman" w:eastAsia="Times New Roman" w:hint="default"/>
        </w:rPr>
        <w:t>Freedom Enterprise,</w:t>
      </w:r>
      <w:r>
        <w:rPr>
          <w:rFonts w:ascii="Times New Roman" w:hAnsi="Times New Roman" w:cs="Times New Roman" w:eastAsia="Times New Roman" w:hint="default"/>
          <w:spacing w:val="1"/>
        </w:rPr>
        <w:t> </w:t>
      </w:r>
      <w:r>
        <w:rPr>
          <w:rFonts w:ascii="Times New Roman" w:hAnsi="Times New Roman" w:cs="Times New Roman" w:eastAsia="Times New Roman" w:hint="default"/>
        </w:rPr>
        <w:t>L.L.C</w:t>
      </w:r>
      <w:r>
        <w:rPr/>
        <w:t>公司</w:t>
      </w:r>
      <w:r>
        <w:rPr>
          <w:rFonts w:ascii="Times New Roman" w:hAnsi="Times New Roman" w:cs="Times New Roman" w:eastAsia="Times New Roman" w:hint="default"/>
        </w:rPr>
        <w:t>100%</w:t>
      </w:r>
      <w:r>
        <w:rPr/>
        <w:t>股权的形式购买美 国弗吉尼亚州维吉尼亚州斯普林菲尔德皇家港口路</w:t>
      </w:r>
      <w:r>
        <w:rPr>
          <w:rFonts w:ascii="Times New Roman" w:hAnsi="Times New Roman" w:cs="Times New Roman" w:eastAsia="Times New Roman" w:hint="default"/>
        </w:rPr>
        <w:t>5401</w:t>
      </w:r>
      <w:r>
        <w:rPr/>
        <w:t>号房产及土地所有权（</w:t>
      </w:r>
      <w:r>
        <w:rPr>
          <w:rFonts w:ascii="Times New Roman" w:hAnsi="Times New Roman" w:cs="Times New Roman" w:eastAsia="Times New Roman" w:hint="default"/>
        </w:rPr>
        <w:t>5401 Port Royal Road</w:t>
      </w:r>
      <w:r>
        <w:rPr/>
        <w:t>，</w:t>
      </w:r>
      <w:r>
        <w:rPr>
          <w:rFonts w:ascii="Times New Roman" w:hAnsi="Times New Roman" w:cs="Times New Roman" w:eastAsia="Times New Roman" w:hint="default"/>
        </w:rPr>
        <w:t>Springfield,Virginia</w:t>
      </w:r>
      <w:r>
        <w:rPr>
          <w:rFonts w:ascii="Times New Roman" w:hAnsi="Times New Roman" w:cs="Times New Roman" w:eastAsia="Times New Roman" w:hint="default"/>
          <w:spacing w:val="-7"/>
        </w:rPr>
        <w:t> </w:t>
      </w:r>
      <w:r>
        <w:rPr>
          <w:rFonts w:ascii="Times New Roman" w:hAnsi="Times New Roman" w:cs="Times New Roman" w:eastAsia="Times New Roman" w:hint="default"/>
        </w:rPr>
        <w:t>US</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1033"/>
        <w:jc w:val="left"/>
      </w:pPr>
      <w:r>
        <w:rPr>
          <w:rFonts w:ascii="Times New Roman" w:hAnsi="Times New Roman" w:cs="Times New Roman" w:eastAsia="Times New Roman" w:hint="default"/>
        </w:rPr>
        <w:t>22151</w:t>
      </w:r>
      <w:r>
        <w:rPr/>
        <w:t>）用于对外出租。土地使用权属列示的系土地永久所有权，故不进行摊销。</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12、固定资产" w:id="250"/>
      <w:bookmarkEnd w:id="250"/>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固定资产情况" w:id="251"/>
      <w:bookmarkEnd w:id="25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38,939,545.07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186,743,642.19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3,726,372.85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9,537,277.75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238,946,837.86</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28,105,024.11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1,960,668.78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30,065,692.89</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26,300,851.63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1,896,360.79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28,197,212.42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00" w:lineRule="auto"/>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180,489.46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182,788.46</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02" w:lineRule="auto"/>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 影响</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1,623,683.02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1,685,692.01</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5,030,827.72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666,683.33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5,697,511.05</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5,030,827.72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666,683.33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5,697,511.05</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38,939,545.07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209,817,838.58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3,726,372.85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10,831,263.20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263,315,019.70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9,469,399.32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129,801,992.40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2,823,230.62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6,108,638.37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148,203,260.71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1,507,529.66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20,435,141.61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181,406.37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1,425,160.70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23,549,238.34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1,507,529.66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19,285,534.90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181,406.37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1,335,305.71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22,309,776.64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00" w:lineRule="auto"/>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39,425.89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39,462.29</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02" w:lineRule="auto"/>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 影响</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1,110,180.82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89,818.59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1,199,999.41</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4,320,601.92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562,680.63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4,883,282.55</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4,320,601.92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562,680.63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4,883,282.55</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10,976,928.98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145,916,532.09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3,004,636.99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6,971,118.44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166,869,216.50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35,249.74</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27,962,616.09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63,901,306.49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721,735.86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3,860,144.76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96,445,803.20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29,470,145.75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56,906,400.05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903,142.23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3,428,639.38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90,708,327.41</w:t>
            </w:r>
          </w:p>
        </w:tc>
      </w:tr>
    </w:tbl>
    <w:p>
      <w:pPr>
        <w:pStyle w:val="BodyText"/>
        <w:spacing w:line="240" w:lineRule="auto" w:before="51"/>
        <w:ind w:left="154" w:right="1033"/>
        <w:jc w:val="left"/>
      </w:pPr>
      <w:r>
        <w:rPr/>
        <w:t>注：公司根据自身实际情况确定类别，一般包括房屋及建筑物、机器设备、电子设备、运输设备等。</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暂时闲置的固定资产情况" w:id="252"/>
      <w:bookmarkEnd w:id="25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通过融资租赁租入的固定资产情况" w:id="253"/>
      <w:bookmarkEnd w:id="25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通过经营租赁租出的固定资产" w:id="254"/>
      <w:bookmarkEnd w:id="25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5）未办妥产权证书的固定资产情况" w:id="255"/>
      <w:bookmarkEnd w:id="25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  </w:t>
            </w:r>
            <w:r>
              <w:rPr>
                <w:rFonts w:ascii="宋体" w:hAnsi="宋体" w:cs="宋体" w:eastAsia="宋体" w:hint="default"/>
                <w:sz w:val="18"/>
                <w:szCs w:val="18"/>
              </w:rPr>
              <w:t>呼叫中心及研发生产用房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17,036,306.31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手续尚未完成</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13、在建工程" w:id="256"/>
      <w:bookmarkEnd w:id="25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7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33,172.63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33,172.63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33,172.63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33,172.63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14、无形资产" w:id="258"/>
      <w:bookmarkEnd w:id="258"/>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无形资产情况" w:id="259"/>
      <w:bookmarkEnd w:id="25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20,171,864.86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23,601,705.70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28,344,285.28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28,344,285.28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6,811,589.57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6,811,589.57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21,060,152.89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21,060,152.89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472,542.82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472,542.82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48,516,150.14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51,945,990.98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906,110.72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11,891,554.09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12,797,664.81</w:t>
            </w: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72,975.33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6,851,486.86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6,924,462.19</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72,975.33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6,381,778.19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6,454,753.52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469,708.67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469,708.67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979,086.05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18,743,040.96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19,722,127.01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2,450,754.79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29,773,109.19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32,223,863.98</w:t>
            </w:r>
          </w:p>
        </w:tc>
      </w:tr>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2,523,730.12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8,280,310.77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10,804,040.89</w:t>
            </w:r>
          </w:p>
        </w:tc>
      </w:tr>
    </w:tbl>
    <w:p>
      <w:pPr>
        <w:pStyle w:val="BodyText"/>
        <w:spacing w:line="240" w:lineRule="auto" w:before="51"/>
        <w:ind w:left="154" w:right="10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64.16%</w:t>
      </w:r>
      <w:r>
        <w:rPr/>
        <w:t>。</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2）本公司无未办妥产权证书的土地使用权情况" w:id="260"/>
      <w:bookmarkEnd w:id="260"/>
      <w:r>
        <w:rPr>
          <w:b w:val="0"/>
          <w:bCs w:val="0"/>
        </w:rPr>
      </w:r>
      <w:r>
        <w:rPr/>
        <w:t>（</w:t>
      </w:r>
      <w:r>
        <w:rPr>
          <w:rFonts w:ascii="Times New Roman" w:hAnsi="Times New Roman" w:cs="Times New Roman" w:eastAsia="Times New Roman" w:hint="default"/>
        </w:rPr>
        <w:t>2</w:t>
      </w:r>
      <w:r>
        <w:rPr/>
        <w:t>）本公司无未办妥产权证书的土地使用权情况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60" w:right="1033"/>
        <w:jc w:val="left"/>
      </w:pPr>
      <w:r>
        <w:rPr>
          <w:color w:val="0D0D0D"/>
        </w:rPr>
        <w:t>无形资产期末余额比期初余额增加</w:t>
      </w:r>
      <w:r>
        <w:rPr>
          <w:rFonts w:ascii="Times New Roman" w:hAnsi="Times New Roman" w:cs="Times New Roman" w:eastAsia="Times New Roman" w:hint="default"/>
          <w:color w:val="0D0D0D"/>
        </w:rPr>
        <w:t>198.26%</w:t>
      </w:r>
      <w:r>
        <w:rPr>
          <w:color w:val="0D0D0D"/>
        </w:rPr>
        <w:t>，主要系本公司自主研发的软件完工转入无形资产所致。</w:t>
      </w:r>
      <w:r>
        <w:rPr/>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15、开发支出" w:id="261"/>
      <w:bookmarkEnd w:id="261"/>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9" w:space="0" w:color="E0FFFF"/>
              <w:right w:val="single" w:sz="4" w:space="0" w:color="000000"/>
            </w:tcBorders>
            <w:shd w:val="clear" w:color="auto" w:fill="D2D2D2"/>
          </w:tcPr>
          <w:p>
            <w:pPr/>
          </w:p>
        </w:tc>
      </w:tr>
      <w:tr>
        <w:trPr>
          <w:trHeight w:val="324"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9" w:space="0" w:color="D2D2D2"/>
            </w:tcBorders>
            <w:shd w:val="clear" w:color="auto" w:fill="E0FFFF"/>
          </w:tcPr>
          <w:p>
            <w:pPr/>
          </w:p>
        </w:tc>
        <w:tc>
          <w:tcPr>
            <w:tcW w:w="1063" w:type="dxa"/>
            <w:vMerge/>
            <w:tcBorders>
              <w:left w:val="single" w:sz="9" w:space="0" w:color="E0FFFF"/>
              <w:bottom w:val="nil" w:sz="6" w:space="0" w:color="auto"/>
              <w:right w:val="single" w:sz="4" w:space="0" w:color="000000"/>
            </w:tcBorders>
            <w:shd w:val="clear" w:color="auto" w:fill="D2D2D2"/>
          </w:tcPr>
          <w:p>
            <w:pPr/>
          </w:p>
        </w:tc>
      </w:tr>
      <w:tr>
        <w:trPr>
          <w:trHeight w:val="178"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13" w:space="0" w:color="E0FFFF"/>
              <w:right w:val="single" w:sz="4" w:space="0" w:color="000000"/>
            </w:tcBorders>
            <w:shd w:val="clear" w:color="auto" w:fill="D2D2D2"/>
          </w:tcPr>
          <w:p>
            <w:pPr>
              <w:pStyle w:val="TableParagraph"/>
              <w:spacing w:line="240" w:lineRule="auto" w:before="29"/>
              <w:ind w:left="1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13" w:space="0" w:color="E0FFFF"/>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13" w:space="0" w:color="E0FFFF"/>
              <w:right w:val="single" w:sz="4" w:space="0" w:color="000000"/>
            </w:tcBorders>
            <w:shd w:val="clear" w:color="auto" w:fill="D2D2D2"/>
          </w:tcPr>
          <w:p>
            <w:pPr/>
          </w:p>
        </w:tc>
      </w:tr>
      <w:tr>
        <w:trPr>
          <w:trHeight w:val="156" w:hRule="exact"/>
        </w:trPr>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13" w:space="0" w:color="E0FFFF"/>
              <w:right w:val="single" w:sz="4" w:space="0" w:color="000000"/>
            </w:tcBorders>
            <w:shd w:val="clear" w:color="auto" w:fill="D2D2D2"/>
          </w:tcPr>
          <w:p>
            <w:pPr/>
          </w:p>
        </w:tc>
      </w:tr>
      <w:tr>
        <w:trPr>
          <w:trHeight w:val="36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13" w:space="0" w:color="E0FFFF"/>
              <w:bottom w:val="single" w:sz="4" w:space="0" w:color="000000"/>
              <w:right w:val="single" w:sz="4" w:space="0" w:color="000000"/>
            </w:tcBorders>
            <w:shd w:val="clear" w:color="auto" w:fill="D2D2D2"/>
          </w:tcPr>
          <w:p>
            <w:pPr/>
          </w:p>
        </w:tc>
      </w:tr>
      <w:tr>
        <w:trPr>
          <w:trHeight w:val="107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客户回访工 作优化项目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2,391,611.62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222,036.83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2,613,648.45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CA new</w:t>
            </w:r>
            <w:r>
              <w:rPr>
                <w:rFonts w:ascii="Times New Roman"/>
                <w:spacing w:val="-11"/>
                <w:sz w:val="18"/>
              </w:rPr>
              <w:t> </w:t>
            </w:r>
            <w:r>
              <w:rPr>
                <w:rFonts w:ascii="Times New Roman"/>
                <w:sz w:val="18"/>
              </w:rPr>
              <w:t>HS</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278,870.55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34,443.84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313,314.39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
                <w:sz w:val="18"/>
              </w:rPr>
              <w:t> </w:t>
            </w:r>
            <w:r>
              <w:rPr>
                <w:rFonts w:ascii="Times New Roman"/>
                <w:sz w:val="18"/>
              </w:rPr>
              <w:t>app</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二期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2,270,519.69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2,270,519.69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88.649986pt;width:51.5pt;height:20.8pt;mso-position-horizontal-relative:page;mso-position-vertical-relative:page;z-index:-1504648" coordorigin="2202,1773" coordsize="1030,416">
            <v:group style="position:absolute;left:2214;top:1784;width:2;height:393" coordorigin="2214,1784" coordsize="2,393">
              <v:shape style="position:absolute;left:2214;top:1784;width:2;height:393" coordorigin="2214,1784" coordsize="0,393" path="m2214,1784l2214,2177e" filled="false" stroked="true" strokeweight="1.140pt" strokecolor="#ffffff">
                <v:path arrowok="t"/>
              </v:shape>
            </v:group>
            <v:group style="position:absolute;left:2225;top:1784;width:1007;height:393" coordorigin="2225,1784" coordsize="1007,393">
              <v:shape style="position:absolute;left:2225;top:1784;width:1007;height:393" coordorigin="2225,1784" coordsize="1007,393" path="m2225,2177l3232,2177,3232,1784,2225,1784,2225,21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7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74"/>
              <w:ind w:left="22" w:right="120"/>
              <w:jc w:val="both"/>
              <w:rPr>
                <w:rFonts w:ascii="宋体" w:hAnsi="宋体" w:cs="宋体" w:eastAsia="宋体" w:hint="default"/>
                <w:sz w:val="18"/>
                <w:szCs w:val="18"/>
              </w:rPr>
            </w:pPr>
            <w:r>
              <w:rPr>
                <w:rFonts w:ascii="宋体" w:hAnsi="宋体" w:cs="宋体" w:eastAsia="宋体" w:hint="default"/>
                <w:sz w:val="18"/>
                <w:szCs w:val="18"/>
              </w:rPr>
              <w:t>海外移动转 售（</w:t>
            </w:r>
            <w:r>
              <w:rPr>
                <w:rFonts w:ascii="Times New Roman" w:hAnsi="Times New Roman" w:cs="Times New Roman" w:eastAsia="Times New Roman" w:hint="default"/>
                <w:sz w:val="18"/>
                <w:szCs w:val="18"/>
              </w:rPr>
              <w:t>MVNO</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业务系统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2,135,040.08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2,135,040.08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74"/>
              <w:ind w:left="22" w:right="129"/>
              <w:jc w:val="both"/>
              <w:rPr>
                <w:rFonts w:ascii="宋体" w:hAnsi="宋体" w:cs="宋体" w:eastAsia="宋体" w:hint="default"/>
                <w:sz w:val="18"/>
                <w:szCs w:val="18"/>
              </w:rPr>
            </w:pPr>
            <w:r>
              <w:rPr>
                <w:rFonts w:ascii="宋体" w:hAnsi="宋体" w:cs="宋体" w:eastAsia="宋体" w:hint="default"/>
                <w:sz w:val="18"/>
                <w:szCs w:val="18"/>
              </w:rPr>
              <w:t>网络电视多 网络内容分 发系统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2,234,803.69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614,768.07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2,849,571.76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网络电视内 容生产系统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1,285,302.00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783,482.86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2,068,784.86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客户端系统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STB 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3,279,635.92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1,323,390.52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4,603,026.44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企业管理软 件项目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2,309,603.64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2,309,603.64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6"/>
              <w:jc w:val="center"/>
              <w:rPr>
                <w:rFonts w:ascii="宋体" w:hAnsi="宋体" w:cs="宋体" w:eastAsia="宋体" w:hint="default"/>
                <w:sz w:val="18"/>
                <w:szCs w:val="18"/>
              </w:rPr>
            </w:pPr>
            <w:r>
              <w:rPr>
                <w:rFonts w:ascii="宋体" w:hAnsi="宋体" w:cs="宋体" w:eastAsia="宋体" w:hint="default"/>
                <w:sz w:val="18"/>
                <w:szCs w:val="18"/>
              </w:rPr>
              <w:t>焕新客户端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1,896,643.58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1,896,643.58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7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74"/>
              <w:ind w:left="22" w:right="129"/>
              <w:jc w:val="both"/>
              <w:rPr>
                <w:rFonts w:ascii="宋体" w:hAnsi="宋体" w:cs="宋体" w:eastAsia="宋体" w:hint="default"/>
                <w:sz w:val="18"/>
                <w:szCs w:val="18"/>
              </w:rPr>
            </w:pPr>
            <w:r>
              <w:rPr>
                <w:rFonts w:ascii="宋体" w:hAnsi="宋体" w:cs="宋体" w:eastAsia="宋体" w:hint="default"/>
                <w:sz w:val="18"/>
                <w:szCs w:val="18"/>
              </w:rPr>
              <w:t>企业集成通 信平台建设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128,301.89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128,301.89</w:t>
            </w:r>
          </w:p>
        </w:tc>
      </w:tr>
      <w:tr>
        <w:trPr>
          <w:trHeight w:val="715" w:hRule="exact"/>
        </w:trPr>
        <w:tc>
          <w:tcPr>
            <w:tcW w:w="1064" w:type="dxa"/>
            <w:tcBorders>
              <w:top w:val="single" w:sz="12" w:space="0" w:color="E0FFFF"/>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11,779,827.4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9,408,627.36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21,060,152.8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128,301.89</w:t>
            </w:r>
          </w:p>
        </w:tc>
      </w:tr>
    </w:tbl>
    <w:p>
      <w:pPr>
        <w:pStyle w:val="BodyText"/>
        <w:spacing w:line="240" w:lineRule="auto" w:before="51"/>
        <w:ind w:left="517" w:right="1033"/>
        <w:jc w:val="left"/>
      </w:pPr>
      <w:r>
        <w:rPr>
          <w:color w:val="0D0D0D"/>
        </w:rPr>
        <w:t>开发支出期末余额比期初余额减少较多，主要系本公司自主研发的软件完工转入无形资产所致。</w:t>
      </w:r>
      <w:r>
        <w:rPr/>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16、商誉" w:id="262"/>
      <w:bookmarkEnd w:id="262"/>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6"/>
        <w:gridCol w:w="1367"/>
        <w:gridCol w:w="1367"/>
        <w:gridCol w:w="1367"/>
      </w:tblGrid>
      <w:tr>
        <w:trPr>
          <w:trHeight w:val="403"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
        </w:tc>
      </w:tr>
      <w:tr>
        <w:trPr>
          <w:trHeight w:val="318" w:hRule="exact"/>
        </w:trPr>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7"/>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val="restart"/>
            <w:tcBorders>
              <w:top w:val="single" w:sz="4" w:space="0" w:color="000000"/>
              <w:left w:val="single" w:sz="9" w:space="0" w:color="D2D2D2"/>
              <w:right w:val="single" w:sz="9" w:space="0" w:color="D2D2D2"/>
            </w:tcBorders>
            <w:shd w:val="clear" w:color="auto" w:fill="E0FFFF"/>
          </w:tcPr>
          <w:p>
            <w:pPr/>
          </w:p>
        </w:tc>
        <w:tc>
          <w:tcPr>
            <w:tcW w:w="1367" w:type="dxa"/>
            <w:vMerge w:val="restart"/>
            <w:tcBorders>
              <w:top w:val="single" w:sz="4" w:space="0" w:color="000000"/>
              <w:left w:val="single" w:sz="10" w:space="0" w:color="E0FFFF"/>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12"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
        </w:tc>
        <w:tc>
          <w:tcPr>
            <w:tcW w:w="1366"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right w:val="single" w:sz="4" w:space="0" w:color="000000"/>
            </w:tcBorders>
            <w:shd w:val="clear" w:color="auto" w:fill="D2D2D2"/>
          </w:tcPr>
          <w:p>
            <w:pPr/>
          </w:p>
        </w:tc>
      </w:tr>
      <w:tr>
        <w:trPr>
          <w:trHeight w:val="408"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9" w:space="0" w:color="D2D2D2"/>
              <w:bottom w:val="single" w:sz="4" w:space="0" w:color="000000"/>
              <w:right w:val="single" w:sz="9" w:space="0" w:color="D2D2D2"/>
            </w:tcBorders>
            <w:shd w:val="clear" w:color="auto" w:fill="E0FFFF"/>
          </w:tcPr>
          <w:p>
            <w:pPr/>
          </w:p>
        </w:tc>
        <w:tc>
          <w:tcPr>
            <w:tcW w:w="1367" w:type="dxa"/>
            <w:vMerge/>
            <w:tcBorders>
              <w:left w:val="single" w:sz="10" w:space="0" w:color="E0FFFF"/>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7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34,635,570.72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34,635,570.72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70"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00" w:lineRule="auto"/>
              <w:ind w:left="22" w:right="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 </w:t>
            </w:r>
            <w:r>
              <w:rPr>
                <w:rFonts w:ascii="宋体" w:hAnsi="宋体" w:cs="宋体" w:eastAsia="宋体" w:hint="default"/>
                <w:sz w:val="18"/>
                <w:szCs w:val="18"/>
              </w:rPr>
              <w:t>业 务 </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733,132,426.79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733,132,426.79</w:t>
            </w:r>
          </w:p>
        </w:tc>
      </w:tr>
      <w:tr>
        <w:trPr>
          <w:trHeight w:val="107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迪迅（香港）有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99,203,486.24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99,203,486.24</w:t>
            </w:r>
          </w:p>
        </w:tc>
      </w:tr>
      <w:tr>
        <w:trPr>
          <w:trHeight w:val="107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767,767,997.51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99,203,486.24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866,971,483.75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3"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
        </w:tc>
        <w:tc>
          <w:tcPr>
            <w:tcW w:w="1367" w:type="dxa"/>
            <w:vMerge w:val="restart"/>
            <w:tcBorders>
              <w:top w:val="single" w:sz="4" w:space="0" w:color="000000"/>
              <w:left w:val="single" w:sz="10" w:space="0" w:color="E0FFFF"/>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right w:val="single" w:sz="4" w:space="0" w:color="000000"/>
            </w:tcBorders>
            <w:shd w:val="clear" w:color="auto" w:fill="D2D2D2"/>
          </w:tcPr>
          <w:p>
            <w:pPr/>
          </w:p>
        </w:tc>
      </w:tr>
      <w:tr>
        <w:trPr>
          <w:trHeight w:val="409"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vMerge/>
            <w:tcBorders>
              <w:left w:val="single" w:sz="10" w:space="0" w:color="E0FFFF"/>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7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70"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00" w:lineRule="auto"/>
              <w:ind w:left="22" w:right="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 </w:t>
            </w:r>
            <w:r>
              <w:rPr>
                <w:rFonts w:ascii="宋体" w:hAnsi="宋体" w:cs="宋体" w:eastAsia="宋体" w:hint="default"/>
                <w:sz w:val="18"/>
                <w:szCs w:val="18"/>
              </w:rPr>
              <w:t>业 务 </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7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迪迅（香港）有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7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00" w:lineRule="auto" w:before="51"/>
        <w:ind w:right="1033" w:firstLine="424"/>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日，本公司第五届董事会第七次会议审议通过了《关于将</w:t>
      </w:r>
      <w:r>
        <w:rPr>
          <w:spacing w:val="-49"/>
        </w:rPr>
        <w:t> </w:t>
      </w:r>
      <w:r>
        <w:rPr>
          <w:rFonts w:ascii="Times New Roman" w:hAnsi="Times New Roman" w:cs="Times New Roman" w:eastAsia="Times New Roman" w:hint="default"/>
        </w:rPr>
        <w:t>IPTV</w:t>
      </w:r>
      <w:r>
        <w:rPr>
          <w:rFonts w:ascii="Times New Roman" w:hAnsi="Times New Roman" w:cs="Times New Roman" w:eastAsia="Times New Roman" w:hint="default"/>
          <w:spacing w:val="41"/>
        </w:rPr>
        <w:t> </w:t>
      </w:r>
      <w:r>
        <w:rPr/>
        <w:t>业务及</w:t>
      </w:r>
      <w:r>
        <w:rPr>
          <w:spacing w:val="-49"/>
        </w:rPr>
        <w:t> </w:t>
      </w:r>
      <w:r>
        <w:rPr>
          <w:rFonts w:ascii="Times New Roman" w:hAnsi="Times New Roman" w:cs="Times New Roman" w:eastAsia="Times New Roman" w:hint="default"/>
          <w:spacing w:val="-6"/>
        </w:rPr>
        <w:t>VoIP</w:t>
      </w:r>
      <w:r>
        <w:rPr>
          <w:rFonts w:ascii="Times New Roman" w:hAnsi="Times New Roman" w:cs="Times New Roman" w:eastAsia="Times New Roman" w:hint="default"/>
          <w:spacing w:val="1"/>
        </w:rPr>
        <w:t> </w:t>
      </w:r>
      <w:r>
        <w:rPr/>
        <w:t>业务合并处理商誉 </w:t>
      </w:r>
      <w:r>
        <w:rPr>
          <w:spacing w:val="-13"/>
        </w:rPr>
        <w:t>的议案》：鉴于</w:t>
      </w:r>
      <w:r>
        <w:rPr>
          <w:spacing w:val="-45"/>
        </w:rPr>
        <w:t> </w:t>
      </w:r>
      <w:r>
        <w:rPr>
          <w:rFonts w:ascii="Times New Roman" w:hAnsi="Times New Roman" w:cs="Times New Roman" w:eastAsia="Times New Roman" w:hint="default"/>
          <w:color w:val="0D0D0D"/>
        </w:rPr>
        <w:t>iTalk Global</w:t>
      </w:r>
      <w:r>
        <w:rPr>
          <w:rFonts w:ascii="Times New Roman" w:hAnsi="Times New Roman" w:cs="Times New Roman" w:eastAsia="Times New Roman" w:hint="default"/>
          <w:color w:val="0D0D0D"/>
          <w:spacing w:val="2"/>
        </w:rPr>
        <w:t> </w:t>
      </w:r>
      <w:r>
        <w:rPr>
          <w:spacing w:val="-1"/>
        </w:rPr>
        <w:t>及其相关经营推广公司所从事的</w:t>
      </w:r>
      <w:r>
        <w:rPr>
          <w:spacing w:val="-45"/>
        </w:rPr>
        <w:t> </w:t>
      </w:r>
      <w:r>
        <w:rPr>
          <w:rFonts w:ascii="Times New Roman" w:hAnsi="Times New Roman" w:cs="Times New Roman" w:eastAsia="Times New Roman" w:hint="default"/>
          <w:spacing w:val="-6"/>
          <w:w w:val="99"/>
        </w:rPr>
        <w:t>VoIP</w:t>
      </w:r>
      <w:r>
        <w:rPr>
          <w:rFonts w:ascii="Times New Roman" w:hAnsi="Times New Roman" w:cs="Times New Roman" w:eastAsia="Times New Roman" w:hint="default"/>
          <w:w w:val="99"/>
        </w:rPr>
        <w:t> </w:t>
      </w:r>
      <w:r>
        <w:rPr/>
        <w:t>业务线和北京首都在线网络技术有限公司所从事的</w:t>
      </w:r>
      <w:r>
        <w:rPr>
          <w:spacing w:val="-45"/>
        </w:rPr>
        <w:t> </w:t>
      </w:r>
      <w:r>
        <w:rPr>
          <w:rFonts w:ascii="Times New Roman" w:hAnsi="Times New Roman" w:cs="Times New Roman" w:eastAsia="Times New Roman" w:hint="default"/>
          <w:w w:val="99"/>
        </w:rPr>
        <w:t>IPTV</w:t>
      </w:r>
      <w:r>
        <w:rPr>
          <w:rFonts w:ascii="Times New Roman" w:hAnsi="Times New Roman" w:cs="Times New Roman" w:eastAsia="Times New Roman" w:hint="default"/>
          <w:spacing w:val="-42"/>
          <w:w w:val="99"/>
        </w:rPr>
        <w:t> </w:t>
      </w:r>
      <w:r>
        <w:rPr/>
        <w:t>业务线已处于深度融合的状态，为完整体现</w:t>
      </w:r>
      <w:r>
        <w:rPr>
          <w:spacing w:val="-46"/>
        </w:rPr>
        <w:t> </w:t>
      </w:r>
      <w:r>
        <w:rPr>
          <w:rFonts w:ascii="Times New Roman" w:hAnsi="Times New Roman" w:cs="Times New Roman" w:eastAsia="Times New Roman" w:hint="default"/>
          <w:spacing w:val="-6"/>
        </w:rPr>
        <w:t>VoIP</w:t>
      </w:r>
      <w:r>
        <w:rPr>
          <w:rFonts w:ascii="Times New Roman" w:hAnsi="Times New Roman" w:cs="Times New Roman" w:eastAsia="Times New Roman" w:hint="default"/>
          <w:spacing w:val="-1"/>
        </w:rPr>
        <w:t> </w:t>
      </w:r>
      <w:r>
        <w:rPr/>
        <w:t>业务线和</w:t>
      </w:r>
      <w:r>
        <w:rPr>
          <w:spacing w:val="-46"/>
        </w:rPr>
        <w:t> </w:t>
      </w:r>
      <w:r>
        <w:rPr>
          <w:rFonts w:ascii="Times New Roman" w:hAnsi="Times New Roman" w:cs="Times New Roman" w:eastAsia="Times New Roman" w:hint="default"/>
        </w:rPr>
        <w:t>IPTV</w:t>
      </w:r>
      <w:r>
        <w:rPr>
          <w:rFonts w:ascii="Times New Roman" w:hAnsi="Times New Roman" w:cs="Times New Roman" w:eastAsia="Times New Roman" w:hint="default"/>
          <w:spacing w:val="-1"/>
        </w:rPr>
        <w:t> </w:t>
      </w:r>
      <w:r>
        <w:rPr/>
        <w:t>业务线的综合盈利能力，促进海外互联网综合业务进一步 发展，决定将上述两条产品线收购所产生的商誉进行合并，根据合并后的资产组合进行价值评估和减值测试。</w:t>
      </w:r>
    </w:p>
    <w:p>
      <w:pPr>
        <w:pStyle w:val="BodyText"/>
        <w:spacing w:line="302" w:lineRule="auto" w:before="70"/>
        <w:ind w:right="1131" w:firstLine="363"/>
        <w:jc w:val="both"/>
      </w:pPr>
      <w:r>
        <w:rPr>
          <w:spacing w:val="-1"/>
        </w:rPr>
        <w:t>（</w:t>
      </w: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日止，本公司参考北京华信众合资产评估有限公司于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日出具华信众合评咨字</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spacing w:val="-7"/>
          <w:w w:val="99"/>
        </w:rPr>
        <w:t>第</w:t>
      </w:r>
      <w:r>
        <w:rPr>
          <w:rFonts w:ascii="Times New Roman" w:hAnsi="Times New Roman" w:cs="Times New Roman" w:eastAsia="Times New Roman" w:hint="default"/>
          <w:spacing w:val="-7"/>
          <w:w w:val="99"/>
        </w:rPr>
        <w:t>B1002</w:t>
      </w:r>
      <w:r>
        <w:rPr>
          <w:spacing w:val="-7"/>
          <w:w w:val="99"/>
        </w:rPr>
        <w:t>号《翰平事业部资产组可收回价值项目价值咨询报告》、华信众合评咨字</w:t>
      </w:r>
      <w:r>
        <w:rPr>
          <w:rFonts w:ascii="Times New Roman" w:hAnsi="Times New Roman" w:cs="Times New Roman" w:eastAsia="Times New Roman" w:hint="default"/>
          <w:spacing w:val="-7"/>
          <w:w w:val="99"/>
        </w:rPr>
        <w:t>[2016]</w:t>
      </w:r>
      <w:r>
        <w:rPr>
          <w:spacing w:val="-7"/>
          <w:w w:val="99"/>
        </w:rPr>
        <w:t>第</w:t>
      </w:r>
      <w:r>
        <w:rPr>
          <w:rFonts w:ascii="Times New Roman" w:hAnsi="Times New Roman" w:cs="Times New Roman" w:eastAsia="Times New Roman" w:hint="default"/>
          <w:spacing w:val="-7"/>
          <w:w w:val="99"/>
        </w:rPr>
        <w:t>B1001</w:t>
      </w:r>
      <w:r>
        <w:rPr>
          <w:spacing w:val="-7"/>
          <w:w w:val="99"/>
        </w:rPr>
        <w:t>号《（</w:t>
      </w:r>
      <w:r>
        <w:rPr>
          <w:rFonts w:ascii="Times New Roman" w:hAnsi="Times New Roman" w:cs="Times New Roman" w:eastAsia="Times New Roman" w:hint="default"/>
          <w:spacing w:val="-7"/>
          <w:w w:val="99"/>
        </w:rPr>
        <w:t>ITALK</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11"/>
          <w:w w:val="99"/>
        </w:rPr>
        <w:t>BB</w:t>
      </w:r>
      <w:r>
        <w:rPr>
          <w:spacing w:val="-11"/>
          <w:w w:val="99"/>
        </w:rPr>
        <w:t>、</w:t>
      </w:r>
      <w:r>
        <w:rPr>
          <w:rFonts w:ascii="Times New Roman" w:hAnsi="Times New Roman" w:cs="Times New Roman" w:eastAsia="Times New Roman" w:hint="default"/>
          <w:spacing w:val="-11"/>
          <w:w w:val="99"/>
        </w:rPr>
        <w:t>ITALK</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TV</w:t>
      </w:r>
      <w:r>
        <w:rPr>
          <w:w w:val="99"/>
        </w:rPr>
        <w:t>）</w:t>
      </w:r>
      <w:r>
        <w:rPr>
          <w:spacing w:val="-88"/>
          <w:w w:val="99"/>
        </w:rPr>
        <w:t> </w:t>
      </w:r>
      <w:r>
        <w:rPr/>
        <w:t>资产组组合可收回价值项目价值咨询报告》评估报告，确认各项商誉无减值迹象。</w:t>
      </w:r>
    </w:p>
    <w:p>
      <w:pPr>
        <w:pStyle w:val="BodyText"/>
        <w:spacing w:line="240" w:lineRule="auto" w:before="69"/>
        <w:ind w:left="517" w:right="1033"/>
        <w:jc w:val="left"/>
      </w:pPr>
      <w:r>
        <w:rPr>
          <w:spacing w:val="-4"/>
        </w:rPr>
        <w:t>（</w:t>
      </w:r>
      <w:r>
        <w:rPr>
          <w:rFonts w:ascii="Times New Roman" w:hAnsi="Times New Roman" w:cs="Times New Roman" w:eastAsia="Times New Roman" w:hint="default"/>
          <w:spacing w:val="-4"/>
        </w:rPr>
        <w:t>3</w:t>
      </w:r>
      <w:r>
        <w:rPr>
          <w:spacing w:val="-4"/>
        </w:rPr>
        <w:t>）迪迅（香港）有限公司本期商誉增加的情况详见财务报告八、合并范围的变更</w:t>
      </w:r>
      <w:r>
        <w:rPr>
          <w:spacing w:val="19"/>
        </w:rPr>
        <w:t> </w:t>
      </w:r>
      <w:r>
        <w:rPr>
          <w:rFonts w:ascii="Times New Roman" w:hAnsi="Times New Roman" w:cs="Times New Roman" w:eastAsia="Times New Roman" w:hint="default"/>
          <w:spacing w:val="-3"/>
        </w:rPr>
        <w:t>1</w:t>
      </w:r>
      <w:r>
        <w:rPr>
          <w:spacing w:val="-3"/>
        </w:rPr>
        <w:t>、非同一控制下企业合并中所述。</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17、长期待摊费用" w:id="265"/>
      <w:bookmarkEnd w:id="265"/>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2,549,369.86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4,793,661.62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2,003,793.80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5,339,237.68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28,122,650.37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7,913,686.69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11,943,207.06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24,093,130.00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32,551,780.87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10,258,313.09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10,385,257.15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32,424,836.81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 </w:t>
            </w:r>
            <w:r>
              <w:rPr>
                <w:rFonts w:ascii="宋体" w:hAnsi="宋体" w:cs="宋体" w:eastAsia="宋体" w:hint="default"/>
                <w:sz w:val="18"/>
                <w:szCs w:val="18"/>
              </w:rPr>
              <w:t>软件系统平台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472,222.23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655,168.48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166,666.66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960,724.05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MVNO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软件系统平 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1,048,280.74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7,880,419.26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其他生产软件服务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539,580.92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375,993.49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163,587.43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63,696,023.33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33,089,110.80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25,923,198.90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70,861,935.23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18、递延所得税资产/递延所得税负债" w:id="266"/>
      <w:bookmarkEnd w:id="266"/>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未经抵销的递延所得税资产" w:id="267"/>
      <w:bookmarkEnd w:id="2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3,842,799.80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703,197.14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188,772.67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24,679.95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20,040,814.12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3,158,548.63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20,922,787.03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4,316,861.50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6,403,515.67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818,739.85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716,250.00</w:t>
            </w: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计提未支付工资及费用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3,282,112.95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1,214,381.82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未实现汇兑损失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1,553,399.90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574,757.96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1,614,845.36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201,855.67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36,737,487.80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6,671,481.07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26,841,559.70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5,057,791.45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未经抵销的递延所得税负债" w:id="268"/>
      <w:bookmarkEnd w:id="26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加速折旧固定资产暂时 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16,874,461.63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6,243,550.81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待摊通讯成本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130,673.70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48,349.27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待摊广告费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395,365.30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146,285.16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预付其他费用（待摊）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363,392.90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134,455.38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17,763,893.53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6,572,640.62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以抵销后净额列示的递延所得税资产或负债" w:id="269"/>
      <w:bookmarkEnd w:id="26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4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6,671,481.07</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5,057,791.45</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34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6,572,640.62</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r>
      <w:tr>
        <w:trPr>
          <w:trHeight w:val="391"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未确认递延所得税资产明细" w:id="270"/>
      <w:bookmarkEnd w:id="27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25,697,217.02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42,419,661.23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36,092,852.40</w:t>
            </w:r>
          </w:p>
        </w:tc>
      </w:tr>
      <w:tr>
        <w:trPr>
          <w:trHeight w:val="107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68,116,878.25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36,092,852.40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未确认递延所得税资产的可抵扣亏损将于以下年度到期" w:id="271"/>
      <w:bookmarkEnd w:id="27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-12,403,104.61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-12,403,104.61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母公司可抵扣亏损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-23,689,747.79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-23,689,747.79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母公司可抵扣亏损</w:t>
            </w:r>
          </w:p>
        </w:tc>
      </w:tr>
      <w:tr>
        <w:trPr>
          <w:trHeight w:val="107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-6,326,808.83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母公司可抵扣亏损</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-42,419,661.23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-36,092,852.40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302" w:lineRule="auto" w:before="44"/>
        <w:ind w:left="154" w:right="1033" w:firstLine="420"/>
        <w:jc w:val="left"/>
      </w:pPr>
      <w:r>
        <w:rPr>
          <w:rFonts w:ascii="Times New Roman" w:hAnsi="Times New Roman" w:cs="Times New Roman" w:eastAsia="Times New Roman" w:hint="default"/>
          <w:spacing w:val="-3"/>
        </w:rPr>
        <w:t>*1</w:t>
      </w:r>
      <w:r>
        <w:rPr>
          <w:spacing w:val="-3"/>
        </w:rPr>
        <w:t>依本公司经营策略，母公司相关生产经营业务已转至各全资子公司，预计未来几年不会产生可抵补的应纳税所得额，</w:t>
      </w:r>
      <w:r>
        <w:rPr/>
        <w:t> 因此不再确认可抵扣亏损对递延所得税资产的影响。</w:t>
      </w:r>
    </w:p>
    <w:p>
      <w:pPr>
        <w:spacing w:line="240" w:lineRule="auto" w:before="2"/>
        <w:rPr>
          <w:rFonts w:ascii="宋体" w:hAnsi="宋体" w:cs="宋体" w:eastAsia="宋体" w:hint="default"/>
          <w:sz w:val="23"/>
          <w:szCs w:val="23"/>
        </w:rPr>
      </w:pPr>
    </w:p>
    <w:p>
      <w:pPr>
        <w:pStyle w:val="Heading4"/>
        <w:spacing w:line="240" w:lineRule="auto"/>
        <w:ind w:right="1033"/>
        <w:jc w:val="left"/>
        <w:rPr>
          <w:b w:val="0"/>
          <w:bCs w:val="0"/>
        </w:rPr>
      </w:pPr>
      <w:bookmarkStart w:name="19、其他非流动资产" w:id="272"/>
      <w:bookmarkEnd w:id="272"/>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购买机器设备预付款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226,187.36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07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226,187.36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0、应付账款" w:id="273"/>
      <w:bookmarkEnd w:id="273"/>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付账款列示" w:id="274"/>
      <w:bookmarkEnd w:id="27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应付带宽、运营费用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29,964,315.41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21,830,227.41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2,469,944.45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3,885,357.69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应付市场费用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1,983,326.93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1,027,309.48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8,092,441.44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139,998.00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4,590,189.81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1,281,516.55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47,100,218.04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28,164,409.13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本公司无账龄超过1年的重要应付账款" w:id="275"/>
      <w:bookmarkEnd w:id="275"/>
      <w:r>
        <w:rPr>
          <w:b w:val="0"/>
          <w:bCs w:val="0"/>
        </w:rPr>
      </w:r>
      <w:r>
        <w:rPr/>
        <w:t>（</w:t>
      </w:r>
      <w:r>
        <w:rPr>
          <w:rFonts w:ascii="Times New Roman" w:hAnsi="Times New Roman" w:cs="Times New Roman" w:eastAsia="Times New Roman" w:hint="default"/>
        </w:rPr>
        <w:t>2</w:t>
      </w:r>
      <w:r>
        <w:rPr/>
        <w:t>）本公司无账龄超过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21、预收款项" w:id="276"/>
      <w:bookmarkEnd w:id="27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预收款项列示" w:id="277"/>
      <w:bookmarkEnd w:id="27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192,747,860.34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171,017,750.10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192,747,860.34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171,017,750.10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本公司无账龄超过1年的重要预收款项" w:id="278"/>
      <w:bookmarkEnd w:id="278"/>
      <w:r>
        <w:rPr>
          <w:b w:val="0"/>
          <w:bCs w:val="0"/>
        </w:rPr>
      </w:r>
      <w:r>
        <w:rPr/>
        <w:t>（</w:t>
      </w:r>
      <w:r>
        <w:rPr>
          <w:rFonts w:ascii="Times New Roman" w:hAnsi="Times New Roman" w:cs="Times New Roman" w:eastAsia="Times New Roman" w:hint="default"/>
        </w:rPr>
        <w:t>2</w:t>
      </w:r>
      <w:r>
        <w:rPr/>
        <w:t>）本公司无账龄超过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22、应付职工薪酬" w:id="279"/>
      <w:bookmarkEnd w:id="279"/>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付职工薪酬列示" w:id="280"/>
      <w:bookmarkEnd w:id="28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20,350,327.71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223,385,058.04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219,182,312.81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24,553,072.94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1,283,696.22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21,962,933.35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21,808,900.80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1,437,728.77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1,951,585.89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1,906,172.10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45,413.79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21,634,023.93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247,299,577.28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242,897,385.707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26,036,215.50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短期薪酬列示" w:id="281"/>
      <w:bookmarkEnd w:id="28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8" w:right="0"/>
              <w:jc w:val="left"/>
              <w:rPr>
                <w:rFonts w:ascii="Times New Roman" w:hAnsi="Times New Roman" w:cs="Times New Roman" w:eastAsia="Times New Roman" w:hint="default"/>
                <w:sz w:val="18"/>
                <w:szCs w:val="18"/>
              </w:rPr>
            </w:pPr>
            <w:r>
              <w:rPr>
                <w:rFonts w:ascii="Times New Roman"/>
                <w:sz w:val="18"/>
              </w:rPr>
              <w:t>19,653,715.54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199,409,886.35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195,586,492.90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23,477,108.99</w:t>
            </w:r>
          </w:p>
        </w:tc>
      </w:tr>
      <w:tr>
        <w:trPr>
          <w:trHeight w:val="340"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2,558,204.08</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2,542,067.01</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sz w:val="18"/>
              </w:rPr>
              <w:t>16,137.07</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630,939.46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10,860,301.04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10,517,191.62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974,048.88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563,447.20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9,417,495.54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9,362,148.08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618,794.66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32,456.45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709,918.87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412,761.63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329,613.69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732,886.63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742,281.91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25,640.53</w:t>
            </w: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10,538,098.57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10,514,150.57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85,778.00</w:t>
            </w:r>
          </w:p>
        </w:tc>
      </w:tr>
      <w:tr>
        <w:trPr>
          <w:trHeight w:val="107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02"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22,201.25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20,350,327.71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223,385,058.04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219,182,312.81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24,553,072.94</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设定提存计划列示" w:id="282"/>
      <w:bookmarkEnd w:id="28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1,231,046.77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20,609,147.31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20,463,481.25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1,376,712.83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52,649.45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1,353,786.04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1,345,419.55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61,015.94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70"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1,283,696.22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21,962,933.35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21,808,900.80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1,437,728.77</w:t>
            </w:r>
          </w:p>
        </w:tc>
      </w:tr>
    </w:tbl>
    <w:p>
      <w:pPr>
        <w:pStyle w:val="BodyText"/>
        <w:spacing w:line="240" w:lineRule="auto" w:before="51"/>
        <w:ind w:left="574" w:right="1033"/>
        <w:jc w:val="left"/>
      </w:pPr>
      <w:r>
        <w:rPr>
          <w:color w:val="0D0D0D"/>
        </w:rPr>
        <w:t>期末应付职工薪酬主要系</w:t>
      </w:r>
      <w:r>
        <w:rPr>
          <w:rFonts w:ascii="Times New Roman" w:hAnsi="Times New Roman" w:cs="Times New Roman" w:eastAsia="Times New Roman" w:hint="default"/>
          <w:color w:val="0D0D0D"/>
        </w:rPr>
        <w:t>12</w:t>
      </w:r>
      <w:r>
        <w:rPr>
          <w:color w:val="0D0D0D"/>
        </w:rPr>
        <w:t>月工资及年终奖，无属于拖欠性质的金额。</w:t>
      </w:r>
      <w:r>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3、应交税费" w:id="283"/>
      <w:bookmarkEnd w:id="283"/>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2,248,103.77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197,214.28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13,630.15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965,606.40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3,035,929.37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1,707,212.58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862,248.91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47,147.70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19,810.38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46,367.58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14,884.33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1,184,787.84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1,034,722.90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-17,942.22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-18,258.45</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-555,688.54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-480,896.33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澳洲销售税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-42,178.38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5,597,003.84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4,686,352.63</w:t>
            </w: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24、其他应付款" w:id="284"/>
      <w:bookmarkEnd w:id="284"/>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按款项性质列示其他应付款" w:id="285"/>
      <w:bookmarkEnd w:id="28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25,927,642.36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4,119,640.41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3,751,818.56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1,337,459.96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871,369.19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964,856.93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494,741.66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470,617.11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3,473,769.71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1,694,969.45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138,666,249.47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34,147,364.37</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本公司无账龄超过1年的重要其他应付款" w:id="286"/>
      <w:bookmarkEnd w:id="286"/>
      <w:r>
        <w:rPr>
          <w:b w:val="0"/>
          <w:bCs w:val="0"/>
        </w:rPr>
      </w:r>
      <w:r>
        <w:rPr/>
        <w:t>（</w:t>
      </w:r>
      <w:r>
        <w:rPr>
          <w:rFonts w:ascii="Times New Roman" w:hAnsi="Times New Roman" w:cs="Times New Roman" w:eastAsia="Times New Roman" w:hint="default"/>
        </w:rPr>
        <w:t>2</w:t>
      </w:r>
      <w:r>
        <w:rPr/>
        <w:t>）本公司无账龄超过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4"/>
        <w:jc w:val="both"/>
      </w:pPr>
      <w:r>
        <w:rPr>
          <w:color w:val="0D0D0D"/>
        </w:rPr>
        <w:t>其他应付款余额期末比期初增加较多系其他应付款余额期末比期初增加较多系本公司根据证监会财政部的相关要求， </w:t>
      </w:r>
      <w:r>
        <w:rPr>
          <w:color w:val="0D0D0D"/>
          <w:spacing w:val="-2"/>
        </w:rPr>
        <w:t>将尚未达到限制性股票解锁条件而可能会回购的股票，按照应支付的金额确认为负债而确认的限制性股票回购义务金额较大</w:t>
      </w:r>
      <w:r>
        <w:rPr>
          <w:color w:val="0D0D0D"/>
          <w:spacing w:val="-64"/>
        </w:rPr>
        <w:t> </w:t>
      </w:r>
      <w:r>
        <w:rPr>
          <w:color w:val="0D0D0D"/>
          <w:spacing w:val="-64"/>
        </w:rPr>
      </w:r>
      <w:r>
        <w:rPr>
          <w:color w:val="0D0D0D"/>
        </w:rPr>
        <w:t>所致。</w:t>
      </w:r>
      <w:r>
        <w:rPr/>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5、递延收益" w:id="287"/>
      <w:bookmarkEnd w:id="287"/>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40"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7,662,015.67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400,000.00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1,658,500.00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6,403,515.67</w:t>
            </w:r>
          </w:p>
        </w:tc>
        <w:tc>
          <w:tcPr>
            <w:tcW w:w="1595" w:type="dxa"/>
            <w:vMerge w:val="restart"/>
            <w:tcBorders>
              <w:top w:val="single" w:sz="4" w:space="0" w:color="000000"/>
              <w:left w:val="single" w:sz="4" w:space="0" w:color="000000"/>
              <w:right w:val="single" w:sz="4" w:space="0" w:color="000000"/>
            </w:tcBorders>
          </w:tcPr>
          <w:p>
            <w:pP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40"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7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7,662,015.67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1,658,500.00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6,403,515.67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33"/>
        <w:jc w:val="left"/>
      </w:pPr>
      <w:r>
        <w:rPr/>
        <w:t>涉及政府补助的项目：</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7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02" w:lineRule="auto"/>
              <w:ind w:left="22" w:right="279"/>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云通信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7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4"/>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移动数据虚拟 专用网服务平 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1,932,015.67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1,819,515.67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7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7,662,015.67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6,403,515.67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1"/>
        <w:ind w:right="1033" w:firstLine="363"/>
        <w:jc w:val="left"/>
      </w:pPr>
      <w:r>
        <w:rPr>
          <w:color w:val="0D0D0D"/>
        </w:rPr>
        <w:t>（</w:t>
      </w:r>
      <w:r>
        <w:rPr>
          <w:rFonts w:ascii="Times New Roman" w:hAnsi="Times New Roman" w:cs="Times New Roman" w:eastAsia="Times New Roman" w:hint="default"/>
          <w:color w:val="0D0D0D"/>
        </w:rPr>
        <w:t>1</w:t>
      </w:r>
      <w:r>
        <w:rPr>
          <w:color w:val="0D0D0D"/>
        </w:rPr>
        <w:t>）</w:t>
      </w:r>
      <w:r>
        <w:rPr>
          <w:rFonts w:ascii="Times New Roman" w:hAnsi="Times New Roman" w:cs="Times New Roman" w:eastAsia="Times New Roman" w:hint="default"/>
          <w:color w:val="0D0D0D"/>
        </w:rPr>
        <w:t>“263</w:t>
      </w:r>
      <w:r>
        <w:rPr>
          <w:color w:val="0D0D0D"/>
        </w:rPr>
        <w:t>云通信项目</w:t>
      </w:r>
      <w:r>
        <w:rPr>
          <w:rFonts w:ascii="Times New Roman" w:hAnsi="Times New Roman" w:cs="Times New Roman" w:eastAsia="Times New Roman" w:hint="default"/>
          <w:color w:val="0D0D0D"/>
        </w:rPr>
        <w:t>”</w:t>
      </w:r>
      <w:r>
        <w:rPr>
          <w:color w:val="0D0D0D"/>
        </w:rPr>
        <w:t>根据北京市财政局关于下达</w:t>
      </w:r>
      <w:r>
        <w:rPr>
          <w:rFonts w:ascii="Times New Roman" w:hAnsi="Times New Roman" w:cs="Times New Roman" w:eastAsia="Times New Roman" w:hint="default"/>
          <w:color w:val="0D0D0D"/>
        </w:rPr>
        <w:t>2013</w:t>
      </w:r>
      <w:r>
        <w:rPr>
          <w:color w:val="0D0D0D"/>
        </w:rPr>
        <w:t>年中关村现代服务业试点项目财政补助资金预算的函，本公司 </w:t>
      </w:r>
      <w:r>
        <w:rPr>
          <w:rFonts w:ascii="Times New Roman" w:hAnsi="Times New Roman" w:cs="Times New Roman" w:eastAsia="Times New Roman" w:hint="default"/>
          <w:color w:val="0D0D0D"/>
          <w:spacing w:val="-3"/>
          <w:w w:val="100"/>
        </w:rPr>
        <w:t>2014</w:t>
      </w:r>
      <w:r>
        <w:rPr>
          <w:color w:val="0D0D0D"/>
          <w:spacing w:val="-3"/>
          <w:w w:val="100"/>
        </w:rPr>
        <w:t>年收到</w:t>
      </w:r>
      <w:r>
        <w:rPr>
          <w:rFonts w:ascii="Times New Roman" w:hAnsi="Times New Roman" w:cs="Times New Roman" w:eastAsia="Times New Roman" w:hint="default"/>
          <w:color w:val="0D0D0D"/>
          <w:spacing w:val="-3"/>
          <w:w w:val="100"/>
        </w:rPr>
        <w:t>573</w:t>
      </w:r>
      <w:r>
        <w:rPr>
          <w:color w:val="0D0D0D"/>
          <w:spacing w:val="-3"/>
          <w:w w:val="100"/>
        </w:rPr>
        <w:t>万元的拨款补助。该拨款专项用于</w:t>
      </w:r>
      <w:r>
        <w:rPr>
          <w:rFonts w:ascii="Times New Roman" w:hAnsi="Times New Roman" w:cs="Times New Roman" w:eastAsia="Times New Roman" w:hint="default"/>
          <w:color w:val="0D0D0D"/>
          <w:spacing w:val="-3"/>
          <w:w w:val="100"/>
        </w:rPr>
        <w:t>“263</w:t>
      </w:r>
      <w:r>
        <w:rPr>
          <w:color w:val="0D0D0D"/>
          <w:spacing w:val="-3"/>
          <w:w w:val="100"/>
        </w:rPr>
        <w:t>云通信</w:t>
      </w:r>
      <w:r>
        <w:rPr>
          <w:rFonts w:ascii="Times New Roman" w:hAnsi="Times New Roman" w:cs="Times New Roman" w:eastAsia="Times New Roman" w:hint="default"/>
          <w:color w:val="0D0D0D"/>
          <w:spacing w:val="-3"/>
          <w:w w:val="100"/>
        </w:rPr>
        <w:t>”</w:t>
      </w:r>
      <w:r>
        <w:rPr>
          <w:color w:val="0D0D0D"/>
          <w:spacing w:val="-3"/>
          <w:w w:val="100"/>
        </w:rPr>
        <w:t>企业通信云服务平台的建设与推广，项目已于</w:t>
      </w:r>
      <w:r>
        <w:rPr>
          <w:rFonts w:ascii="Times New Roman" w:hAnsi="Times New Roman" w:cs="Times New Roman" w:eastAsia="Times New Roman" w:hint="default"/>
          <w:color w:val="0D0D0D"/>
          <w:spacing w:val="-3"/>
          <w:w w:val="100"/>
        </w:rPr>
        <w:t>2015</w:t>
      </w:r>
      <w:r>
        <w:rPr>
          <w:color w:val="0D0D0D"/>
          <w:spacing w:val="-3"/>
          <w:w w:val="100"/>
        </w:rPr>
        <w:t>年完成验收，</w:t>
      </w:r>
      <w:r>
        <w:rPr>
          <w:color w:val="0D0D0D"/>
          <w:spacing w:val="-54"/>
          <w:w w:val="100"/>
        </w:rPr>
        <w:t> </w:t>
      </w:r>
      <w:r>
        <w:rPr>
          <w:color w:val="0D0D0D"/>
        </w:rPr>
        <w:t>按照所购买的资产使用年限分期计入营业外收入。</w:t>
      </w:r>
      <w:r>
        <w:rPr/>
      </w:r>
    </w:p>
    <w:p>
      <w:pPr>
        <w:pStyle w:val="BodyText"/>
        <w:spacing w:line="300" w:lineRule="auto" w:before="70"/>
        <w:ind w:right="1132" w:firstLine="363"/>
        <w:jc w:val="both"/>
      </w:pPr>
      <w:r>
        <w:rPr>
          <w:color w:val="0D0D0D"/>
          <w:spacing w:val="-1"/>
        </w:rPr>
        <w:t>（</w:t>
      </w:r>
      <w:r>
        <w:rPr>
          <w:rFonts w:ascii="Times New Roman" w:hAnsi="Times New Roman" w:cs="Times New Roman" w:eastAsia="Times New Roman" w:hint="default"/>
          <w:color w:val="0D0D0D"/>
          <w:spacing w:val="-1"/>
        </w:rPr>
        <w:t>2</w:t>
      </w:r>
      <w:r>
        <w:rPr>
          <w:color w:val="0D0D0D"/>
          <w:spacing w:val="-1"/>
        </w:rPr>
        <w:t>）</w:t>
      </w:r>
      <w:r>
        <w:rPr>
          <w:rFonts w:ascii="Times New Roman" w:hAnsi="Times New Roman" w:cs="Times New Roman" w:eastAsia="Times New Roman" w:hint="default"/>
          <w:color w:val="0D0D0D"/>
          <w:spacing w:val="-1"/>
        </w:rPr>
        <w:t>“</w:t>
      </w:r>
      <w:r>
        <w:rPr>
          <w:color w:val="0D0D0D"/>
          <w:spacing w:val="-1"/>
        </w:rPr>
        <w:t>移动数据虚拟专用网络服务平台</w:t>
      </w:r>
      <w:r>
        <w:rPr>
          <w:rFonts w:ascii="Times New Roman" w:hAnsi="Times New Roman" w:cs="Times New Roman" w:eastAsia="Times New Roman" w:hint="default"/>
          <w:color w:val="0D0D0D"/>
          <w:spacing w:val="-1"/>
        </w:rPr>
        <w:t>”</w:t>
      </w:r>
      <w:r>
        <w:rPr>
          <w:color w:val="0D0D0D"/>
          <w:spacing w:val="-1"/>
        </w:rPr>
        <w:t>：根据沪发改服务</w:t>
      </w:r>
      <w:r>
        <w:rPr>
          <w:rFonts w:ascii="Times New Roman" w:hAnsi="Times New Roman" w:cs="Times New Roman" w:eastAsia="Times New Roman" w:hint="default"/>
          <w:color w:val="0D0D0D"/>
          <w:spacing w:val="-1"/>
        </w:rPr>
        <w:t>[2014]8</w:t>
      </w:r>
      <w:r>
        <w:rPr>
          <w:color w:val="0D0D0D"/>
          <w:spacing w:val="-1"/>
        </w:rPr>
        <w:t>号《关于下达</w:t>
      </w:r>
      <w:r>
        <w:rPr>
          <w:rFonts w:ascii="Times New Roman" w:hAnsi="Times New Roman" w:cs="Times New Roman" w:eastAsia="Times New Roman" w:hint="default"/>
          <w:color w:val="0D0D0D"/>
          <w:spacing w:val="-1"/>
        </w:rPr>
        <w:t>2014</w:t>
      </w:r>
      <w:r>
        <w:rPr>
          <w:color w:val="0D0D0D"/>
          <w:spacing w:val="-1"/>
        </w:rPr>
        <w:t>年第一批上海市服务业发展引导资</w:t>
      </w:r>
      <w:r>
        <w:rPr>
          <w:color w:val="0D0D0D"/>
        </w:rPr>
        <w:t> 金计划的通知》，以及</w:t>
      </w:r>
      <w:r>
        <w:rPr>
          <w:rFonts w:ascii="Times New Roman" w:hAnsi="Times New Roman" w:cs="Times New Roman" w:eastAsia="Times New Roman" w:hint="default"/>
          <w:color w:val="0D0D0D"/>
        </w:rPr>
        <w:t>2014-09</w:t>
      </w:r>
      <w:r>
        <w:rPr>
          <w:color w:val="0D0D0D"/>
        </w:rPr>
        <w:t>《虹口区服务业发展引导资金扶持项目协议书》的规定：上海市虹口区发展和改革委员会、 上海市财政局分别拨付</w:t>
      </w:r>
      <w:r>
        <w:rPr>
          <w:rFonts w:ascii="Times New Roman" w:hAnsi="Times New Roman" w:cs="Times New Roman" w:eastAsia="Times New Roman" w:hint="default"/>
          <w:color w:val="0D0D0D"/>
        </w:rPr>
        <w:t>200</w:t>
      </w:r>
      <w:r>
        <w:rPr>
          <w:color w:val="0D0D0D"/>
        </w:rPr>
        <w:t>万元用于子公司上海通信公司的</w:t>
      </w:r>
      <w:r>
        <w:rPr>
          <w:rFonts w:ascii="Times New Roman" w:hAnsi="Times New Roman" w:cs="Times New Roman" w:eastAsia="Times New Roman" w:hint="default"/>
          <w:color w:val="0D0D0D"/>
        </w:rPr>
        <w:t>“</w:t>
      </w:r>
      <w:r>
        <w:rPr>
          <w:color w:val="0D0D0D"/>
        </w:rPr>
        <w:t>移动数据虚拟专用网络服务平台</w:t>
      </w:r>
      <w:r>
        <w:rPr>
          <w:rFonts w:ascii="Times New Roman" w:hAnsi="Times New Roman" w:cs="Times New Roman" w:eastAsia="Times New Roman" w:hint="default"/>
          <w:color w:val="0D0D0D"/>
        </w:rPr>
        <w:t>”</w:t>
      </w:r>
      <w:r>
        <w:rPr>
          <w:color w:val="0D0D0D"/>
        </w:rPr>
        <w:t>项目的建设。上海通信公司分 别于</w:t>
      </w:r>
      <w:r>
        <w:rPr>
          <w:rFonts w:ascii="Times New Roman" w:hAnsi="Times New Roman" w:cs="Times New Roman" w:eastAsia="Times New Roman" w:hint="default"/>
          <w:color w:val="0D0D0D"/>
        </w:rPr>
        <w:t>2014</w:t>
      </w:r>
      <w:r>
        <w:rPr>
          <w:color w:val="0D0D0D"/>
        </w:rPr>
        <w:t>年度、</w:t>
      </w:r>
      <w:r>
        <w:rPr>
          <w:rFonts w:ascii="Times New Roman" w:hAnsi="Times New Roman" w:cs="Times New Roman" w:eastAsia="Times New Roman" w:hint="default"/>
          <w:color w:val="0D0D0D"/>
        </w:rPr>
        <w:t>2015</w:t>
      </w:r>
      <w:r>
        <w:rPr>
          <w:color w:val="0D0D0D"/>
        </w:rPr>
        <w:t>年度共收到</w:t>
      </w:r>
      <w:r>
        <w:rPr>
          <w:rFonts w:ascii="Times New Roman" w:hAnsi="Times New Roman" w:cs="Times New Roman" w:eastAsia="Times New Roman" w:hint="default"/>
          <w:color w:val="0D0D0D"/>
        </w:rPr>
        <w:t>360</w:t>
      </w:r>
      <w:r>
        <w:rPr>
          <w:color w:val="0D0D0D"/>
        </w:rPr>
        <w:t>万元、</w:t>
      </w:r>
      <w:r>
        <w:rPr>
          <w:rFonts w:ascii="Times New Roman" w:hAnsi="Times New Roman" w:cs="Times New Roman" w:eastAsia="Times New Roman" w:hint="default"/>
          <w:color w:val="0D0D0D"/>
        </w:rPr>
        <w:t>40</w:t>
      </w:r>
      <w:r>
        <w:rPr>
          <w:color w:val="0D0D0D"/>
        </w:rPr>
        <w:t>万元补助款</w:t>
      </w:r>
      <w:r>
        <w:rPr>
          <w:rFonts w:ascii="Times New Roman" w:hAnsi="Times New Roman" w:cs="Times New Roman" w:eastAsia="Times New Roman" w:hint="default"/>
          <w:color w:val="0D0D0D"/>
        </w:rPr>
        <w:t>:</w:t>
      </w:r>
      <w:r>
        <w:rPr>
          <w:color w:val="0D0D0D"/>
        </w:rPr>
        <w:t>其中</w:t>
      </w:r>
      <w:r>
        <w:rPr>
          <w:rFonts w:ascii="Times New Roman" w:hAnsi="Times New Roman" w:cs="Times New Roman" w:eastAsia="Times New Roman" w:hint="default"/>
          <w:color w:val="0D0D0D"/>
        </w:rPr>
        <w:t>2014</w:t>
      </w:r>
      <w:r>
        <w:rPr>
          <w:color w:val="0D0D0D"/>
        </w:rPr>
        <w:t>年度收到的</w:t>
      </w:r>
      <w:r>
        <w:rPr>
          <w:rFonts w:ascii="Times New Roman" w:hAnsi="Times New Roman" w:cs="Times New Roman" w:eastAsia="Times New Roman" w:hint="default"/>
          <w:color w:val="0D0D0D"/>
        </w:rPr>
        <w:t>160</w:t>
      </w:r>
      <w:r>
        <w:rPr>
          <w:color w:val="0D0D0D"/>
        </w:rPr>
        <w:t>万元以及</w:t>
      </w:r>
      <w:r>
        <w:rPr>
          <w:rFonts w:ascii="Times New Roman" w:hAnsi="Times New Roman" w:cs="Times New Roman" w:eastAsia="Times New Roman" w:hint="default"/>
          <w:color w:val="0D0D0D"/>
        </w:rPr>
        <w:t>2015</w:t>
      </w:r>
      <w:r>
        <w:rPr>
          <w:color w:val="0D0D0D"/>
        </w:rPr>
        <w:t>年度收到的</w:t>
      </w:r>
      <w:r>
        <w:rPr>
          <w:rFonts w:ascii="Times New Roman" w:hAnsi="Times New Roman" w:cs="Times New Roman" w:eastAsia="Times New Roman" w:hint="default"/>
          <w:color w:val="0D0D0D"/>
        </w:rPr>
        <w:t>40</w:t>
      </w:r>
      <w:r>
        <w:rPr>
          <w:color w:val="0D0D0D"/>
        </w:rPr>
        <w:t>万元用于补偿 已发生的相关费用，上海通信公司已计入</w:t>
      </w:r>
      <w:r>
        <w:rPr>
          <w:rFonts w:ascii="Times New Roman" w:hAnsi="Times New Roman" w:cs="Times New Roman" w:eastAsia="Times New Roman" w:hint="default"/>
          <w:color w:val="0D0D0D"/>
        </w:rPr>
        <w:t>2014</w:t>
      </w:r>
      <w:r>
        <w:rPr>
          <w:color w:val="0D0D0D"/>
        </w:rPr>
        <w:t>年度、</w:t>
      </w:r>
      <w:r>
        <w:rPr>
          <w:rFonts w:ascii="Times New Roman" w:hAnsi="Times New Roman" w:cs="Times New Roman" w:eastAsia="Times New Roman" w:hint="default"/>
          <w:color w:val="0D0D0D"/>
        </w:rPr>
        <w:t>2015</w:t>
      </w:r>
      <w:r>
        <w:rPr>
          <w:color w:val="0D0D0D"/>
        </w:rPr>
        <w:t>年度营业外收入，</w:t>
      </w:r>
      <w:r>
        <w:rPr>
          <w:rFonts w:ascii="Times New Roman" w:hAnsi="Times New Roman" w:cs="Times New Roman" w:eastAsia="Times New Roman" w:hint="default"/>
          <w:color w:val="0D0D0D"/>
        </w:rPr>
        <w:t>200</w:t>
      </w:r>
      <w:r>
        <w:rPr>
          <w:color w:val="0D0D0D"/>
        </w:rPr>
        <w:t>万元用于设备的购买，按照所购买的资产使 用年限分期计入营业外收入。</w:t>
      </w:r>
      <w:r>
        <w:rPr/>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6、股本" w:id="288"/>
      <w:bookmarkEnd w:id="288"/>
      <w:r>
        <w:rPr>
          <w:b w:val="0"/>
          <w:bCs w:val="0"/>
        </w:rPr>
      </w:r>
      <w:r>
        <w:rPr>
          <w:rFonts w:ascii="Times New Roman" w:hAnsi="Times New Roman" w:cs="Times New Roman" w:eastAsia="Times New Roman" w:hint="default"/>
        </w:rPr>
        <w:t>26</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0"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482,493,802.00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75,062,220.00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241,119,391.00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-255,020.00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315,926,591.00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798,420,393.00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340"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股本变动情况说明详见：财务报告三、公司基本情况所述。</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7、资本公积" w:id="289"/>
      <w:bookmarkEnd w:id="289"/>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343,359,899.36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785,771,140.26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241,119,391.00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888,011,648.62</w:t>
            </w:r>
          </w:p>
        </w:tc>
      </w:tr>
      <w:tr>
        <w:trPr>
          <w:trHeight w:val="34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6,527,756.53</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1,393,198.98</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7,920,955.51</w:t>
            </w:r>
          </w:p>
        </w:tc>
      </w:tr>
      <w:tr>
        <w:trPr>
          <w:trHeight w:val="391"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1071"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349,887,655.89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787,164,339.24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241,119,391.00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895,932,604.13</w:t>
            </w:r>
          </w:p>
        </w:tc>
      </w:tr>
    </w:tbl>
    <w:p>
      <w:pPr>
        <w:pStyle w:val="BodyText"/>
        <w:spacing w:line="240" w:lineRule="auto" w:before="51"/>
        <w:ind w:left="574" w:right="1033"/>
        <w:jc w:val="left"/>
      </w:pPr>
      <w:r>
        <w:rPr>
          <w:color w:val="0D0D0D"/>
        </w:rPr>
        <w:t>（</w:t>
      </w:r>
      <w:r>
        <w:rPr>
          <w:rFonts w:ascii="Times New Roman" w:hAnsi="Times New Roman" w:cs="Times New Roman" w:eastAsia="Times New Roman" w:hint="default"/>
          <w:color w:val="0D0D0D"/>
        </w:rPr>
        <w:t>1</w:t>
      </w:r>
      <w:r>
        <w:rPr>
          <w:color w:val="0D0D0D"/>
        </w:rPr>
        <w:t>）股本溢价本年增减主要系</w:t>
      </w:r>
      <w:r>
        <w:rPr/>
      </w:r>
    </w:p>
    <w:p>
      <w:pPr>
        <w:spacing w:line="240" w:lineRule="auto" w:before="12"/>
        <w:rPr>
          <w:rFonts w:ascii="宋体" w:hAnsi="宋体" w:cs="宋体" w:eastAsia="宋体" w:hint="default"/>
          <w:sz w:val="13"/>
          <w:szCs w:val="13"/>
        </w:rPr>
      </w:pPr>
    </w:p>
    <w:p>
      <w:pPr>
        <w:pStyle w:val="BodyText"/>
        <w:spacing w:line="300" w:lineRule="auto"/>
        <w:ind w:right="1153" w:firstLine="420"/>
        <w:jc w:val="left"/>
      </w:pPr>
      <w:r>
        <w:rPr>
          <w:rFonts w:ascii="Times New Roman" w:hAnsi="Times New Roman" w:cs="Times New Roman" w:eastAsia="Times New Roman" w:hint="default"/>
          <w:color w:val="0D0D0D"/>
        </w:rPr>
        <w:t>1</w:t>
      </w:r>
      <w:r>
        <w:rPr>
          <w:color w:val="0D0D0D"/>
        </w:rPr>
        <w:t>）</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4</w:t>
      </w:r>
      <w:r>
        <w:rPr>
          <w:color w:val="0D0D0D"/>
        </w:rPr>
        <w:t>月</w:t>
      </w:r>
      <w:r>
        <w:rPr>
          <w:rFonts w:ascii="Times New Roman" w:hAnsi="Times New Roman" w:cs="Times New Roman" w:eastAsia="Times New Roman" w:hint="default"/>
          <w:color w:val="0D0D0D"/>
        </w:rPr>
        <w:t>21</w:t>
      </w:r>
      <w:r>
        <w:rPr>
          <w:color w:val="0D0D0D"/>
        </w:rPr>
        <w:t>日，本公司</w:t>
      </w:r>
      <w:r>
        <w:rPr>
          <w:rFonts w:ascii="Times New Roman" w:hAnsi="Times New Roman" w:cs="Times New Roman" w:eastAsia="Times New Roman" w:hint="default"/>
          <w:color w:val="0D0D0D"/>
        </w:rPr>
        <w:t>2014</w:t>
      </w:r>
      <w:r>
        <w:rPr>
          <w:color w:val="0D0D0D"/>
        </w:rPr>
        <w:t>年年度股东大会审议通过《</w:t>
      </w:r>
      <w:r>
        <w:rPr>
          <w:rFonts w:ascii="Times New Roman" w:hAnsi="Times New Roman" w:cs="Times New Roman" w:eastAsia="Times New Roman" w:hint="default"/>
          <w:color w:val="0D0D0D"/>
        </w:rPr>
        <w:t>2014</w:t>
      </w:r>
      <w:r>
        <w:rPr>
          <w:color w:val="0D0D0D"/>
        </w:rPr>
        <w:t>年度利润分配及资本公积金转增股本方案》的规定， 公司以截至</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12</w:t>
      </w:r>
      <w:r>
        <w:rPr>
          <w:color w:val="0D0D0D"/>
        </w:rPr>
        <w:t>日的总股本</w:t>
      </w:r>
      <w:r>
        <w:rPr>
          <w:rFonts w:ascii="Times New Roman" w:hAnsi="Times New Roman" w:cs="Times New Roman" w:eastAsia="Times New Roman" w:hint="default"/>
          <w:color w:val="0D0D0D"/>
        </w:rPr>
        <w:t>482,238,782</w:t>
      </w:r>
      <w:r>
        <w:rPr>
          <w:color w:val="0D0D0D"/>
        </w:rPr>
        <w:t>股为基数，以资本公积金向全体股东每</w:t>
      </w:r>
      <w:r>
        <w:rPr>
          <w:rFonts w:ascii="Times New Roman" w:hAnsi="Times New Roman" w:cs="Times New Roman" w:eastAsia="Times New Roman" w:hint="default"/>
          <w:color w:val="0D0D0D"/>
        </w:rPr>
        <w:t>10</w:t>
      </w:r>
      <w:r>
        <w:rPr>
          <w:color w:val="0D0D0D"/>
        </w:rPr>
        <w:t>股转增</w:t>
      </w:r>
      <w:r>
        <w:rPr>
          <w:rFonts w:ascii="Times New Roman" w:hAnsi="Times New Roman" w:cs="Times New Roman" w:eastAsia="Times New Roman" w:hint="default"/>
          <w:color w:val="0D0D0D"/>
        </w:rPr>
        <w:t>5</w:t>
      </w:r>
      <w:r>
        <w:rPr>
          <w:color w:val="0D0D0D"/>
        </w:rPr>
        <w:t>股，共计转增注册资本 </w:t>
      </w:r>
      <w:r>
        <w:rPr>
          <w:rFonts w:ascii="Times New Roman" w:hAnsi="Times New Roman" w:cs="Times New Roman" w:eastAsia="Times New Roman" w:hint="default"/>
          <w:color w:val="0D0D0D"/>
        </w:rPr>
        <w:t>241,119,391.00</w:t>
      </w:r>
      <w:r>
        <w:rPr>
          <w:color w:val="0D0D0D"/>
        </w:rPr>
        <w:t>元。</w:t>
      </w:r>
      <w:r>
        <w:rPr/>
      </w:r>
    </w:p>
    <w:p>
      <w:pPr>
        <w:pStyle w:val="BodyText"/>
        <w:spacing w:line="300" w:lineRule="auto" w:before="51"/>
        <w:ind w:right="1132" w:firstLine="420"/>
        <w:jc w:val="both"/>
      </w:pPr>
      <w:r>
        <w:rPr>
          <w:rFonts w:ascii="Times New Roman" w:hAnsi="Times New Roman" w:cs="Times New Roman" w:eastAsia="Times New Roman" w:hint="default"/>
          <w:color w:val="0D0D0D"/>
        </w:rPr>
        <w:t>2</w:t>
      </w:r>
      <w:r>
        <w:rPr>
          <w:color w:val="0D0D0D"/>
        </w:rPr>
        <w:t>）如财务报告三、公司基本情况所述，经公司</w:t>
      </w:r>
      <w:r>
        <w:rPr>
          <w:rFonts w:ascii="Times New Roman" w:hAnsi="Times New Roman" w:cs="Times New Roman" w:eastAsia="Times New Roman" w:hint="default"/>
          <w:color w:val="0D0D0D"/>
        </w:rPr>
        <w:t>2015</w:t>
      </w:r>
      <w:r>
        <w:rPr>
          <w:color w:val="0D0D0D"/>
        </w:rPr>
        <w:t>年第四次临时股东大会决议和修改后章程的规定向本公司</w:t>
      </w:r>
      <w:r>
        <w:rPr>
          <w:rFonts w:ascii="Times New Roman" w:hAnsi="Times New Roman" w:cs="Times New Roman" w:eastAsia="Times New Roman" w:hint="default"/>
          <w:color w:val="0D0D0D"/>
        </w:rPr>
        <w:t>203</w:t>
      </w:r>
      <w:r>
        <w:rPr>
          <w:color w:val="0D0D0D"/>
        </w:rPr>
        <w:t>名员 </w:t>
      </w:r>
      <w:r>
        <w:rPr>
          <w:color w:val="0D0D0D"/>
          <w:spacing w:val="-4"/>
        </w:rPr>
        <w:t>工授予限制性股票，实际授予数量为</w:t>
      </w:r>
      <w:r>
        <w:rPr>
          <w:rFonts w:ascii="Times New Roman" w:hAnsi="Times New Roman" w:cs="Times New Roman" w:eastAsia="Times New Roman" w:hint="default"/>
          <w:color w:val="0D0D0D"/>
          <w:spacing w:val="-4"/>
        </w:rPr>
        <w:t>13,427,000.00</w:t>
      </w:r>
      <w:r>
        <w:rPr>
          <w:color w:val="0D0D0D"/>
          <w:spacing w:val="-4"/>
        </w:rPr>
        <w:t>股，每股面值</w:t>
      </w:r>
      <w:r>
        <w:rPr>
          <w:rFonts w:ascii="Times New Roman" w:hAnsi="Times New Roman" w:cs="Times New Roman" w:eastAsia="Times New Roman" w:hint="default"/>
          <w:color w:val="0D0D0D"/>
          <w:spacing w:val="-4"/>
        </w:rPr>
        <w:t>1</w:t>
      </w:r>
      <w:r>
        <w:rPr>
          <w:color w:val="0D0D0D"/>
          <w:spacing w:val="-4"/>
        </w:rPr>
        <w:t>元，每股价格</w:t>
      </w:r>
      <w:r>
        <w:rPr>
          <w:rFonts w:ascii="Times New Roman" w:hAnsi="Times New Roman" w:cs="Times New Roman" w:eastAsia="Times New Roman" w:hint="default"/>
          <w:color w:val="0D0D0D"/>
          <w:spacing w:val="-4"/>
        </w:rPr>
        <w:t>7.12</w:t>
      </w:r>
      <w:r>
        <w:rPr>
          <w:color w:val="0D0D0D"/>
          <w:spacing w:val="-4"/>
        </w:rPr>
        <w:t>元。增加注册资本人民币</w:t>
      </w:r>
      <w:r>
        <w:rPr>
          <w:rFonts w:ascii="Times New Roman" w:hAnsi="Times New Roman" w:cs="Times New Roman" w:eastAsia="Times New Roman" w:hint="default"/>
          <w:color w:val="0D0D0D"/>
          <w:spacing w:val="-4"/>
        </w:rPr>
        <w:t>13,427,000.00</w:t>
      </w:r>
      <w:r>
        <w:rPr>
          <w:color w:val="0D0D0D"/>
          <w:spacing w:val="-4"/>
        </w:rPr>
        <w:t>元，</w:t>
      </w:r>
      <w:r>
        <w:rPr>
          <w:color w:val="0D0D0D"/>
          <w:spacing w:val="-26"/>
        </w:rPr>
        <w:t> </w:t>
      </w:r>
      <w:r>
        <w:rPr>
          <w:color w:val="0D0D0D"/>
        </w:rPr>
        <w:t>增加本公司股本溢价人民币</w:t>
      </w:r>
      <w:r>
        <w:rPr>
          <w:rFonts w:ascii="Times New Roman" w:hAnsi="Times New Roman" w:cs="Times New Roman" w:eastAsia="Times New Roman" w:hint="default"/>
          <w:color w:val="0D0D0D"/>
        </w:rPr>
        <w:t>82,173,240.00</w:t>
      </w:r>
      <w:r>
        <w:rPr>
          <w:color w:val="0D0D0D"/>
        </w:rPr>
        <w:t>元。</w:t>
      </w:r>
      <w:r>
        <w:rPr/>
      </w:r>
    </w:p>
    <w:p>
      <w:pPr>
        <w:pStyle w:val="BodyText"/>
        <w:spacing w:line="300" w:lineRule="auto" w:before="52"/>
        <w:ind w:right="1117" w:firstLine="420"/>
        <w:jc w:val="left"/>
      </w:pPr>
      <w:r>
        <w:rPr>
          <w:rFonts w:ascii="Times New Roman" w:hAnsi="Times New Roman" w:cs="Times New Roman" w:eastAsia="Times New Roman" w:hint="default"/>
          <w:color w:val="0D0D0D"/>
          <w:spacing w:val="-1"/>
        </w:rPr>
        <w:t>3</w:t>
      </w:r>
      <w:r>
        <w:rPr>
          <w:color w:val="0D0D0D"/>
          <w:spacing w:val="-1"/>
        </w:rPr>
        <w:t>）如财务报告三、公司基本情况所述，经本公司</w:t>
      </w:r>
      <w:r>
        <w:rPr>
          <w:rFonts w:ascii="Times New Roman" w:hAnsi="Times New Roman" w:cs="Times New Roman" w:eastAsia="Times New Roman" w:hint="default"/>
          <w:color w:val="0D0D0D"/>
          <w:spacing w:val="-1"/>
        </w:rPr>
        <w:t>2014</w:t>
      </w:r>
      <w:r>
        <w:rPr>
          <w:color w:val="0D0D0D"/>
          <w:spacing w:val="-1"/>
        </w:rPr>
        <w:t>年年度股东大会决议，并经中国证券监督管理委员会以《关于核</w:t>
      </w:r>
      <w:r>
        <w:rPr>
          <w:color w:val="0D0D0D"/>
        </w:rPr>
        <w:t> 准二六三网络通信股份有限公司非公开发行股票的批复》（证监许可</w:t>
      </w:r>
      <w:r>
        <w:rPr>
          <w:rFonts w:ascii="Times New Roman" w:hAnsi="Times New Roman" w:cs="Times New Roman" w:eastAsia="Times New Roman" w:hint="default"/>
          <w:color w:val="0D0D0D"/>
        </w:rPr>
        <w:t>[2015]2587</w:t>
      </w:r>
      <w:r>
        <w:rPr>
          <w:color w:val="0D0D0D"/>
        </w:rPr>
        <w:t>号）核准，本公司于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9</w:t>
      </w:r>
      <w:r>
        <w:rPr>
          <w:color w:val="0D0D0D"/>
        </w:rPr>
        <w:t>日非公开 发行人民币普通股</w:t>
      </w:r>
      <w:r>
        <w:rPr>
          <w:rFonts w:ascii="Times New Roman" w:hAnsi="Times New Roman" w:cs="Times New Roman" w:eastAsia="Times New Roman" w:hint="default"/>
          <w:color w:val="0D0D0D"/>
        </w:rPr>
        <w:t>(A</w:t>
      </w:r>
      <w:r>
        <w:rPr>
          <w:color w:val="0D0D0D"/>
        </w:rPr>
        <w:t>股</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spacing w:val="-3"/>
        </w:rPr>
        <w:t> </w:t>
      </w:r>
      <w:r>
        <w:rPr>
          <w:rFonts w:ascii="Times New Roman" w:hAnsi="Times New Roman" w:cs="Times New Roman" w:eastAsia="Times New Roman" w:hint="default"/>
          <w:color w:val="0D0D0D"/>
        </w:rPr>
        <w:t>61,635,220</w:t>
      </w:r>
      <w:r>
        <w:rPr>
          <w:color w:val="0D0D0D"/>
        </w:rPr>
        <w:t>股，每股面值人民币</w:t>
      </w:r>
      <w:r>
        <w:rPr>
          <w:rFonts w:ascii="Times New Roman" w:hAnsi="Times New Roman" w:cs="Times New Roman" w:eastAsia="Times New Roman" w:hint="default"/>
          <w:color w:val="0D0D0D"/>
        </w:rPr>
        <w:t>1.00</w:t>
      </w:r>
      <w:r>
        <w:rPr>
          <w:color w:val="0D0D0D"/>
        </w:rPr>
        <w:t>元，每股发行认购价格为人民币</w:t>
      </w:r>
      <w:r>
        <w:rPr>
          <w:rFonts w:ascii="Times New Roman" w:hAnsi="Times New Roman" w:cs="Times New Roman" w:eastAsia="Times New Roman" w:hint="default"/>
          <w:color w:val="0D0D0D"/>
        </w:rPr>
        <w:t>12.72</w:t>
      </w:r>
      <w:r>
        <w:rPr>
          <w:color w:val="0D0D0D"/>
        </w:rPr>
        <w:t>元。增加注册资本人民币 </w:t>
      </w:r>
      <w:r>
        <w:rPr>
          <w:rFonts w:ascii="Times New Roman" w:hAnsi="Times New Roman" w:cs="Times New Roman" w:eastAsia="Times New Roman" w:hint="default"/>
          <w:color w:val="0D0D0D"/>
        </w:rPr>
        <w:t>61,635,220.00</w:t>
      </w:r>
      <w:r>
        <w:rPr>
          <w:color w:val="0D0D0D"/>
        </w:rPr>
        <w:t>元，增加资本公司股本溢价人民币</w:t>
      </w:r>
      <w:r>
        <w:rPr>
          <w:rFonts w:ascii="Times New Roman" w:hAnsi="Times New Roman" w:cs="Times New Roman" w:eastAsia="Times New Roman" w:hint="default"/>
          <w:color w:val="0D0D0D"/>
        </w:rPr>
        <w:t>703,597,900.26</w:t>
      </w:r>
      <w:r>
        <w:rPr>
          <w:color w:val="0D0D0D"/>
        </w:rPr>
        <w:t>元。</w:t>
      </w:r>
      <w:r>
        <w:rPr/>
      </w:r>
    </w:p>
    <w:p>
      <w:pPr>
        <w:pStyle w:val="BodyText"/>
        <w:spacing w:line="338" w:lineRule="auto" w:before="52"/>
        <w:ind w:left="578" w:right="1148" w:hanging="5"/>
        <w:jc w:val="left"/>
      </w:pPr>
      <w:r>
        <w:rPr>
          <w:color w:val="0D0D0D"/>
        </w:rPr>
        <w:t>（</w:t>
      </w:r>
      <w:r>
        <w:rPr>
          <w:rFonts w:ascii="Times New Roman" w:hAnsi="Times New Roman" w:cs="Times New Roman" w:eastAsia="Times New Roman" w:hint="default"/>
          <w:color w:val="0D0D0D"/>
        </w:rPr>
        <w:t>2</w:t>
      </w:r>
      <w:r>
        <w:rPr>
          <w:color w:val="0D0D0D"/>
        </w:rPr>
        <w:t>）其他资本公积 截至资产负债表日，本公司依据预计可行权权益工具的数量，对本期实施的限制性股票激励计划计提以权益结算的股</w:t>
      </w:r>
      <w:r>
        <w:rPr/>
      </w:r>
    </w:p>
    <w:p>
      <w:pPr>
        <w:pStyle w:val="BodyText"/>
        <w:spacing w:line="240" w:lineRule="auto" w:before="4"/>
        <w:ind w:left="154" w:right="1033"/>
        <w:jc w:val="left"/>
      </w:pPr>
      <w:r>
        <w:rPr>
          <w:color w:val="0D0D0D"/>
        </w:rPr>
        <w:t>份支付确认的费用总额为</w:t>
      </w:r>
      <w:r>
        <w:rPr>
          <w:rFonts w:ascii="Times New Roman" w:hAnsi="Times New Roman" w:cs="Times New Roman" w:eastAsia="Times New Roman" w:hint="default"/>
          <w:color w:val="0D0D0D"/>
        </w:rPr>
        <w:t>1,393,198.98</w:t>
      </w:r>
      <w:r>
        <w:rPr>
          <w:color w:val="0D0D0D"/>
        </w:rPr>
        <w:t>元。</w:t>
      </w:r>
      <w:r>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8、库存股" w:id="290"/>
      <w:bookmarkEnd w:id="290"/>
      <w:r>
        <w:rPr>
          <w:b w:val="0"/>
          <w:bCs w:val="0"/>
        </w:rPr>
      </w:r>
      <w:r>
        <w:rPr>
          <w:rFonts w:ascii="Times New Roman" w:hAnsi="Times New Roman" w:cs="Times New Roman" w:eastAsia="Times New Roman" w:hint="default"/>
        </w:rPr>
        <w:t>28</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103,981,728.50</w:t>
            </w:r>
          </w:p>
        </w:tc>
      </w:tr>
    </w:tbl>
    <w:p>
      <w:pPr>
        <w:pStyle w:val="BodyText"/>
        <w:spacing w:line="300" w:lineRule="auto" w:before="51"/>
        <w:ind w:right="1149" w:firstLine="424"/>
        <w:jc w:val="left"/>
      </w:pPr>
      <w:r>
        <w:rPr>
          <w:color w:val="0D0D0D"/>
        </w:rPr>
        <w:t>库存股本期增加额系本公司确认的</w:t>
      </w:r>
      <w:r>
        <w:rPr>
          <w:rFonts w:ascii="Times New Roman" w:hAnsi="Times New Roman" w:cs="Times New Roman" w:eastAsia="Times New Roman" w:hint="default"/>
          <w:color w:val="0D0D0D"/>
        </w:rPr>
        <w:t>2013</w:t>
      </w:r>
      <w:r>
        <w:rPr>
          <w:color w:val="0D0D0D"/>
        </w:rPr>
        <w:t>年度股权激励及</w:t>
      </w:r>
      <w:r>
        <w:rPr>
          <w:rFonts w:ascii="Times New Roman" w:hAnsi="Times New Roman" w:cs="Times New Roman" w:eastAsia="Times New Roman" w:hint="default"/>
          <w:color w:val="0D0D0D"/>
        </w:rPr>
        <w:t>2015</w:t>
      </w:r>
      <w:r>
        <w:rPr>
          <w:color w:val="0D0D0D"/>
        </w:rPr>
        <w:t>年股权激励的回购义务。截至本期末</w:t>
      </w:r>
      <w:r>
        <w:rPr>
          <w:rFonts w:ascii="Times New Roman" w:hAnsi="Times New Roman" w:cs="Times New Roman" w:eastAsia="Times New Roman" w:hint="default"/>
          <w:color w:val="0D0D0D"/>
        </w:rPr>
        <w:t>2013</w:t>
      </w:r>
      <w:r>
        <w:rPr>
          <w:color w:val="0D0D0D"/>
        </w:rPr>
        <w:t>年度股权激励尚 有</w:t>
      </w:r>
      <w:r>
        <w:rPr>
          <w:rFonts w:ascii="Times New Roman" w:hAnsi="Times New Roman" w:cs="Times New Roman" w:eastAsia="Times New Roman" w:hint="default"/>
          <w:color w:val="0D0D0D"/>
        </w:rPr>
        <w:t>769,650</w:t>
      </w:r>
      <w:r>
        <w:rPr>
          <w:color w:val="0D0D0D"/>
        </w:rPr>
        <w:t>股（初始授予股数）未回购及解锁，</w:t>
      </w:r>
      <w:r>
        <w:rPr>
          <w:rFonts w:ascii="Times New Roman" w:hAnsi="Times New Roman" w:cs="Times New Roman" w:eastAsia="Times New Roman" w:hint="default"/>
          <w:color w:val="0D0D0D"/>
        </w:rPr>
        <w:t>2015</w:t>
      </w:r>
      <w:r>
        <w:rPr>
          <w:color w:val="0D0D0D"/>
        </w:rPr>
        <w:t>年度股权激励尚有</w:t>
      </w:r>
      <w:r>
        <w:rPr>
          <w:rFonts w:ascii="Times New Roman" w:hAnsi="Times New Roman" w:cs="Times New Roman" w:eastAsia="Times New Roman" w:hint="default"/>
          <w:color w:val="0D0D0D"/>
        </w:rPr>
        <w:t>13,427,000</w:t>
      </w:r>
      <w:r>
        <w:rPr>
          <w:color w:val="0D0D0D"/>
        </w:rPr>
        <w:t>股（初始授予股数）未回购及解锁。</w:t>
      </w:r>
      <w:r>
        <w:rPr/>
      </w:r>
    </w:p>
    <w:p>
      <w:pPr>
        <w:spacing w:line="240" w:lineRule="auto" w:before="12"/>
        <w:rPr>
          <w:rFonts w:ascii="宋体" w:hAnsi="宋体" w:cs="宋体" w:eastAsia="宋体" w:hint="default"/>
          <w:sz w:val="21"/>
          <w:szCs w:val="21"/>
        </w:rPr>
      </w:pPr>
    </w:p>
    <w:p>
      <w:pPr>
        <w:pStyle w:val="Heading4"/>
        <w:spacing w:line="240" w:lineRule="auto"/>
        <w:ind w:right="1033"/>
        <w:jc w:val="left"/>
        <w:rPr>
          <w:b w:val="0"/>
          <w:bCs w:val="0"/>
        </w:rPr>
      </w:pPr>
      <w:bookmarkStart w:name="29、其他综合收益" w:id="291"/>
      <w:bookmarkEnd w:id="291"/>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22,934,891.0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55,277,951.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55,277,951.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78,212,84</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3.02</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30,321,339.8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39,266,357.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39,266,357.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69,587,69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6.86</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1070"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-7,386,448.74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16,011,594.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16,011,594.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8,625,146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1072"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22,934,891.0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55,277,951.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55,277,951.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78,212,84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3.02</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0、盈余公积" w:id="292"/>
      <w:bookmarkEnd w:id="292"/>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75,480,618.84</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13,254,994.65</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88,735,613.49</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75,480,618.84</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13,254,994.65</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88,735,613.49</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033"/>
        <w:jc w:val="left"/>
        <w:rPr>
          <w:b w:val="0"/>
          <w:bCs w:val="0"/>
        </w:rPr>
      </w:pPr>
      <w:bookmarkStart w:name="31、未分配利润" w:id="293"/>
      <w:bookmarkEnd w:id="293"/>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487,689,887.64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487,689,887.64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58,918,497.10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147,862,351.01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13,254,994.65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7,110,462.81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86,802,980.84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96,506,800.00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446,550,409.25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487,689,887.64</w:t>
            </w:r>
          </w:p>
        </w:tc>
      </w:tr>
    </w:tbl>
    <w:p>
      <w:pPr>
        <w:pStyle w:val="BodyText"/>
        <w:spacing w:line="240" w:lineRule="auto" w:before="51"/>
        <w:ind w:left="154" w:right="1033"/>
        <w:jc w:val="left"/>
      </w:pPr>
      <w:r>
        <w:rPr/>
        <w:t>调整期初未分配利润明细：</w:t>
      </w:r>
    </w:p>
    <w:p>
      <w:pPr>
        <w:pStyle w:val="BodyText"/>
        <w:spacing w:line="240" w:lineRule="auto" w:before="117"/>
        <w:ind w:left="578" w:right="10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78" w:right="10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78" w:right="103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78" w:right="1033"/>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578" w:right="103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25"/>
          <w:szCs w:val="25"/>
        </w:rPr>
      </w:pPr>
    </w:p>
    <w:p>
      <w:pPr>
        <w:pStyle w:val="Heading4"/>
        <w:spacing w:line="240" w:lineRule="auto"/>
        <w:ind w:left="153" w:right="1033"/>
        <w:jc w:val="left"/>
        <w:rPr>
          <w:b w:val="0"/>
          <w:bCs w:val="0"/>
        </w:rPr>
      </w:pPr>
      <w:bookmarkStart w:name="32、营业收入和营业成本" w:id="294"/>
      <w:bookmarkEnd w:id="294"/>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716,361,757.32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265,134,627.87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745,412,766.48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276,107,169.08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716,361,757.32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265,134,627.87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745,412,766.48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276,107,169.08</w:t>
            </w: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33、营业税金及附加" w:id="295"/>
      <w:bookmarkEnd w:id="295"/>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163,170.60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7,295,617.72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490,662.19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418,843.44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482,260.35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469,280.46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5,492,585.96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7,613,764.09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29,461.52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6,628,679.10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15,826,967.23</w:t>
            </w:r>
          </w:p>
        </w:tc>
      </w:tr>
    </w:tbl>
    <w:p>
      <w:pPr>
        <w:pStyle w:val="BodyText"/>
        <w:spacing w:line="300" w:lineRule="auto" w:before="51"/>
        <w:ind w:right="1155" w:firstLine="420"/>
        <w:jc w:val="both"/>
      </w:pPr>
      <w:r>
        <w:rPr/>
        <w:t>本期发生额较上期发生额减少</w:t>
      </w:r>
      <w:r>
        <w:rPr>
          <w:spacing w:val="-46"/>
        </w:rPr>
        <w:t> </w:t>
      </w:r>
      <w:r>
        <w:rPr>
          <w:rFonts w:ascii="Times New Roman" w:hAnsi="Times New Roman" w:cs="Times New Roman" w:eastAsia="Times New Roman" w:hint="default"/>
        </w:rPr>
        <w:t>58.12%</w:t>
      </w:r>
      <w:r>
        <w:rPr/>
        <w:t>，主要系如第十节六、税项</w:t>
      </w:r>
      <w:r>
        <w:rPr>
          <w:spacing w:val="-46"/>
        </w:rPr>
        <w:t> </w:t>
      </w:r>
      <w:r>
        <w:rPr>
          <w:rFonts w:ascii="Times New Roman" w:hAnsi="Times New Roman" w:cs="Times New Roman" w:eastAsia="Times New Roman" w:hint="default"/>
        </w:rPr>
        <w:t>1</w:t>
      </w:r>
      <w:r>
        <w:rPr/>
        <w:t>、主要税种及税率中所述，根据财政部、国家税务 总局财税</w:t>
      </w:r>
      <w:r>
        <w:rPr>
          <w:rFonts w:ascii="Times New Roman" w:hAnsi="Times New Roman" w:cs="Times New Roman" w:eastAsia="Times New Roman" w:hint="default"/>
        </w:rPr>
        <w:t>[2014]43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关于将电信业纳入营业税改征增值税试点的通知</w:t>
      </w:r>
      <w:r>
        <w:rPr>
          <w:rFonts w:ascii="Times New Roman" w:hAnsi="Times New Roman" w:cs="Times New Roman" w:eastAsia="Times New Roman" w:hint="default"/>
        </w:rPr>
        <w:t>”</w:t>
      </w:r>
      <w:r>
        <w:rPr/>
        <w:t>文的有关政策规定，自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日起，本公司 所属子公司提供增值电信服务按</w:t>
      </w:r>
      <w:r>
        <w:rPr>
          <w:spacing w:val="-46"/>
        </w:rPr>
        <w:t> </w:t>
      </w:r>
      <w:r>
        <w:rPr>
          <w:rFonts w:ascii="Times New Roman" w:hAnsi="Times New Roman" w:cs="Times New Roman" w:eastAsia="Times New Roman" w:hint="default"/>
        </w:rPr>
        <w:t>6%</w:t>
      </w:r>
      <w:r>
        <w:rPr/>
        <w:t>征收增值税，从而使营业税减少较多所致</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4、销售费用" w:id="296"/>
      <w:bookmarkEnd w:id="296"/>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83,695,713.62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76,694,822.72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32,380,836.08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35,328,068.25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8,618,740.19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8,198,225.02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3,747,121.97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2,864,894.80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970,479.28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1,064,040.54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1,454,780.30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1,286,200.59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3,102,394.76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3,060,882.34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4,005,458.39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136,407,227.66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132,502,592.65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5、管理费用" w:id="297"/>
      <w:bookmarkEnd w:id="297"/>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92,353,730.39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75,894,423.76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77,195,512.12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65,889,797.98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14,992,162.37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12,024,588.69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7,655,303.48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9,767,073.08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4,992,268.82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3,083,819.90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2,449,042.97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2,443,876.32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2,983,475.63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1,220,840.73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1,061,752.67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3,468,373.19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2,790,286.77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1,393,198.79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2,499,170.19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5,199,120.94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5,559,699.21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213,872,389.54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185,911,579.77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6、财务费用" w:id="298"/>
      <w:bookmarkEnd w:id="298"/>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7,395,950.93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14,260,251.66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-3,963,747.21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-3,365,084.44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531,855.08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211,185.41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-2,900,348.64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-10,683,981.81</w:t>
            </w:r>
          </w:p>
        </w:tc>
      </w:tr>
    </w:tbl>
    <w:p>
      <w:pPr>
        <w:pStyle w:val="BodyText"/>
        <w:spacing w:line="240" w:lineRule="auto" w:before="51"/>
        <w:ind w:left="154" w:right="1033"/>
        <w:jc w:val="left"/>
      </w:pPr>
      <w:r>
        <w:rPr/>
        <w:t>其他说明：</w:t>
      </w:r>
    </w:p>
    <w:p>
      <w:pPr>
        <w:pStyle w:val="BodyText"/>
        <w:spacing w:line="240" w:lineRule="auto" w:before="116"/>
        <w:ind w:left="0" w:right="1041"/>
        <w:jc w:val="right"/>
      </w:pPr>
      <w:r>
        <w:rPr/>
        <w:t>财务费用由上年</w:t>
      </w:r>
      <w:r>
        <w:rPr>
          <w:rFonts w:ascii="Times New Roman" w:hAnsi="Times New Roman" w:cs="Times New Roman" w:eastAsia="Times New Roman" w:hint="default"/>
        </w:rPr>
        <w:t>-1,068.40 </w:t>
      </w:r>
      <w:r>
        <w:rPr/>
        <w:t>万元增加至</w:t>
      </w:r>
      <w:r>
        <w:rPr>
          <w:rFonts w:ascii="Times New Roman" w:hAnsi="Times New Roman" w:cs="Times New Roman" w:eastAsia="Times New Roman" w:hint="default"/>
        </w:rPr>
        <w:t>-290.03</w:t>
      </w:r>
      <w:r>
        <w:rPr>
          <w:rFonts w:ascii="Times New Roman" w:hAnsi="Times New Roman" w:cs="Times New Roman" w:eastAsia="Times New Roman" w:hint="default"/>
          <w:spacing w:val="37"/>
        </w:rPr>
        <w:t> </w:t>
      </w:r>
      <w:r>
        <w:rPr/>
        <w:t>万元，主要原因为公司本年度调整现金管理的结构，存款利息收入下降。</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37、资产减值损失" w:id="299"/>
      <w:bookmarkEnd w:id="299"/>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7,188,207.15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825,946.07</w:t>
            </w:r>
          </w:p>
        </w:tc>
      </w:tr>
      <w:tr>
        <w:trPr>
          <w:trHeight w:val="340" w:hRule="exact"/>
        </w:trPr>
        <w:tc>
          <w:tcPr>
            <w:tcW w:w="3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275,130.50</w:t>
            </w:r>
          </w:p>
        </w:tc>
        <w:tc>
          <w:tcPr>
            <w:tcW w:w="3189" w:type="dxa"/>
            <w:vMerge w:val="restart"/>
            <w:tcBorders>
              <w:top w:val="single" w:sz="4" w:space="0" w:color="000000"/>
              <w:left w:val="single" w:sz="4" w:space="0" w:color="000000"/>
              <w:right w:val="single" w:sz="4" w:space="0" w:color="000000"/>
            </w:tcBorders>
          </w:tcPr>
          <w:p>
            <w:pPr/>
          </w:p>
        </w:tc>
      </w:tr>
      <w:tr>
        <w:trPr>
          <w:trHeight w:val="391" w:hRule="exact"/>
        </w:trPr>
        <w:tc>
          <w:tcPr>
            <w:tcW w:w="3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vMerge/>
            <w:tcBorders>
              <w:left w:val="single" w:sz="10" w:space="0" w:color="D2D2D2"/>
              <w:right w:val="single" w:sz="4" w:space="0" w:color="000000"/>
            </w:tcBorders>
          </w:tcPr>
          <w:p>
            <w:pPr/>
          </w:p>
        </w:tc>
        <w:tc>
          <w:tcPr>
            <w:tcW w:w="3189" w:type="dxa"/>
            <w:vMerge/>
            <w:tcBorders>
              <w:left w:val="single" w:sz="4" w:space="0" w:color="000000"/>
              <w:right w:val="single" w:sz="4" w:space="0" w:color="000000"/>
            </w:tcBorders>
          </w:tcPr>
          <w:p>
            <w:pPr/>
          </w:p>
        </w:tc>
      </w:tr>
      <w:tr>
        <w:trPr>
          <w:trHeight w:val="340" w:hRule="exact"/>
        </w:trPr>
        <w:tc>
          <w:tcPr>
            <w:tcW w:w="3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6" w:type="dxa"/>
            <w:vMerge/>
            <w:tcBorders>
              <w:left w:val="single" w:sz="10" w:space="0" w:color="D2D2D2"/>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24,468,655.19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31,931,992.84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825,946.07</w:t>
            </w:r>
          </w:p>
        </w:tc>
      </w:tr>
    </w:tbl>
    <w:p>
      <w:pPr>
        <w:pStyle w:val="BodyText"/>
        <w:spacing w:line="300" w:lineRule="auto" w:before="51"/>
        <w:ind w:right="1164" w:firstLine="424"/>
        <w:jc w:val="both"/>
      </w:pPr>
      <w:r>
        <w:rPr/>
        <w:t>本期发生额较上期增加较多，主要系如财务报告七、</w:t>
      </w:r>
      <w:r>
        <w:rPr>
          <w:rFonts w:ascii="Times New Roman" w:hAnsi="Times New Roman" w:cs="Times New Roman" w:eastAsia="Times New Roman" w:hint="default"/>
        </w:rPr>
        <w:t>10</w:t>
      </w:r>
      <w:r>
        <w:rPr/>
        <w:t>、长期股权投资中所述，对易美云（北京）信息技术有限公司 的长期股权投资计提了</w:t>
      </w:r>
      <w:r>
        <w:rPr>
          <w:spacing w:val="-47"/>
        </w:rPr>
        <w:t> </w:t>
      </w:r>
      <w:r>
        <w:rPr>
          <w:rFonts w:ascii="Times New Roman" w:hAnsi="Times New Roman" w:cs="Times New Roman" w:eastAsia="Times New Roman" w:hint="default"/>
        </w:rPr>
        <w:t>24,468,655.19</w:t>
      </w:r>
      <w:r>
        <w:rPr>
          <w:rFonts w:ascii="Times New Roman" w:hAnsi="Times New Roman" w:cs="Times New Roman" w:eastAsia="Times New Roman" w:hint="default"/>
          <w:spacing w:val="-1"/>
        </w:rPr>
        <w:t> </w:t>
      </w:r>
      <w:r>
        <w:rPr/>
        <w:t>元减值损失，以及如财务报告五、</w:t>
      </w:r>
      <w:r>
        <w:rPr>
          <w:rFonts w:ascii="Times New Roman" w:hAnsi="Times New Roman" w:cs="Times New Roman" w:eastAsia="Times New Roman" w:hint="default"/>
        </w:rPr>
        <w:t>29</w:t>
      </w:r>
      <w:r>
        <w:rPr/>
        <w:t>、重要会计政策会计变更中所述，本期变更应收 款项坏账准备会计估计，使本期计提的坏账损失增加等所致。</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8、投资收益" w:id="300"/>
      <w:bookmarkEnd w:id="300"/>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-1,789,887.99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-6,897,274.53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-3,313,917.33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2,327,162.65</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4,736,359.89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1,199,191.30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675,291.60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436,438.46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清算子公司外币报表折算差异形成的损益</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2,583,907.74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307,846.17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-350,574.38</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578" w:right="1033"/>
        <w:jc w:val="left"/>
      </w:pPr>
      <w:r>
        <w:rPr>
          <w:color w:val="0D0D0D"/>
        </w:rPr>
        <w:t>投资收益发生额本期较上期增加较多，主要系本公司理财产品取得收益增加所致。</w:t>
      </w:r>
      <w:r>
        <w:rPr/>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39、营业外收入" w:id="301"/>
      <w:bookmarkEnd w:id="301"/>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11,680.29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11,680.29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3,128,638.43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10,865,402.33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color w:val="0D0D0D"/>
                <w:spacing w:val="-1"/>
                <w:sz w:val="18"/>
              </w:rPr>
              <w:t>3,128,638.43</w:t>
            </w:r>
            <w:r>
              <w:rPr>
                <w:rFonts w:ascii="Times New Roman"/>
                <w:spacing w:val="-1"/>
                <w:sz w:val="18"/>
              </w:rPr>
            </w:r>
          </w:p>
        </w:tc>
      </w:tr>
      <w:tr>
        <w:trPr>
          <w:trHeight w:val="1071"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1" w:right="0"/>
              <w:jc w:val="left"/>
              <w:rPr>
                <w:rFonts w:ascii="宋体" w:hAnsi="宋体" w:cs="宋体" w:eastAsia="宋体" w:hint="default"/>
                <w:sz w:val="18"/>
                <w:szCs w:val="18"/>
              </w:rPr>
            </w:pPr>
            <w:r>
              <w:rPr>
                <w:rFonts w:ascii="宋体" w:hAnsi="宋体" w:cs="宋体" w:eastAsia="宋体" w:hint="default"/>
                <w:sz w:val="18"/>
                <w:szCs w:val="18"/>
              </w:rPr>
              <w:t>无法支付货款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240,508.48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9"/>
              <w:jc w:val="right"/>
              <w:rPr>
                <w:rFonts w:ascii="Times New Roman" w:hAnsi="Times New Roman" w:cs="Times New Roman" w:eastAsia="Times New Roman" w:hint="default"/>
                <w:sz w:val="21"/>
                <w:szCs w:val="21"/>
              </w:rPr>
            </w:pPr>
            <w:r>
              <w:rPr>
                <w:rFonts w:ascii="Times New Roman"/>
                <w:color w:val="0D0D0D"/>
                <w:sz w:val="18"/>
              </w:rPr>
              <w:t>9,400.00</w:t>
            </w:r>
            <w:r>
              <w:rPr>
                <w:rFonts w:ascii="Times New Roman"/>
                <w:sz w:val="21"/>
              </w:rPr>
              <w:t>-</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代扣个税手续费返还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453,203.00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320,677.37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453,203.00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363,552.25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151,972.22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color w:val="0D0D0D"/>
                <w:sz w:val="18"/>
              </w:rPr>
              <w:t>363,552.25</w:t>
            </w:r>
            <w:r>
              <w:rPr>
                <w:rFonts w:ascii="Times New Roman"/>
                <w:sz w:val="18"/>
              </w:rPr>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3,966,473.97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11,944,021.50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3,966,473.97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计入当期损益的政府补助：</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移动数据虚 拟专用网络 服务平台</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上海市虹口 区发展和改 </w:t>
            </w:r>
            <w:r>
              <w:rPr>
                <w:rFonts w:ascii="宋体" w:hAnsi="宋体" w:cs="宋体" w:eastAsia="宋体" w:hint="default"/>
                <w:spacing w:val="-13"/>
                <w:sz w:val="18"/>
                <w:szCs w:val="18"/>
              </w:rPr>
              <w:t>革委员会、上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海市财政局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 项目</w:t>
            </w:r>
            <w:r>
              <w:rPr>
                <w:rFonts w:ascii="Times New Roman" w:hAnsi="Times New Roman" w:cs="Times New Roman" w:eastAsia="Times New Roman" w:hint="default"/>
                <w:sz w:val="18"/>
                <w:szCs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北京市财政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出口业务贴 息资金</w:t>
            </w:r>
            <w:r>
              <w:rPr>
                <w:rFonts w:ascii="Times New Roman" w:hAnsi="Times New Roman" w:cs="Times New Roman" w:eastAsia="Times New Roman" w:hint="default"/>
                <w:sz w:val="18"/>
                <w:szCs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973,323.00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产业发展专 项扶持房租 补贴款</w:t>
            </w:r>
            <w:r>
              <w:rPr>
                <w:rFonts w:ascii="Times New Roman" w:hAnsi="Times New Roman" w:cs="Times New Roman" w:eastAsia="Times New Roman" w:hint="default"/>
                <w:sz w:val="18"/>
                <w:szCs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67"/>
              <w:jc w:val="both"/>
              <w:rPr>
                <w:rFonts w:ascii="宋体" w:hAnsi="宋体" w:cs="宋体" w:eastAsia="宋体" w:hint="default"/>
                <w:sz w:val="18"/>
                <w:szCs w:val="18"/>
              </w:rPr>
            </w:pPr>
            <w:r>
              <w:rPr>
                <w:rFonts w:ascii="宋体" w:hAnsi="宋体" w:cs="宋体" w:eastAsia="宋体" w:hint="default"/>
                <w:sz w:val="18"/>
                <w:szCs w:val="18"/>
              </w:rPr>
              <w:t>上海市虹口 区招商服务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提篮桥 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119,015.43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著作权补助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上海市虹口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服务转型专 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上海市虹口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高新补贴</w:t>
            </w:r>
            <w:r>
              <w:rPr>
                <w:rFonts w:ascii="Times New Roman" w:hAnsi="Times New Roman" w:cs="Times New Roman" w:eastAsia="Times New Roman" w:hint="default"/>
                <w:sz w:val="18"/>
                <w:szCs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上海市虹口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软件人员补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上海市虹口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技术合同登 记奖励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房屋装修补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离岸业务奖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出口业务贴 息资金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村国际化发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北京中关村 协会论坛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昌平产业转 型升级专项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北京市昌平 区经济和信 息化委员会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骨干服务外 包企业租房、 购房和建房 补贴款</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6"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对外投资合 作专项资金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508,621.00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1,527,281.33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3,128,638.43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10,865,402.3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578" w:right="1033"/>
        <w:jc w:val="left"/>
      </w:pPr>
      <w:r>
        <w:rPr>
          <w:rFonts w:ascii="Times New Roman" w:hAnsi="Times New Roman" w:cs="Times New Roman" w:eastAsia="Times New Roman" w:hint="default"/>
          <w:color w:val="0D0D0D"/>
        </w:rPr>
        <w:t>*1.</w:t>
      </w:r>
      <w:r>
        <w:rPr>
          <w:rFonts w:ascii="Times New Roman" w:hAnsi="Times New Roman" w:cs="Times New Roman" w:eastAsia="Times New Roman" w:hint="default"/>
          <w:color w:val="0D0D0D"/>
        </w:rPr>
        <w:t>“</w:t>
      </w:r>
      <w:r>
        <w:rPr>
          <w:color w:val="0D0D0D"/>
        </w:rPr>
        <w:t>移动数据虚拟专用网络服务</w:t>
      </w:r>
      <w:r>
        <w:rPr>
          <w:rFonts w:ascii="Times New Roman" w:hAnsi="Times New Roman" w:cs="Times New Roman" w:eastAsia="Times New Roman" w:hint="default"/>
          <w:color w:val="0D0D0D"/>
        </w:rPr>
        <w:t>5E73</w:t>
      </w:r>
      <w:r>
        <w:rPr>
          <w:color w:val="0D0D0D"/>
        </w:rPr>
        <w:t>台</w:t>
      </w:r>
      <w:r>
        <w:rPr>
          <w:rFonts w:ascii="Times New Roman" w:hAnsi="Times New Roman" w:cs="Times New Roman" w:eastAsia="Times New Roman" w:hint="default"/>
          <w:color w:val="0D0D0D"/>
        </w:rPr>
        <w:t>”</w:t>
      </w:r>
      <w:r>
        <w:rPr>
          <w:color w:val="0D0D0D"/>
        </w:rPr>
        <w:t>系上海市服务业发展引导资金项目，详见注释递延收益所述。</w:t>
      </w:r>
      <w:r>
        <w:rPr/>
      </w:r>
    </w:p>
    <w:p>
      <w:pPr>
        <w:pStyle w:val="BodyText"/>
        <w:spacing w:line="240" w:lineRule="auto" w:before="102"/>
        <w:ind w:left="578" w:right="1033"/>
        <w:jc w:val="left"/>
      </w:pPr>
      <w:r>
        <w:rPr>
          <w:rFonts w:ascii="Times New Roman" w:hAnsi="Times New Roman" w:cs="Times New Roman" w:eastAsia="Times New Roman" w:hint="default"/>
          <w:color w:val="0D0D0D"/>
        </w:rPr>
        <w:t>*2.</w:t>
      </w:r>
      <w:r>
        <w:rPr>
          <w:rFonts w:ascii="Times New Roman" w:hAnsi="Times New Roman" w:cs="Times New Roman" w:eastAsia="Times New Roman" w:hint="default"/>
          <w:color w:val="0D0D0D"/>
        </w:rPr>
        <w:t>“263</w:t>
      </w:r>
      <w:r>
        <w:rPr>
          <w:color w:val="0D0D0D"/>
        </w:rPr>
        <w:t>云通信项目</w:t>
      </w:r>
      <w:r>
        <w:rPr>
          <w:rFonts w:ascii="Times New Roman" w:hAnsi="Times New Roman" w:cs="Times New Roman" w:eastAsia="Times New Roman" w:hint="default"/>
          <w:color w:val="0D0D0D"/>
        </w:rPr>
        <w:t>”  </w:t>
      </w:r>
      <w:r>
        <w:rPr>
          <w:color w:val="0D0D0D"/>
        </w:rPr>
        <w:t>系</w:t>
      </w:r>
      <w:r>
        <w:rPr>
          <w:rFonts w:ascii="Times New Roman" w:hAnsi="Times New Roman" w:cs="Times New Roman" w:eastAsia="Times New Roman" w:hint="default"/>
          <w:color w:val="0D0D0D"/>
        </w:rPr>
        <w:t>2013</w:t>
      </w:r>
      <w:r>
        <w:rPr>
          <w:color w:val="0D0D0D"/>
        </w:rPr>
        <w:t>年中关村现代服务业试点项目</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spacing w:val="6"/>
        </w:rPr>
        <w:t> </w:t>
      </w:r>
      <w:r>
        <w:rPr>
          <w:color w:val="0D0D0D"/>
        </w:rPr>
        <w:t>详见注释递延收益所述。</w:t>
      </w:r>
      <w:r>
        <w:rPr/>
      </w:r>
    </w:p>
    <w:p>
      <w:pPr>
        <w:pStyle w:val="BodyText"/>
        <w:spacing w:line="240" w:lineRule="auto" w:before="103"/>
        <w:ind w:left="578" w:right="1033"/>
        <w:jc w:val="left"/>
      </w:pPr>
      <w:r>
        <w:rPr>
          <w:rFonts w:ascii="Times New Roman" w:hAnsi="Times New Roman" w:cs="Times New Roman" w:eastAsia="Times New Roman" w:hint="default"/>
          <w:color w:val="0D0D0D"/>
        </w:rPr>
        <w:t>*3.2015</w:t>
      </w:r>
      <w:r>
        <w:rPr>
          <w:color w:val="0D0D0D"/>
        </w:rPr>
        <w:t>年</w:t>
      </w:r>
      <w:r>
        <w:rPr>
          <w:rFonts w:ascii="Times New Roman" w:hAnsi="Times New Roman" w:cs="Times New Roman" w:eastAsia="Times New Roman" w:hint="default"/>
          <w:color w:val="0D0D0D"/>
        </w:rPr>
        <w:t>12</w:t>
      </w:r>
      <w:r>
        <w:rPr>
          <w:color w:val="0D0D0D"/>
        </w:rPr>
        <w:t>月，本公司收到北京市商务委员会拨付的出口技术贴息资金</w:t>
      </w:r>
      <w:r>
        <w:rPr>
          <w:rFonts w:ascii="Times New Roman" w:hAnsi="Times New Roman" w:cs="Times New Roman" w:eastAsia="Times New Roman" w:hint="default"/>
          <w:color w:val="0D0D0D"/>
        </w:rPr>
        <w:t>97.33</w:t>
      </w:r>
      <w:r>
        <w:rPr>
          <w:color w:val="0D0D0D"/>
        </w:rPr>
        <w:t>万元，于取得时确认为营业外收入。</w:t>
      </w:r>
      <w:r>
        <w:rPr/>
      </w:r>
    </w:p>
    <w:p>
      <w:pPr>
        <w:pStyle w:val="BodyText"/>
        <w:spacing w:line="302" w:lineRule="auto" w:before="101"/>
        <w:ind w:right="1149" w:firstLine="424"/>
        <w:jc w:val="left"/>
      </w:pPr>
      <w:r>
        <w:rPr>
          <w:rFonts w:ascii="Times New Roman" w:hAnsi="Times New Roman" w:cs="Times New Roman" w:eastAsia="Times New Roman" w:hint="default"/>
          <w:color w:val="0D0D0D"/>
        </w:rPr>
        <w:t>*4.2015</w:t>
      </w:r>
      <w:r>
        <w:rPr>
          <w:color w:val="0D0D0D"/>
        </w:rPr>
        <w:t>年</w:t>
      </w:r>
      <w:r>
        <w:rPr>
          <w:rFonts w:ascii="Times New Roman" w:hAnsi="Times New Roman" w:cs="Times New Roman" w:eastAsia="Times New Roman" w:hint="default"/>
          <w:color w:val="0D0D0D"/>
        </w:rPr>
        <w:t>6</w:t>
      </w:r>
      <w:r>
        <w:rPr>
          <w:color w:val="0D0D0D"/>
        </w:rPr>
        <w:t>月，本公司收到上海市虹口区国家税务局拨付的产业发展专项扶持房租补贴款</w:t>
      </w:r>
      <w:r>
        <w:rPr>
          <w:rFonts w:ascii="Times New Roman" w:hAnsi="Times New Roman" w:cs="Times New Roman" w:eastAsia="Times New Roman" w:hint="default"/>
          <w:color w:val="0D0D0D"/>
        </w:rPr>
        <w:t>11.90</w:t>
      </w:r>
      <w:r>
        <w:rPr>
          <w:color w:val="0D0D0D"/>
        </w:rPr>
        <w:t>万元，于取得时确认为 营业外收入。</w:t>
      </w:r>
      <w:r>
        <w:rPr/>
      </w:r>
    </w:p>
    <w:p>
      <w:pPr>
        <w:pStyle w:val="BodyText"/>
        <w:spacing w:line="302" w:lineRule="auto" w:before="68"/>
        <w:ind w:right="1033" w:firstLine="424"/>
        <w:jc w:val="left"/>
      </w:pPr>
      <w:r>
        <w:rPr>
          <w:rFonts w:ascii="Times New Roman" w:hAnsi="Times New Roman" w:cs="Times New Roman" w:eastAsia="Times New Roman" w:hint="default"/>
          <w:color w:val="0D0D0D"/>
          <w:spacing w:val="-1"/>
        </w:rPr>
        <w:t>*5.2015</w:t>
      </w:r>
      <w:r>
        <w:rPr>
          <w:color w:val="0D0D0D"/>
          <w:spacing w:val="-1"/>
        </w:rPr>
        <w:t>年</w:t>
      </w:r>
      <w:r>
        <w:rPr>
          <w:rFonts w:ascii="Times New Roman" w:hAnsi="Times New Roman" w:cs="Times New Roman" w:eastAsia="Times New Roman" w:hint="default"/>
          <w:color w:val="0D0D0D"/>
          <w:spacing w:val="-1"/>
        </w:rPr>
        <w:t>12</w:t>
      </w:r>
      <w:r>
        <w:rPr>
          <w:color w:val="0D0D0D"/>
          <w:spacing w:val="-1"/>
        </w:rPr>
        <w:t>月，本公司收到上海市虹口区科学技术委员会拨付的高新技术企业一次性发展补贴资金</w:t>
      </w:r>
      <w:r>
        <w:rPr>
          <w:rFonts w:ascii="Times New Roman" w:hAnsi="Times New Roman" w:cs="Times New Roman" w:eastAsia="Times New Roman" w:hint="default"/>
          <w:color w:val="0D0D0D"/>
          <w:spacing w:val="-1"/>
        </w:rPr>
        <w:t>10</w:t>
      </w:r>
      <w:r>
        <w:rPr>
          <w:color w:val="0D0D0D"/>
          <w:spacing w:val="-1"/>
        </w:rPr>
        <w:t>万元，于取得时</w:t>
      </w:r>
      <w:r>
        <w:rPr>
          <w:color w:val="0D0D0D"/>
        </w:rPr>
        <w:t> 确认为营业外收入。</w:t>
      </w:r>
      <w:r>
        <w:rPr/>
      </w:r>
    </w:p>
    <w:p>
      <w:pPr>
        <w:spacing w:after="0" w:line="30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40、营业外支出" w:id="302"/>
      <w:bookmarkEnd w:id="302"/>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787,599.40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218,296.29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787,599.40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787,599.40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218,296.29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787,599.40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44" w:right="0"/>
              <w:jc w:val="left"/>
              <w:rPr>
                <w:rFonts w:ascii="Times New Roman" w:hAnsi="Times New Roman" w:cs="Times New Roman" w:eastAsia="Times New Roman" w:hint="default"/>
                <w:sz w:val="18"/>
                <w:szCs w:val="18"/>
              </w:rPr>
            </w:pPr>
            <w:r>
              <w:rPr>
                <w:rFonts w:ascii="Times New Roman"/>
                <w:sz w:val="18"/>
              </w:rPr>
              <w:t>371,545.08</w:t>
            </w:r>
          </w:p>
        </w:tc>
        <w:tc>
          <w:tcPr>
            <w:tcW w:w="2392" w:type="dxa"/>
            <w:vMerge w:val="restart"/>
            <w:tcBorders>
              <w:top w:val="single" w:sz="4" w:space="0" w:color="000000"/>
              <w:left w:val="single" w:sz="4" w:space="0" w:color="000000"/>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371,545.08</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40"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844,100.72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175,830.24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844,100.72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102,916.91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102,916.91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2,106,162.11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441,690.45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2,106,162.11</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1、所得税费用" w:id="303"/>
      <w:bookmarkEnd w:id="303"/>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所得税费用表" w:id="304"/>
      <w:bookmarkEnd w:id="30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3,548,795.56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11,012,590.24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4,988,054.32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-2,800,691.09</w:t>
            </w:r>
          </w:p>
        </w:tc>
      </w:tr>
      <w:tr>
        <w:trPr>
          <w:trHeight w:val="1070"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8,536,849.88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8,211,899.15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会计利润与所得税费用调整过程" w:id="305"/>
      <w:bookmarkEnd w:id="30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67,455,346.98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10,118,302.05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-15,791,758.53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-1,708,681.77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213,113.97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10,276,075.53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-1,456,529.23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8,244,182.09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所得税税率变动对递延所得税影响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1,074,569.58</w:t>
            </w:r>
          </w:p>
        </w:tc>
      </w:tr>
      <w:tr>
        <w:trPr>
          <w:trHeight w:val="1070"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研发费加计扣除影响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20"/>
              <w:jc w:val="right"/>
              <w:rPr>
                <w:rFonts w:ascii="Times New Roman" w:hAnsi="Times New Roman" w:cs="Times New Roman" w:eastAsia="Times New Roman" w:hint="default"/>
                <w:sz w:val="21"/>
                <w:szCs w:val="21"/>
              </w:rPr>
            </w:pPr>
            <w:r>
              <w:rPr>
                <w:rFonts w:ascii="Times New Roman"/>
                <w:spacing w:val="-1"/>
                <w:sz w:val="21"/>
              </w:rPr>
              <w:t>-2,432,423.81</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8,536,849.88</w:t>
            </w:r>
          </w:p>
        </w:tc>
      </w:tr>
    </w:tbl>
    <w:p>
      <w:pPr>
        <w:spacing w:line="240" w:lineRule="auto" w:before="2"/>
        <w:rPr>
          <w:rFonts w:ascii="宋体" w:hAnsi="宋体" w:cs="宋体" w:eastAsia="宋体" w:hint="default"/>
          <w:sz w:val="19"/>
          <w:szCs w:val="19"/>
        </w:rPr>
      </w:pPr>
    </w:p>
    <w:p>
      <w:pPr>
        <w:spacing w:line="544" w:lineRule="auto" w:before="35"/>
        <w:ind w:left="154" w:right="8548" w:firstLine="0"/>
        <w:jc w:val="left"/>
        <w:rPr>
          <w:rFonts w:ascii="宋体" w:hAnsi="宋体" w:cs="宋体" w:eastAsia="宋体" w:hint="default"/>
          <w:sz w:val="21"/>
          <w:szCs w:val="21"/>
        </w:rPr>
      </w:pPr>
      <w:bookmarkStart w:name="42、其他综合收益" w:id="306"/>
      <w:bookmarkEnd w:id="306"/>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详见财务报告七、</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所述。 </w:t>
      </w:r>
      <w:bookmarkStart w:name="43、现金流量表项目" w:id="307"/>
      <w:bookmarkEnd w:id="307"/>
      <w:r>
        <w:rPr>
          <w:rFonts w:ascii="宋体" w:hAnsi="宋体" w:cs="宋体" w:eastAsia="宋体" w:hint="default"/>
          <w:sz w:val="18"/>
          <w:szCs w:val="18"/>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left="153" w:right="1033"/>
        <w:jc w:val="left"/>
        <w:rPr>
          <w:b w:val="0"/>
          <w:bCs w:val="0"/>
        </w:rPr>
      </w:pPr>
      <w:bookmarkStart w:name="（1）收到的其他与经营活动有关的现金" w:id="308"/>
      <w:bookmarkEnd w:id="30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1,870,138.43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18,527,418.00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8,585,266.00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13,223,248.92</w:t>
            </w:r>
          </w:p>
        </w:tc>
      </w:tr>
      <w:tr>
        <w:trPr>
          <w:trHeight w:val="107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代付集成款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3,759,216.27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4,847,547.76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3,297,881.06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5,338,039.27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1,203,442.52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税务返还个人所得税手续费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453,203.00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320,677.37</w:t>
            </w:r>
          </w:p>
        </w:tc>
      </w:tr>
      <w:tr>
        <w:trPr>
          <w:trHeight w:val="10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收代付二级市场股东个税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2,844,456.12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4,495,751.85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34,416.59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32,193,618.70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36,607,084.46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支付的其他与经营活动有关的现金" w:id="309"/>
      <w:bookmarkEnd w:id="30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27,442,888.18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27,924,725.97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30,313,177.65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24,514,574.32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29,229,386.80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20,907,513.24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中介机构及法务专项费用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8,047,654.98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8,753,002.38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5,833,864.07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6,688,781.30</w:t>
            </w:r>
          </w:p>
        </w:tc>
      </w:tr>
      <w:tr>
        <w:trPr>
          <w:trHeight w:val="107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代付集成款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2,750,452.93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单位或个人往来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7,377,318.00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6,675,741.10</w:t>
            </w:r>
          </w:p>
        </w:tc>
      </w:tr>
      <w:tr>
        <w:trPr>
          <w:trHeight w:val="10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代付二级市场股东个税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2,844,456.12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迪讯公司偿还被本公司收购前借款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8,013,043.83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1,888,612.78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126,030,642.56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97,352,951.09</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收到的其他与投资活动有关的现金" w:id="310"/>
      <w:bookmarkEnd w:id="31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支付的其他与投资活动有关的现金" w:id="311"/>
      <w:bookmarkEnd w:id="31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支付的其他与筹资活动有关的现金" w:id="312"/>
      <w:bookmarkEnd w:id="312"/>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86.089966pt;width:151.25pt;height:40.8pt;mso-position-horizontal-relative:page;mso-position-vertical-relative:page;z-index:-1504576" coordorigin="4467,11722" coordsize="3025,816">
            <v:group style="position:absolute;left:4478;top:11733;width:2;height:392" coordorigin="4478,11733" coordsize="2,392">
              <v:shape style="position:absolute;left:4478;top:11733;width:2;height:392" coordorigin="4478,11733" coordsize="0,392" path="m4478,11733l4478,12124e" filled="false" stroked="true" strokeweight="1.140pt" strokecolor="#ffffff">
                <v:path arrowok="t"/>
              </v:shape>
            </v:group>
            <v:group style="position:absolute;left:4490;top:11733;width:3002;height:392" coordorigin="4490,11733" coordsize="3002,392">
              <v:shape style="position:absolute;left:4490;top:11733;width:3002;height:392" coordorigin="4490,11733" coordsize="3002,392" path="m4490,12124l7491,12124,7491,11733,4490,11733,4490,12124xe" filled="true" fillcolor="#ffffff" stroked="false">
                <v:path arrowok="t"/>
                <v:fill type="solid"/>
              </v:shape>
            </v:group>
            <v:group style="position:absolute;left:4478;top:12135;width:2;height:392" coordorigin="4478,12135" coordsize="2,392">
              <v:shape style="position:absolute;left:4478;top:12135;width:2;height:392" coordorigin="4478,12135" coordsize="0,392" path="m4478,12135l4478,12526e" filled="false" stroked="true" strokeweight="1.140pt" strokecolor="#ffffff">
                <v:path arrowok="t"/>
              </v:shape>
            </v:group>
            <v:group style="position:absolute;left:4490;top:12135;width:3002;height:392" coordorigin="4490,12135" coordsize="3002,392">
              <v:shape style="position:absolute;left:4490;top:12135;width:3002;height:392" coordorigin="4490,12135" coordsize="3002,392" path="m4490,12526l7491,12526,7491,12135,4490,12135,4490,1252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非公开发行费用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2,742,000.95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股权激励授予限制性股票的回购款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1,337,459.96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4,079,460.91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435,600.00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4、现金流量表补充资料" w:id="313"/>
      <w:bookmarkEnd w:id="313"/>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现金流量表补充资料" w:id="314"/>
      <w:bookmarkEnd w:id="31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6"/>
        <w:gridCol w:w="1055"/>
        <w:gridCol w:w="2014"/>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58,918,497.10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147,862,351.01</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31,931,992.84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825,946.07</w:t>
            </w:r>
          </w:p>
        </w:tc>
      </w:tr>
      <w:tr>
        <w:trPr>
          <w:trHeight w:val="71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22,655,365.77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23,051,647.64</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6,454,753.52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2,002,119.00</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25,923,198.90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23,061,975.81</w:t>
            </w:r>
          </w:p>
        </w:tc>
      </w:tr>
      <w:tr>
        <w:trPr>
          <w:trHeight w:val="71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4,089,836.44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-147,164.81</w:t>
            </w:r>
            <w:r>
              <w:rPr>
                <w:rFonts w:ascii="Times New Roman"/>
                <w:sz w:val="18"/>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gridSpan w:val="2"/>
            <w:vMerge w:val="restart"/>
            <w:tcBorders>
              <w:top w:val="single" w:sz="4" w:space="0" w:color="000000"/>
              <w:left w:val="single" w:sz="9" w:space="0" w:color="D2D2D2"/>
              <w:right w:val="single" w:sz="4" w:space="0" w:color="000000"/>
            </w:tcBorders>
          </w:tcPr>
          <w:p>
            <w:pPr/>
          </w:p>
        </w:tc>
        <w:tc>
          <w:tcPr>
            <w:tcW w:w="3184" w:type="dxa"/>
            <w:vMerge w:val="restart"/>
            <w:tcBorders>
              <w:top w:val="single" w:sz="4" w:space="0" w:color="000000"/>
              <w:left w:val="single" w:sz="4" w:space="0" w:color="000000"/>
              <w:right w:val="single" w:sz="4" w:space="0" w:color="000000"/>
            </w:tcBorders>
          </w:tcPr>
          <w:p>
            <w:pP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38"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gridSpan w:val="2"/>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-3,621,763.50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350,574.38</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-1,613,689.62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-2,683,447.79</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6,572,640.62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-126,717.37</w:t>
            </w:r>
            <w:r>
              <w:rPr>
                <w:rFonts w:ascii="Times New Roman"/>
                <w:sz w:val="18"/>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-2,921,499.84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5,565,906.26</w:t>
            </w:r>
          </w:p>
        </w:tc>
      </w:tr>
      <w:tr>
        <w:trPr>
          <w:trHeight w:val="71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-29,715,317.39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-29,690,033.96</w:t>
            </w:r>
          </w:p>
        </w:tc>
      </w:tr>
      <w:tr>
        <w:trPr>
          <w:trHeight w:val="755"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12,079,125.38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30,793,502.68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40" w:hRule="exact"/>
        </w:trPr>
        <w:tc>
          <w:tcPr>
            <w:tcW w:w="3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-1,258,500.00</w:t>
            </w:r>
          </w:p>
        </w:tc>
        <w:tc>
          <w:tcPr>
            <w:tcW w:w="3184" w:type="dxa"/>
            <w:vMerge w:val="restart"/>
            <w:tcBorders>
              <w:top w:val="single" w:sz="4" w:space="0" w:color="000000"/>
              <w:left w:val="single" w:sz="4" w:space="0" w:color="000000"/>
              <w:right w:val="single" w:sz="4" w:space="0" w:color="000000"/>
            </w:tcBorders>
          </w:tcPr>
          <w:p>
            <w:pPr/>
          </w:p>
        </w:tc>
      </w:tr>
      <w:tr>
        <w:trPr>
          <w:trHeight w:val="392" w:hRule="exact"/>
        </w:trPr>
        <w:tc>
          <w:tcPr>
            <w:tcW w:w="3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38" w:hRule="exact"/>
        </w:trPr>
        <w:tc>
          <w:tcPr>
            <w:tcW w:w="3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129,494,640.22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200,866,658.92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960,544,108.70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509,750,791.47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509,750,791.47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291,530,012.55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450,793,317.23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218,220,778.92</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本期支付的取得子公司的现金净额" w:id="315"/>
      <w:bookmarkEnd w:id="31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133,812,849.13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迪讯（香港）有限公司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98,394,661.13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35,418,188.00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3,995,488.53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迪讯（香港）有限公司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3,995,488.53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25,927,642.33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本期支付首都在线第四笔并购款</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25,927,642.33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155,745,002.93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本期无收到的处置子公司的现金净额" w:id="316"/>
      <w:bookmarkEnd w:id="316"/>
      <w:r>
        <w:rPr>
          <w:b w:val="0"/>
          <w:bCs w:val="0"/>
        </w:rPr>
      </w:r>
      <w:r>
        <w:rPr/>
        <w:t>（</w:t>
      </w:r>
      <w:r>
        <w:rPr>
          <w:rFonts w:ascii="Times New Roman" w:hAnsi="Times New Roman" w:cs="Times New Roman" w:eastAsia="Times New Roman" w:hint="default"/>
        </w:rPr>
        <w:t>3</w:t>
      </w:r>
      <w:r>
        <w:rPr/>
        <w:t>）本期无收到的处置子公司的现金净额</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4）现金和现金等价物的构成" w:id="317"/>
      <w:bookmarkEnd w:id="31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16"/>
        <w:gridCol w:w="3069"/>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960,544,108.70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509,750,791.47</w:t>
            </w:r>
          </w:p>
        </w:tc>
      </w:tr>
      <w:tr>
        <w:trPr>
          <w:trHeight w:val="340"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58,804.29</w:t>
            </w:r>
          </w:p>
        </w:tc>
        <w:tc>
          <w:tcPr>
            <w:tcW w:w="3184" w:type="dxa"/>
            <w:vMerge w:val="restart"/>
            <w:tcBorders>
              <w:top w:val="single" w:sz="4" w:space="0" w:color="000000"/>
              <w:left w:val="single" w:sz="4" w:space="0" w:color="000000"/>
              <w:right w:val="single" w:sz="4" w:space="0" w:color="000000"/>
            </w:tcBorders>
          </w:tcPr>
          <w:p>
            <w:pPr/>
          </w:p>
        </w:tc>
      </w:tr>
      <w:tr>
        <w:trPr>
          <w:trHeight w:val="393"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38"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340"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960,485,304.41</w:t>
            </w:r>
          </w:p>
        </w:tc>
        <w:tc>
          <w:tcPr>
            <w:tcW w:w="3184" w:type="dxa"/>
            <w:vMerge w:val="restart"/>
            <w:tcBorders>
              <w:top w:val="single" w:sz="4" w:space="0" w:color="000000"/>
              <w:left w:val="single" w:sz="4" w:space="0" w:color="000000"/>
              <w:right w:val="single" w:sz="4" w:space="0" w:color="000000"/>
            </w:tcBorders>
          </w:tcPr>
          <w:p>
            <w:pP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40"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
        </w:tc>
        <w:tc>
          <w:tcPr>
            <w:tcW w:w="3069"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960,544,108.70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509,750,791.47</w:t>
            </w:r>
          </w:p>
        </w:tc>
      </w:tr>
      <w:tr>
        <w:trPr>
          <w:trHeight w:val="71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45、所有权或使用权受到限制的资产" w:id="318"/>
      <w:bookmarkEnd w:id="318"/>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2"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511,254.96</w:t>
            </w:r>
          </w:p>
        </w:tc>
        <w:tc>
          <w:tcPr>
            <w:tcW w:w="3184"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Australia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公司用银行存款向供应</w:t>
            </w:r>
            <w:r>
              <w:rPr>
                <w:rFonts w:ascii="宋体" w:hAnsi="宋体" w:cs="宋体" w:eastAsia="宋体" w:hint="default"/>
                <w:w w:val="99"/>
                <w:sz w:val="18"/>
                <w:szCs w:val="18"/>
              </w:rPr>
              <w:t> </w:t>
            </w:r>
            <w:r>
              <w:rPr>
                <w:rFonts w:ascii="宋体" w:hAnsi="宋体" w:cs="宋体" w:eastAsia="宋体" w:hint="default"/>
                <w:sz w:val="18"/>
                <w:szCs w:val="18"/>
              </w:rPr>
              <w:t>商、房屋出租方提供的保证金。</w:t>
            </w:r>
          </w:p>
        </w:tc>
      </w:tr>
      <w:tr>
        <w:trPr>
          <w:trHeight w:val="391"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511,254.96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6、外币货币性项目" w:id="319"/>
      <w:bookmarkEnd w:id="319"/>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外币货币性项目" w:id="320"/>
      <w:bookmarkEnd w:id="32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74,340,711.24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10,352,850.96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67,227,272.99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524,540.94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439,460.40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297,677.50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1,407,300.15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1,005,595.42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4,707,594.40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121,871.02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559,083.30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31,154,813.58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4,329,785.71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28,115,896.49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129,965.05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614,422.77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489,709.68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2,292,526.90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4.4426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2,562.49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28,208.16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129,404.93</w:t>
            </w:r>
          </w:p>
        </w:tc>
      </w:tr>
      <w:tr>
        <w:trPr>
          <w:trHeight w:val="107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3,335,216.63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444,497.01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2,886,385.78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65,366.22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306,005.42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31,082.08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142,589.04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23,984,522.85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3,078,075.51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19,987,791.13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286,377.85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1,353,879.92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551,750.43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2,582,964.46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13,054.46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59,887.34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4,721,427.60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663,269.45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4,307,006.50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59,496.90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281,277.54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10,999.14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51,491.37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81,652.18</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033"/>
        <w:jc w:val="left"/>
        <w:rPr>
          <w:b w:val="0"/>
          <w:bCs w:val="0"/>
        </w:rPr>
      </w:pPr>
      <w:bookmarkStart w:name="（2）境外经营实体说明，包括对于重要的境外经营实体，应披露其境外主要经营地、记账" w:id="321"/>
      <w:bookmarkEnd w:id="32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550" w:right="1033"/>
        <w:jc w:val="left"/>
      </w:pPr>
      <w:r>
        <w:rPr>
          <w:color w:val="0D0D0D"/>
        </w:rPr>
        <w:t>本公司重要的境外经营实体为</w:t>
      </w:r>
      <w:r>
        <w:rPr>
          <w:rFonts w:ascii="Times New Roman" w:hAnsi="Times New Roman" w:cs="Times New Roman" w:eastAsia="Times New Roman" w:hint="default"/>
          <w:color w:val="0D0D0D"/>
        </w:rPr>
        <w:t>iTalk</w:t>
      </w:r>
      <w:r>
        <w:rPr>
          <w:rFonts w:ascii="Times New Roman" w:hAnsi="Times New Roman" w:cs="Times New Roman" w:eastAsia="Times New Roman" w:hint="default"/>
          <w:color w:val="0D0D0D"/>
          <w:spacing w:val="-3"/>
        </w:rPr>
        <w:t> </w:t>
      </w:r>
      <w:r>
        <w:rPr>
          <w:rFonts w:ascii="Times New Roman" w:hAnsi="Times New Roman" w:cs="Times New Roman" w:eastAsia="Times New Roman" w:hint="default"/>
          <w:color w:val="0D0D0D"/>
        </w:rPr>
        <w:t>Global</w:t>
      </w:r>
      <w:r>
        <w:rPr>
          <w:color w:val="0D0D0D"/>
        </w:rPr>
        <w:t>公司，其经营地为美国，记账本位币为美元。</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1033"/>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非同一控制下企业合并" w:id="323"/>
      <w:bookmarkEnd w:id="32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本期发生的非同一控制下企业合并" w:id="324"/>
      <w:bookmarkEnd w:id="3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迪讯（香港） 有限公司</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98,444,743.7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以 </w:t>
            </w:r>
            <w:r>
              <w:rPr>
                <w:rFonts w:ascii="宋体" w:hAnsi="宋体" w:cs="宋体" w:eastAsia="宋体" w:hint="default"/>
                <w:spacing w:val="-13"/>
                <w:sz w:val="18"/>
                <w:szCs w:val="18"/>
              </w:rPr>
              <w:t>上，且股权变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更完毕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22,508,882.0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-689,712.31</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4"/>
              <w:jc w:val="left"/>
              <w:rPr>
                <w:rFonts w:ascii="Times New Roman" w:hAnsi="Times New Roman" w:cs="Times New Roman" w:eastAsia="Times New Roman" w:hint="default"/>
                <w:sz w:val="18"/>
                <w:szCs w:val="18"/>
              </w:rPr>
            </w:pPr>
            <w:r>
              <w:rPr>
                <w:rFonts w:ascii="Times New Roman"/>
                <w:sz w:val="18"/>
              </w:rPr>
              <w:t>Freedom</w:t>
            </w:r>
            <w:r>
              <w:rPr>
                <w:rFonts w:ascii="Times New Roman"/>
                <w:w w:val="99"/>
                <w:sz w:val="18"/>
              </w:rPr>
              <w:t> </w:t>
            </w:r>
            <w:r>
              <w:rPr>
                <w:rFonts w:ascii="Times New Roman"/>
                <w:sz w:val="18"/>
              </w:rPr>
              <w:t>Enterprise,</w:t>
            </w:r>
            <w:r>
              <w:rPr>
                <w:rFonts w:ascii="Times New Roman"/>
                <w:w w:val="99"/>
                <w:sz w:val="18"/>
              </w:rPr>
              <w:t> </w:t>
            </w:r>
            <w:r>
              <w:rPr>
                <w:rFonts w:ascii="Times New Roman"/>
                <w:sz w:val="18"/>
              </w:rPr>
              <w:t>L.L.C.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37,776,088.1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以 </w:t>
            </w:r>
            <w:r>
              <w:rPr>
                <w:rFonts w:ascii="宋体" w:hAnsi="宋体" w:cs="宋体" w:eastAsia="宋体" w:hint="default"/>
                <w:spacing w:val="-13"/>
                <w:sz w:val="18"/>
                <w:szCs w:val="18"/>
              </w:rPr>
              <w:t>上，且股权变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更完毕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706,257.96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-158,054.98</w:t>
            </w:r>
            <w:r>
              <w:rPr>
                <w:rFonts w:ascii="Times New Roman"/>
                <w:sz w:val="18"/>
              </w:rPr>
            </w:r>
          </w:p>
        </w:tc>
      </w:tr>
    </w:tbl>
    <w:p>
      <w:pPr>
        <w:pStyle w:val="BodyText"/>
        <w:spacing w:line="360" w:lineRule="auto" w:before="51"/>
        <w:ind w:right="1753"/>
        <w:jc w:val="left"/>
      </w:pPr>
      <w:r>
        <w:rPr/>
        <w:t>注：分步实现企业合并且在本期取得控制权的交易，应分别说明前期和本期取得股权的时点、成本、比例及方式。 其他说明：</w:t>
      </w:r>
    </w:p>
    <w:p>
      <w:pPr>
        <w:pStyle w:val="BodyText"/>
        <w:spacing w:line="338" w:lineRule="auto" w:before="26"/>
        <w:ind w:left="573" w:right="1033" w:hanging="42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、收购迪讯（香港）有限公司 </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14</w:t>
      </w:r>
      <w:r>
        <w:rPr>
          <w:spacing w:val="-6"/>
        </w:rPr>
        <w:t>日，本公司第四届董事会第三十一次会议决议，通过《关于公司全资孙公司收购迪讯（香港）有限公司</w:t>
      </w:r>
      <w:r>
        <w:rPr>
          <w:rFonts w:ascii="Times New Roman" w:hAnsi="Times New Roman" w:cs="Times New Roman" w:eastAsia="Times New Roman" w:hint="default"/>
          <w:spacing w:val="-6"/>
        </w:rPr>
        <w:t>100%</w:t>
      </w:r>
    </w:p>
    <w:p>
      <w:pPr>
        <w:pStyle w:val="BodyText"/>
        <w:spacing w:line="217" w:lineRule="exact"/>
        <w:ind w:right="0"/>
        <w:jc w:val="left"/>
      </w:pPr>
      <w:r>
        <w:rPr/>
        <w:t>股权的议案》。为进一步增强公司在移动通信领域的实力，积极推进公司全球华人移动通信业务的发展，本公司拟通过全资</w:t>
      </w:r>
    </w:p>
    <w:p>
      <w:pPr>
        <w:pStyle w:val="BodyText"/>
        <w:spacing w:line="302" w:lineRule="auto" w:before="76"/>
        <w:ind w:right="1033"/>
        <w:jc w:val="left"/>
      </w:pPr>
      <w:r>
        <w:rPr/>
        <w:t>孙公司</w:t>
      </w:r>
      <w:r>
        <w:rPr>
          <w:rFonts w:ascii="Times New Roman" w:hAnsi="Times New Roman" w:cs="Times New Roman" w:eastAsia="Times New Roman" w:hint="default"/>
        </w:rPr>
        <w:t>——</w:t>
      </w:r>
      <w:r>
        <w:rPr/>
        <w:t>二六三移动通信（香港）有限公司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二六三移动香港</w:t>
      </w:r>
      <w:r>
        <w:rPr>
          <w:rFonts w:ascii="Times New Roman" w:hAnsi="Times New Roman" w:cs="Times New Roman" w:eastAsia="Times New Roman" w:hint="default"/>
        </w:rPr>
        <w:t>”)</w:t>
      </w:r>
      <w:r>
        <w:rPr/>
        <w:t>投资人民币</w:t>
      </w:r>
      <w:r>
        <w:rPr>
          <w:rFonts w:ascii="Times New Roman" w:hAnsi="Times New Roman" w:cs="Times New Roman" w:eastAsia="Times New Roman" w:hint="default"/>
        </w:rPr>
        <w:t>10,000</w:t>
      </w:r>
      <w:r>
        <w:rPr/>
        <w:t>万元收购迪讯（香港）有限</w:t>
      </w:r>
      <w:r>
        <w:rPr>
          <w:spacing w:val="-55"/>
        </w:rPr>
        <w:t> </w:t>
      </w:r>
      <w:r>
        <w:rPr>
          <w:spacing w:val="-55"/>
        </w:rPr>
      </w:r>
      <w:r>
        <w:rPr/>
        <w:t>公司（</w:t>
      </w:r>
      <w:r>
        <w:rPr>
          <w:rFonts w:ascii="Times New Roman" w:hAnsi="Times New Roman" w:cs="Times New Roman" w:eastAsia="Times New Roman" w:hint="default"/>
        </w:rPr>
        <w:t>Delcom (HK)</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香港迪讯公司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w:t>
      </w:r>
    </w:p>
    <w:p>
      <w:pPr>
        <w:pStyle w:val="BodyText"/>
        <w:spacing w:line="300" w:lineRule="auto" w:before="50"/>
        <w:ind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日，二六三移动香港与中熙有限公司签订《有关出售与购买迪讯（香港）有限公司之所有已发行股份的买</w:t>
      </w:r>
      <w:r>
        <w:rPr/>
        <w:t> </w:t>
      </w:r>
      <w:r>
        <w:rPr>
          <w:spacing w:val="-1"/>
        </w:rPr>
        <w:t>卖协议》（以下简称：股份买卖协议），二六三移动香港以人民币</w:t>
      </w:r>
      <w:r>
        <w:rPr>
          <w:rFonts w:ascii="Times New Roman" w:hAnsi="Times New Roman" w:cs="Times New Roman" w:eastAsia="Times New Roman" w:hint="default"/>
          <w:spacing w:val="-1"/>
        </w:rPr>
        <w:t>10,000</w:t>
      </w:r>
      <w:r>
        <w:rPr>
          <w:spacing w:val="-1"/>
        </w:rPr>
        <w:t>万元或等值美元或等值港币购买中熙有限公司持有</w:t>
      </w:r>
      <w:r>
        <w:rPr>
          <w:spacing w:val="-74"/>
        </w:rPr>
        <w:t> </w:t>
      </w:r>
      <w:r>
        <w:rPr/>
        <w:t>的香港迪讯公司的</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10,000</w:t>
      </w:r>
      <w:r>
        <w:rPr/>
        <w:t>股已发行在外的所有股份）。</w:t>
      </w:r>
    </w:p>
    <w:p>
      <w:pPr>
        <w:pStyle w:val="BodyText"/>
        <w:spacing w:line="302" w:lineRule="auto" w:before="51"/>
        <w:ind w:right="1132" w:firstLine="420"/>
        <w:jc w:val="both"/>
      </w:pPr>
      <w:r>
        <w:rPr>
          <w:spacing w:val="-1"/>
        </w:rPr>
        <w:t>根据北京华信众合资产评估有限公司出具的资产评估报告，在评估基准日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日持续经营的前提下，采用收益</w:t>
      </w:r>
      <w:r>
        <w:rPr/>
        <w:t> </w:t>
      </w:r>
      <w:r>
        <w:rPr>
          <w:spacing w:val="-2"/>
        </w:rPr>
        <w:t>法评估的香港迪讯公司股东全部权益价值为人民币</w:t>
      </w:r>
      <w:r>
        <w:rPr>
          <w:rFonts w:ascii="Times New Roman" w:hAnsi="Times New Roman" w:cs="Times New Roman" w:eastAsia="Times New Roman" w:hint="default"/>
          <w:spacing w:val="-2"/>
        </w:rPr>
        <w:t>10,426.66</w:t>
      </w:r>
      <w:r>
        <w:rPr>
          <w:spacing w:val="-2"/>
        </w:rPr>
        <w:t>万元。经交易双方协商一致，同意本次协议股权的转让价格为人</w:t>
      </w:r>
      <w:r>
        <w:rPr>
          <w:spacing w:val="-58"/>
        </w:rPr>
        <w:t> </w:t>
      </w:r>
      <w:r>
        <w:rPr>
          <w:spacing w:val="-58"/>
        </w:rPr>
      </w:r>
      <w:r>
        <w:rPr/>
        <w:t>民币</w:t>
      </w:r>
      <w:r>
        <w:rPr>
          <w:rFonts w:ascii="Times New Roman" w:hAnsi="Times New Roman" w:cs="Times New Roman" w:eastAsia="Times New Roman" w:hint="default"/>
        </w:rPr>
        <w:t>10,000</w:t>
      </w:r>
      <w:r>
        <w:rPr/>
        <w:t>万元。</w:t>
      </w:r>
    </w:p>
    <w:p>
      <w:pPr>
        <w:pStyle w:val="BodyText"/>
        <w:spacing w:line="302" w:lineRule="auto" w:before="49"/>
        <w:ind w:right="1042"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日，二六三移动香港向中熙有限公司支付了港币</w:t>
      </w:r>
      <w:r>
        <w:rPr>
          <w:rFonts w:ascii="Times New Roman" w:hAnsi="Times New Roman" w:cs="Times New Roman" w:eastAsia="Times New Roman" w:hint="default"/>
        </w:rPr>
        <w:t>87,292,679.89</w:t>
      </w:r>
      <w:r>
        <w:rPr/>
        <w:t>元（按协议约定汇率折合人民币</w:t>
      </w:r>
      <w:r>
        <w:rPr>
          <w:rFonts w:ascii="Times New Roman" w:hAnsi="Times New Roman" w:cs="Times New Roman" w:eastAsia="Times New Roman" w:hint="default"/>
        </w:rPr>
        <w:t>7000</w:t>
      </w:r>
      <w:r>
        <w:rPr/>
        <w:t>万元， 折合美元</w:t>
      </w:r>
      <w:r>
        <w:rPr>
          <w:rFonts w:ascii="Times New Roman" w:hAnsi="Times New Roman" w:cs="Times New Roman" w:eastAsia="Times New Roman" w:hint="default"/>
        </w:rPr>
        <w:t>11,260,755.71</w:t>
      </w:r>
      <w:r>
        <w:rPr/>
        <w:t>元）。随后于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日支付了余款美元</w:t>
      </w:r>
      <w:r>
        <w:rPr>
          <w:rFonts w:ascii="Times New Roman" w:hAnsi="Times New Roman" w:cs="Times New Roman" w:eastAsia="Times New Roman" w:hint="default"/>
        </w:rPr>
        <w:t>4,825,556.14</w:t>
      </w:r>
      <w:r>
        <w:rPr/>
        <w:t>元</w:t>
      </w:r>
      <w:r>
        <w:rPr>
          <w:rFonts w:ascii="Times New Roman" w:hAnsi="Times New Roman" w:cs="Times New Roman" w:eastAsia="Times New Roman" w:hint="default"/>
        </w:rPr>
        <w:t>(</w:t>
      </w:r>
      <w:r>
        <w:rPr/>
        <w:t>按协议约定汇率折合人民币</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w:t>
      </w:r>
      <w:r>
        <w:rPr/>
        <w:t>。</w:t>
      </w:r>
    </w:p>
    <w:p>
      <w:pPr>
        <w:pStyle w:val="BodyText"/>
        <w:spacing w:line="240" w:lineRule="auto" w:before="50"/>
        <w:ind w:left="574" w:right="1033"/>
        <w:jc w:val="left"/>
      </w:pPr>
      <w:r>
        <w:rPr/>
        <w:t>根据香港迪讯公司出具的股东证明、香港秘书处出具的股东变更名册，交易对方中熙有限公司出具的说明，本次收购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jc w:val="left"/>
      </w:pPr>
      <w:r>
        <w:rPr>
          <w:spacing w:val="-1"/>
        </w:rPr>
        <w:t>的收购人和交易对方均确认《股份买卖协议》的交割条件已全部满足，香港迪讯公司</w:t>
      </w:r>
      <w:r>
        <w:rPr>
          <w:rFonts w:ascii="Times New Roman" w:hAnsi="Times New Roman" w:cs="Times New Roman" w:eastAsia="Times New Roman" w:hint="default"/>
          <w:spacing w:val="-1"/>
        </w:rPr>
        <w:t>100%</w:t>
      </w:r>
      <w:r>
        <w:rPr>
          <w:spacing w:val="-1"/>
        </w:rPr>
        <w:t>的股权以已自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日起登</w:t>
      </w:r>
      <w:r>
        <w:rPr>
          <w:spacing w:val="-82"/>
        </w:rPr>
        <w:t> </w:t>
      </w:r>
      <w:r>
        <w:rPr/>
        <w:t>记在二六三移动香港名下，二六三移动香港已完全享有标的资产的所有权。</w:t>
      </w:r>
    </w:p>
    <w:p>
      <w:pPr>
        <w:pStyle w:val="BodyText"/>
        <w:spacing w:line="302" w:lineRule="auto" w:before="68"/>
        <w:ind w:right="1131" w:firstLine="420"/>
        <w:jc w:val="both"/>
      </w:pPr>
      <w:r>
        <w:rPr>
          <w:spacing w:val="-1"/>
        </w:rPr>
        <w:t>根据股权转让协议内容、对其经营和财务政策的控制，以及股权转让款支付等情况，</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日已符合</w:t>
      </w:r>
      <w:r>
        <w:rPr>
          <w:rFonts w:ascii="Times New Roman" w:hAnsi="Times New Roman" w:cs="Times New Roman" w:eastAsia="Times New Roman" w:hint="default"/>
          <w:spacing w:val="-1"/>
        </w:rPr>
        <w:t>“</w:t>
      </w:r>
      <w:r>
        <w:rPr>
          <w:spacing w:val="-1"/>
        </w:rPr>
        <w:t>企业合并</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t>会计准则规定的全部条件，为方便核算二六三移动香港将合并香港迪讯公司股权的收购日确定在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p>
    <w:p>
      <w:pPr>
        <w:pStyle w:val="BodyText"/>
        <w:spacing w:line="300" w:lineRule="auto" w:before="51"/>
        <w:ind w:right="1128" w:firstLine="363"/>
        <w:jc w:val="both"/>
      </w:pPr>
      <w:r>
        <w:rPr/>
        <w:t>二六三移动香港分析了香港迪讯公司账面资产、负债及未在账簿记载的无形资产情况，以香港迪讯公司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 </w:t>
      </w:r>
      <w:r>
        <w:rPr>
          <w:spacing w:val="-1"/>
        </w:rPr>
        <w:t>的账面净资产美元</w:t>
      </w:r>
      <w:r>
        <w:rPr>
          <w:rFonts w:ascii="Times New Roman" w:hAnsi="Times New Roman" w:cs="Times New Roman" w:eastAsia="Times New Roman" w:hint="default"/>
          <w:spacing w:val="-1"/>
        </w:rPr>
        <w:t>809,676.97</w:t>
      </w:r>
      <w:r>
        <w:rPr>
          <w:spacing w:val="-1"/>
        </w:rPr>
        <w:t>元（折合人民币</w:t>
      </w:r>
      <w:r>
        <w:rPr>
          <w:rFonts w:ascii="Times New Roman" w:hAnsi="Times New Roman" w:cs="Times New Roman" w:eastAsia="Times New Roman" w:hint="default"/>
          <w:spacing w:val="-1"/>
        </w:rPr>
        <w:t>4,962,793.48</w:t>
      </w:r>
      <w:r>
        <w:rPr>
          <w:spacing w:val="-1"/>
        </w:rPr>
        <w:t>元）作为可辨认净资产公允价值。本公司将可辨认净资产公允价值</w:t>
      </w:r>
      <w:r>
        <w:rPr>
          <w:spacing w:val="-66"/>
        </w:rPr>
        <w:t> </w:t>
      </w:r>
      <w:r>
        <w:rPr>
          <w:spacing w:val="-66"/>
        </w:rPr>
      </w:r>
      <w:r>
        <w:rPr>
          <w:rFonts w:ascii="Times New Roman" w:hAnsi="Times New Roman" w:cs="Times New Roman" w:eastAsia="Times New Roman" w:hint="default"/>
        </w:rPr>
        <w:t>809,676.97</w:t>
      </w:r>
      <w:r>
        <w:rPr/>
        <w:t>元（折合人民币</w:t>
      </w:r>
      <w:r>
        <w:rPr>
          <w:rFonts w:ascii="Times New Roman" w:hAnsi="Times New Roman" w:cs="Times New Roman" w:eastAsia="Times New Roman" w:hint="default"/>
        </w:rPr>
        <w:t>4,954,899.20</w:t>
      </w:r>
      <w:r>
        <w:rPr/>
        <w:t>元）与本次股权受让价格美元</w:t>
      </w:r>
      <w:r>
        <w:rPr>
          <w:rFonts w:ascii="Times New Roman" w:hAnsi="Times New Roman" w:cs="Times New Roman" w:eastAsia="Times New Roman" w:hint="default"/>
        </w:rPr>
        <w:t>16,086,311.85</w:t>
      </w:r>
      <w:r>
        <w:rPr/>
        <w:t>元（折合人民币：</w:t>
      </w:r>
      <w:r>
        <w:rPr>
          <w:rFonts w:ascii="Times New Roman" w:hAnsi="Times New Roman" w:cs="Times New Roman" w:eastAsia="Times New Roman" w:hint="default"/>
        </w:rPr>
        <w:t>98,444,743.71</w:t>
      </w:r>
      <w:r>
        <w:rPr/>
        <w:t>）的差额</w:t>
      </w:r>
      <w:r>
        <w:rPr>
          <w:spacing w:val="-47"/>
        </w:rPr>
        <w:t> </w:t>
      </w:r>
      <w:r>
        <w:rPr/>
        <w:t>美元</w:t>
      </w:r>
      <w:r>
        <w:rPr>
          <w:rFonts w:ascii="Times New Roman" w:hAnsi="Times New Roman" w:cs="Times New Roman" w:eastAsia="Times New Roman" w:hint="default"/>
        </w:rPr>
        <w:t>15,276,634.88</w:t>
      </w:r>
      <w:r>
        <w:rPr/>
        <w:t>（折合人民币：</w:t>
      </w:r>
      <w:r>
        <w:rPr>
          <w:rFonts w:ascii="Times New Roman" w:hAnsi="Times New Roman" w:cs="Times New Roman" w:eastAsia="Times New Roman" w:hint="default"/>
        </w:rPr>
        <w:t>93,489,844.51</w:t>
      </w:r>
      <w:r>
        <w:rPr/>
        <w:t>元）确认为商誉。截至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日止，商誉折合人民币：</w:t>
      </w:r>
      <w:r>
        <w:rPr>
          <w:rFonts w:ascii="Times New Roman" w:hAnsi="Times New Roman" w:cs="Times New Roman" w:eastAsia="Times New Roman" w:hint="default"/>
        </w:rPr>
        <w:t>99,203,486.24</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4" w:right="1033"/>
        <w:jc w:val="left"/>
        <w:rPr>
          <w:rFonts w:ascii="Times New Roman" w:hAnsi="Times New Roman" w:cs="Times New Roman" w:eastAsia="Times New Roman" w:hint="default"/>
        </w:rPr>
      </w:pPr>
      <w:r>
        <w:rPr>
          <w:rFonts w:ascii="Times New Roman" w:hAnsi="Times New Roman" w:cs="Times New Roman" w:eastAsia="Times New Roman" w:hint="default"/>
        </w:rPr>
        <w:t>B</w:t>
      </w:r>
      <w:r>
        <w:rPr/>
        <w:t>、收购 </w:t>
      </w:r>
      <w:r>
        <w:rPr>
          <w:rFonts w:ascii="Times New Roman" w:hAnsi="Times New Roman" w:cs="Times New Roman" w:eastAsia="Times New Roman" w:hint="default"/>
        </w:rPr>
        <w:t>Freedom Enterprise,</w:t>
      </w:r>
      <w:r>
        <w:rPr>
          <w:rFonts w:ascii="Times New Roman" w:hAnsi="Times New Roman" w:cs="Times New Roman" w:eastAsia="Times New Roman" w:hint="default"/>
          <w:spacing w:val="-25"/>
        </w:rPr>
        <w:t> </w:t>
      </w:r>
      <w:r>
        <w:rPr>
          <w:rFonts w:ascii="Times New Roman" w:hAnsi="Times New Roman" w:cs="Times New Roman" w:eastAsia="Times New Roman" w:hint="default"/>
        </w:rPr>
        <w:t>L.L.C.</w:t>
      </w:r>
    </w:p>
    <w:p>
      <w:pPr>
        <w:pStyle w:val="BodyText"/>
        <w:spacing w:line="300" w:lineRule="auto" w:before="102"/>
        <w:ind w:right="1130"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日，根据本公司《公司章程》</w:t>
      </w:r>
      <w:r>
        <w:rPr>
          <w:rFonts w:ascii="Times New Roman" w:hAnsi="Times New Roman" w:cs="Times New Roman" w:eastAsia="Times New Roman" w:hint="default"/>
        </w:rPr>
        <w:t>“</w:t>
      </w:r>
      <w:r>
        <w:rPr/>
        <w:t>第一百一十三条授权董事长行使下列职权：（八）决定连续十二个月累计 </w:t>
      </w:r>
      <w:r>
        <w:rPr>
          <w:spacing w:val="-3"/>
        </w:rPr>
        <w:t>计算不超过公司最近一期经审计净资产百分之十的资产处置（购买、出售、置换）、对外投资（不含委托理财及风险投资）</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spacing w:val="4"/>
        </w:rPr>
        <w:t>的规定，经董事长审批，本公司拟通过全资孙公司</w:t>
      </w:r>
      <w:r>
        <w:rPr>
          <w:rFonts w:ascii="Times New Roman" w:hAnsi="Times New Roman" w:cs="Times New Roman" w:eastAsia="Times New Roman" w:hint="default"/>
          <w:spacing w:val="4"/>
        </w:rPr>
        <w:t>——</w:t>
      </w:r>
      <w:r>
        <w:rPr>
          <w:rFonts w:ascii="Times New Roman" w:hAnsi="Times New Roman" w:cs="Times New Roman" w:eastAsia="Times New Roman" w:hint="default"/>
          <w:color w:val="0D0D0D"/>
          <w:spacing w:val="4"/>
        </w:rPr>
        <w:t>iTalk </w:t>
      </w:r>
      <w:r>
        <w:rPr>
          <w:rFonts w:ascii="Times New Roman" w:hAnsi="Times New Roman" w:cs="Times New Roman" w:eastAsia="Times New Roman" w:hint="default"/>
          <w:color w:val="0D0D0D"/>
        </w:rPr>
        <w:t>Global Communications Inc. </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Global”)</w:t>
      </w:r>
      <w:r>
        <w:rPr>
          <w:rFonts w:ascii="Times New Roman" w:hAnsi="Times New Roman" w:cs="Times New Roman" w:eastAsia="Times New Roman" w:hint="default"/>
          <w:spacing w:val="34"/>
        </w:rPr>
        <w:t> </w:t>
      </w:r>
      <w:r>
        <w:rPr/>
        <w:t>以 </w:t>
      </w:r>
      <w:r>
        <w:rPr>
          <w:rFonts w:ascii="Times New Roman" w:hAnsi="Times New Roman" w:cs="Times New Roman" w:eastAsia="Times New Roman" w:hint="default"/>
        </w:rPr>
        <w:t>6,175,388.76</w:t>
      </w:r>
      <w:r>
        <w:rPr/>
        <w:t>美元的价格收购美国的</w:t>
      </w:r>
      <w:r>
        <w:rPr>
          <w:rFonts w:ascii="Times New Roman" w:hAnsi="Times New Roman" w:cs="Times New Roman" w:eastAsia="Times New Roman" w:hint="default"/>
        </w:rPr>
        <w:t>Freedom</w:t>
      </w:r>
      <w:r>
        <w:rPr>
          <w:rFonts w:ascii="Times New Roman" w:hAnsi="Times New Roman" w:cs="Times New Roman" w:eastAsia="Times New Roman" w:hint="default"/>
          <w:spacing w:val="-9"/>
        </w:rPr>
        <w:t> </w:t>
      </w:r>
      <w:r>
        <w:rPr>
          <w:rFonts w:ascii="Times New Roman" w:hAnsi="Times New Roman" w:cs="Times New Roman" w:eastAsia="Times New Roman" w:hint="default"/>
        </w:rPr>
        <w:t>Enterprise,LLC</w:t>
      </w:r>
      <w:r>
        <w:rPr/>
        <w:t>（以下简称</w:t>
      </w:r>
      <w:r>
        <w:rPr>
          <w:rFonts w:ascii="Times New Roman" w:hAnsi="Times New Roman" w:cs="Times New Roman" w:eastAsia="Times New Roman" w:hint="default"/>
        </w:rPr>
        <w:t>“Freedom</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w:t>
      </w:r>
    </w:p>
    <w:p>
      <w:pPr>
        <w:pStyle w:val="BodyText"/>
        <w:spacing w:line="300" w:lineRule="auto" w:before="51"/>
        <w:ind w:right="1130"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iTalk Global</w:t>
      </w:r>
      <w:r>
        <w:rPr/>
        <w:t>与 </w:t>
      </w:r>
      <w:r>
        <w:rPr>
          <w:rFonts w:ascii="Times New Roman" w:hAnsi="Times New Roman" w:cs="Times New Roman" w:eastAsia="Times New Roman" w:hint="default"/>
        </w:rPr>
        <w:t>Alexandre Ryjik</w:t>
      </w:r>
      <w:r>
        <w:rPr/>
        <w:t>及 </w:t>
      </w:r>
      <w:r>
        <w:rPr>
          <w:rFonts w:ascii="Times New Roman" w:hAnsi="Times New Roman" w:cs="Times New Roman" w:eastAsia="Times New Roman" w:hint="default"/>
        </w:rPr>
        <w:t>Anna M.Ryjik</w:t>
      </w:r>
      <w:r>
        <w:rPr/>
        <w:t>签订《所有者权益购买协议》（</w:t>
      </w:r>
      <w:r>
        <w:rPr>
          <w:rFonts w:ascii="Times New Roman" w:hAnsi="Times New Roman" w:cs="Times New Roman" w:eastAsia="Times New Roman" w:hint="default"/>
        </w:rPr>
        <w:t>Membership</w:t>
      </w:r>
      <w:r>
        <w:rPr>
          <w:rFonts w:ascii="Times New Roman" w:hAnsi="Times New Roman" w:cs="Times New Roman" w:eastAsia="Times New Roman" w:hint="default"/>
          <w:spacing w:val="8"/>
        </w:rPr>
        <w:t> </w:t>
      </w:r>
      <w:r>
        <w:rPr>
          <w:rFonts w:ascii="Times New Roman" w:hAnsi="Times New Roman" w:cs="Times New Roman" w:eastAsia="Times New Roman" w:hint="default"/>
        </w:rPr>
        <w:t>Interest</w:t>
      </w:r>
      <w:r>
        <w:rPr>
          <w:rFonts w:ascii="Times New Roman" w:hAnsi="Times New Roman" w:cs="Times New Roman" w:eastAsia="Times New Roman" w:hint="default"/>
          <w:w w:val="99"/>
        </w:rPr>
        <w:t> </w:t>
      </w:r>
      <w:r>
        <w:rPr>
          <w:rFonts w:ascii="Times New Roman" w:hAnsi="Times New Roman" w:cs="Times New Roman" w:eastAsia="Times New Roman" w:hint="default"/>
        </w:rPr>
        <w:t>Purchase Agreement By and Among </w:t>
      </w:r>
      <w:r>
        <w:rPr>
          <w:rFonts w:ascii="Times New Roman" w:hAnsi="Times New Roman" w:cs="Times New Roman" w:eastAsia="Times New Roman" w:hint="default"/>
          <w:color w:val="0D0D0D"/>
        </w:rPr>
        <w:t>iTalk Global Communications Inc. </w:t>
      </w:r>
      <w:r>
        <w:rPr>
          <w:rFonts w:ascii="Times New Roman" w:hAnsi="Times New Roman" w:cs="Times New Roman" w:eastAsia="Times New Roman" w:hint="default"/>
        </w:rPr>
        <w:t>and Alexandre Ryjik and Anna M.</w:t>
      </w:r>
      <w:r>
        <w:rPr>
          <w:rFonts w:ascii="Times New Roman" w:hAnsi="Times New Roman" w:cs="Times New Roman" w:eastAsia="Times New Roman" w:hint="default"/>
          <w:spacing w:val="-2"/>
        </w:rPr>
        <w:t> </w:t>
      </w:r>
      <w:r>
        <w:rPr>
          <w:rFonts w:ascii="Times New Roman" w:hAnsi="Times New Roman" w:cs="Times New Roman" w:eastAsia="Times New Roman" w:hint="default"/>
        </w:rPr>
        <w:t>Ryjik</w:t>
      </w:r>
      <w:r>
        <w:rPr/>
        <w:t>，以下简称：所有</w:t>
      </w:r>
      <w:r>
        <w:rPr>
          <w:spacing w:val="-2"/>
        </w:rPr>
        <w:t> </w:t>
      </w:r>
      <w:r>
        <w:rPr>
          <w:spacing w:val="-3"/>
        </w:rPr>
        <w:t>者权益购买协议），</w:t>
      </w:r>
      <w:r>
        <w:rPr>
          <w:rFonts w:ascii="Times New Roman" w:hAnsi="Times New Roman" w:cs="Times New Roman" w:eastAsia="Times New Roman" w:hint="default"/>
          <w:spacing w:val="-3"/>
        </w:rPr>
        <w:t>iTalk</w:t>
      </w:r>
      <w:r>
        <w:rPr>
          <w:rFonts w:ascii="Times New Roman" w:hAnsi="Times New Roman" w:cs="Times New Roman" w:eastAsia="Times New Roman" w:hint="default"/>
          <w:spacing w:val="-33"/>
        </w:rPr>
        <w:t> </w:t>
      </w:r>
      <w:r>
        <w:rPr>
          <w:rFonts w:ascii="Times New Roman" w:hAnsi="Times New Roman" w:cs="Times New Roman" w:eastAsia="Times New Roman" w:hint="default"/>
        </w:rPr>
        <w:t>Global</w:t>
      </w:r>
      <w:r>
        <w:rPr/>
        <w:t>以美元</w:t>
      </w:r>
      <w:r>
        <w:rPr>
          <w:rFonts w:ascii="Times New Roman" w:hAnsi="Times New Roman" w:cs="Times New Roman" w:eastAsia="Times New Roman" w:hint="default"/>
        </w:rPr>
        <w:t>6,175,388.76</w:t>
      </w:r>
      <w:r>
        <w:rPr/>
        <w:t>元（约折合人民币</w:t>
      </w:r>
      <w:r>
        <w:rPr>
          <w:rFonts w:ascii="Times New Roman" w:hAnsi="Times New Roman" w:cs="Times New Roman" w:eastAsia="Times New Roman" w:hint="default"/>
        </w:rPr>
        <w:t>37,776,088.12</w:t>
      </w:r>
      <w:r>
        <w:rPr/>
        <w:t>元）购买</w:t>
      </w:r>
      <w:r>
        <w:rPr>
          <w:rFonts w:ascii="Times New Roman" w:hAnsi="Times New Roman" w:cs="Times New Roman" w:eastAsia="Times New Roman" w:hint="default"/>
        </w:rPr>
        <w:t>Freedom</w:t>
      </w:r>
      <w:r>
        <w:rPr/>
        <w:t>公司</w:t>
      </w:r>
      <w:r>
        <w:rPr>
          <w:rFonts w:ascii="Times New Roman" w:hAnsi="Times New Roman" w:cs="Times New Roman" w:eastAsia="Times New Roman" w:hint="default"/>
        </w:rPr>
        <w:t>100%</w:t>
      </w:r>
      <w:r>
        <w:rPr/>
        <w:t>的所有发行在 外的所有者权益。</w:t>
      </w:r>
    </w:p>
    <w:p>
      <w:pPr>
        <w:pStyle w:val="BodyText"/>
        <w:spacing w:line="338" w:lineRule="auto" w:before="71"/>
        <w:ind w:left="574" w:right="1127"/>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Global</w:t>
      </w:r>
      <w:r>
        <w:rPr/>
        <w:t>将全部款项支付到了监管账户，监管账户于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日支付了全部款项。 根据交易对方</w:t>
      </w:r>
      <w:r>
        <w:rPr>
          <w:rFonts w:ascii="Times New Roman" w:hAnsi="Times New Roman" w:cs="Times New Roman" w:eastAsia="Times New Roman" w:hint="default"/>
        </w:rPr>
        <w:t>Alexandre Ryjik</w:t>
      </w:r>
      <w:r>
        <w:rPr/>
        <w:t>与 </w:t>
      </w:r>
      <w:r>
        <w:rPr>
          <w:rFonts w:ascii="Times New Roman" w:hAnsi="Times New Roman" w:cs="Times New Roman" w:eastAsia="Times New Roman" w:hint="default"/>
        </w:rPr>
        <w:t>Anna M.Ryjik</w:t>
      </w:r>
      <w:r>
        <w:rPr/>
        <w:t>出具的说明及确认函（</w:t>
      </w:r>
      <w:r>
        <w:rPr>
          <w:rFonts w:ascii="Times New Roman" w:hAnsi="Times New Roman" w:cs="Times New Roman" w:eastAsia="Times New Roman" w:hint="default"/>
        </w:rPr>
        <w:t>Member Release Agreement  </w:t>
      </w:r>
      <w:r>
        <w:rPr/>
        <w:t>及 </w:t>
      </w:r>
      <w:r>
        <w:rPr>
          <w:rFonts w:ascii="Times New Roman" w:hAnsi="Times New Roman" w:cs="Times New Roman" w:eastAsia="Times New Roman" w:hint="default"/>
        </w:rPr>
        <w:t>Confirm</w:t>
      </w:r>
      <w:r>
        <w:rPr>
          <w:rFonts w:ascii="Times New Roman" w:hAnsi="Times New Roman" w:cs="Times New Roman" w:eastAsia="Times New Roman" w:hint="default"/>
          <w:spacing w:val="16"/>
        </w:rPr>
        <w:t> </w:t>
      </w:r>
      <w:r>
        <w:rPr>
          <w:rFonts w:ascii="Times New Roman" w:hAnsi="Times New Roman" w:cs="Times New Roman" w:eastAsia="Times New Roman" w:hint="default"/>
        </w:rPr>
        <w:t>letter</w:t>
      </w:r>
      <w:r>
        <w:rPr/>
        <w:t>），</w:t>
      </w:r>
    </w:p>
    <w:p>
      <w:pPr>
        <w:pStyle w:val="BodyText"/>
        <w:spacing w:line="231" w:lineRule="exact"/>
        <w:ind w:right="1033"/>
        <w:jc w:val="left"/>
      </w:pPr>
      <w:r>
        <w:rPr/>
        <w:t>本次收购的收购人和交易对方均确认《所有者权益购买协议》的交割条件已全部满足，</w:t>
      </w:r>
      <w:r>
        <w:rPr>
          <w:rFonts w:ascii="Times New Roman" w:hAnsi="Times New Roman" w:cs="Times New Roman" w:eastAsia="Times New Roman" w:hint="default"/>
        </w:rPr>
        <w:t>Freedom</w:t>
      </w:r>
      <w:r>
        <w:rPr/>
        <w:t>公司</w:t>
      </w:r>
      <w:r>
        <w:rPr>
          <w:rFonts w:ascii="Times New Roman" w:hAnsi="Times New Roman" w:cs="Times New Roman" w:eastAsia="Times New Roman" w:hint="default"/>
        </w:rPr>
        <w:t>100%</w:t>
      </w:r>
      <w:r>
        <w:rPr/>
        <w:t>的所有者权益已自</w:t>
      </w:r>
    </w:p>
    <w:p>
      <w:pPr>
        <w:pStyle w:val="BodyText"/>
        <w:spacing w:line="338" w:lineRule="auto" w:before="64"/>
        <w:ind w:left="517" w:right="1033" w:hanging="364"/>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日起登记在</w:t>
      </w:r>
      <w:r>
        <w:rPr>
          <w:rFonts w:ascii="Times New Roman" w:hAnsi="Times New Roman" w:cs="Times New Roman" w:eastAsia="Times New Roman" w:hint="default"/>
        </w:rPr>
        <w:t>iTalk Global</w:t>
      </w:r>
      <w:r>
        <w:rPr/>
        <w:t>名下，</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已完全享有标的资产的所有权。 根据股权转让协议内容、对其经营和财务政策的控制，以及股权转让款支付等情况，</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日已符合</w:t>
      </w:r>
      <w:r>
        <w:rPr>
          <w:rFonts w:ascii="Times New Roman" w:hAnsi="Times New Roman" w:cs="Times New Roman" w:eastAsia="Times New Roman" w:hint="default"/>
        </w:rPr>
        <w:t>“</w:t>
      </w:r>
      <w:r>
        <w:rPr/>
        <w:t>企业合并</w:t>
      </w:r>
      <w:r>
        <w:rPr>
          <w:rFonts w:ascii="Times New Roman" w:hAnsi="Times New Roman" w:cs="Times New Roman" w:eastAsia="Times New Roman" w:hint="default"/>
        </w:rPr>
        <w:t>”</w:t>
      </w:r>
    </w:p>
    <w:p>
      <w:pPr>
        <w:pStyle w:val="BodyText"/>
        <w:spacing w:line="230" w:lineRule="exact"/>
        <w:ind w:left="154" w:right="1033"/>
        <w:jc w:val="left"/>
      </w:pPr>
      <w:r>
        <w:rPr/>
        <w:t>会计准则规定的全部条件，</w:t>
      </w:r>
      <w:r>
        <w:rPr>
          <w:rFonts w:ascii="Times New Roman" w:hAnsi="Times New Roman" w:cs="Times New Roman" w:eastAsia="Times New Roman" w:hint="default"/>
        </w:rPr>
        <w:t>iTalk </w:t>
      </w:r>
      <w:r>
        <w:rPr>
          <w:rFonts w:ascii="Times New Roman" w:hAnsi="Times New Roman" w:cs="Times New Roman" w:eastAsia="Times New Roman" w:hint="default"/>
          <w:spacing w:val="9"/>
        </w:rPr>
        <w:t> </w:t>
      </w:r>
      <w:r>
        <w:rPr>
          <w:rFonts w:ascii="Times New Roman" w:hAnsi="Times New Roman" w:cs="Times New Roman" w:eastAsia="Times New Roman" w:hint="default"/>
        </w:rPr>
        <w:t>Global</w:t>
      </w:r>
      <w:r>
        <w:rPr/>
        <w:t>将收购</w:t>
      </w:r>
      <w:r>
        <w:rPr>
          <w:rFonts w:ascii="Times New Roman" w:hAnsi="Times New Roman" w:cs="Times New Roman" w:eastAsia="Times New Roman" w:hint="default"/>
        </w:rPr>
        <w:t>Freedom</w:t>
      </w:r>
      <w:r>
        <w:rPr/>
        <w:t>公司股权的收购日确定在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日，为方便核算将</w:t>
      </w:r>
      <w:r>
        <w:rPr>
          <w:rFonts w:ascii="Times New Roman" w:hAnsi="Times New Roman" w:cs="Times New Roman" w:eastAsia="Times New Roman" w:hint="default"/>
        </w:rPr>
        <w:t>Freedom</w:t>
      </w:r>
      <w:r>
        <w:rPr/>
        <w:t>公司</w:t>
      </w:r>
    </w:p>
    <w:p>
      <w:pPr>
        <w:pStyle w:val="BodyText"/>
        <w:spacing w:line="302" w:lineRule="auto" w:before="63"/>
        <w:ind w:right="112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日的经评估后的净资产美元</w:t>
      </w:r>
      <w:r>
        <w:rPr>
          <w:rFonts w:ascii="Times New Roman" w:hAnsi="Times New Roman" w:cs="Times New Roman" w:eastAsia="Times New Roman" w:hint="default"/>
        </w:rPr>
        <w:t>6,175,388.76</w:t>
      </w:r>
      <w:r>
        <w:rPr/>
        <w:t>元（约折合人民币</w:t>
      </w:r>
      <w:r>
        <w:rPr>
          <w:rFonts w:ascii="Times New Roman" w:hAnsi="Times New Roman" w:cs="Times New Roman" w:eastAsia="Times New Roman" w:hint="default"/>
        </w:rPr>
        <w:t>37,776,088.12</w:t>
      </w:r>
      <w:r>
        <w:rPr/>
        <w:t>元）视同为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日的可辨认净资</w:t>
      </w:r>
      <w:r>
        <w:rPr>
          <w:spacing w:val="-87"/>
        </w:rPr>
        <w:t> </w:t>
      </w:r>
      <w:r>
        <w:rPr>
          <w:spacing w:val="-87"/>
        </w:rPr>
      </w:r>
      <w:r>
        <w:rPr/>
        <w:t>产公允价值。</w:t>
      </w:r>
    </w:p>
    <w:p>
      <w:pPr>
        <w:pStyle w:val="BodyText"/>
        <w:spacing w:line="240" w:lineRule="auto" w:before="68"/>
        <w:ind w:left="517" w:right="1033"/>
        <w:jc w:val="left"/>
      </w:pPr>
      <w:r>
        <w:rPr>
          <w:rFonts w:ascii="Times New Roman" w:hAnsi="Times New Roman" w:cs="Times New Roman" w:eastAsia="Times New Roman" w:hint="default"/>
        </w:rPr>
        <w:t>iTalk </w:t>
      </w:r>
      <w:r>
        <w:rPr>
          <w:rFonts w:ascii="Times New Roman" w:hAnsi="Times New Roman" w:cs="Times New Roman" w:eastAsia="Times New Roman" w:hint="default"/>
          <w:spacing w:val="4"/>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1"/>
        </w:rPr>
        <w:t> </w:t>
      </w:r>
      <w:r>
        <w:rPr>
          <w:spacing w:val="10"/>
        </w:rPr>
        <w:t>收购</w:t>
      </w:r>
      <w:r>
        <w:rPr>
          <w:spacing w:val="-68"/>
        </w:rPr>
        <w:t> </w:t>
      </w:r>
      <w:r>
        <w:rPr/>
        <w:t>的</w:t>
      </w:r>
      <w:r>
        <w:rPr>
          <w:spacing w:val="-67"/>
        </w:rPr>
        <w:t> </w:t>
      </w:r>
      <w:r>
        <w:rPr>
          <w:rFonts w:ascii="Times New Roman" w:hAnsi="Times New Roman" w:cs="Times New Roman" w:eastAsia="Times New Roman" w:hint="default"/>
          <w:spacing w:val="4"/>
        </w:rPr>
        <w:t>Freedom</w:t>
      </w:r>
      <w:r>
        <w:rPr>
          <w:spacing w:val="4"/>
        </w:rPr>
        <w:t>公司</w:t>
      </w:r>
      <w:r>
        <w:rPr>
          <w:spacing w:val="-6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t>年</w:t>
      </w:r>
      <w:r>
        <w:rPr>
          <w:spacing w:val="-69"/>
        </w:rPr>
        <w:t>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日</w:t>
      </w:r>
      <w:r>
        <w:rPr>
          <w:spacing w:val="-68"/>
        </w:rPr>
        <w:t> </w:t>
      </w:r>
      <w:r>
        <w:rPr>
          <w:spacing w:val="10"/>
        </w:rPr>
        <w:t>的可</w:t>
      </w:r>
      <w:r>
        <w:rPr>
          <w:spacing w:val="-68"/>
        </w:rPr>
        <w:t> </w:t>
      </w:r>
      <w:r>
        <w:rPr>
          <w:spacing w:val="10"/>
        </w:rPr>
        <w:t>辨认</w:t>
      </w:r>
      <w:r>
        <w:rPr>
          <w:spacing w:val="-68"/>
        </w:rPr>
        <w:t> </w:t>
      </w:r>
      <w:r>
        <w:rPr/>
        <w:t>净</w:t>
      </w:r>
      <w:r>
        <w:rPr>
          <w:spacing w:val="-68"/>
        </w:rPr>
        <w:t> </w:t>
      </w:r>
      <w:r>
        <w:rPr/>
        <w:t>资</w:t>
      </w:r>
      <w:r>
        <w:rPr>
          <w:spacing w:val="-68"/>
        </w:rPr>
        <w:t> </w:t>
      </w:r>
      <w:r>
        <w:rPr>
          <w:spacing w:val="10"/>
        </w:rPr>
        <w:t>产公</w:t>
      </w:r>
      <w:r>
        <w:rPr>
          <w:spacing w:val="-68"/>
        </w:rPr>
        <w:t> </w:t>
      </w:r>
      <w:r>
        <w:rPr>
          <w:spacing w:val="10"/>
        </w:rPr>
        <w:t>允价</w:t>
      </w:r>
      <w:r>
        <w:rPr>
          <w:spacing w:val="-68"/>
        </w:rPr>
        <w:t> </w:t>
      </w:r>
      <w:r>
        <w:rPr/>
        <w:t>值</w:t>
      </w:r>
      <w:r>
        <w:rPr>
          <w:spacing w:val="-68"/>
        </w:rPr>
        <w:t> </w:t>
      </w:r>
      <w:r>
        <w:rPr/>
        <w:t>为</w:t>
      </w:r>
      <w:r>
        <w:rPr>
          <w:spacing w:val="-68"/>
        </w:rPr>
        <w:t> </w:t>
      </w:r>
      <w:r>
        <w:rPr>
          <w:spacing w:val="10"/>
        </w:rPr>
        <w:t>美元</w:t>
      </w:r>
      <w:r>
        <w:rPr>
          <w:spacing w:val="-65"/>
        </w:rPr>
        <w:t> </w:t>
      </w:r>
      <w:r>
        <w:rPr>
          <w:rFonts w:ascii="Times New Roman" w:hAnsi="Times New Roman" w:cs="Times New Roman" w:eastAsia="Times New Roman" w:hint="default"/>
        </w:rPr>
        <w:t>6,175,388.76</w:t>
      </w:r>
      <w:r>
        <w:rPr>
          <w:rFonts w:ascii="Times New Roman" w:hAnsi="Times New Roman" w:cs="Times New Roman" w:eastAsia="Times New Roman" w:hint="default"/>
          <w:spacing w:val="-23"/>
        </w:rPr>
        <w:t> </w:t>
      </w:r>
      <w:r>
        <w:rPr>
          <w:spacing w:val="10"/>
        </w:rPr>
        <w:t>元（</w:t>
      </w:r>
      <w:r>
        <w:rPr>
          <w:spacing w:val="-68"/>
        </w:rPr>
        <w:t> </w:t>
      </w:r>
      <w:r>
        <w:rPr/>
        <w:t>约</w:t>
      </w:r>
      <w:r>
        <w:rPr>
          <w:spacing w:val="-68"/>
        </w:rPr>
        <w:t> </w:t>
      </w:r>
      <w:r>
        <w:rPr/>
        <w:t>折</w:t>
      </w:r>
      <w:r>
        <w:rPr>
          <w:spacing w:val="-68"/>
        </w:rPr>
        <w:t> </w:t>
      </w:r>
      <w:r>
        <w:rPr>
          <w:spacing w:val="10"/>
        </w:rPr>
        <w:t>合人</w:t>
      </w:r>
      <w:r>
        <w:rPr>
          <w:spacing w:val="-68"/>
        </w:rPr>
        <w:t> </w:t>
      </w:r>
      <w:r>
        <w:rPr/>
        <w:t>民</w:t>
      </w:r>
      <w:r>
        <w:rPr>
          <w:spacing w:val="-68"/>
        </w:rPr>
        <w:t> </w:t>
      </w:r>
      <w:r>
        <w:rPr/>
        <w:t>币</w:t>
      </w:r>
    </w:p>
    <w:p>
      <w:pPr>
        <w:pStyle w:val="BodyText"/>
        <w:spacing w:line="240" w:lineRule="auto" w:before="64"/>
        <w:ind w:left="154" w:right="1033"/>
        <w:jc w:val="left"/>
      </w:pPr>
      <w:r>
        <w:rPr>
          <w:rFonts w:ascii="Times New Roman" w:hAnsi="Times New Roman" w:cs="Times New Roman" w:eastAsia="Times New Roman" w:hint="default"/>
        </w:rPr>
        <w:t>37,776,088.12</w:t>
      </w:r>
      <w:r>
        <w:rPr/>
        <w:t>元）与其支付的对价相等，不存在商誉。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1033"/>
        <w:jc w:val="left"/>
        <w:rPr>
          <w:b w:val="0"/>
          <w:bCs w:val="0"/>
        </w:rPr>
      </w:pPr>
      <w:bookmarkStart w:name="（2）合并成本及商誉" w:id="325"/>
      <w:bookmarkEnd w:id="3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迪讯（香港）有限公司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7"/>
                <w:sz w:val="18"/>
              </w:rPr>
              <w:t> </w:t>
            </w:r>
            <w:r>
              <w:rPr>
                <w:rFonts w:ascii="Times New Roman"/>
                <w:sz w:val="18"/>
              </w:rPr>
              <w:t>L.L.C.</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98,444,743.71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37,776,088.12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98,444,743.71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37,776,088.12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4,954,899.20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37,776,088.12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93,489,844.51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被购买方于购买日可辨认资产、负债" w:id="326"/>
      <w:bookmarkEnd w:id="32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996" w:right="0"/>
              <w:jc w:val="left"/>
              <w:rPr>
                <w:rFonts w:ascii="宋体" w:hAnsi="宋体" w:cs="宋体" w:eastAsia="宋体" w:hint="default"/>
                <w:sz w:val="18"/>
                <w:szCs w:val="18"/>
              </w:rPr>
            </w:pPr>
            <w:r>
              <w:rPr>
                <w:rFonts w:ascii="宋体" w:hAnsi="宋体" w:cs="宋体" w:eastAsia="宋体" w:hint="default"/>
                <w:sz w:val="18"/>
                <w:szCs w:val="18"/>
              </w:rPr>
              <w:t>迪讯（香港）有限公司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7"/>
                <w:sz w:val="18"/>
              </w:rPr>
              <w:t> </w:t>
            </w:r>
            <w:r>
              <w:rPr>
                <w:rFonts w:ascii="Times New Roman"/>
                <w:sz w:val="18"/>
              </w:rPr>
              <w:t>L.L.C.</w:t>
            </w:r>
          </w:p>
        </w:tc>
      </w:tr>
      <w:tr>
        <w:trPr>
          <w:trHeight w:val="520" w:hRule="exact"/>
        </w:trPr>
        <w:tc>
          <w:tcPr>
            <w:tcW w:w="1914" w:type="dxa"/>
            <w:vMerge w:val="restart"/>
            <w:tcBorders>
              <w:top w:val="single" w:sz="4" w:space="0" w:color="000000"/>
              <w:left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4" w:type="dxa"/>
            <w:vMerge/>
            <w:tcBorders>
              <w:left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520"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28,171,839.88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28,171,839.88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37,776,088.12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37,776,088.12</w:t>
            </w:r>
          </w:p>
        </w:tc>
      </w:tr>
      <w:tr>
        <w:trPr>
          <w:trHeight w:val="340"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3,995,488.53</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3,995,488.53</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340"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39" w:right="0"/>
              <w:jc w:val="left"/>
              <w:rPr>
                <w:rFonts w:ascii="Times New Roman" w:hAnsi="Times New Roman" w:cs="Times New Roman" w:eastAsia="Times New Roman" w:hint="default"/>
                <w:sz w:val="18"/>
                <w:szCs w:val="18"/>
              </w:rPr>
            </w:pPr>
            <w:r>
              <w:rPr>
                <w:rFonts w:ascii="Times New Roman"/>
                <w:sz w:val="18"/>
              </w:rPr>
              <w:t>22,626,223.38</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22,626,223.38</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r>
      <w:tr>
        <w:trPr>
          <w:trHeight w:val="391"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40"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3" w:right="0"/>
              <w:jc w:val="left"/>
              <w:rPr>
                <w:rFonts w:ascii="Times New Roman" w:hAnsi="Times New Roman" w:cs="Times New Roman" w:eastAsia="Times New Roman" w:hint="default"/>
                <w:sz w:val="18"/>
                <w:szCs w:val="18"/>
              </w:rPr>
            </w:pPr>
            <w:r>
              <w:rPr>
                <w:rFonts w:ascii="Times New Roman"/>
                <w:sz w:val="18"/>
              </w:rPr>
              <w:t>143,326.17</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143,326.17</w:t>
            </w: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338"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7,303,936.80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7,303,936.80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30,472,151.32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30,472,151.32</w:t>
            </w:r>
          </w:p>
        </w:tc>
      </w:tr>
      <w:tr>
        <w:trPr>
          <w:trHeight w:val="107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23,216,940.68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23,216,940.68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23,216,940.68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23,216,940.68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4,954,899.20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4,954,899.20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37,776,088.12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37,776,088.12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4,954,899.20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4,954,899.20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37,776,088.12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37,776,088.12</w:t>
            </w:r>
          </w:p>
        </w:tc>
      </w:tr>
    </w:tbl>
    <w:p>
      <w:pPr>
        <w:pStyle w:val="BodyText"/>
        <w:spacing w:line="302" w:lineRule="auto" w:before="51"/>
        <w:ind w:left="154" w:right="1119" w:firstLine="363"/>
        <w:jc w:val="left"/>
      </w:pPr>
      <w:r>
        <w:rPr/>
        <w:t>二六三移动香港分析了香港迪讯公司账面资产、负债及未在账簿记载的无形资产情况，以香港迪讯公司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 的账面净资产美元</w:t>
      </w:r>
      <w:r>
        <w:rPr>
          <w:rFonts w:ascii="Times New Roman" w:hAnsi="Times New Roman" w:cs="Times New Roman" w:eastAsia="Times New Roman" w:hint="default"/>
        </w:rPr>
        <w:t>809,676.97</w:t>
      </w:r>
      <w:r>
        <w:rPr/>
        <w:t>元（折合人民币元）作为可辨认净资产公允价值。</w:t>
      </w:r>
    </w:p>
    <w:p>
      <w:pPr>
        <w:pStyle w:val="BodyText"/>
        <w:spacing w:line="302" w:lineRule="auto" w:before="49"/>
        <w:ind w:left="154" w:right="1190" w:firstLine="363"/>
        <w:jc w:val="left"/>
      </w:pPr>
      <w:r>
        <w:rPr>
          <w:rFonts w:ascii="Times New Roman" w:hAnsi="Times New Roman" w:cs="Times New Roman" w:eastAsia="Times New Roman" w:hint="default"/>
        </w:rPr>
        <w:t>iTalk</w:t>
      </w:r>
      <w:r>
        <w:rPr>
          <w:rFonts w:ascii="Times New Roman" w:hAnsi="Times New Roman" w:cs="Times New Roman" w:eastAsia="Times New Roman" w:hint="default"/>
          <w:spacing w:val="-6"/>
        </w:rPr>
        <w:t> </w:t>
      </w:r>
      <w:r>
        <w:rPr>
          <w:rFonts w:ascii="Times New Roman" w:hAnsi="Times New Roman" w:cs="Times New Roman" w:eastAsia="Times New Roman" w:hint="default"/>
        </w:rPr>
        <w:t>Global</w:t>
      </w:r>
      <w:r>
        <w:rPr/>
        <w:t>将</w:t>
      </w:r>
      <w:r>
        <w:rPr>
          <w:rFonts w:ascii="Times New Roman" w:hAnsi="Times New Roman" w:cs="Times New Roman" w:eastAsia="Times New Roman" w:hint="default"/>
        </w:rPr>
        <w:t>Freedom</w:t>
      </w: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日的经评估后的净资产美元</w:t>
      </w:r>
      <w:r>
        <w:rPr>
          <w:rFonts w:ascii="Times New Roman" w:hAnsi="Times New Roman" w:cs="Times New Roman" w:eastAsia="Times New Roman" w:hint="default"/>
        </w:rPr>
        <w:t>6,175,388.76</w:t>
      </w:r>
      <w:r>
        <w:rPr/>
        <w:t>元（约折合人民币</w:t>
      </w:r>
      <w:r>
        <w:rPr>
          <w:rFonts w:ascii="Times New Roman" w:hAnsi="Times New Roman" w:cs="Times New Roman" w:eastAsia="Times New Roman" w:hint="default"/>
        </w:rPr>
        <w:t>37,776,088.12</w:t>
      </w:r>
      <w:r>
        <w:rPr/>
        <w:t>元）视 同为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日的可辨认净资产公允价值。</w:t>
      </w:r>
    </w:p>
    <w:p>
      <w:pPr>
        <w:pStyle w:val="BodyText"/>
        <w:spacing w:line="240" w:lineRule="auto" w:before="50"/>
        <w:ind w:left="578" w:right="1033"/>
        <w:jc w:val="left"/>
      </w:pPr>
      <w:r>
        <w:rPr/>
        <w:t>企业合并中无承担的被购买方的或有负债：</w:t>
      </w:r>
    </w:p>
    <w:p>
      <w:pPr>
        <w:spacing w:line="240" w:lineRule="auto" w:before="11"/>
        <w:rPr>
          <w:rFonts w:ascii="宋体" w:hAnsi="宋体" w:cs="宋体" w:eastAsia="宋体" w:hint="default"/>
          <w:sz w:val="26"/>
          <w:szCs w:val="26"/>
        </w:rPr>
      </w:pPr>
    </w:p>
    <w:p>
      <w:pPr>
        <w:pStyle w:val="Heading4"/>
        <w:spacing w:line="240" w:lineRule="auto"/>
        <w:ind w:left="153" w:right="1033"/>
        <w:jc w:val="left"/>
        <w:rPr>
          <w:b w:val="0"/>
          <w:bCs w:val="0"/>
        </w:rPr>
      </w:pPr>
      <w:bookmarkStart w:name="（4）购买日之前持有的股权按照公允价值重新计量产生的利得或损失" w:id="327"/>
      <w:bookmarkEnd w:id="32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是否存在通过多次交易分步实现企业合并且在报告期内取得控制权的交易</w:t>
      </w:r>
    </w:p>
    <w:p>
      <w:pPr>
        <w:pStyle w:val="BodyText"/>
        <w:spacing w:line="240" w:lineRule="auto" w:before="117"/>
        <w:ind w:left="154" w:right="10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5）购买日或合并当期期末无法合理确定合并对价或被购买方可辨认资产、负债公允价值" w:id="328"/>
      <w:bookmarkEnd w:id="32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6）其他说明" w:id="329"/>
      <w:bookmarkEnd w:id="32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同一控制下企业合并" w:id="330"/>
      <w:bookmarkEnd w:id="33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反向购买" w:id="331"/>
      <w:bookmarkEnd w:id="33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处置子公司" w:id="332"/>
      <w:bookmarkEnd w:id="33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154" w:right="1033"/>
        <w:jc w:val="left"/>
      </w:pPr>
      <w:r>
        <w:rPr/>
        <w:t>无</w:t>
      </w:r>
    </w:p>
    <w:p>
      <w:pPr>
        <w:spacing w:line="240" w:lineRule="auto" w:before="13"/>
        <w:rPr>
          <w:rFonts w:ascii="宋体" w:hAnsi="宋体" w:cs="宋体" w:eastAsia="宋体" w:hint="default"/>
          <w:sz w:val="23"/>
          <w:szCs w:val="23"/>
        </w:rPr>
      </w:pPr>
    </w:p>
    <w:p>
      <w:pPr>
        <w:pStyle w:val="Heading4"/>
        <w:spacing w:line="240" w:lineRule="auto"/>
        <w:ind w:right="1033"/>
        <w:jc w:val="left"/>
        <w:rPr>
          <w:b w:val="0"/>
          <w:bCs w:val="0"/>
        </w:rPr>
      </w:pPr>
      <w:bookmarkStart w:name="5、其他原因的合并范围变动" w:id="333"/>
      <w:bookmarkEnd w:id="33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74" w:right="1197" w:hanging="57"/>
        <w:jc w:val="left"/>
      </w:pPr>
      <w:r>
        <w:rPr>
          <w:color w:val="0D0D0D"/>
        </w:rPr>
        <w:t>（</w:t>
      </w:r>
      <w:r>
        <w:rPr>
          <w:rFonts w:ascii="Times New Roman" w:hAnsi="Times New Roman" w:cs="Times New Roman" w:eastAsia="Times New Roman" w:hint="default"/>
          <w:color w:val="0D0D0D"/>
        </w:rPr>
        <w:t>1</w:t>
      </w:r>
      <w:r>
        <w:rPr>
          <w:color w:val="0D0D0D"/>
        </w:rPr>
        <w:t>）本期新设立子公司 广州二六三公司系由本公司出资</w:t>
      </w:r>
      <w:r>
        <w:rPr>
          <w:rFonts w:ascii="Times New Roman" w:hAnsi="Times New Roman" w:cs="Times New Roman" w:eastAsia="Times New Roman" w:hint="default"/>
          <w:color w:val="0D0D0D"/>
        </w:rPr>
        <w:t>1.5</w:t>
      </w:r>
      <w:r>
        <w:rPr>
          <w:color w:val="0D0D0D"/>
        </w:rPr>
        <w:t>亿人民币在广州设立，于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18</w:t>
      </w:r>
      <w:r>
        <w:rPr>
          <w:color w:val="0D0D0D"/>
        </w:rPr>
        <w:t>日领取经广州市公司行政管理局颁发的注册</w:t>
      </w:r>
      <w:r>
        <w:rPr/>
      </w:r>
    </w:p>
    <w:p>
      <w:pPr>
        <w:pStyle w:val="BodyText"/>
        <w:spacing w:line="231" w:lineRule="exact"/>
        <w:ind w:right="1033"/>
        <w:jc w:val="left"/>
      </w:pPr>
      <w:r>
        <w:rPr>
          <w:color w:val="0D0D0D"/>
        </w:rPr>
        <w:t>号为</w:t>
      </w:r>
      <w:r>
        <w:rPr>
          <w:rFonts w:ascii="Times New Roman" w:hAnsi="Times New Roman" w:cs="Times New Roman" w:eastAsia="Times New Roman" w:hint="default"/>
          <w:color w:val="0D0D0D"/>
        </w:rPr>
        <w:t>440101000336048</w:t>
      </w:r>
      <w:r>
        <w:rPr>
          <w:color w:val="0D0D0D"/>
        </w:rPr>
        <w:t>营业执照</w:t>
      </w:r>
      <w:r>
        <w:rPr>
          <w:rFonts w:ascii="Times New Roman" w:hAnsi="Times New Roman" w:cs="Times New Roman" w:eastAsia="Times New Roman" w:hint="default"/>
          <w:color w:val="0D0D0D"/>
        </w:rPr>
        <w:t>,</w:t>
      </w:r>
      <w:r>
        <w:rPr>
          <w:color w:val="0D0D0D"/>
        </w:rPr>
        <w:t>注册资本</w:t>
      </w:r>
      <w:r>
        <w:rPr>
          <w:rFonts w:ascii="Times New Roman" w:hAnsi="Times New Roman" w:cs="Times New Roman" w:eastAsia="Times New Roman" w:hint="default"/>
          <w:color w:val="0D0D0D"/>
        </w:rPr>
        <w:t>1.5</w:t>
      </w:r>
      <w:r>
        <w:rPr>
          <w:color w:val="0D0D0D"/>
        </w:rPr>
        <w:t>亿人民币，法定代表人：梁京。</w:t>
      </w:r>
      <w:r>
        <w:rPr/>
      </w:r>
    </w:p>
    <w:p>
      <w:pPr>
        <w:pStyle w:val="BodyText"/>
        <w:spacing w:line="302" w:lineRule="auto" w:before="101"/>
        <w:ind w:right="942" w:firstLine="420"/>
        <w:jc w:val="left"/>
      </w:pPr>
      <w:r>
        <w:rPr>
          <w:color w:val="0D0D0D"/>
          <w:spacing w:val="-1"/>
        </w:rPr>
        <w:t>二六三移动香港公司系由本公司之全资子公司广州二六三出资设立，</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4</w:t>
      </w:r>
      <w:r>
        <w:rPr>
          <w:color w:val="0D0D0D"/>
          <w:spacing w:val="-1"/>
        </w:rPr>
        <w:t>月</w:t>
      </w:r>
      <w:r>
        <w:rPr>
          <w:rFonts w:ascii="Times New Roman" w:hAnsi="Times New Roman" w:cs="Times New Roman" w:eastAsia="Times New Roman" w:hint="default"/>
          <w:color w:val="0D0D0D"/>
          <w:spacing w:val="-1"/>
        </w:rPr>
        <w:t>9</w:t>
      </w:r>
      <w:r>
        <w:rPr>
          <w:color w:val="0D0D0D"/>
          <w:spacing w:val="-1"/>
        </w:rPr>
        <w:t>日取得编号</w:t>
      </w:r>
      <w:r>
        <w:rPr>
          <w:rFonts w:ascii="Times New Roman" w:hAnsi="Times New Roman" w:cs="Times New Roman" w:eastAsia="Times New Roman" w:hint="default"/>
          <w:color w:val="0D0D0D"/>
          <w:spacing w:val="-1"/>
        </w:rPr>
        <w:t>2221123</w:t>
      </w:r>
      <w:r>
        <w:rPr>
          <w:color w:val="0D0D0D"/>
          <w:spacing w:val="-1"/>
        </w:rPr>
        <w:t>的公司注册证明书，</w:t>
      </w:r>
      <w:r>
        <w:rPr>
          <w:color w:val="0D0D0D"/>
        </w:rPr>
        <w:t> 注册资本</w:t>
      </w:r>
      <w:r>
        <w:rPr>
          <w:rFonts w:ascii="Times New Roman" w:hAnsi="Times New Roman" w:cs="Times New Roman" w:eastAsia="Times New Roman" w:hint="default"/>
          <w:color w:val="0D0D0D"/>
        </w:rPr>
        <w:t>5250</w:t>
      </w:r>
      <w:r>
        <w:rPr>
          <w:color w:val="0D0D0D"/>
        </w:rPr>
        <w:t>万美元，实收资本</w:t>
      </w:r>
      <w:r>
        <w:rPr>
          <w:rFonts w:ascii="Times New Roman" w:hAnsi="Times New Roman" w:cs="Times New Roman" w:eastAsia="Times New Roman" w:hint="default"/>
          <w:color w:val="0D0D0D"/>
        </w:rPr>
        <w:t>1721.5587</w:t>
      </w:r>
      <w:r>
        <w:rPr>
          <w:color w:val="0D0D0D"/>
        </w:rPr>
        <w:t>万美元</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spacing w:val="25"/>
        </w:rPr>
        <w:t> </w:t>
      </w:r>
      <w:r>
        <w:rPr>
          <w:color w:val="0D0D0D"/>
        </w:rPr>
        <w:t>法定代表人：梁京。</w:t>
      </w:r>
      <w:r>
        <w:rPr/>
      </w:r>
    </w:p>
    <w:p>
      <w:pPr>
        <w:pStyle w:val="BodyText"/>
        <w:spacing w:line="338" w:lineRule="auto" w:before="52"/>
        <w:ind w:left="574" w:right="7632" w:hanging="57"/>
        <w:jc w:val="left"/>
      </w:pPr>
      <w:r>
        <w:rPr>
          <w:color w:val="0D0D0D"/>
        </w:rPr>
        <w:t>（</w:t>
      </w:r>
      <w:r>
        <w:rPr>
          <w:rFonts w:ascii="Times New Roman" w:hAnsi="Times New Roman" w:cs="Times New Roman" w:eastAsia="Times New Roman" w:hint="default"/>
          <w:color w:val="0D0D0D"/>
        </w:rPr>
        <w:t>2</w:t>
      </w:r>
      <w:r>
        <w:rPr>
          <w:color w:val="0D0D0D"/>
        </w:rPr>
        <w:t>）清算子公司 本公司报告期内无清算的子公司。</w:t>
      </w:r>
      <w:r>
        <w:rPr/>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1"/>
        <w:ind w:right="1033"/>
        <w:jc w:val="left"/>
        <w:rPr>
          <w:b w:val="0"/>
          <w:bCs w:val="0"/>
        </w:rPr>
      </w:pPr>
      <w:bookmarkStart w:name="九、在其他主体中的权益" w:id="334"/>
      <w:bookmarkEnd w:id="334"/>
      <w:r>
        <w:rPr>
          <w:b w:val="0"/>
          <w:bCs w:val="0"/>
        </w:rPr>
      </w: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在子公司中的权益" w:id="335"/>
      <w:bookmarkEnd w:id="33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企业集团的构成" w:id="336"/>
      <w:bookmarkEnd w:id="33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7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北京二六三企业 通信有限公司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7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上海二六三通信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 香港有限公司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5"/>
                <w:sz w:val="18"/>
                <w:szCs w:val="18"/>
              </w:rPr>
              <w:t>Value </w:t>
            </w:r>
            <w:r>
              <w:rPr>
                <w:rFonts w:ascii="Times New Roman" w:hAnsi="Times New Roman" w:cs="Times New Roman" w:eastAsia="Times New Roman" w:hint="default"/>
                <w:sz w:val="18"/>
                <w:szCs w:val="18"/>
              </w:rPr>
              <w:t>Added</w:t>
            </w:r>
          </w:p>
          <w:p>
            <w:pPr>
              <w:pStyle w:val="TableParagraph"/>
              <w:spacing w:line="362" w:lineRule="auto" w:before="35"/>
              <w:ind w:left="22" w:right="177"/>
              <w:jc w:val="left"/>
              <w:rPr>
                <w:rFonts w:ascii="Times New Roman" w:hAnsi="Times New Roman" w:cs="Times New Roman" w:eastAsia="Times New Roman" w:hint="default"/>
                <w:sz w:val="18"/>
                <w:szCs w:val="18"/>
              </w:rPr>
            </w:pPr>
            <w:r>
              <w:rPr>
                <w:rFonts w:ascii="Times New Roman"/>
                <w:sz w:val="18"/>
              </w:rPr>
              <w:t>Communication Hong Kong Co.,Limited)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VPN</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7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北京二六三网络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7"/>
              <w:jc w:val="left"/>
              <w:rPr>
                <w:rFonts w:ascii="Times New Roman" w:hAnsi="Times New Roman" w:cs="Times New Roman" w:eastAsia="Times New Roman" w:hint="default"/>
                <w:sz w:val="18"/>
                <w:szCs w:val="18"/>
              </w:rPr>
            </w:pPr>
            <w:r>
              <w:rPr>
                <w:rFonts w:ascii="Times New Roman"/>
                <w:color w:val="0D0D0D"/>
                <w:sz w:val="18"/>
              </w:rPr>
              <w:t>iTalk</w:t>
            </w:r>
            <w:r>
              <w:rPr>
                <w:rFonts w:ascii="Times New Roman"/>
                <w:color w:val="0D0D0D"/>
                <w:spacing w:val="-2"/>
                <w:sz w:val="18"/>
              </w:rPr>
              <w:t> </w:t>
            </w:r>
            <w:r>
              <w:rPr>
                <w:rFonts w:ascii="Times New Roman"/>
                <w:color w:val="0D0D0D"/>
                <w:sz w:val="18"/>
              </w:rPr>
              <w:t>Global</w:t>
            </w:r>
            <w:r>
              <w:rPr>
                <w:rFonts w:ascii="Times New Roman"/>
                <w:color w:val="0D0D0D"/>
                <w:sz w:val="18"/>
              </w:rPr>
              <w:t> Communications Inc.</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VoIP</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45"/>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2"/>
                <w:sz w:val="18"/>
              </w:rPr>
              <w:t> </w:t>
            </w:r>
            <w:r>
              <w:rPr>
                <w:rFonts w:ascii="Times New Roman"/>
                <w:sz w:val="18"/>
              </w:rPr>
              <w:t>Canada</w:t>
            </w:r>
            <w:r>
              <w:rPr>
                <w:rFonts w:ascii="Times New Roman"/>
                <w:sz w:val="18"/>
              </w:rPr>
              <w:t> 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4"/>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21"/>
                <w:sz w:val="18"/>
              </w:rPr>
              <w:t> </w:t>
            </w:r>
            <w:r>
              <w:rPr>
                <w:rFonts w:ascii="Times New Roman"/>
                <w:sz w:val="18"/>
              </w:rPr>
              <w:t>Australia</w:t>
            </w:r>
            <w:r>
              <w:rPr>
                <w:rFonts w:ascii="Times New Roman"/>
                <w:w w:val="99"/>
                <w:sz w:val="18"/>
              </w:rPr>
              <w:t> </w:t>
            </w:r>
            <w:r>
              <w:rPr>
                <w:rFonts w:ascii="Times New Roman"/>
                <w:sz w:val="18"/>
              </w:rPr>
              <w:t>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7"/>
              <w:jc w:val="left"/>
              <w:rPr>
                <w:rFonts w:ascii="Times New Roman" w:hAnsi="Times New Roman" w:cs="Times New Roman" w:eastAsia="Times New Roman" w:hint="default"/>
                <w:sz w:val="18"/>
                <w:szCs w:val="18"/>
              </w:rPr>
            </w:pPr>
            <w:r>
              <w:rPr>
                <w:rFonts w:ascii="Times New Roman"/>
                <w:sz w:val="18"/>
              </w:rPr>
              <w:t>Freedom</w:t>
            </w:r>
            <w:r>
              <w:rPr>
                <w:rFonts w:ascii="Times New Roman"/>
                <w:w w:val="99"/>
                <w:sz w:val="18"/>
              </w:rPr>
              <w:t> </w:t>
            </w:r>
            <w:r>
              <w:rPr>
                <w:rFonts w:ascii="Times New Roman"/>
                <w:sz w:val="18"/>
              </w:rPr>
              <w:t>Enterprise,</w:t>
            </w:r>
            <w:r>
              <w:rPr>
                <w:rFonts w:ascii="Times New Roman"/>
                <w:spacing w:val="-5"/>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2"/>
              <w:jc w:val="left"/>
              <w:rPr>
                <w:rFonts w:ascii="Times New Roman" w:hAnsi="Times New Roman" w:cs="Times New Roman" w:eastAsia="Times New Roman" w:hint="default"/>
                <w:sz w:val="18"/>
                <w:szCs w:val="18"/>
              </w:rPr>
            </w:pPr>
            <w:r>
              <w:rPr>
                <w:rFonts w:ascii="Times New Roman"/>
                <w:sz w:val="18"/>
              </w:rPr>
              <w:t>Digital</w:t>
            </w:r>
            <w:r>
              <w:rPr>
                <w:rFonts w:ascii="Times New Roman"/>
                <w:w w:val="99"/>
                <w:sz w:val="18"/>
              </w:rPr>
              <w:t> </w:t>
            </w:r>
            <w:r>
              <w:rPr>
                <w:rFonts w:ascii="Times New Roman"/>
                <w:sz w:val="18"/>
              </w:rPr>
              <w:t>Technology</w:t>
            </w:r>
            <w:r>
              <w:rPr>
                <w:rFonts w:ascii="Times New Roman"/>
                <w:w w:val="99"/>
                <w:sz w:val="18"/>
              </w:rPr>
              <w:t> </w:t>
            </w:r>
            <w:r>
              <w:rPr>
                <w:rFonts w:ascii="Times New Roman"/>
                <w:sz w:val="18"/>
              </w:rPr>
              <w:t>Marketing</w:t>
            </w:r>
            <w:r>
              <w:rPr>
                <w:rFonts w:ascii="Times New Roman"/>
                <w:spacing w:val="-2"/>
                <w:sz w:val="18"/>
              </w:rPr>
              <w:t> </w:t>
            </w:r>
            <w:r>
              <w:rPr>
                <w:rFonts w:ascii="Times New Roman"/>
                <w:sz w:val="18"/>
              </w:rPr>
              <w:t>and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Information,</w:t>
            </w:r>
            <w:r>
              <w:rPr>
                <w:rFonts w:ascii="Times New Roman"/>
                <w:spacing w:val="-2"/>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7"/>
              <w:jc w:val="left"/>
              <w:rPr>
                <w:rFonts w:ascii="Times New Roman" w:hAnsi="Times New Roman" w:cs="Times New Roman" w:eastAsia="Times New Roman" w:hint="default"/>
                <w:sz w:val="18"/>
                <w:szCs w:val="18"/>
              </w:rPr>
            </w:pPr>
            <w:r>
              <w:rPr>
                <w:rFonts w:ascii="Times New Roman"/>
                <w:sz w:val="18"/>
              </w:rPr>
              <w:t>iTalkBB Singapore</w:t>
            </w:r>
            <w:r>
              <w:rPr>
                <w:rFonts w:ascii="Times New Roman"/>
                <w:spacing w:val="-1"/>
                <w:sz w:val="18"/>
              </w:rPr>
              <w:t> </w:t>
            </w:r>
            <w:r>
              <w:rPr>
                <w:rFonts w:ascii="Times New Roman"/>
                <w:sz w:val="18"/>
              </w:rPr>
              <w:t>Pte,</w:t>
            </w:r>
            <w:r>
              <w:rPr>
                <w:rFonts w:ascii="Times New Roman"/>
                <w:sz w:val="18"/>
              </w:rPr>
              <w:t> 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VoIP</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5"/>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Mobile</w:t>
            </w:r>
            <w:r>
              <w:rPr>
                <w:rFonts w:ascii="Times New Roman"/>
                <w:sz w:val="18"/>
              </w:rPr>
              <w:t> Corporation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海外移动虚拟网 络运营业务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北京首都在线网 络技术有限公司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爱涛网络电视香 港有限公司（英 文名：</w:t>
            </w:r>
            <w:r>
              <w:rPr>
                <w:rFonts w:ascii="Times New Roman" w:hAnsi="Times New Roman" w:cs="Times New Roman" w:eastAsia="Times New Roman" w:hint="default"/>
                <w:sz w:val="18"/>
                <w:szCs w:val="18"/>
              </w:rPr>
              <w:t>iTalkTV Hongkong Limited</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二六三香港控股 有限公司（英文 名：</w:t>
            </w:r>
            <w:r>
              <w:rPr>
                <w:rFonts w:ascii="Times New Roman" w:hAnsi="Times New Roman" w:cs="Times New Roman" w:eastAsia="Times New Roman" w:hint="default"/>
                <w:sz w:val="18"/>
                <w:szCs w:val="18"/>
              </w:rPr>
              <w:t>NET263</w:t>
            </w:r>
          </w:p>
          <w:p>
            <w:pPr>
              <w:pStyle w:val="TableParagraph"/>
              <w:spacing w:line="316" w:lineRule="auto" w:before="39"/>
              <w:ind w:left="22" w:right="497"/>
              <w:jc w:val="left"/>
              <w:rPr>
                <w:rFonts w:ascii="宋体" w:hAnsi="宋体" w:cs="宋体" w:eastAsia="宋体" w:hint="default"/>
                <w:sz w:val="18"/>
                <w:szCs w:val="18"/>
              </w:rPr>
            </w:pP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CORP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2"/>
              <w:jc w:val="left"/>
              <w:rPr>
                <w:rFonts w:ascii="Times New Roman" w:hAnsi="Times New Roman" w:cs="Times New Roman" w:eastAsia="Times New Roman" w:hint="default"/>
                <w:sz w:val="18"/>
                <w:szCs w:val="18"/>
              </w:rPr>
            </w:pPr>
            <w:r>
              <w:rPr>
                <w:rFonts w:ascii="Times New Roman"/>
                <w:sz w:val="18"/>
              </w:rPr>
              <w:t>United</w:t>
            </w:r>
            <w:r>
              <w:rPr>
                <w:rFonts w:ascii="Times New Roman"/>
                <w:spacing w:val="-5"/>
                <w:sz w:val="18"/>
              </w:rPr>
              <w:t> </w:t>
            </w:r>
            <w:r>
              <w:rPr>
                <w:rFonts w:ascii="Times New Roman"/>
                <w:sz w:val="18"/>
              </w:rPr>
              <w:t>Wise</w:t>
            </w:r>
            <w:r>
              <w:rPr>
                <w:rFonts w:ascii="Times New Roman"/>
                <w:w w:val="99"/>
                <w:sz w:val="18"/>
              </w:rPr>
              <w:t> </w:t>
            </w:r>
            <w:r>
              <w:rPr>
                <w:rFonts w:ascii="Times New Roman"/>
                <w:sz w:val="18"/>
              </w:rPr>
              <w:t>Services</w:t>
            </w:r>
            <w:r>
              <w:rPr>
                <w:rFonts w:ascii="Times New Roman"/>
                <w:spacing w:val="-3"/>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CORP</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7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广州二六三移动 通信有限公司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二六三移动通信</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迪讯（香港）有 </w:t>
            </w:r>
            <w:r>
              <w:rPr>
                <w:rFonts w:ascii="宋体" w:hAnsi="宋体" w:cs="宋体" w:eastAsia="宋体" w:hint="default"/>
                <w:spacing w:val="-5"/>
                <w:sz w:val="18"/>
                <w:szCs w:val="18"/>
              </w:rPr>
              <w:t>限公司（英文名</w:t>
            </w:r>
            <w:r>
              <w:rPr>
                <w:rFonts w:ascii="宋体" w:hAnsi="宋体" w:cs="宋体" w:eastAsia="宋体" w:hint="default"/>
                <w:sz w:val="18"/>
                <w:szCs w:val="18"/>
              </w:rPr>
              <w:t> </w:t>
            </w:r>
            <w:r>
              <w:rPr>
                <w:rFonts w:ascii="Times New Roman" w:hAnsi="Times New Roman" w:cs="Times New Roman" w:eastAsia="Times New Roman" w:hint="default"/>
                <w:sz w:val="18"/>
                <w:szCs w:val="18"/>
              </w:rPr>
              <w:t>Delcom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(HK)</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1;height:393" coordorigin="23,468" coordsize="1311,393">
                    <v:shape style="position:absolute;left:23;top:468;width:1311;height:393" coordorigin="23,468" coordsize="1311,393" path="m23,860l1333,860,1333,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前海迪迅（深圳</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bl>
    <w:p>
      <w:pPr>
        <w:pStyle w:val="BodyText"/>
        <w:spacing w:line="360" w:lineRule="auto" w:before="51"/>
        <w:ind w:left="154" w:right="6972"/>
        <w:jc w:val="left"/>
      </w:pPr>
      <w:r>
        <w:rPr/>
        <w:t>在子公司的持股比例不同于表决权比例的说明： 无</w:t>
      </w:r>
    </w:p>
    <w:p>
      <w:pPr>
        <w:pStyle w:val="BodyText"/>
        <w:spacing w:line="360" w:lineRule="auto" w:before="26"/>
        <w:ind w:right="2833"/>
        <w:jc w:val="left"/>
      </w:pPr>
      <w:r>
        <w:rPr/>
        <w:t>持有半数或以下表决权但仍控制被投资单位、以及持有半数以上表决权但不控制被投资单位的依据： 无</w:t>
      </w:r>
    </w:p>
    <w:p>
      <w:pPr>
        <w:pStyle w:val="BodyText"/>
        <w:spacing w:line="357" w:lineRule="auto" w:before="26"/>
        <w:ind w:left="154" w:right="6432"/>
        <w:jc w:val="left"/>
      </w:pPr>
      <w:r>
        <w:rPr/>
        <w:t>对于纳入合并范围的重要的结构化主体，控制的依据： 无</w:t>
      </w:r>
    </w:p>
    <w:p>
      <w:pPr>
        <w:pStyle w:val="BodyText"/>
        <w:spacing w:line="357" w:lineRule="auto" w:before="29"/>
        <w:ind w:left="154" w:right="7692"/>
        <w:jc w:val="left"/>
      </w:pPr>
      <w:r>
        <w:rPr/>
        <w:t>确定公司是代理人还是委托人的依据：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重要的非全资子公司" w:id="337"/>
      <w:bookmarkEnd w:id="33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重要非全资子公司的主要财务信息" w:id="338"/>
      <w:bookmarkEnd w:id="33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使用企业集团资产和清偿企业集团债务的重大限制" w:id="339"/>
      <w:bookmarkEnd w:id="33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5）向纳入合并财务报表范围的结构化主体提供的财务支持或其他支持" w:id="340"/>
      <w:bookmarkEnd w:id="34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在子公司的所有者权益份额发生变化且仍控制子公司的交易" w:id="341"/>
      <w:bookmarkEnd w:id="34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在合营安排或联营企业中的权益" w:id="342"/>
      <w:bookmarkEnd w:id="34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重要的合营企业或联营企业" w:id="343"/>
      <w:bookmarkEnd w:id="34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不重要的合营企业和联营企业的汇总财务信息" w:id="344"/>
      <w:bookmarkEnd w:id="344"/>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35,230,169.26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34,681,810.41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463,494.55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-6,897,274.53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463,494.55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-6,897,274.53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3）合营企业或联营企业向本公司转移资金的能力存在重大限制的说明" w:id="345"/>
      <w:bookmarkEnd w:id="345"/>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4）合营企业或联营企业发生的超额亏损" w:id="346"/>
      <w:bookmarkEnd w:id="346"/>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5）与合营企业投资相关的未确认承诺" w:id="347"/>
      <w:bookmarkEnd w:id="347"/>
      <w:r>
        <w:rPr>
          <w:b w:val="0"/>
          <w:bCs w:val="0"/>
        </w:rPr>
      </w: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2"/>
        <w:rPr>
          <w:rFonts w:ascii="宋体" w:hAnsi="宋体" w:cs="宋体" w:eastAsia="宋体" w:hint="default"/>
          <w:sz w:val="26"/>
          <w:szCs w:val="26"/>
        </w:rPr>
      </w:pPr>
    </w:p>
    <w:p>
      <w:pPr>
        <w:pStyle w:val="Heading4"/>
        <w:spacing w:line="240" w:lineRule="auto"/>
        <w:ind w:right="1033"/>
        <w:jc w:val="left"/>
        <w:rPr>
          <w:b w:val="0"/>
          <w:bCs w:val="0"/>
        </w:rPr>
      </w:pPr>
      <w:bookmarkStart w:name="（6）与合营企业或联营企业投资相关的或有负债" w:id="348"/>
      <w:bookmarkEnd w:id="348"/>
      <w:r>
        <w:rPr>
          <w:b w:val="0"/>
          <w:bCs w:val="0"/>
        </w:rPr>
      </w: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1033"/>
        <w:jc w:val="left"/>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3" w:firstLine="363"/>
        <w:jc w:val="left"/>
      </w:pPr>
      <w:r>
        <w:rPr>
          <w:spacing w:val="-2"/>
        </w:rPr>
        <w:t>本公司的经营活动会面临各种金融风险：信用风险、流动风险和市场风险（主要为外汇风险和利率风险）。本公司整体</w:t>
      </w:r>
      <w:r>
        <w:rPr/>
        <w:t> 的风险管理计划针对金融市场的不可预见性，力求减少对本公司财务业绩的潜在不利影响。</w:t>
      </w:r>
    </w:p>
    <w:p>
      <w:pPr>
        <w:pStyle w:val="Heading6"/>
        <w:spacing w:line="240" w:lineRule="auto" w:before="57"/>
        <w:ind w:right="1033"/>
        <w:jc w:val="left"/>
        <w:rPr>
          <w:b w:val="0"/>
          <w:bCs w:val="0"/>
        </w:rPr>
      </w:pPr>
      <w:r>
        <w:rPr/>
        <w:t>（一）信用风险</w:t>
      </w:r>
      <w:r>
        <w:rPr>
          <w:b w:val="0"/>
          <w:bCs w:val="0"/>
        </w:rPr>
      </w:r>
    </w:p>
    <w:p>
      <w:pPr>
        <w:pStyle w:val="BodyText"/>
        <w:spacing w:line="338" w:lineRule="auto" w:before="115"/>
        <w:ind w:right="1033" w:firstLine="420"/>
        <w:jc w:val="left"/>
      </w:pPr>
      <w:r>
        <w:rPr/>
        <w:t>本公司的信用风险主要来自货币资金、应收账款、其他应收款、以公允价值计量且其变动计入当期损益的金融资产和 可供出售金融资产等。管理层已制定适当的信用政策，并且不断监察这些信用风险的敞口。 </w:t>
      </w:r>
      <w:r>
        <w:rPr>
          <w:spacing w:val="-2"/>
        </w:rPr>
        <w:t>本公司持有的货币资金，主要存放于商业银行等金融机构，管理层认为这些商业银行具备较高信誉和资产状况，存在较低的</w:t>
      </w:r>
    </w:p>
    <w:p>
      <w:pPr>
        <w:pStyle w:val="BodyText"/>
        <w:spacing w:line="357" w:lineRule="auto" w:before="4"/>
        <w:ind w:left="574" w:right="1033" w:hanging="420"/>
        <w:jc w:val="left"/>
      </w:pPr>
      <w:r>
        <w:rPr/>
        <w:t>信用风险。本公司采取限额政策以规避对任何金融机构的信贷风险。 对于应收账款、其他应收款，本公司设定相关政策以控制信用风险敞口。本公司基于对客户的财务状况、从第三方获</w:t>
      </w:r>
    </w:p>
    <w:p>
      <w:pPr>
        <w:pStyle w:val="BodyText"/>
        <w:spacing w:line="224" w:lineRule="exact"/>
        <w:ind w:left="154" w:right="0"/>
        <w:jc w:val="left"/>
      </w:pPr>
      <w:r>
        <w:rPr/>
        <w:t>取担保的可能性、信用记录及其它因素诸如目前市场状况等评估客户的信用资质并设置相应信用期。本公司会定期对客户信</w:t>
      </w:r>
    </w:p>
    <w:p>
      <w:pPr>
        <w:pStyle w:val="BodyText"/>
        <w:spacing w:line="319" w:lineRule="auto" w:before="76"/>
        <w:ind w:left="154" w:right="1033"/>
        <w:jc w:val="left"/>
      </w:pPr>
      <w:r>
        <w:rPr>
          <w:spacing w:val="-2"/>
        </w:rPr>
        <w:t>用记录进行监控，对于信用记录不良的客户，本公司会采用书面催款、缩短信用期或取消信用期等方式，以确保本公司的整</w:t>
      </w:r>
      <w:r>
        <w:rPr>
          <w:spacing w:val="-66"/>
        </w:rPr>
        <w:t> </w:t>
      </w:r>
      <w:r>
        <w:rPr>
          <w:spacing w:val="-66"/>
        </w:rPr>
      </w:r>
      <w:r>
        <w:rPr/>
        <w:t>体信用风险在可控的范围内。</w:t>
      </w:r>
    </w:p>
    <w:p>
      <w:pPr>
        <w:pStyle w:val="BodyText"/>
        <w:spacing w:line="340" w:lineRule="auto" w:before="56"/>
        <w:ind w:left="574" w:right="1499"/>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日，本公司的前五大客户的应收款占本公司应收款项总额</w:t>
      </w:r>
      <w:r>
        <w:rPr>
          <w:rFonts w:ascii="Times New Roman" w:hAnsi="Times New Roman" w:cs="Times New Roman" w:eastAsia="Times New Roman" w:hint="default"/>
        </w:rPr>
        <w:t>47.83%</w:t>
      </w:r>
      <w:r>
        <w:rPr>
          <w:rFonts w:ascii="Times New Roman" w:hAnsi="Times New Roman" w:cs="Times New Roman" w:eastAsia="Times New Roman" w:hint="default"/>
          <w:spacing w:val="-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35.85%)</w:t>
      </w:r>
      <w:r>
        <w:rPr/>
        <w:t>。 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的账面金额。</w:t>
      </w:r>
    </w:p>
    <w:p>
      <w:pPr>
        <w:pStyle w:val="BodyText"/>
        <w:spacing w:line="352" w:lineRule="auto" w:before="18"/>
        <w:ind w:left="517" w:right="1884" w:hanging="364"/>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本公司财务管理部持续监控公司短期和长期的资金需求，以确保维持充裕的现金储备。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日，本公司各项金融资产及金融负债以未折现的合同现金流量按到期日列示如下：</w:t>
      </w:r>
    </w:p>
    <w:tbl>
      <w:tblPr>
        <w:tblW w:w="0" w:type="auto"/>
        <w:jc w:val="left"/>
        <w:tblInd w:w="146" w:type="dxa"/>
        <w:tblLayout w:type="fixed"/>
        <w:tblCellMar>
          <w:top w:w="0" w:type="dxa"/>
          <w:left w:w="0" w:type="dxa"/>
          <w:bottom w:w="0" w:type="dxa"/>
          <w:right w:w="0" w:type="dxa"/>
        </w:tblCellMar>
        <w:tblLook w:val="01E0"/>
      </w:tblPr>
      <w:tblGrid>
        <w:gridCol w:w="1553"/>
        <w:gridCol w:w="1556"/>
        <w:gridCol w:w="1665"/>
        <w:gridCol w:w="1648"/>
        <w:gridCol w:w="852"/>
        <w:gridCol w:w="848"/>
        <w:gridCol w:w="904"/>
      </w:tblGrid>
      <w:tr>
        <w:trPr>
          <w:trHeight w:val="435" w:hRule="exact"/>
        </w:trPr>
        <w:tc>
          <w:tcPr>
            <w:tcW w:w="155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0D0D0D"/>
                <w:sz w:val="18"/>
                <w:szCs w:val="18"/>
              </w:rPr>
              <w:t>项目</w:t>
            </w:r>
            <w:r>
              <w:rPr>
                <w:rFonts w:ascii="宋体" w:hAnsi="宋体" w:cs="宋体" w:eastAsia="宋体" w:hint="default"/>
                <w:sz w:val="18"/>
                <w:szCs w:val="18"/>
              </w:rPr>
            </w:r>
          </w:p>
        </w:tc>
        <w:tc>
          <w:tcPr>
            <w:tcW w:w="7473" w:type="dxa"/>
            <w:gridSpan w:val="6"/>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color w:val="0D0D0D"/>
                <w:sz w:val="18"/>
                <w:szCs w:val="18"/>
              </w:rPr>
              <w:t>期末余额</w:t>
            </w:r>
            <w:r>
              <w:rPr>
                <w:rFonts w:ascii="宋体" w:hAnsi="宋体" w:cs="宋体" w:eastAsia="宋体" w:hint="default"/>
                <w:sz w:val="18"/>
                <w:szCs w:val="18"/>
              </w:rPr>
            </w:r>
          </w:p>
        </w:tc>
      </w:tr>
      <w:tr>
        <w:trPr>
          <w:trHeight w:val="432" w:hRule="exact"/>
        </w:trPr>
        <w:tc>
          <w:tcPr>
            <w:tcW w:w="1553" w:type="dxa"/>
            <w:vMerge/>
            <w:tcBorders>
              <w:left w:val="single" w:sz="6" w:space="0" w:color="000000"/>
              <w:bottom w:val="single" w:sz="12" w:space="0" w:color="000000"/>
              <w:right w:val="single" w:sz="6" w:space="0" w:color="000000"/>
            </w:tcBorders>
            <w:shd w:val="clear" w:color="auto" w:fill="D9D9D9"/>
          </w:tcPr>
          <w:p>
            <w:pPr/>
          </w:p>
        </w:tc>
        <w:tc>
          <w:tcPr>
            <w:tcW w:w="1556"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8"/>
              <w:ind w:left="410" w:right="0"/>
              <w:jc w:val="left"/>
              <w:rPr>
                <w:rFonts w:ascii="宋体" w:hAnsi="宋体" w:cs="宋体" w:eastAsia="宋体" w:hint="default"/>
                <w:sz w:val="18"/>
                <w:szCs w:val="18"/>
              </w:rPr>
            </w:pPr>
            <w:r>
              <w:rPr>
                <w:rFonts w:ascii="宋体" w:hAnsi="宋体" w:cs="宋体" w:eastAsia="宋体" w:hint="default"/>
                <w:color w:val="0D0D0D"/>
                <w:sz w:val="18"/>
                <w:szCs w:val="18"/>
              </w:rPr>
              <w:t>账面净值</w:t>
            </w:r>
            <w:r>
              <w:rPr>
                <w:rFonts w:ascii="宋体" w:hAnsi="宋体" w:cs="宋体" w:eastAsia="宋体" w:hint="default"/>
                <w:sz w:val="18"/>
                <w:szCs w:val="18"/>
              </w:rPr>
            </w:r>
          </w:p>
        </w:tc>
        <w:tc>
          <w:tcPr>
            <w:tcW w:w="166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color w:val="0D0D0D"/>
                <w:sz w:val="18"/>
                <w:szCs w:val="18"/>
              </w:rPr>
              <w:t>账面原值</w:t>
            </w:r>
            <w:r>
              <w:rPr>
                <w:rFonts w:ascii="宋体" w:hAnsi="宋体" w:cs="宋体" w:eastAsia="宋体" w:hint="default"/>
                <w:sz w:val="18"/>
                <w:szCs w:val="18"/>
              </w:rPr>
            </w:r>
          </w:p>
        </w:tc>
        <w:tc>
          <w:tcPr>
            <w:tcW w:w="164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8"/>
              <w:ind w:left="501"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1</w:t>
            </w:r>
            <w:r>
              <w:rPr>
                <w:rFonts w:ascii="宋体" w:hAnsi="宋体" w:cs="宋体" w:eastAsia="宋体" w:hint="default"/>
                <w:color w:val="0D0D0D"/>
                <w:sz w:val="18"/>
                <w:szCs w:val="18"/>
              </w:rPr>
              <w:t>年以内</w:t>
            </w:r>
            <w:r>
              <w:rPr>
                <w:rFonts w:ascii="宋体" w:hAnsi="宋体" w:cs="宋体" w:eastAsia="宋体" w:hint="default"/>
                <w:sz w:val="18"/>
                <w:szCs w:val="18"/>
              </w:rPr>
            </w:r>
          </w:p>
        </w:tc>
        <w:tc>
          <w:tcPr>
            <w:tcW w:w="85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8"/>
              <w:ind w:left="207"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1-2</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84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8"/>
              <w:ind w:left="206"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2-5</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904" w:type="dxa"/>
            <w:tcBorders>
              <w:top w:val="single" w:sz="12"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48"/>
              <w:ind w:left="129"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5</w:t>
            </w:r>
            <w:r>
              <w:rPr>
                <w:rFonts w:ascii="宋体" w:hAnsi="宋体" w:cs="宋体" w:eastAsia="宋体" w:hint="default"/>
                <w:color w:val="0D0D0D"/>
                <w:sz w:val="18"/>
                <w:szCs w:val="18"/>
              </w:rPr>
              <w:t>年以上</w:t>
            </w:r>
            <w:r>
              <w:rPr>
                <w:rFonts w:ascii="宋体" w:hAnsi="宋体" w:cs="宋体" w:eastAsia="宋体" w:hint="default"/>
                <w:sz w:val="18"/>
                <w:szCs w:val="18"/>
              </w:rPr>
            </w: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left="2" w:right="0"/>
              <w:jc w:val="left"/>
              <w:rPr>
                <w:rFonts w:ascii="宋体" w:hAnsi="宋体" w:cs="宋体" w:eastAsia="宋体" w:hint="default"/>
                <w:sz w:val="18"/>
                <w:szCs w:val="18"/>
              </w:rPr>
            </w:pPr>
            <w:r>
              <w:rPr>
                <w:rFonts w:ascii="宋体" w:hAnsi="宋体" w:cs="宋体" w:eastAsia="宋体" w:hint="default"/>
                <w:color w:val="0D0D0D"/>
                <w:sz w:val="18"/>
                <w:szCs w:val="18"/>
              </w:rPr>
              <w:t>贷币资金</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spacing w:val="-1"/>
                <w:sz w:val="18"/>
              </w:rPr>
              <w:t>961,055,363.66</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spacing w:val="-1"/>
                <w:sz w:val="18"/>
              </w:rPr>
              <w:t>961,055,363.66</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spacing w:val="-1"/>
                <w:sz w:val="18"/>
              </w:rPr>
              <w:t>961,055,363.66</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8"/>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left="2" w:right="-10"/>
              <w:jc w:val="left"/>
              <w:rPr>
                <w:rFonts w:ascii="宋体" w:hAnsi="宋体" w:cs="宋体" w:eastAsia="宋体" w:hint="default"/>
                <w:sz w:val="18"/>
                <w:szCs w:val="18"/>
              </w:rPr>
            </w:pPr>
            <w:r>
              <w:rPr>
                <w:rFonts w:ascii="宋体" w:hAnsi="宋体" w:cs="宋体" w:eastAsia="宋体" w:hint="default"/>
                <w:color w:val="0D0D0D"/>
                <w:spacing w:val="13"/>
                <w:sz w:val="18"/>
                <w:szCs w:val="18"/>
              </w:rPr>
              <w:t>以公允价值计量且</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color w:val="0D0D0D"/>
                <w:sz w:val="18"/>
              </w:rPr>
              <w:t>0.00</w:t>
            </w:r>
            <w:r>
              <w:rPr>
                <w:rFonts w:ascii="Times New Roman"/>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color w:val="0D0D0D"/>
                <w:sz w:val="18"/>
              </w:rPr>
              <w:t>0.00</w:t>
            </w:r>
            <w:r>
              <w:rPr>
                <w:rFonts w:ascii="Times New Roman"/>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sz w:val="18"/>
              </w:rPr>
              <w:t>0.00</w:t>
            </w:r>
            <w:r>
              <w:rPr>
                <w:rFonts w:ascii="Times New Roman"/>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8"/>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53"/>
        <w:gridCol w:w="1556"/>
        <w:gridCol w:w="1665"/>
        <w:gridCol w:w="1648"/>
        <w:gridCol w:w="852"/>
        <w:gridCol w:w="848"/>
        <w:gridCol w:w="904"/>
      </w:tblGrid>
      <w:tr>
        <w:trPr>
          <w:trHeight w:val="706" w:hRule="exact"/>
        </w:trPr>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2" w:right="-10"/>
              <w:jc w:val="left"/>
              <w:rPr>
                <w:rFonts w:ascii="宋体" w:hAnsi="宋体" w:cs="宋体" w:eastAsia="宋体" w:hint="default"/>
                <w:sz w:val="18"/>
                <w:szCs w:val="18"/>
              </w:rPr>
            </w:pPr>
            <w:r>
              <w:rPr>
                <w:rFonts w:ascii="宋体" w:hAnsi="宋体" w:cs="宋体" w:eastAsia="宋体" w:hint="default"/>
                <w:color w:val="0D0D0D"/>
                <w:spacing w:val="13"/>
                <w:sz w:val="18"/>
                <w:szCs w:val="18"/>
              </w:rPr>
              <w:t>其变动计入当期损 </w:t>
            </w:r>
            <w:r>
              <w:rPr>
                <w:rFonts w:ascii="宋体" w:hAnsi="宋体" w:cs="宋体" w:eastAsia="宋体" w:hint="default"/>
                <w:color w:val="0D0D0D"/>
                <w:sz w:val="18"/>
                <w:szCs w:val="18"/>
              </w:rPr>
              <w:t>益的金融资产</w:t>
            </w:r>
            <w:r>
              <w:rPr>
                <w:rFonts w:ascii="宋体" w:hAnsi="宋体" w:cs="宋体" w:eastAsia="宋体" w:hint="default"/>
                <w:sz w:val="18"/>
                <w:szCs w:val="18"/>
              </w:rPr>
            </w:r>
          </w:p>
        </w:tc>
        <w:tc>
          <w:tcPr>
            <w:tcW w:w="1556" w:type="dxa"/>
            <w:tcBorders>
              <w:top w:val="single" w:sz="6" w:space="0" w:color="000000"/>
              <w:left w:val="single" w:sz="6" w:space="0" w:color="000000"/>
              <w:bottom w:val="single" w:sz="12" w:space="0" w:color="000000"/>
              <w:right w:val="single" w:sz="6" w:space="0" w:color="000000"/>
            </w:tcBorders>
          </w:tcPr>
          <w:p>
            <w:pPr/>
          </w:p>
        </w:tc>
        <w:tc>
          <w:tcPr>
            <w:tcW w:w="1665" w:type="dxa"/>
            <w:tcBorders>
              <w:top w:val="single" w:sz="6" w:space="0" w:color="000000"/>
              <w:left w:val="single" w:sz="6" w:space="0" w:color="000000"/>
              <w:bottom w:val="single" w:sz="12" w:space="0" w:color="000000"/>
              <w:right w:val="single" w:sz="6" w:space="0" w:color="000000"/>
            </w:tcBorders>
          </w:tcPr>
          <w:p>
            <w:pPr/>
          </w:p>
        </w:tc>
        <w:tc>
          <w:tcPr>
            <w:tcW w:w="1648"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848" w:type="dxa"/>
            <w:tcBorders>
              <w:top w:val="single" w:sz="6" w:space="0" w:color="000000"/>
              <w:left w:val="single" w:sz="6" w:space="0" w:color="000000"/>
              <w:bottom w:val="single" w:sz="12" w:space="0" w:color="000000"/>
              <w:right w:val="single" w:sz="6" w:space="0" w:color="000000"/>
            </w:tcBorders>
          </w:tcPr>
          <w:p>
            <w:pPr/>
          </w:p>
        </w:tc>
        <w:tc>
          <w:tcPr>
            <w:tcW w:w="904" w:type="dxa"/>
            <w:tcBorders>
              <w:top w:val="single" w:sz="6" w:space="0" w:color="000000"/>
              <w:left w:val="single" w:sz="6" w:space="0" w:color="000000"/>
              <w:bottom w:val="single" w:sz="12" w:space="0" w:color="000000"/>
              <w:right w:val="single" w:sz="4" w:space="0" w:color="000000"/>
            </w:tcBorders>
          </w:tcPr>
          <w:p>
            <w:pP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应收账款</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65,360,942.25</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70,545,991.39</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70,545,991.39</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其他应收款</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13,521,017.21</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13,906,654.81</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13,906,654.81</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2"/>
              <w:jc w:val="left"/>
              <w:rPr>
                <w:rFonts w:ascii="宋体" w:hAnsi="宋体" w:cs="宋体" w:eastAsia="宋体" w:hint="default"/>
                <w:sz w:val="18"/>
                <w:szCs w:val="18"/>
              </w:rPr>
            </w:pPr>
            <w:r>
              <w:rPr>
                <w:rFonts w:ascii="宋体" w:hAnsi="宋体" w:cs="宋体" w:eastAsia="宋体" w:hint="default"/>
                <w:color w:val="0D0D0D"/>
                <w:spacing w:val="-10"/>
                <w:sz w:val="18"/>
                <w:szCs w:val="18"/>
              </w:rPr>
              <w:t>其他流动资产（银行</w:t>
            </w:r>
            <w:r>
              <w:rPr>
                <w:rFonts w:ascii="宋体" w:hAnsi="宋体" w:cs="宋体" w:eastAsia="宋体" w:hint="default"/>
                <w:color w:val="0D0D0D"/>
                <w:sz w:val="18"/>
                <w:szCs w:val="18"/>
              </w:rPr>
              <w:t> 理财产品）</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206,000,000.00</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206,000,000.00</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206,000,000.00</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
        </w:tc>
        <w:tc>
          <w:tcPr>
            <w:tcW w:w="848" w:type="dxa"/>
            <w:tcBorders>
              <w:top w:val="single" w:sz="12" w:space="0" w:color="000000"/>
              <w:left w:val="single" w:sz="6" w:space="0" w:color="000000"/>
              <w:bottom w:val="single" w:sz="12" w:space="0" w:color="000000"/>
              <w:right w:val="single" w:sz="6" w:space="0" w:color="000000"/>
            </w:tcBorders>
          </w:tcPr>
          <w:p>
            <w:pPr/>
          </w:p>
        </w:tc>
        <w:tc>
          <w:tcPr>
            <w:tcW w:w="904" w:type="dxa"/>
            <w:tcBorders>
              <w:top w:val="single" w:sz="12" w:space="0" w:color="000000"/>
              <w:left w:val="single" w:sz="6" w:space="0" w:color="000000"/>
              <w:bottom w:val="single" w:sz="12" w:space="0" w:color="000000"/>
              <w:right w:val="single" w:sz="4" w:space="0" w:color="000000"/>
            </w:tcBorders>
          </w:tcPr>
          <w:p>
            <w:pPr/>
          </w:p>
        </w:tc>
      </w:tr>
      <w:tr>
        <w:trPr>
          <w:trHeight w:val="1100"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可供出售金融资产</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160,532,424.51</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160,532,424.51</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160,532,424.51</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
        </w:tc>
        <w:tc>
          <w:tcPr>
            <w:tcW w:w="848" w:type="dxa"/>
            <w:tcBorders>
              <w:top w:val="single" w:sz="12" w:space="0" w:color="000000"/>
              <w:left w:val="single" w:sz="6" w:space="0" w:color="000000"/>
              <w:bottom w:val="single" w:sz="12" w:space="0" w:color="000000"/>
              <w:right w:val="single" w:sz="6" w:space="0" w:color="000000"/>
            </w:tcBorders>
          </w:tcPr>
          <w:p>
            <w:pPr/>
          </w:p>
        </w:tc>
        <w:tc>
          <w:tcPr>
            <w:tcW w:w="904" w:type="dxa"/>
            <w:tcBorders>
              <w:top w:val="single" w:sz="12" w:space="0" w:color="000000"/>
              <w:left w:val="single" w:sz="6" w:space="0" w:color="000000"/>
              <w:bottom w:val="single" w:sz="12" w:space="0" w:color="000000"/>
              <w:right w:val="single" w:sz="4" w:space="0" w:color="000000"/>
            </w:tcBorders>
          </w:tcPr>
          <w:p>
            <w:pP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spacing w:val="-1"/>
                <w:sz w:val="18"/>
              </w:rPr>
              <w:t>1,406,469,747.63</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1,412,040,434.37</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1,412,040,434.37</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43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应付账款</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47,100,218.04</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47,100,218.04</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47,100,218.04</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0"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其他应付款</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34,684,520.97</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34,684,520.977</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34,684,520.97</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
        </w:tc>
        <w:tc>
          <w:tcPr>
            <w:tcW w:w="848" w:type="dxa"/>
            <w:tcBorders>
              <w:top w:val="single" w:sz="12" w:space="0" w:color="000000"/>
              <w:left w:val="single" w:sz="6" w:space="0" w:color="000000"/>
              <w:bottom w:val="single" w:sz="12" w:space="0" w:color="000000"/>
              <w:right w:val="single" w:sz="6" w:space="0" w:color="000000"/>
            </w:tcBorders>
          </w:tcPr>
          <w:p>
            <w:pP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2" w:hRule="exact"/>
        </w:trPr>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81,784,739.01</w:t>
            </w:r>
            <w:r>
              <w:rPr>
                <w:rFonts w:ascii="Times New Roman"/>
                <w:spacing w:val="-1"/>
                <w:sz w:val="18"/>
              </w:rPr>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81,784,739.01</w:t>
            </w:r>
            <w:r>
              <w:rPr>
                <w:rFonts w:ascii="Times New Roman"/>
                <w:spacing w:val="-1"/>
                <w:sz w:val="18"/>
              </w:rPr>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81,784,739.01</w:t>
            </w:r>
            <w:r>
              <w:rPr>
                <w:rFonts w:ascii="Times New Roman"/>
                <w:spacing w:val="-1"/>
                <w:sz w:val="18"/>
              </w:rPr>
            </w:r>
          </w:p>
        </w:tc>
        <w:tc>
          <w:tcPr>
            <w:tcW w:w="852" w:type="dxa"/>
            <w:tcBorders>
              <w:top w:val="single" w:sz="12" w:space="0" w:color="000000"/>
              <w:left w:val="single" w:sz="6" w:space="0" w:color="000000"/>
              <w:bottom w:val="single" w:sz="12" w:space="0" w:color="000000"/>
              <w:right w:val="single" w:sz="6" w:space="0" w:color="000000"/>
            </w:tcBorders>
          </w:tcPr>
          <w:p>
            <w:pPr/>
          </w:p>
        </w:tc>
        <w:tc>
          <w:tcPr>
            <w:tcW w:w="848" w:type="dxa"/>
            <w:tcBorders>
              <w:top w:val="single" w:sz="12" w:space="0" w:color="000000"/>
              <w:left w:val="single" w:sz="6" w:space="0" w:color="000000"/>
              <w:bottom w:val="single" w:sz="12" w:space="0" w:color="000000"/>
              <w:right w:val="single" w:sz="6" w:space="0" w:color="000000"/>
            </w:tcBorders>
          </w:tcPr>
          <w:p>
            <w:pPr/>
          </w:p>
        </w:tc>
        <w:tc>
          <w:tcPr>
            <w:tcW w:w="90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bl>
    <w:p>
      <w:pPr>
        <w:pStyle w:val="BodyText"/>
        <w:spacing w:line="240" w:lineRule="auto" w:before="51"/>
        <w:ind w:left="574" w:right="1033"/>
        <w:jc w:val="left"/>
      </w:pPr>
      <w:r>
        <w:rPr>
          <w:color w:val="0D0D0D"/>
        </w:rPr>
        <w:t>续：</w:t>
      </w:r>
      <w:r>
        <w:rPr/>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71"/>
        <w:gridCol w:w="1501"/>
        <w:gridCol w:w="1577"/>
        <w:gridCol w:w="1603"/>
        <w:gridCol w:w="1014"/>
        <w:gridCol w:w="882"/>
        <w:gridCol w:w="822"/>
      </w:tblGrid>
      <w:tr>
        <w:trPr>
          <w:trHeight w:val="435" w:hRule="exact"/>
        </w:trPr>
        <w:tc>
          <w:tcPr>
            <w:tcW w:w="167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0D0D0D"/>
                <w:sz w:val="18"/>
                <w:szCs w:val="18"/>
              </w:rPr>
              <w:t>项目</w:t>
            </w:r>
            <w:r>
              <w:rPr>
                <w:rFonts w:ascii="宋体" w:hAnsi="宋体" w:cs="宋体" w:eastAsia="宋体" w:hint="default"/>
                <w:sz w:val="18"/>
                <w:szCs w:val="18"/>
              </w:rPr>
            </w:r>
          </w:p>
        </w:tc>
        <w:tc>
          <w:tcPr>
            <w:tcW w:w="7400" w:type="dxa"/>
            <w:gridSpan w:val="6"/>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color w:val="0D0D0D"/>
                <w:sz w:val="18"/>
                <w:szCs w:val="18"/>
              </w:rPr>
              <w:t>期初余额</w:t>
            </w:r>
            <w:r>
              <w:rPr>
                <w:rFonts w:ascii="宋体" w:hAnsi="宋体" w:cs="宋体" w:eastAsia="宋体" w:hint="default"/>
                <w:sz w:val="18"/>
                <w:szCs w:val="18"/>
              </w:rPr>
            </w:r>
          </w:p>
        </w:tc>
      </w:tr>
      <w:tr>
        <w:trPr>
          <w:trHeight w:val="432" w:hRule="exact"/>
        </w:trPr>
        <w:tc>
          <w:tcPr>
            <w:tcW w:w="1671" w:type="dxa"/>
            <w:vMerge/>
            <w:tcBorders>
              <w:left w:val="single" w:sz="6" w:space="0" w:color="000000"/>
              <w:bottom w:val="single" w:sz="12" w:space="0" w:color="000000"/>
              <w:right w:val="single" w:sz="6" w:space="0" w:color="000000"/>
            </w:tcBorders>
            <w:shd w:val="clear" w:color="auto" w:fill="D9D9D9"/>
          </w:tcPr>
          <w:p>
            <w:pPr/>
          </w:p>
        </w:tc>
        <w:tc>
          <w:tcPr>
            <w:tcW w:w="150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color w:val="0D0D0D"/>
                <w:sz w:val="18"/>
                <w:szCs w:val="18"/>
              </w:rPr>
              <w:t>账面净值</w:t>
            </w:r>
            <w:r>
              <w:rPr>
                <w:rFonts w:ascii="宋体" w:hAnsi="宋体" w:cs="宋体" w:eastAsia="宋体" w:hint="default"/>
                <w:sz w:val="18"/>
                <w:szCs w:val="18"/>
              </w:rPr>
            </w:r>
          </w:p>
        </w:tc>
        <w:tc>
          <w:tcPr>
            <w:tcW w:w="157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color w:val="0D0D0D"/>
                <w:sz w:val="18"/>
                <w:szCs w:val="18"/>
              </w:rPr>
              <w:t>账面原值</w:t>
            </w:r>
            <w:r>
              <w:rPr>
                <w:rFonts w:ascii="宋体" w:hAnsi="宋体" w:cs="宋体" w:eastAsia="宋体" w:hint="default"/>
                <w:sz w:val="18"/>
                <w:szCs w:val="18"/>
              </w:rPr>
            </w:r>
          </w:p>
        </w:tc>
        <w:tc>
          <w:tcPr>
            <w:tcW w:w="1603"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1</w:t>
            </w:r>
            <w:r>
              <w:rPr>
                <w:rFonts w:ascii="宋体" w:hAnsi="宋体" w:cs="宋体" w:eastAsia="宋体" w:hint="default"/>
                <w:color w:val="0D0D0D"/>
                <w:sz w:val="18"/>
                <w:szCs w:val="18"/>
              </w:rPr>
              <w:t>年以内</w:t>
            </w:r>
            <w:r>
              <w:rPr>
                <w:rFonts w:ascii="宋体" w:hAnsi="宋体" w:cs="宋体" w:eastAsia="宋体" w:hint="default"/>
                <w:sz w:val="18"/>
                <w:szCs w:val="18"/>
              </w:rPr>
            </w:r>
          </w:p>
        </w:tc>
        <w:tc>
          <w:tcPr>
            <w:tcW w:w="1014"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289"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1-2</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88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223"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2-5</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822" w:type="dxa"/>
            <w:tcBorders>
              <w:top w:val="single" w:sz="12"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51"/>
              <w:ind w:left="87"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5</w:t>
            </w:r>
            <w:r>
              <w:rPr>
                <w:rFonts w:ascii="宋体" w:hAnsi="宋体" w:cs="宋体" w:eastAsia="宋体" w:hint="default"/>
                <w:color w:val="0D0D0D"/>
                <w:sz w:val="18"/>
                <w:szCs w:val="18"/>
              </w:rPr>
              <w:t>年以上</w:t>
            </w:r>
            <w:r>
              <w:rPr>
                <w:rFonts w:ascii="宋体" w:hAnsi="宋体" w:cs="宋体" w:eastAsia="宋体" w:hint="default"/>
                <w:sz w:val="18"/>
                <w:szCs w:val="18"/>
              </w:rPr>
            </w:r>
          </w:p>
        </w:tc>
      </w:tr>
      <w:tr>
        <w:trPr>
          <w:trHeight w:val="432"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贷币资金</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510,293,386.15</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510,293,386.15</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510,293,386.15</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056"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3"/>
              <w:jc w:val="both"/>
              <w:rPr>
                <w:rFonts w:ascii="宋体" w:hAnsi="宋体" w:cs="宋体" w:eastAsia="宋体" w:hint="default"/>
                <w:sz w:val="18"/>
                <w:szCs w:val="18"/>
              </w:rPr>
            </w:pPr>
            <w:r>
              <w:rPr>
                <w:rFonts w:ascii="宋体" w:hAnsi="宋体" w:cs="宋体" w:eastAsia="宋体" w:hint="default"/>
                <w:color w:val="0D0D0D"/>
                <w:spacing w:val="2"/>
                <w:sz w:val="18"/>
                <w:szCs w:val="18"/>
              </w:rPr>
              <w:t>以公允价值计量且其</w:t>
            </w:r>
            <w:r>
              <w:rPr>
                <w:rFonts w:ascii="宋体" w:hAnsi="宋体" w:cs="宋体" w:eastAsia="宋体" w:hint="default"/>
                <w:color w:val="0D0D0D"/>
                <w:spacing w:val="-84"/>
                <w:sz w:val="18"/>
                <w:szCs w:val="18"/>
              </w:rPr>
              <w:t> </w:t>
            </w:r>
            <w:r>
              <w:rPr>
                <w:rFonts w:ascii="宋体" w:hAnsi="宋体" w:cs="宋体" w:eastAsia="宋体" w:hint="default"/>
                <w:color w:val="0D0D0D"/>
                <w:spacing w:val="-84"/>
                <w:sz w:val="18"/>
                <w:szCs w:val="18"/>
              </w:rPr>
            </w:r>
            <w:r>
              <w:rPr>
                <w:rFonts w:ascii="宋体" w:hAnsi="宋体" w:cs="宋体" w:eastAsia="宋体" w:hint="default"/>
                <w:color w:val="0D0D0D"/>
                <w:spacing w:val="2"/>
                <w:sz w:val="18"/>
                <w:szCs w:val="18"/>
              </w:rPr>
              <w:t>变动计入当期损益的</w:t>
            </w:r>
            <w:r>
              <w:rPr>
                <w:rFonts w:ascii="宋体" w:hAnsi="宋体" w:cs="宋体" w:eastAsia="宋体" w:hint="default"/>
                <w:color w:val="0D0D0D"/>
                <w:spacing w:val="-84"/>
                <w:sz w:val="18"/>
                <w:szCs w:val="18"/>
              </w:rPr>
              <w:t> </w:t>
            </w:r>
            <w:r>
              <w:rPr>
                <w:rFonts w:ascii="宋体" w:hAnsi="宋体" w:cs="宋体" w:eastAsia="宋体" w:hint="default"/>
                <w:color w:val="0D0D0D"/>
                <w:spacing w:val="-84"/>
                <w:sz w:val="18"/>
                <w:szCs w:val="18"/>
              </w:rPr>
            </w:r>
            <w:r>
              <w:rPr>
                <w:rFonts w:ascii="宋体" w:hAnsi="宋体" w:cs="宋体" w:eastAsia="宋体" w:hint="default"/>
                <w:color w:val="0D0D0D"/>
                <w:sz w:val="18"/>
                <w:szCs w:val="18"/>
              </w:rPr>
              <w:t>金融资产</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34,500,000.00</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34,500,000.00</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34,500,000.00</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2"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应收账款</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48,448,631.14</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49,504,199.81</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49,504,199.81</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0"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其他应收款</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14,913,314.96</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15,338,562.20</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15,338,562.20</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1"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可供出售金融资产</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50,553,808.93</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50,553,808.93</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50,553,808.93</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71"/>
        <w:gridCol w:w="1501"/>
        <w:gridCol w:w="1577"/>
        <w:gridCol w:w="1603"/>
        <w:gridCol w:w="1014"/>
        <w:gridCol w:w="882"/>
        <w:gridCol w:w="822"/>
      </w:tblGrid>
      <w:tr>
        <w:trPr>
          <w:trHeight w:val="1103" w:hRule="exact"/>
        </w:trPr>
        <w:tc>
          <w:tcPr>
            <w:tcW w:w="1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647"/>
              <w:jc w:val="right"/>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15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color w:val="0D0D0D"/>
                <w:spacing w:val="-1"/>
                <w:sz w:val="18"/>
              </w:rPr>
              <w:t>658,709,141.18</w:t>
            </w:r>
            <w:r>
              <w:rPr>
                <w:rFonts w:ascii="Times New Roman"/>
                <w:spacing w:val="-1"/>
                <w:sz w:val="18"/>
              </w:rPr>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color w:val="0D0D0D"/>
                <w:spacing w:val="-1"/>
                <w:sz w:val="18"/>
              </w:rPr>
              <w:t>660,189,957.09</w:t>
            </w:r>
            <w:r>
              <w:rPr>
                <w:rFonts w:ascii="Times New Roman"/>
                <w:spacing w:val="-1"/>
                <w:sz w:val="18"/>
              </w:rPr>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color w:val="0D0D0D"/>
                <w:spacing w:val="-1"/>
                <w:sz w:val="18"/>
              </w:rPr>
              <w:t>660,189,957.09</w:t>
            </w:r>
            <w:r>
              <w:rPr>
                <w:rFonts w:ascii="Times New Roman"/>
                <w:spacing w:val="-1"/>
                <w:sz w:val="18"/>
              </w:rPr>
            </w:r>
          </w:p>
        </w:tc>
        <w:tc>
          <w:tcPr>
            <w:tcW w:w="1014" w:type="dxa"/>
            <w:tcBorders>
              <w:top w:val="single" w:sz="6" w:space="0" w:color="000000"/>
              <w:left w:val="single" w:sz="6" w:space="0" w:color="000000"/>
              <w:bottom w:val="single" w:sz="12" w:space="0" w:color="000000"/>
              <w:right w:val="single" w:sz="6" w:space="0" w:color="000000"/>
            </w:tcBorders>
          </w:tcPr>
          <w:p>
            <w:pPr/>
          </w:p>
        </w:tc>
        <w:tc>
          <w:tcPr>
            <w:tcW w:w="882" w:type="dxa"/>
            <w:tcBorders>
              <w:top w:val="single" w:sz="6" w:space="0" w:color="000000"/>
              <w:left w:val="single" w:sz="6" w:space="0" w:color="000000"/>
              <w:bottom w:val="single" w:sz="12" w:space="0" w:color="000000"/>
              <w:right w:val="single" w:sz="6" w:space="0" w:color="000000"/>
            </w:tcBorders>
          </w:tcPr>
          <w:p>
            <w:pPr/>
          </w:p>
        </w:tc>
        <w:tc>
          <w:tcPr>
            <w:tcW w:w="82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1"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应付账款</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28,164,409.13</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28,164,409.13</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28,164,409.13</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2"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其他应付款</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34,147,364.37</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34,147,364.37</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34,147,364.37</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1100" w:hRule="exact"/>
        </w:trPr>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62,311,773.50</w:t>
            </w:r>
            <w:r>
              <w:rPr>
                <w:rFonts w:ascii="Times New Roman"/>
                <w:spacing w:val="-1"/>
                <w:sz w:val="18"/>
              </w:rPr>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color w:val="0D0D0D"/>
                <w:spacing w:val="-1"/>
                <w:sz w:val="18"/>
              </w:rPr>
              <w:t>62,311,773.50</w:t>
            </w:r>
            <w:r>
              <w:rPr>
                <w:rFonts w:ascii="Times New Roman"/>
                <w:spacing w:val="-1"/>
                <w:sz w:val="18"/>
              </w:rPr>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62,311,773.50</w:t>
            </w:r>
            <w:r>
              <w:rPr>
                <w:rFonts w:ascii="Times New Roman"/>
                <w:spacing w:val="-1"/>
                <w:sz w:val="18"/>
              </w:rPr>
            </w:r>
          </w:p>
        </w:tc>
        <w:tc>
          <w:tcPr>
            <w:tcW w:w="101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single" w:sz="6" w:space="0" w:color="000000"/>
            </w:tcBorders>
          </w:tcPr>
          <w:p>
            <w:pPr/>
          </w:p>
        </w:tc>
        <w:tc>
          <w:tcPr>
            <w:tcW w:w="8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bl>
    <w:p>
      <w:pPr>
        <w:spacing w:line="240" w:lineRule="auto" w:before="6"/>
        <w:rPr>
          <w:rFonts w:ascii="宋体" w:hAnsi="宋体" w:cs="宋体" w:eastAsia="宋体" w:hint="default"/>
          <w:sz w:val="27"/>
          <w:szCs w:val="27"/>
        </w:rPr>
      </w:pPr>
    </w:p>
    <w:p>
      <w:pPr>
        <w:pStyle w:val="Heading6"/>
        <w:spacing w:line="338" w:lineRule="auto"/>
        <w:ind w:left="154" w:right="972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市场风险</w:t>
      </w:r>
      <w:r>
        <w:rPr>
          <w:w w:val="99"/>
        </w:rPr>
        <w:t> </w:t>
      </w:r>
      <w:r>
        <w:rPr>
          <w:rFonts w:ascii="Times New Roman" w:hAnsi="Times New Roman" w:cs="Times New Roman" w:eastAsia="Times New Roman" w:hint="default"/>
          <w:color w:val="0D0D0D"/>
        </w:rPr>
        <w:t>1.</w:t>
      </w:r>
      <w:r>
        <w:rPr>
          <w:color w:val="0D0D0D"/>
        </w:rPr>
        <w:t>外汇风险</w:t>
      </w:r>
      <w:r>
        <w:rPr>
          <w:b w:val="0"/>
          <w:bCs w:val="0"/>
        </w:rPr>
      </w:r>
    </w:p>
    <w:p>
      <w:pPr>
        <w:pStyle w:val="BodyText"/>
        <w:spacing w:line="319" w:lineRule="auto" w:before="19"/>
        <w:ind w:left="154" w:right="1132" w:firstLine="420"/>
        <w:jc w:val="both"/>
      </w:pPr>
      <w:r>
        <w:rPr>
          <w:color w:val="0D0D0D"/>
        </w:rPr>
        <w:t>本公司的主要经营位于中国境内，主要业务以人民币结算。但本公司已确认的外币资产和负债及未来的外币交易（外 </w:t>
      </w:r>
      <w:r>
        <w:rPr>
          <w:color w:val="0D0D0D"/>
          <w:spacing w:val="-2"/>
        </w:rPr>
        <w:t>币资产和负债及外币交易的计价货币主要为美元）依然存在外汇风险。本公司财务管理部门负责监控公司外币交易和外币资</w:t>
      </w:r>
      <w:r>
        <w:rPr>
          <w:color w:val="0D0D0D"/>
          <w:spacing w:val="-64"/>
        </w:rPr>
        <w:t> </w:t>
      </w:r>
      <w:r>
        <w:rPr>
          <w:color w:val="0D0D0D"/>
          <w:spacing w:val="-64"/>
        </w:rPr>
      </w:r>
      <w:r>
        <w:rPr>
          <w:color w:val="0D0D0D"/>
        </w:rPr>
        <w:t>产及负债的规模，以最大程度降低面临的外汇风险。</w:t>
      </w:r>
      <w:r>
        <w:rPr/>
      </w:r>
    </w:p>
    <w:p>
      <w:pPr>
        <w:pStyle w:val="BodyText"/>
        <w:spacing w:line="240" w:lineRule="auto" w:before="58"/>
        <w:ind w:left="574" w:right="1033"/>
        <w:jc w:val="left"/>
      </w:pPr>
      <w:r>
        <w:rPr>
          <w:color w:val="0D0D0D"/>
        </w:rPr>
        <w:t>（</w:t>
      </w:r>
      <w:r>
        <w:rPr>
          <w:rFonts w:ascii="Times New Roman" w:hAnsi="Times New Roman" w:cs="Times New Roman" w:eastAsia="Times New Roman" w:hint="default"/>
          <w:color w:val="0D0D0D"/>
        </w:rPr>
        <w:t>1</w:t>
      </w:r>
      <w:r>
        <w:rPr>
          <w:color w:val="0D0D0D"/>
        </w:rPr>
        <w:t>）截止</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日，本公司持有的主要美元金融资产和美元金融负债折算成人民币的金额列示如下：</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705" w:type="dxa"/>
        <w:tblLayout w:type="fixed"/>
        <w:tblCellMar>
          <w:top w:w="0" w:type="dxa"/>
          <w:left w:w="0" w:type="dxa"/>
          <w:bottom w:w="0" w:type="dxa"/>
          <w:right w:w="0" w:type="dxa"/>
        </w:tblCellMar>
        <w:tblLook w:val="01E0"/>
      </w:tblPr>
      <w:tblGrid>
        <w:gridCol w:w="2840"/>
        <w:gridCol w:w="2841"/>
        <w:gridCol w:w="2842"/>
      </w:tblGrid>
      <w:tr>
        <w:trPr>
          <w:trHeight w:val="435" w:hRule="exact"/>
        </w:trPr>
        <w:tc>
          <w:tcPr>
            <w:tcW w:w="284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0D0D0D"/>
                <w:sz w:val="18"/>
                <w:szCs w:val="18"/>
              </w:rPr>
              <w:t>项目</w:t>
            </w:r>
            <w:r>
              <w:rPr>
                <w:rFonts w:ascii="宋体" w:hAnsi="宋体" w:cs="宋体" w:eastAsia="宋体" w:hint="default"/>
                <w:sz w:val="18"/>
                <w:szCs w:val="18"/>
              </w:rPr>
            </w:r>
          </w:p>
        </w:tc>
        <w:tc>
          <w:tcPr>
            <w:tcW w:w="5683" w:type="dxa"/>
            <w:gridSpan w:val="2"/>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美元项目</w:t>
            </w:r>
            <w:r>
              <w:rPr>
                <w:rFonts w:ascii="宋体" w:hAnsi="宋体" w:cs="宋体" w:eastAsia="宋体" w:hint="default"/>
                <w:sz w:val="18"/>
                <w:szCs w:val="18"/>
              </w:rPr>
            </w:r>
          </w:p>
        </w:tc>
      </w:tr>
      <w:tr>
        <w:trPr>
          <w:trHeight w:val="432" w:hRule="exact"/>
        </w:trPr>
        <w:tc>
          <w:tcPr>
            <w:tcW w:w="2840" w:type="dxa"/>
            <w:vMerge/>
            <w:tcBorders>
              <w:left w:val="single" w:sz="6" w:space="0" w:color="000000"/>
              <w:bottom w:val="single" w:sz="12" w:space="0" w:color="000000"/>
              <w:right w:val="single" w:sz="6" w:space="0" w:color="000000"/>
            </w:tcBorders>
            <w:shd w:val="clear" w:color="auto" w:fill="D9D9D9"/>
          </w:tcPr>
          <w:p>
            <w:pPr/>
          </w:p>
        </w:tc>
        <w:tc>
          <w:tcPr>
            <w:tcW w:w="284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color w:val="0D0D0D"/>
                <w:sz w:val="18"/>
                <w:szCs w:val="18"/>
              </w:rPr>
              <w:t>期末余额</w:t>
            </w:r>
            <w:r>
              <w:rPr>
                <w:rFonts w:ascii="宋体" w:hAnsi="宋体" w:cs="宋体" w:eastAsia="宋体" w:hint="default"/>
                <w:sz w:val="18"/>
                <w:szCs w:val="18"/>
              </w:rPr>
            </w:r>
          </w:p>
        </w:tc>
        <w:tc>
          <w:tcPr>
            <w:tcW w:w="2842" w:type="dxa"/>
            <w:tcBorders>
              <w:top w:val="single" w:sz="12"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color w:val="0D0D0D"/>
                <w:sz w:val="18"/>
                <w:szCs w:val="18"/>
              </w:rPr>
              <w:t>期初余额</w:t>
            </w:r>
            <w:r>
              <w:rPr>
                <w:rFonts w:ascii="宋体" w:hAnsi="宋体" w:cs="宋体" w:eastAsia="宋体" w:hint="default"/>
                <w:sz w:val="18"/>
                <w:szCs w:val="18"/>
              </w:rPr>
            </w:r>
          </w:p>
        </w:tc>
      </w:tr>
      <w:tr>
        <w:trPr>
          <w:trHeight w:val="110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外币金融资产：</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
        </w:tc>
        <w:tc>
          <w:tcPr>
            <w:tcW w:w="2842" w:type="dxa"/>
            <w:tcBorders>
              <w:top w:val="single" w:sz="12" w:space="0" w:color="000000"/>
              <w:left w:val="single" w:sz="6" w:space="0" w:color="000000"/>
              <w:bottom w:val="single" w:sz="12" w:space="0" w:color="000000"/>
              <w:right w:val="single" w:sz="4" w:space="0" w:color="000000"/>
            </w:tcBorders>
          </w:tcPr>
          <w:p>
            <w:pP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货币资金</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67,227,272.99</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119,232,366.27</w:t>
            </w:r>
            <w:r>
              <w:rPr>
                <w:rFonts w:ascii="Times New Roman"/>
                <w:spacing w:val="-1"/>
                <w:sz w:val="18"/>
              </w:rPr>
            </w: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应收账款</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28,115,896.49</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6,002,627.38</w:t>
            </w:r>
            <w:r>
              <w:rPr>
                <w:rFonts w:ascii="Times New Roman"/>
                <w:spacing w:val="-1"/>
                <w:sz w:val="18"/>
              </w:rPr>
            </w: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其他应收款</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2,886,385.78</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1,233,239.05</w:t>
            </w:r>
            <w:r>
              <w:rPr>
                <w:rFonts w:ascii="Times New Roman"/>
                <w:spacing w:val="-1"/>
                <w:sz w:val="18"/>
              </w:rPr>
            </w: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231"/>
              <w:jc w:val="right"/>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98,229,555.26</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126,468,232.70</w:t>
            </w:r>
            <w:r>
              <w:rPr>
                <w:rFonts w:ascii="Times New Roman"/>
                <w:spacing w:val="-1"/>
                <w:sz w:val="18"/>
              </w:rPr>
            </w:r>
          </w:p>
        </w:tc>
      </w:tr>
      <w:tr>
        <w:trPr>
          <w:trHeight w:val="1100"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外币金融负债：</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
        </w:tc>
        <w:tc>
          <w:tcPr>
            <w:tcW w:w="2842" w:type="dxa"/>
            <w:tcBorders>
              <w:top w:val="single" w:sz="12" w:space="0" w:color="000000"/>
              <w:left w:val="single" w:sz="6" w:space="0" w:color="000000"/>
              <w:bottom w:val="single" w:sz="12" w:space="0" w:color="000000"/>
              <w:right w:val="single" w:sz="4" w:space="0" w:color="000000"/>
            </w:tcBorders>
          </w:tcPr>
          <w:p>
            <w:pP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应付账款</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19,987,791.13</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6,064,969.91</w:t>
            </w:r>
            <w:r>
              <w:rPr>
                <w:rFonts w:ascii="Times New Roman"/>
                <w:spacing w:val="-1"/>
                <w:sz w:val="18"/>
              </w:rPr>
            </w: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color w:val="0D0D0D"/>
                <w:sz w:val="18"/>
                <w:szCs w:val="18"/>
              </w:rPr>
              <w:t>其他应付款</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4,307,006.52</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3,430,970.92</w:t>
            </w:r>
            <w:r>
              <w:rPr>
                <w:rFonts w:ascii="Times New Roman"/>
                <w:spacing w:val="-1"/>
                <w:sz w:val="18"/>
              </w:rPr>
            </w:r>
          </w:p>
        </w:tc>
      </w:tr>
      <w:tr>
        <w:trPr>
          <w:trHeight w:val="432" w:hRule="exact"/>
        </w:trPr>
        <w:tc>
          <w:tcPr>
            <w:tcW w:w="2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231"/>
              <w:jc w:val="right"/>
              <w:rPr>
                <w:rFonts w:ascii="宋体" w:hAnsi="宋体" w:cs="宋体" w:eastAsia="宋体" w:hint="default"/>
                <w:sz w:val="18"/>
                <w:szCs w:val="18"/>
              </w:rPr>
            </w:pPr>
            <w:r>
              <w:rPr>
                <w:rFonts w:ascii="宋体" w:hAnsi="宋体" w:cs="宋体" w:eastAsia="宋体" w:hint="default"/>
                <w:color w:val="0D0D0D"/>
                <w:sz w:val="18"/>
                <w:szCs w:val="18"/>
              </w:rPr>
              <w:t>小计</w:t>
            </w:r>
            <w:r>
              <w:rPr>
                <w:rFonts w:ascii="宋体" w:hAnsi="宋体" w:cs="宋体" w:eastAsia="宋体" w:hint="default"/>
                <w:sz w:val="18"/>
                <w:szCs w:val="18"/>
              </w:rPr>
            </w:r>
          </w:p>
        </w:tc>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D0D0D"/>
                <w:spacing w:val="-1"/>
                <w:sz w:val="18"/>
              </w:rPr>
              <w:t>24,294,797.65</w:t>
            </w:r>
            <w:r>
              <w:rPr>
                <w:rFonts w:ascii="Times New Roman"/>
                <w:spacing w:val="-1"/>
                <w:sz w:val="18"/>
              </w:rPr>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color w:val="0D0D0D"/>
                <w:spacing w:val="-1"/>
                <w:sz w:val="18"/>
              </w:rPr>
              <w:t>9,495,940.83</w:t>
            </w:r>
            <w:r>
              <w:rPr>
                <w:rFonts w:ascii="Times New Roman"/>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44"/>
        <w:ind w:left="574" w:right="1033"/>
        <w:jc w:val="left"/>
      </w:pPr>
      <w:r>
        <w:rPr>
          <w:color w:val="0D0D0D"/>
        </w:rPr>
        <w:t>（</w:t>
      </w:r>
      <w:r>
        <w:rPr>
          <w:rFonts w:ascii="Times New Roman" w:hAnsi="Times New Roman" w:cs="Times New Roman" w:eastAsia="Times New Roman" w:hint="default"/>
          <w:color w:val="0D0D0D"/>
        </w:rPr>
        <w:t>2</w:t>
      </w:r>
      <w:r>
        <w:rPr>
          <w:color w:val="0D0D0D"/>
        </w:rPr>
        <w:t>）敏感性分析：</w:t>
      </w:r>
      <w:r>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3" w:firstLine="420"/>
        <w:jc w:val="left"/>
      </w:pPr>
      <w:r>
        <w:rPr>
          <w:color w:val="0D0D0D"/>
          <w:spacing w:val="-1"/>
        </w:rPr>
        <w:t>截止</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31</w:t>
      </w:r>
      <w:r>
        <w:rPr>
          <w:color w:val="0D0D0D"/>
          <w:spacing w:val="-1"/>
        </w:rPr>
        <w:t>日，对于本公司美元金融资产和美元金融负债，如果人民币对美元升值或贬值</w:t>
      </w:r>
      <w:r>
        <w:rPr>
          <w:rFonts w:ascii="Times New Roman" w:hAnsi="Times New Roman" w:cs="Times New Roman" w:eastAsia="Times New Roman" w:hint="default"/>
          <w:color w:val="0D0D0D"/>
          <w:spacing w:val="-1"/>
        </w:rPr>
        <w:t>3%</w:t>
      </w:r>
      <w:r>
        <w:rPr>
          <w:color w:val="0D0D0D"/>
          <w:spacing w:val="-1"/>
        </w:rPr>
        <w:t>，其他因素保持不</w:t>
      </w:r>
      <w:r>
        <w:rPr>
          <w:color w:val="0D0D0D"/>
        </w:rPr>
        <w:t> 变，则本公司将减少或增加净利润约</w:t>
      </w:r>
      <w:r>
        <w:rPr>
          <w:rFonts w:ascii="Times New Roman" w:hAnsi="Times New Roman" w:cs="Times New Roman" w:eastAsia="Times New Roman" w:hint="default"/>
          <w:color w:val="0D0D0D"/>
        </w:rPr>
        <w:t>221.08</w:t>
      </w:r>
      <w:r>
        <w:rPr>
          <w:color w:val="0D0D0D"/>
        </w:rPr>
        <w:t>万元（</w:t>
      </w:r>
      <w:r>
        <w:rPr>
          <w:rFonts w:ascii="Times New Roman" w:hAnsi="Times New Roman" w:cs="Times New Roman" w:eastAsia="Times New Roman" w:hint="default"/>
          <w:color w:val="0D0D0D"/>
        </w:rPr>
        <w:t>2014</w:t>
      </w:r>
      <w:r>
        <w:rPr>
          <w:color w:val="0D0D0D"/>
        </w:rPr>
        <w:t>年度约</w:t>
      </w:r>
      <w:r>
        <w:rPr>
          <w:rFonts w:ascii="Times New Roman" w:hAnsi="Times New Roman" w:cs="Times New Roman" w:eastAsia="Times New Roman" w:hint="default"/>
          <w:color w:val="0D0D0D"/>
        </w:rPr>
        <w:t>350.92</w:t>
      </w:r>
      <w:r>
        <w:rPr>
          <w:color w:val="0D0D0D"/>
        </w:rPr>
        <w:t>万元</w:t>
      </w:r>
      <w:r>
        <w:rPr>
          <w:rFonts w:ascii="Times New Roman" w:hAnsi="Times New Roman" w:cs="Times New Roman" w:eastAsia="Times New Roman" w:hint="default"/>
          <w:color w:val="0D0D0D"/>
        </w:rPr>
        <w:t>)</w:t>
      </w:r>
      <w:r>
        <w:rPr>
          <w:color w:val="0D0D0D"/>
        </w:rPr>
        <w:t>。</w:t>
      </w:r>
      <w:r>
        <w:rPr/>
      </w:r>
    </w:p>
    <w:p>
      <w:pPr>
        <w:pStyle w:val="Heading6"/>
        <w:spacing w:line="240" w:lineRule="auto" w:before="130"/>
        <w:ind w:right="1033"/>
        <w:jc w:val="left"/>
        <w:rPr>
          <w:b w:val="0"/>
          <w:bCs w:val="0"/>
        </w:rPr>
      </w:pPr>
      <w:r>
        <w:rPr>
          <w:rFonts w:ascii="Times New Roman" w:hAnsi="Times New Roman" w:cs="Times New Roman" w:eastAsia="Times New Roman" w:hint="default"/>
          <w:color w:val="0D0D0D"/>
        </w:rPr>
        <w:t>2.</w:t>
      </w:r>
      <w:r>
        <w:rPr>
          <w:color w:val="0D0D0D"/>
        </w:rPr>
        <w:t>利率风险</w:t>
      </w:r>
      <w:r>
        <w:rPr>
          <w:b w:val="0"/>
          <w:bCs w:val="0"/>
        </w:rPr>
      </w:r>
    </w:p>
    <w:p>
      <w:pPr>
        <w:pStyle w:val="BodyText"/>
        <w:spacing w:line="240" w:lineRule="auto" w:before="103"/>
        <w:ind w:left="573" w:right="1033"/>
        <w:jc w:val="left"/>
      </w:pPr>
      <w:r>
        <w:rPr>
          <w:color w:val="0D0D0D"/>
        </w:rPr>
        <w:t>因本公司无银行借款，因此不受人民币基准利率变动的影响。</w:t>
      </w:r>
      <w:r>
        <w:rPr/>
      </w:r>
    </w:p>
    <w:p>
      <w:pPr>
        <w:spacing w:line="240" w:lineRule="auto" w:before="1"/>
        <w:rPr>
          <w:rFonts w:ascii="宋体" w:hAnsi="宋体" w:cs="宋体" w:eastAsia="宋体" w:hint="default"/>
          <w:sz w:val="25"/>
          <w:szCs w:val="25"/>
        </w:rPr>
      </w:pPr>
    </w:p>
    <w:p>
      <w:pPr>
        <w:pStyle w:val="Heading3"/>
        <w:spacing w:line="240" w:lineRule="auto"/>
        <w:ind w:right="1033"/>
        <w:jc w:val="left"/>
        <w:rPr>
          <w:b w:val="0"/>
          <w:bCs w:val="0"/>
        </w:rPr>
      </w:pPr>
      <w:bookmarkStart w:name="十一、公允价值的披露" w:id="350"/>
      <w:bookmarkEnd w:id="35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以公允价值计量的资产和负债的期末公允价值" w:id="351"/>
      <w:bookmarkEnd w:id="35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74"/>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160,532,424.51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160,532,424.51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9" w:space="0" w:color="D2D2D2"/>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160,532,424.51</w:t>
            </w: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160,532,424.51</w:t>
            </w:r>
          </w:p>
        </w:tc>
      </w:tr>
      <w:tr>
        <w:trPr>
          <w:trHeight w:val="392" w:hRule="exact"/>
        </w:trPr>
        <w:tc>
          <w:tcPr>
            <w:tcW w:w="19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vMerge/>
            <w:tcBorders>
              <w:left w:val="single" w:sz="9" w:space="0" w:color="D2D2D2"/>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338"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9" w:space="0" w:color="D2D2D2"/>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160,532,424.51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160,532,424.51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计量且变动计入当期损 益的金融负债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95"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持续和非持续第一层次公允价值计量项目市价的确定依据" w:id="352"/>
      <w:bookmarkEnd w:id="35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持续和非持续第二层次公允价值计量项目，采用的估值技术和重要参数的定性及定量信" w:id="353"/>
      <w:bookmarkEnd w:id="35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color w:val="0D0D0D"/>
        </w:rPr>
        <w:t>本公司参考各权益被投资单位于各报表日前最近一期实际增资协议价格及生产经营情况作为公允价值确认依据。</w:t>
      </w:r>
      <w:r>
        <w:rPr/>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持续和非持续第三层次公允价值计量项目，采用的 估值技术和重要参数的定性及定量" w:id="354"/>
      <w:bookmarkEnd w:id="354"/>
      <w:r>
        <w:rPr>
          <w:b w:val="0"/>
          <w:bCs w:val="0"/>
        </w:rPr>
      </w:r>
      <w:r>
        <w:rPr>
          <w:rFonts w:ascii="Times New Roman" w:hAnsi="Times New Roman" w:cs="Times New Roman" w:eastAsia="Times New Roman" w:hint="default"/>
        </w:rPr>
        <w:t>4</w:t>
      </w:r>
      <w:r>
        <w:rPr/>
        <w:t>、持续和非持续第三层次公允价值计量项目，采用的</w:t>
      </w:r>
      <w:r>
        <w:rPr>
          <w:spacing w:val="-25"/>
        </w:rPr>
        <w:t> </w:t>
      </w:r>
      <w:r>
        <w:rPr/>
        <w:t>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5、持续的第三层次公允价值计量项目，期初与期末账面价值间的调节信息及不可观察参数" w:id="355"/>
      <w:bookmarkEnd w:id="35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不适用</w:t>
      </w:r>
    </w:p>
    <w:p>
      <w:pPr>
        <w:spacing w:after="0" w:line="240" w:lineRule="auto"/>
        <w:jc w:val="left"/>
        <w:sectPr>
          <w:footerReference w:type="default" r:id="rId25"/>
          <w:pgSz w:w="11910" w:h="16840"/>
          <w:pgMar w:footer="979" w:header="747" w:top="1060" w:bottom="1160" w:left="980" w:right="0"/>
          <w:pgNumType w:start="201"/>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6、持续的公允价值计量项目，本期内发生各层级之间转换的，转换的原因及确定转换时点" w:id="356"/>
      <w:bookmarkEnd w:id="35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本公司上述金融工具公允价值计量所属层次在三个层次之间在本年度无重大的变动。</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7、本期内发生的估值技术变更及变更原因" w:id="357"/>
      <w:bookmarkEnd w:id="35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本公司金融工具的公允价值估值技术在本年度未发生变更。</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8、不以公允价值计量的金融资产和金融负债的公允价值情况" w:id="358"/>
      <w:bookmarkEnd w:id="35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4812"/>
        <w:jc w:val="left"/>
      </w:pPr>
      <w:r>
        <w:rPr/>
        <w:t>不以公允价值计量的金融资产和负债主要包括：应收款项、应付款项。 上述不以公允价值计量的金融资产和负债的账面价值与公允价值相差很小。</w:t>
      </w:r>
    </w:p>
    <w:p>
      <w:pPr>
        <w:spacing w:line="240" w:lineRule="auto" w:before="1"/>
        <w:rPr>
          <w:rFonts w:ascii="宋体" w:hAnsi="宋体" w:cs="宋体" w:eastAsia="宋体" w:hint="default"/>
          <w:sz w:val="18"/>
          <w:szCs w:val="18"/>
        </w:rPr>
      </w:pPr>
    </w:p>
    <w:p>
      <w:pPr>
        <w:spacing w:line="506" w:lineRule="auto" w:before="0"/>
        <w:ind w:left="154" w:right="6653" w:firstLine="0"/>
        <w:jc w:val="left"/>
        <w:rPr>
          <w:rFonts w:ascii="宋体" w:hAnsi="宋体" w:cs="宋体" w:eastAsia="宋体" w:hint="default"/>
          <w:sz w:val="18"/>
          <w:szCs w:val="18"/>
        </w:rPr>
      </w:pPr>
      <w:bookmarkStart w:name="十二、关联方及关联交易" w:id="359"/>
      <w:bookmarkEnd w:id="359"/>
      <w:r>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360"/>
      <w:bookmarkEnd w:id="36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本企业最终控制方是李小龙。</w:t>
      </w:r>
    </w:p>
    <w:p>
      <w:pPr>
        <w:spacing w:line="547" w:lineRule="auto" w:before="150"/>
        <w:ind w:left="154" w:right="6298" w:firstLine="0"/>
        <w:jc w:val="left"/>
        <w:rPr>
          <w:rFonts w:ascii="宋体" w:hAnsi="宋体" w:cs="宋体" w:eastAsia="宋体" w:hint="default"/>
          <w:sz w:val="21"/>
          <w:szCs w:val="21"/>
        </w:rPr>
      </w:pPr>
      <w:bookmarkStart w:name="2、本企业的子公司情况" w:id="361"/>
      <w:bookmarkEnd w:id="3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 </w:t>
      </w:r>
      <w:bookmarkStart w:name="3、本企业合营和联营企业情况" w:id="362"/>
      <w:bookmarkEnd w:id="3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北京和丰信科技有限公司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本公司之子公司企业通信公司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月投资之联营公司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子公司网科公司之联营公司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北京慧友云商科技有限公司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月投资之联营公司</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4、其他关联方情况" w:id="363"/>
      <w:bookmarkEnd w:id="36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本公司现任董事，首都在线法定代表人、董事长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53" w:right="1033"/>
        <w:jc w:val="left"/>
        <w:rPr>
          <w:b w:val="0"/>
          <w:bCs w:val="0"/>
        </w:rPr>
      </w:pPr>
      <w:bookmarkStart w:name="5、关联交易情况" w:id="364"/>
      <w:bookmarkEnd w:id="36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购销商品、提供和接受劳务的关联交易" w:id="365"/>
      <w:bookmarkEnd w:id="36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北京企飞力网络科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5,744,599.55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294,065.81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易美云（北京）信 息技术有限公司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4,260,210.70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481,134.39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展动科技（北京）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1,012,120.58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
              <w:jc w:val="center"/>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158,565.20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sz w:val="18"/>
              </w:rPr>
              <w:t>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96,290.93</w:t>
            </w:r>
          </w:p>
        </w:tc>
      </w:tr>
    </w:tbl>
    <w:p>
      <w:pPr>
        <w:pStyle w:val="BodyText"/>
        <w:spacing w:line="240" w:lineRule="auto" w:before="51"/>
        <w:ind w:left="154" w:right="10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北京和丰信科技有限公司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305,400.00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38,018.86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color w:val="0D0D0D"/>
                <w:sz w:val="18"/>
              </w:rPr>
              <w:t>22,463.60</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3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关联受托管理/承包及委托管理/出包情况" w:id="366"/>
      <w:bookmarkEnd w:id="36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关联租赁情况" w:id="367"/>
      <w:bookmarkEnd w:id="36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关联担保情况" w:id="368"/>
      <w:bookmarkEnd w:id="36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5）关联方资金拆借" w:id="369"/>
      <w:bookmarkEnd w:id="36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6）关联方资产转让、债务重组情况" w:id="370"/>
      <w:bookmarkEnd w:id="37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7）关键管理人员报酬" w:id="371"/>
      <w:bookmarkEnd w:id="37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8）其他关联交易" w:id="372"/>
      <w:bookmarkEnd w:id="37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7"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 </w:t>
      </w:r>
      <w:r>
        <w:rPr>
          <w:rFonts w:ascii="Times New Roman" w:hAnsi="Times New Roman" w:cs="Times New Roman" w:eastAsia="Times New Roman" w:hint="default"/>
          <w:color w:val="0D0D0D"/>
        </w:rPr>
        <w:t>iTalk Global</w:t>
      </w:r>
      <w:r>
        <w:rPr/>
        <w:t>为 </w:t>
      </w:r>
      <w:r>
        <w:rPr>
          <w:rFonts w:ascii="Times New Roman" w:hAnsi="Times New Roman" w:cs="Times New Roman" w:eastAsia="Times New Roman" w:hint="default"/>
        </w:rPr>
        <w:t>iTalkBB Media  </w:t>
      </w:r>
      <w:r>
        <w:rPr/>
        <w:t>代垫房租费等日常费用金额</w:t>
      </w:r>
      <w:r>
        <w:rPr>
          <w:spacing w:val="-65"/>
        </w:rPr>
        <w:t> </w:t>
      </w:r>
      <w:r>
        <w:rPr>
          <w:rFonts w:ascii="Times New Roman" w:hAnsi="Times New Roman" w:cs="Times New Roman" w:eastAsia="Times New Roman" w:hint="default"/>
        </w:rPr>
        <w:t>42,850.60</w:t>
      </w:r>
      <w:r>
        <w:rPr/>
        <w:t>美元（折合人民币</w:t>
      </w:r>
      <w:r>
        <w:rPr>
          <w:rFonts w:ascii="Times New Roman" w:hAnsi="Times New Roman" w:cs="Times New Roman" w:eastAsia="Times New Roman" w:hint="default"/>
        </w:rPr>
        <w:t>278,254.66</w:t>
      </w:r>
      <w:r>
        <w:rPr/>
        <w:t>元），已收回</w:t>
      </w:r>
    </w:p>
    <w:p>
      <w:pPr>
        <w:pStyle w:val="BodyText"/>
        <w:spacing w:line="302" w:lineRule="auto" w:before="63"/>
        <w:ind w:right="1033"/>
        <w:jc w:val="left"/>
      </w:pPr>
      <w:r>
        <w:rPr>
          <w:rFonts w:ascii="Times New Roman" w:hAnsi="Times New Roman" w:cs="Times New Roman" w:eastAsia="Times New Roman" w:hint="default"/>
        </w:rPr>
        <w:t>35,621.10</w:t>
      </w:r>
      <w:r>
        <w:rPr/>
        <w:t>美元（折合人民币</w:t>
      </w:r>
      <w:r>
        <w:rPr>
          <w:rFonts w:ascii="Times New Roman" w:hAnsi="Times New Roman" w:cs="Times New Roman" w:eastAsia="Times New Roman" w:hint="default"/>
        </w:rPr>
        <w:t>231,309.17</w:t>
      </w:r>
      <w:r>
        <w:rPr/>
        <w:t>元），截至</w:t>
      </w:r>
      <w:r>
        <w:rPr>
          <w:spacing w:val="-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12</w:t>
      </w:r>
      <w:r>
        <w:rPr/>
        <w:t>月</w:t>
      </w:r>
      <w:r>
        <w:rPr>
          <w:spacing w:val="-3"/>
        </w:rPr>
        <w:t> </w:t>
      </w:r>
      <w:r>
        <w:rPr>
          <w:rFonts w:ascii="Times New Roman" w:hAnsi="Times New Roman" w:cs="Times New Roman" w:eastAsia="Times New Roman" w:hint="default"/>
        </w:rPr>
        <w:t>31</w:t>
      </w:r>
      <w:r>
        <w:rPr/>
        <w:t>日止，尚有</w:t>
      </w:r>
      <w:r>
        <w:rPr>
          <w:rFonts w:ascii="Times New Roman" w:hAnsi="Times New Roman" w:cs="Times New Roman" w:eastAsia="Times New Roman" w:hint="default"/>
        </w:rPr>
        <w:t>7,229.50</w:t>
      </w:r>
      <w:r>
        <w:rPr/>
        <w:t>美元（折合人民币</w:t>
      </w:r>
      <w:r>
        <w:rPr>
          <w:rFonts w:ascii="Times New Roman" w:hAnsi="Times New Roman" w:cs="Times New Roman" w:eastAsia="Times New Roman" w:hint="default"/>
        </w:rPr>
        <w:t>46,945.48</w:t>
      </w:r>
      <w:r>
        <w:rPr/>
        <w:t>元）欠款</w:t>
      </w:r>
      <w:r>
        <w:rPr>
          <w:spacing w:val="-87"/>
        </w:rPr>
        <w:t> </w:t>
      </w:r>
      <w:r>
        <w:rPr/>
        <w:t>尚未收回。</w:t>
      </w:r>
    </w:p>
    <w:p>
      <w:pPr>
        <w:pStyle w:val="BodyText"/>
        <w:spacing w:line="302" w:lineRule="auto" w:before="68"/>
        <w:ind w:right="1033" w:firstLine="36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iTalkBB Canada</w:t>
      </w:r>
      <w:r>
        <w:rPr/>
        <w:t>为</w:t>
      </w:r>
      <w:r>
        <w:rPr>
          <w:rFonts w:ascii="Times New Roman" w:hAnsi="Times New Roman" w:cs="Times New Roman" w:eastAsia="Times New Roman" w:hint="default"/>
        </w:rPr>
        <w:t>iTalkBB Media </w:t>
      </w:r>
      <w:r>
        <w:rPr/>
        <w:t>代垫房租费等日常费用金额</w:t>
      </w:r>
      <w:r>
        <w:rPr>
          <w:spacing w:val="-26"/>
        </w:rPr>
        <w:t> </w:t>
      </w:r>
      <w:r>
        <w:rPr>
          <w:rFonts w:ascii="Times New Roman" w:hAnsi="Times New Roman" w:cs="Times New Roman" w:eastAsia="Times New Roman" w:hint="default"/>
        </w:rPr>
        <w:t>24,000.00</w:t>
      </w:r>
      <w:r>
        <w:rPr/>
        <w:t>元加拿大元</w:t>
      </w:r>
      <w:r>
        <w:rPr>
          <w:rFonts w:ascii="Times New Roman" w:hAnsi="Times New Roman" w:cs="Times New Roman" w:eastAsia="Times New Roman" w:hint="default"/>
        </w:rPr>
        <w:t>(</w:t>
      </w:r>
      <w:r>
        <w:rPr/>
        <w:t>折合人民币</w:t>
      </w:r>
      <w:r>
        <w:rPr>
          <w:rFonts w:ascii="Times New Roman" w:hAnsi="Times New Roman" w:cs="Times New Roman" w:eastAsia="Times New Roman" w:hint="default"/>
        </w:rPr>
        <w:t>112,353.60</w:t>
      </w:r>
      <w:r>
        <w:rPr/>
        <w:t>元</w:t>
      </w:r>
      <w:r>
        <w:rPr>
          <w:rFonts w:ascii="Times New Roman" w:hAnsi="Times New Roman" w:cs="Times New Roman" w:eastAsia="Times New Roman" w:hint="default"/>
        </w:rPr>
        <w:t>)</w:t>
      </w:r>
      <w:r>
        <w:rPr/>
        <w:t>， 截至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spacing w:val="-56"/>
        </w:rPr>
        <w:t> </w:t>
      </w:r>
      <w:r>
        <w:rPr>
          <w:rFonts w:ascii="Times New Roman" w:hAnsi="Times New Roman" w:cs="Times New Roman" w:eastAsia="Times New Roman" w:hint="default"/>
        </w:rPr>
        <w:t>31</w:t>
      </w:r>
      <w:r>
        <w:rPr/>
        <w:t>日止，本公司已全部收回。</w:t>
      </w:r>
    </w:p>
    <w:p>
      <w:pPr>
        <w:spacing w:line="240" w:lineRule="auto" w:before="11"/>
        <w:rPr>
          <w:rFonts w:ascii="宋体" w:hAnsi="宋体" w:cs="宋体" w:eastAsia="宋体" w:hint="default"/>
          <w:sz w:val="21"/>
          <w:szCs w:val="21"/>
        </w:rPr>
      </w:pPr>
    </w:p>
    <w:p>
      <w:pPr>
        <w:pStyle w:val="Heading4"/>
        <w:spacing w:line="240" w:lineRule="auto"/>
        <w:ind w:right="1033"/>
        <w:jc w:val="left"/>
        <w:rPr>
          <w:b w:val="0"/>
          <w:bCs w:val="0"/>
        </w:rPr>
      </w:pPr>
      <w:bookmarkStart w:name="6、关联方应收应付款项" w:id="373"/>
      <w:bookmarkEnd w:id="37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应收项目" w:id="374"/>
      <w:bookmarkEnd w:id="37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7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易美云（北京）信息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65,891.54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3,811,041.02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北京企飞力网络科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339,942.67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展动科技（北京）有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180,054.92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展动科技（北京）有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1,298,720.00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46,945.48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注：关联交易约定以净额结算的，应收关联方款项可以抵销后金额填列。</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2）应付项目" w:id="375"/>
      <w:bookmarkEnd w:id="37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北京企飞力网络科技有限公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774,043.79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股权转让款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9,085,565.70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股权转让款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1,923,437.51</w:t>
            </w:r>
          </w:p>
        </w:tc>
      </w:tr>
    </w:tbl>
    <w:p>
      <w:pPr>
        <w:pStyle w:val="BodyText"/>
        <w:spacing w:line="240" w:lineRule="auto" w:before="51"/>
        <w:ind w:left="154" w:right="1033"/>
        <w:jc w:val="left"/>
      </w:pPr>
      <w:r>
        <w:rPr/>
        <w:t>注：关联交易约定以净额结算的，应付关联方款项可以抵销后金额填列。</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7、关联方承诺" w:id="376"/>
      <w:bookmarkEnd w:id="37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377"/>
      <w:bookmarkEnd w:id="3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78"/>
      <w:bookmarkEnd w:id="37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79"/>
      <w:bookmarkEnd w:id="3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95,600,240.00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3,492,561.68</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其他说明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38" w:lineRule="auto" w:before="0"/>
        <w:ind w:left="573" w:right="103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年限制性股票股权激励计划情况：</w:t>
      </w:r>
      <w:r>
        <w:rPr>
          <w:rFonts w:ascii="宋体" w:hAnsi="宋体" w:cs="宋体" w:eastAsia="宋体" w:hint="default"/>
          <w:b/>
          <w:bCs/>
          <w:w w:val="99"/>
          <w:sz w:val="18"/>
          <w:szCs w:val="18"/>
        </w:rPr>
        <w:t> </w:t>
      </w: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年第一次临时股东大会审议通过的《二六三网络通信股份有限公司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年限制性股票激励计划（草案修</w:t>
      </w:r>
    </w:p>
    <w:p>
      <w:pPr>
        <w:pStyle w:val="BodyText"/>
        <w:spacing w:line="230" w:lineRule="exact"/>
        <w:ind w:right="1033"/>
        <w:jc w:val="left"/>
      </w:pPr>
      <w:r>
        <w:rPr/>
        <w:t>订稿）及其摘要》（以下简称</w:t>
      </w:r>
      <w:r>
        <w:rPr>
          <w:rFonts w:ascii="Times New Roman" w:hAnsi="Times New Roman" w:cs="Times New Roman" w:eastAsia="Times New Roman" w:hint="default"/>
        </w:rPr>
        <w:t>“2013</w:t>
      </w:r>
      <w:r>
        <w:rPr/>
        <w:t>年激励计划</w:t>
      </w:r>
      <w:r>
        <w:rPr>
          <w:rFonts w:ascii="Times New Roman" w:hAnsi="Times New Roman" w:cs="Times New Roman" w:eastAsia="Times New Roman" w:hint="default"/>
        </w:rPr>
        <w:t>”</w:t>
      </w:r>
      <w:r>
        <w:rPr/>
        <w:t>），并经中国证监会备案无异议，公司限制性股票拟授予数量为</w:t>
      </w:r>
      <w:r>
        <w:rPr>
          <w:rFonts w:ascii="Times New Roman" w:hAnsi="Times New Roman" w:cs="Times New Roman" w:eastAsia="Times New Roman" w:hint="default"/>
        </w:rPr>
        <w:t>127</w:t>
      </w:r>
      <w:r>
        <w:rPr/>
        <w:t>万股，</w:t>
      </w:r>
    </w:p>
    <w:p>
      <w:pPr>
        <w:pStyle w:val="BodyText"/>
        <w:spacing w:line="302" w:lineRule="auto" w:before="63"/>
        <w:ind w:right="1129"/>
        <w:jc w:val="left"/>
      </w:pPr>
      <w:r>
        <w:rPr>
          <w:spacing w:val="-3"/>
        </w:rPr>
        <w:t>授予激励对象共</w:t>
      </w:r>
      <w:r>
        <w:rPr>
          <w:rFonts w:ascii="Times New Roman" w:hAnsi="Times New Roman" w:cs="Times New Roman" w:eastAsia="Times New Roman" w:hint="default"/>
          <w:spacing w:val="-3"/>
        </w:rPr>
        <w:t>91</w:t>
      </w:r>
      <w:r>
        <w:rPr>
          <w:spacing w:val="-3"/>
        </w:rPr>
        <w:t>人。实际授予的限制性股票对象为</w:t>
      </w:r>
      <w:r>
        <w:rPr>
          <w:rFonts w:ascii="Times New Roman" w:hAnsi="Times New Roman" w:cs="Times New Roman" w:eastAsia="Times New Roman" w:hint="default"/>
          <w:spacing w:val="-3"/>
        </w:rPr>
        <w:t>90</w:t>
      </w:r>
      <w:r>
        <w:rPr>
          <w:spacing w:val="-3"/>
        </w:rPr>
        <w:t>人，实际授予的限制性股票数量</w:t>
      </w:r>
      <w:r>
        <w:rPr>
          <w:rFonts w:ascii="Times New Roman" w:hAnsi="Times New Roman" w:cs="Times New Roman" w:eastAsia="Times New Roman" w:hint="default"/>
          <w:spacing w:val="-3"/>
        </w:rPr>
        <w:t>126.7</w:t>
      </w:r>
      <w:r>
        <w:rPr>
          <w:spacing w:val="-3"/>
        </w:rPr>
        <w:t>万股，授予价格为每股</w:t>
      </w:r>
      <w:r>
        <w:rPr>
          <w:rFonts w:ascii="Times New Roman" w:hAnsi="Times New Roman" w:cs="Times New Roman" w:eastAsia="Times New Roman" w:hint="default"/>
          <w:spacing w:val="-3"/>
        </w:rPr>
        <w:t>10.89</w:t>
      </w:r>
      <w:r>
        <w:rPr>
          <w:spacing w:val="-3"/>
        </w:rPr>
        <w:t>元，</w:t>
      </w:r>
      <w:r>
        <w:rPr>
          <w:spacing w:val="-80"/>
        </w:rPr>
        <w:t> </w:t>
      </w:r>
      <w:r>
        <w:rPr/>
        <w:t>授予日期为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日，授予股份已于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日在中国证券登记结算有限公司深圳分公司完成股份登记。</w:t>
      </w:r>
    </w:p>
    <w:p>
      <w:pPr>
        <w:pStyle w:val="BodyText"/>
        <w:spacing w:line="240" w:lineRule="auto" w:before="50"/>
        <w:ind w:left="573" w:right="1033"/>
        <w:jc w:val="left"/>
      </w:pPr>
      <w:r>
        <w:rPr>
          <w:rFonts w:ascii="Times New Roman" w:hAnsi="Times New Roman" w:cs="Times New Roman" w:eastAsia="Times New Roman" w:hint="default"/>
        </w:rPr>
        <w:t>2013</w:t>
      </w:r>
      <w:r>
        <w:rPr/>
        <w:t>年激励计划下的限制性股票的锁定期与解锁期安排如下：</w:t>
      </w:r>
    </w:p>
    <w:p>
      <w:pPr>
        <w:pStyle w:val="BodyText"/>
        <w:spacing w:line="240" w:lineRule="auto" w:before="102"/>
        <w:ind w:left="574" w:right="1033"/>
        <w:jc w:val="left"/>
      </w:pPr>
      <w:r>
        <w:rPr/>
        <w:t>（</w:t>
      </w:r>
      <w:r>
        <w:rPr>
          <w:rFonts w:ascii="Times New Roman" w:hAnsi="Times New Roman" w:cs="Times New Roman" w:eastAsia="Times New Roman" w:hint="default"/>
        </w:rPr>
        <w:t>1</w:t>
      </w:r>
      <w:r>
        <w:rPr/>
        <w:t>）锁定期与解锁期</w:t>
      </w:r>
    </w:p>
    <w:p>
      <w:pPr>
        <w:pStyle w:val="BodyText"/>
        <w:spacing w:line="302" w:lineRule="auto" w:before="102"/>
        <w:ind w:right="1131" w:firstLine="420"/>
        <w:jc w:val="both"/>
      </w:pPr>
      <w:r>
        <w:rPr>
          <w:rFonts w:ascii="Times New Roman" w:hAnsi="Times New Roman" w:cs="Times New Roman" w:eastAsia="Times New Roman" w:hint="default"/>
        </w:rPr>
        <w:t>2013</w:t>
      </w:r>
      <w:r>
        <w:rPr/>
        <w:t>年激励计划授予的限制性股票自授予之日起</w:t>
      </w:r>
      <w:r>
        <w:rPr>
          <w:rFonts w:ascii="Times New Roman" w:hAnsi="Times New Roman" w:cs="Times New Roman" w:eastAsia="Times New Roman" w:hint="default"/>
        </w:rPr>
        <w:t>12</w:t>
      </w:r>
      <w:r>
        <w:rPr/>
        <w:t>个月内为锁定期。在锁定期内，激励对象根据</w:t>
      </w:r>
      <w:r>
        <w:rPr>
          <w:rFonts w:ascii="Times New Roman" w:hAnsi="Times New Roman" w:cs="Times New Roman" w:eastAsia="Times New Roman" w:hint="default"/>
        </w:rPr>
        <w:t>2013</w:t>
      </w:r>
      <w:r>
        <w:rPr/>
        <w:t>年激励计划获授 的限制性股票予以锁定，不得转让。</w:t>
      </w:r>
    </w:p>
    <w:p>
      <w:pPr>
        <w:pStyle w:val="BodyText"/>
        <w:spacing w:line="319" w:lineRule="auto" w:before="68"/>
        <w:ind w:left="154" w:right="1131" w:firstLine="420"/>
        <w:jc w:val="both"/>
      </w:pPr>
      <w:r>
        <w:rPr/>
        <w:t>激励对象获授的限制性股票在锁定期不享有进行转让或用于担保或偿还债务等处置权。锁定期内激励对象因获授的限 </w:t>
      </w:r>
      <w:r>
        <w:rPr>
          <w:spacing w:val="-2"/>
        </w:rPr>
        <w:t>制性股票而取得的红股、资本公积转增股份、配股股份、增发中向原股东配售的股份同时锁定，不得在二级市场出售或以其</w:t>
      </w:r>
      <w:r>
        <w:rPr>
          <w:spacing w:val="-66"/>
        </w:rPr>
        <w:t> </w:t>
      </w:r>
      <w:r>
        <w:rPr>
          <w:spacing w:val="-66"/>
        </w:rPr>
      </w:r>
      <w:r>
        <w:rPr/>
        <w:t>他方式转让，该等股份锁定期的截止日期与限制性股票相同。</w:t>
      </w:r>
    </w:p>
    <w:p>
      <w:pPr>
        <w:pStyle w:val="BodyText"/>
        <w:spacing w:line="240" w:lineRule="auto" w:before="56"/>
        <w:ind w:left="574" w:right="1033"/>
        <w:jc w:val="left"/>
      </w:pPr>
      <w:r>
        <w:rPr/>
        <w:t>授予限制性股票的解锁安排：</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3" w:firstLine="420"/>
        <w:jc w:val="left"/>
      </w:pPr>
      <w:r>
        <w:rPr/>
        <w:t>限制性股票锁定期后</w:t>
      </w:r>
      <w:r>
        <w:rPr>
          <w:rFonts w:ascii="Times New Roman" w:hAnsi="Times New Roman" w:cs="Times New Roman" w:eastAsia="Times New Roman" w:hint="default"/>
        </w:rPr>
        <w:t>36</w:t>
      </w:r>
      <w:r>
        <w:rPr/>
        <w:t>个月为解锁期。在解锁期内，若达到本计划规定的限制性股票的解锁条件，激励对象可在授予 日起</w:t>
      </w:r>
      <w:r>
        <w:rPr>
          <w:rFonts w:ascii="Times New Roman" w:hAnsi="Times New Roman" w:cs="Times New Roman" w:eastAsia="Times New Roman" w:hint="default"/>
        </w:rPr>
        <w:t>12</w:t>
      </w:r>
      <w:r>
        <w:rPr/>
        <w:t>个月后、</w:t>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个月后分三期分别申请解锁所获授限制性股票总量的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40%</w:t>
      </w:r>
      <w:r>
        <w:rPr/>
        <w:t>。</w:t>
      </w:r>
    </w:p>
    <w:p>
      <w:pPr>
        <w:spacing w:line="240" w:lineRule="auto" w:before="13"/>
        <w:rPr>
          <w:rFonts w:ascii="宋体" w:hAnsi="宋体" w:cs="宋体" w:eastAsia="宋体" w:hint="default"/>
          <w:sz w:val="2"/>
          <w:szCs w:val="2"/>
        </w:rPr>
      </w:pPr>
    </w:p>
    <w:tbl>
      <w:tblPr>
        <w:tblW w:w="0" w:type="auto"/>
        <w:jc w:val="left"/>
        <w:tblInd w:w="801" w:type="dxa"/>
        <w:tblLayout w:type="fixed"/>
        <w:tblCellMar>
          <w:top w:w="0" w:type="dxa"/>
          <w:left w:w="0" w:type="dxa"/>
          <w:bottom w:w="0" w:type="dxa"/>
          <w:right w:w="0" w:type="dxa"/>
        </w:tblCellMar>
        <w:tblLook w:val="01E0"/>
      </w:tblPr>
      <w:tblGrid>
        <w:gridCol w:w="2844"/>
        <w:gridCol w:w="4636"/>
        <w:gridCol w:w="851"/>
      </w:tblGrid>
      <w:tr>
        <w:trPr>
          <w:trHeight w:val="787" w:hRule="exact"/>
        </w:trPr>
        <w:tc>
          <w:tcPr>
            <w:tcW w:w="284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85" w:lineRule="auto" w:before="66"/>
              <w:ind w:left="1113" w:right="12" w:hanging="1100"/>
              <w:jc w:val="left"/>
              <w:rPr>
                <w:rFonts w:ascii="宋体" w:hAnsi="宋体" w:cs="宋体" w:eastAsia="宋体" w:hint="default"/>
                <w:sz w:val="20"/>
                <w:szCs w:val="20"/>
              </w:rPr>
            </w:pPr>
            <w:r>
              <w:rPr>
                <w:rFonts w:ascii="宋体" w:hAnsi="宋体" w:cs="宋体" w:eastAsia="宋体" w:hint="default"/>
                <w:sz w:val="20"/>
                <w:szCs w:val="20"/>
              </w:rPr>
              <w:t>解锁时间和解锁比例具体如下解</w:t>
            </w:r>
            <w:r>
              <w:rPr>
                <w:rFonts w:ascii="宋体" w:hAnsi="宋体" w:cs="宋体" w:eastAsia="宋体" w:hint="default"/>
                <w:w w:val="100"/>
                <w:sz w:val="20"/>
                <w:szCs w:val="20"/>
              </w:rPr>
              <w:t> </w:t>
            </w:r>
            <w:r>
              <w:rPr>
                <w:rFonts w:ascii="宋体" w:hAnsi="宋体" w:cs="宋体" w:eastAsia="宋体" w:hint="default"/>
                <w:sz w:val="20"/>
                <w:szCs w:val="20"/>
              </w:rPr>
              <w:t>锁安排</w:t>
            </w:r>
          </w:p>
        </w:tc>
        <w:tc>
          <w:tcPr>
            <w:tcW w:w="4636"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解锁时间</w:t>
            </w:r>
          </w:p>
        </w:tc>
        <w:tc>
          <w:tcPr>
            <w:tcW w:w="851"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324" w:lineRule="auto" w:before="46"/>
              <w:ind w:left="218" w:right="217"/>
              <w:jc w:val="left"/>
              <w:rPr>
                <w:rFonts w:ascii="宋体" w:hAnsi="宋体" w:cs="宋体" w:eastAsia="宋体" w:hint="default"/>
                <w:sz w:val="20"/>
                <w:szCs w:val="20"/>
              </w:rPr>
            </w:pPr>
            <w:r>
              <w:rPr>
                <w:rFonts w:ascii="宋体" w:hAnsi="宋体" w:cs="宋体" w:eastAsia="宋体" w:hint="default"/>
                <w:sz w:val="20"/>
                <w:szCs w:val="20"/>
              </w:rPr>
              <w:t>解锁</w:t>
            </w:r>
            <w:r>
              <w:rPr>
                <w:rFonts w:ascii="宋体" w:hAnsi="宋体" w:cs="宋体" w:eastAsia="宋体" w:hint="default"/>
                <w:w w:val="100"/>
                <w:sz w:val="20"/>
                <w:szCs w:val="20"/>
              </w:rPr>
              <w:t> </w:t>
            </w:r>
            <w:r>
              <w:rPr>
                <w:rFonts w:ascii="宋体" w:hAnsi="宋体" w:cs="宋体" w:eastAsia="宋体" w:hint="default"/>
                <w:sz w:val="20"/>
                <w:szCs w:val="20"/>
              </w:rPr>
              <w:t>比例</w:t>
            </w:r>
          </w:p>
        </w:tc>
      </w:tr>
      <w:tr>
        <w:trPr>
          <w:trHeight w:val="744" w:hRule="exact"/>
        </w:trPr>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第一次解锁</w:t>
            </w:r>
          </w:p>
        </w:tc>
        <w:tc>
          <w:tcPr>
            <w:tcW w:w="4636"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35"/>
              <w:ind w:left="2" w:right="16"/>
              <w:jc w:val="left"/>
              <w:rPr>
                <w:rFonts w:ascii="宋体" w:hAnsi="宋体" w:cs="宋体" w:eastAsia="宋体" w:hint="default"/>
                <w:sz w:val="20"/>
                <w:szCs w:val="20"/>
              </w:rPr>
            </w:pPr>
            <w:r>
              <w:rPr>
                <w:rFonts w:ascii="宋体" w:hAnsi="宋体" w:cs="宋体" w:eastAsia="宋体" w:hint="default"/>
                <w:sz w:val="20"/>
                <w:szCs w:val="20"/>
              </w:rPr>
              <w:t>自授予日起</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个月后，由董事会决议确认满足第一次</w:t>
            </w:r>
            <w:r>
              <w:rPr>
                <w:rFonts w:ascii="宋体" w:hAnsi="宋体" w:cs="宋体" w:eastAsia="宋体" w:hint="default"/>
                <w:w w:val="100"/>
                <w:sz w:val="20"/>
                <w:szCs w:val="20"/>
              </w:rPr>
              <w:t> </w:t>
            </w:r>
            <w:r>
              <w:rPr>
                <w:rFonts w:ascii="宋体" w:hAnsi="宋体" w:cs="宋体" w:eastAsia="宋体" w:hint="default"/>
                <w:sz w:val="20"/>
                <w:szCs w:val="20"/>
              </w:rPr>
              <w:t>解锁条件的，其中总额</w:t>
            </w:r>
            <w:r>
              <w:rPr>
                <w:rFonts w:ascii="Times New Roman" w:hAnsi="Times New Roman" w:cs="Times New Roman" w:eastAsia="Times New Roman" w:hint="default"/>
                <w:sz w:val="20"/>
                <w:szCs w:val="20"/>
              </w:rPr>
              <w:t>30%</w:t>
            </w:r>
            <w:r>
              <w:rPr>
                <w:rFonts w:ascii="宋体" w:hAnsi="宋体" w:cs="宋体" w:eastAsia="宋体" w:hint="default"/>
                <w:sz w:val="20"/>
                <w:szCs w:val="20"/>
              </w:rPr>
              <w:t>的部分办理解锁事宜</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30%</w:t>
            </w:r>
          </w:p>
        </w:tc>
      </w:tr>
      <w:tr>
        <w:trPr>
          <w:trHeight w:val="744" w:hRule="exact"/>
        </w:trPr>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第二次解锁</w:t>
            </w:r>
          </w:p>
        </w:tc>
        <w:tc>
          <w:tcPr>
            <w:tcW w:w="4636"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35"/>
              <w:ind w:left="2" w:right="16"/>
              <w:jc w:val="left"/>
              <w:rPr>
                <w:rFonts w:ascii="宋体" w:hAnsi="宋体" w:cs="宋体" w:eastAsia="宋体" w:hint="default"/>
                <w:sz w:val="20"/>
                <w:szCs w:val="20"/>
              </w:rPr>
            </w:pPr>
            <w:r>
              <w:rPr>
                <w:rFonts w:ascii="宋体" w:hAnsi="宋体" w:cs="宋体" w:eastAsia="宋体" w:hint="default"/>
                <w:sz w:val="20"/>
                <w:szCs w:val="20"/>
              </w:rPr>
              <w:t>自授予日起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个月后，由董事会决议确认满足第二次</w:t>
            </w:r>
            <w:r>
              <w:rPr>
                <w:rFonts w:ascii="宋体" w:hAnsi="宋体" w:cs="宋体" w:eastAsia="宋体" w:hint="default"/>
                <w:w w:val="100"/>
                <w:sz w:val="20"/>
                <w:szCs w:val="20"/>
              </w:rPr>
              <w:t> </w:t>
            </w:r>
            <w:r>
              <w:rPr>
                <w:rFonts w:ascii="宋体" w:hAnsi="宋体" w:cs="宋体" w:eastAsia="宋体" w:hint="default"/>
                <w:sz w:val="20"/>
                <w:szCs w:val="20"/>
              </w:rPr>
              <w:t>解锁条件的，其中总额</w:t>
            </w:r>
            <w:r>
              <w:rPr>
                <w:rFonts w:ascii="Times New Roman" w:hAnsi="Times New Roman" w:cs="Times New Roman" w:eastAsia="Times New Roman" w:hint="default"/>
                <w:sz w:val="20"/>
                <w:szCs w:val="20"/>
              </w:rPr>
              <w:t>30%</w:t>
            </w:r>
            <w:r>
              <w:rPr>
                <w:rFonts w:ascii="宋体" w:hAnsi="宋体" w:cs="宋体" w:eastAsia="宋体" w:hint="default"/>
                <w:sz w:val="20"/>
                <w:szCs w:val="20"/>
              </w:rPr>
              <w:t>的部分办理解锁事宜</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30%</w:t>
            </w:r>
          </w:p>
        </w:tc>
      </w:tr>
      <w:tr>
        <w:trPr>
          <w:trHeight w:val="744" w:hRule="exact"/>
        </w:trPr>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第三次解锁</w:t>
            </w:r>
          </w:p>
        </w:tc>
        <w:tc>
          <w:tcPr>
            <w:tcW w:w="4636"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35"/>
              <w:ind w:left="2" w:right="16"/>
              <w:jc w:val="left"/>
              <w:rPr>
                <w:rFonts w:ascii="宋体" w:hAnsi="宋体" w:cs="宋体" w:eastAsia="宋体" w:hint="default"/>
                <w:sz w:val="20"/>
                <w:szCs w:val="20"/>
              </w:rPr>
            </w:pPr>
            <w:r>
              <w:rPr>
                <w:rFonts w:ascii="宋体" w:hAnsi="宋体" w:cs="宋体" w:eastAsia="宋体" w:hint="default"/>
                <w:sz w:val="20"/>
                <w:szCs w:val="20"/>
              </w:rPr>
              <w:t>自授予日起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个月后，由董事会决议确认满足第三次</w:t>
            </w:r>
            <w:r>
              <w:rPr>
                <w:rFonts w:ascii="宋体" w:hAnsi="宋体" w:cs="宋体" w:eastAsia="宋体" w:hint="default"/>
                <w:w w:val="100"/>
                <w:sz w:val="20"/>
                <w:szCs w:val="20"/>
              </w:rPr>
              <w:t> </w:t>
            </w:r>
            <w:r>
              <w:rPr>
                <w:rFonts w:ascii="宋体" w:hAnsi="宋体" w:cs="宋体" w:eastAsia="宋体" w:hint="default"/>
                <w:sz w:val="20"/>
                <w:szCs w:val="20"/>
              </w:rPr>
              <w:t>解锁条件的，其中总额</w:t>
            </w:r>
            <w:r>
              <w:rPr>
                <w:rFonts w:ascii="Times New Roman" w:hAnsi="Times New Roman" w:cs="Times New Roman" w:eastAsia="Times New Roman" w:hint="default"/>
                <w:sz w:val="20"/>
                <w:szCs w:val="20"/>
              </w:rPr>
              <w:t>40%</w:t>
            </w:r>
            <w:r>
              <w:rPr>
                <w:rFonts w:ascii="宋体" w:hAnsi="宋体" w:cs="宋体" w:eastAsia="宋体" w:hint="default"/>
                <w:sz w:val="20"/>
                <w:szCs w:val="20"/>
              </w:rPr>
              <w:t>的部分办理解锁事宜</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40%</w:t>
            </w:r>
          </w:p>
        </w:tc>
      </w:tr>
    </w:tbl>
    <w:p>
      <w:pPr>
        <w:spacing w:line="240" w:lineRule="auto" w:before="5"/>
        <w:rPr>
          <w:rFonts w:ascii="宋体" w:hAnsi="宋体" w:cs="宋体" w:eastAsia="宋体" w:hint="default"/>
          <w:sz w:val="27"/>
          <w:szCs w:val="27"/>
        </w:rPr>
      </w:pPr>
    </w:p>
    <w:p>
      <w:pPr>
        <w:pStyle w:val="BodyText"/>
        <w:spacing w:line="319" w:lineRule="auto" w:before="44"/>
        <w:ind w:left="154" w:right="1132" w:firstLine="420"/>
        <w:jc w:val="both"/>
      </w:pPr>
      <w:r>
        <w:rPr/>
        <w:t>在解锁期内，董事会确认达到解锁条件后，激励对象必须在董事会确定的解锁期内，就当期可申请解锁部分的限制性 </w:t>
      </w:r>
      <w:r>
        <w:rPr>
          <w:spacing w:val="-2"/>
        </w:rPr>
        <w:t>股票向公司提交限制性股票解锁申请书。如激励对象未按期限向董事会提交书面申请，视为激励对象自愿放弃解锁，相应限</w:t>
      </w:r>
      <w:r>
        <w:rPr>
          <w:spacing w:val="-66"/>
        </w:rPr>
        <w:t> </w:t>
      </w:r>
      <w:r>
        <w:rPr>
          <w:spacing w:val="-66"/>
        </w:rPr>
      </w:r>
      <w:r>
        <w:rPr>
          <w:spacing w:val="-2"/>
        </w:rPr>
        <w:t>制性股票不再解锁并由公司以授予价格回购后注销。若解锁期内任何一期未达到解锁条件，则当期可申请解锁的限制性股票</w:t>
      </w:r>
      <w:r>
        <w:rPr>
          <w:spacing w:val="-64"/>
        </w:rPr>
        <w:t> </w:t>
      </w:r>
      <w:r>
        <w:rPr>
          <w:spacing w:val="-64"/>
        </w:rPr>
      </w:r>
      <w:r>
        <w:rPr/>
        <w:t>不得解锁并由公司回购后注销。</w:t>
      </w:r>
    </w:p>
    <w:p>
      <w:pPr>
        <w:pStyle w:val="BodyText"/>
        <w:spacing w:line="240" w:lineRule="auto" w:before="56"/>
        <w:ind w:left="574" w:right="1033"/>
        <w:jc w:val="left"/>
      </w:pPr>
      <w:r>
        <w:rPr/>
        <w:t>（</w:t>
      </w:r>
      <w:r>
        <w:rPr>
          <w:rFonts w:ascii="Times New Roman" w:hAnsi="Times New Roman" w:cs="Times New Roman" w:eastAsia="Times New Roman" w:hint="default"/>
        </w:rPr>
        <w:t>2</w:t>
      </w:r>
      <w:r>
        <w:rPr/>
        <w:t>）限制性股票解锁条件</w:t>
      </w:r>
    </w:p>
    <w:p>
      <w:pPr>
        <w:pStyle w:val="BodyText"/>
        <w:spacing w:line="338" w:lineRule="auto" w:before="103"/>
        <w:ind w:left="573" w:right="6193"/>
        <w:jc w:val="left"/>
      </w:pPr>
      <w:r>
        <w:rPr>
          <w:rFonts w:ascii="Times New Roman" w:hAnsi="Times New Roman" w:cs="Times New Roman" w:eastAsia="Times New Roman" w:hint="default"/>
        </w:rPr>
        <w:t>A</w:t>
      </w:r>
      <w:r>
        <w:rPr/>
        <w:t>．业绩条件 激励对象限制性股票解锁条件需满足如下业绩要求：</w:t>
      </w:r>
    </w:p>
    <w:p>
      <w:pPr>
        <w:pStyle w:val="BodyText"/>
        <w:spacing w:line="302" w:lineRule="auto" w:before="41"/>
        <w:ind w:right="1132" w:firstLine="420"/>
        <w:jc w:val="both"/>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2012</w:t>
      </w:r>
      <w:r>
        <w:rPr/>
        <w:t>年扣除非经常性损益前后孰低的净利润</w:t>
      </w:r>
      <w:r>
        <w:rPr>
          <w:rFonts w:ascii="Times New Roman" w:hAnsi="Times New Roman" w:cs="Times New Roman" w:eastAsia="Times New Roman" w:hint="default"/>
        </w:rPr>
        <w:t>5,818.44</w:t>
      </w:r>
      <w:r>
        <w:rPr/>
        <w:t>万元为固定基数，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年公司净利润增长 率分别不低于</w:t>
      </w:r>
      <w:r>
        <w:rPr>
          <w:rFonts w:ascii="Times New Roman" w:hAnsi="Times New Roman" w:cs="Times New Roman" w:eastAsia="Times New Roman" w:hint="default"/>
        </w:rPr>
        <w:t>80%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180%</w:t>
      </w:r>
      <w:r>
        <w:rPr/>
        <w:t>；</w:t>
      </w:r>
    </w:p>
    <w:p>
      <w:pPr>
        <w:pStyle w:val="BodyText"/>
        <w:spacing w:line="240" w:lineRule="auto" w:before="52"/>
        <w:ind w:left="574"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年公司净资产收益率均不低于</w:t>
      </w:r>
      <w:r>
        <w:rPr>
          <w:rFonts w:ascii="Times New Roman" w:hAnsi="Times New Roman" w:cs="Times New Roman" w:eastAsia="Times New Roman" w:hint="default"/>
        </w:rPr>
        <w:t>8%</w:t>
      </w:r>
      <w:r>
        <w:rPr/>
        <w:t>；</w:t>
      </w:r>
    </w:p>
    <w:p>
      <w:pPr>
        <w:pStyle w:val="BodyText"/>
        <w:spacing w:line="240" w:lineRule="auto" w:before="101"/>
        <w:ind w:left="574" w:right="1033"/>
        <w:jc w:val="left"/>
      </w:pPr>
      <w:r>
        <w:rPr>
          <w:rFonts w:ascii="Times New Roman" w:hAnsi="Times New Roman" w:cs="Times New Roman" w:eastAsia="Times New Roman" w:hint="default"/>
        </w:rPr>
        <w:t>3</w:t>
      </w:r>
      <w:r>
        <w:rPr/>
        <w:t>）限制性股票锁定期内，各年度归属于上市公司股东的净利润不低于授予日前最近三个会计年度的平均水平且不得为</w:t>
      </w:r>
    </w:p>
    <w:p>
      <w:pPr>
        <w:pStyle w:val="BodyText"/>
        <w:spacing w:line="240" w:lineRule="auto" w:before="64"/>
        <w:ind w:left="154" w:right="1033"/>
        <w:jc w:val="left"/>
      </w:pPr>
      <w:r>
        <w:rPr/>
        <w:t>负。</w:t>
      </w:r>
    </w:p>
    <w:p>
      <w:pPr>
        <w:pStyle w:val="BodyText"/>
        <w:spacing w:line="240" w:lineRule="auto" w:before="115"/>
        <w:ind w:left="574" w:right="1033"/>
        <w:jc w:val="left"/>
      </w:pPr>
      <w:r>
        <w:rPr/>
        <w:t>以上净利润及增长率与净资产收益率指标均以扣除非经常性损益前后孰低的净利润为计算依据，由本次股权激励产生</w:t>
      </w:r>
    </w:p>
    <w:p>
      <w:pPr>
        <w:pStyle w:val="BodyText"/>
        <w:spacing w:line="240" w:lineRule="auto" w:before="77"/>
        <w:ind w:left="135" w:right="8231"/>
        <w:jc w:val="center"/>
      </w:pPr>
      <w:r>
        <w:rPr/>
        <w:t>的成本将在经常性损益中列支。</w:t>
      </w:r>
    </w:p>
    <w:p>
      <w:pPr>
        <w:pStyle w:val="BodyText"/>
        <w:spacing w:line="343" w:lineRule="auto" w:before="117"/>
        <w:ind w:left="573" w:right="2233"/>
        <w:jc w:val="left"/>
      </w:pPr>
      <w:r>
        <w:rPr>
          <w:rFonts w:ascii="Times New Roman" w:hAnsi="Times New Roman" w:cs="Times New Roman" w:eastAsia="Times New Roman" w:hint="default"/>
        </w:rPr>
        <w:t>B</w:t>
      </w:r>
      <w:r>
        <w:rPr/>
        <w:t>．其他条件 激励对象申请限制性股票进行解锁，在解锁日需同时满足限制性股票在授予日的授予条件，具体如下： </w:t>
      </w:r>
      <w:r>
        <w:rPr>
          <w:rFonts w:ascii="Times New Roman" w:hAnsi="Times New Roman" w:cs="Times New Roman" w:eastAsia="Times New Roman" w:hint="default"/>
        </w:rPr>
        <w:t>1</w:t>
      </w:r>
      <w:r>
        <w:rPr/>
        <w:t>）公司未发生如下任一情形： </w:t>
      </w:r>
      <w:r>
        <w:rPr>
          <w:rFonts w:ascii="Times New Roman" w:hAnsi="Times New Roman" w:cs="Times New Roman" w:eastAsia="Times New Roman" w:hint="default"/>
        </w:rPr>
        <w:t>a.</w:t>
      </w:r>
      <w:r>
        <w:rPr/>
        <w:t>最近一个会计年度财务会计报告被注册会计师出具否定意见或者无法表示意见的审计报告； </w:t>
      </w:r>
      <w:r>
        <w:rPr>
          <w:rFonts w:ascii="Times New Roman" w:hAnsi="Times New Roman" w:cs="Times New Roman" w:eastAsia="Times New Roman" w:hint="default"/>
        </w:rPr>
        <w:t>b.</w:t>
      </w:r>
      <w:r>
        <w:rPr/>
        <w:t>最近一年内因重大违法违规行为被中国证券监督管理委员会予以行政处罚； </w:t>
      </w:r>
      <w:r>
        <w:rPr>
          <w:rFonts w:ascii="Times New Roman" w:hAnsi="Times New Roman" w:cs="Times New Roman" w:eastAsia="Times New Roman" w:hint="default"/>
        </w:rPr>
        <w:t>c.</w:t>
      </w:r>
      <w:r>
        <w:rPr/>
        <w:t>中国证券监督管理委员会认定的其他情形。</w:t>
      </w:r>
    </w:p>
    <w:p>
      <w:pPr>
        <w:pStyle w:val="BodyText"/>
        <w:spacing w:line="338" w:lineRule="auto" w:before="18"/>
        <w:ind w:left="573" w:right="3188"/>
        <w:jc w:val="left"/>
      </w:pPr>
      <w:r>
        <w:rPr>
          <w:rFonts w:ascii="Times New Roman" w:hAnsi="Times New Roman" w:cs="Times New Roman" w:eastAsia="Times New Roman" w:hint="default"/>
        </w:rPr>
        <w:t>2</w:t>
      </w:r>
      <w:r>
        <w:rPr/>
        <w:t>）激励对象未发生如下任一情形： </w:t>
      </w:r>
      <w:r>
        <w:rPr>
          <w:rFonts w:ascii="Times New Roman" w:hAnsi="Times New Roman" w:cs="Times New Roman" w:eastAsia="Times New Roman" w:hint="default"/>
        </w:rPr>
        <w:t>a.</w:t>
      </w:r>
      <w:r>
        <w:rPr/>
        <w:t>最近三年内被证券交易所公开谴责或宣布为不适当人选的； </w:t>
      </w:r>
      <w:r>
        <w:rPr>
          <w:rFonts w:ascii="Times New Roman" w:hAnsi="Times New Roman" w:cs="Times New Roman" w:eastAsia="Times New Roman" w:hint="default"/>
        </w:rPr>
        <w:t>b.</w:t>
      </w:r>
      <w:r>
        <w:rPr/>
        <w:t>最近三年内因重大违法违规行为被中国证券监督管理委员会予以行政处罚的； </w:t>
      </w:r>
      <w:r>
        <w:rPr>
          <w:rFonts w:ascii="Times New Roman" w:hAnsi="Times New Roman" w:cs="Times New Roman" w:eastAsia="Times New Roman" w:hint="default"/>
        </w:rPr>
        <w:t>c.</w:t>
      </w:r>
      <w:r>
        <w:rPr/>
        <w:t>具有《中华人民共和国公司法》规定的不得担任公司董事、监事、高级管理人员情形的。</w:t>
      </w:r>
    </w:p>
    <w:p>
      <w:pPr>
        <w:pStyle w:val="BodyText"/>
        <w:spacing w:line="302" w:lineRule="auto" w:before="19"/>
        <w:ind w:right="1033" w:firstLine="420"/>
        <w:jc w:val="left"/>
      </w:pPr>
      <w:r>
        <w:rPr>
          <w:rFonts w:ascii="Times New Roman" w:hAnsi="Times New Roman" w:cs="Times New Roman" w:eastAsia="Times New Roman" w:hint="default"/>
          <w:spacing w:val="-2"/>
        </w:rPr>
        <w:t>3</w:t>
      </w:r>
      <w:r>
        <w:rPr>
          <w:spacing w:val="-2"/>
        </w:rPr>
        <w:t>）根据《二六三网络通信股份有限公司</w:t>
      </w:r>
      <w:r>
        <w:rPr>
          <w:rFonts w:ascii="Times New Roman" w:hAnsi="Times New Roman" w:cs="Times New Roman" w:eastAsia="Times New Roman" w:hint="default"/>
          <w:spacing w:val="-2"/>
        </w:rPr>
        <w:t>2013</w:t>
      </w:r>
      <w:r>
        <w:rPr>
          <w:spacing w:val="-2"/>
        </w:rPr>
        <w:t>年限制性股票激励计划实施考核办法》，激励对象考核年度绩效考核合格</w:t>
      </w:r>
      <w:r>
        <w:rPr/>
        <w:t> 及以上。</w:t>
      </w:r>
    </w:p>
    <w:p>
      <w:pPr>
        <w:pStyle w:val="BodyText"/>
        <w:spacing w:line="240" w:lineRule="auto" w:before="69"/>
        <w:ind w:left="574" w:right="10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解锁及回购情况</w:t>
      </w:r>
    </w:p>
    <w:p>
      <w:pPr>
        <w:pStyle w:val="BodyText"/>
        <w:spacing w:line="300" w:lineRule="auto" w:before="102"/>
        <w:ind w:right="1116" w:firstLine="420"/>
        <w:jc w:val="left"/>
      </w:pPr>
      <w:r>
        <w:rPr>
          <w:rFonts w:ascii="Times New Roman" w:hAnsi="Times New Roman" w:cs="Times New Roman" w:eastAsia="Times New Roman" w:hint="default"/>
          <w:spacing w:val="-3"/>
        </w:rPr>
        <w:t>1</w:t>
      </w:r>
      <w:r>
        <w:rPr>
          <w:spacing w:val="-3"/>
        </w:rPr>
        <w:t>）本公司于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日召开的第四届董事会第十七次会议和第四届监事会第十一次会议审议通过了《关于回 </w:t>
      </w:r>
      <w:r>
        <w:rPr>
          <w:spacing w:val="-2"/>
        </w:rPr>
        <w:t>购注销已离职股权激励对象所持已获授但尚未解锁的限制性股票的议案》。公司激励对象闫斌、殷宇安、李春琦已离职，已</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rPr>
          <w:rFonts w:ascii="Times New Roman" w:hAnsi="Times New Roman" w:cs="Times New Roman" w:eastAsia="Times New Roman" w:hint="default"/>
        </w:rPr>
      </w:pPr>
      <w:r>
        <w:rPr/>
        <w:t>不符合激励条件，公司决定回购注销其已获授但尚未解锁的限制性股票共计 </w:t>
      </w:r>
      <w:r>
        <w:rPr>
          <w:rFonts w:ascii="Times New Roman" w:hAnsi="Times New Roman" w:cs="Times New Roman" w:eastAsia="Times New Roman" w:hint="default"/>
        </w:rPr>
        <w:t>40,000  </w:t>
      </w:r>
      <w:r>
        <w:rPr/>
        <w:t>股，此次限制性股票回购价格为</w:t>
      </w:r>
      <w:r>
        <w:rPr>
          <w:spacing w:val="-3"/>
        </w:rPr>
        <w:t> </w:t>
      </w:r>
      <w:r>
        <w:rPr>
          <w:rFonts w:ascii="Times New Roman" w:hAnsi="Times New Roman" w:cs="Times New Roman" w:eastAsia="Times New Roman" w:hint="default"/>
        </w:rPr>
        <w:t>10.89</w:t>
      </w:r>
    </w:p>
    <w:p>
      <w:pPr>
        <w:pStyle w:val="BodyText"/>
        <w:spacing w:line="302" w:lineRule="auto" w:before="63"/>
        <w:ind w:right="1132"/>
        <w:jc w:val="both"/>
      </w:pPr>
      <w:r>
        <w:rPr/>
        <w:t>元</w:t>
      </w:r>
      <w:r>
        <w:rPr>
          <w:rFonts w:ascii="Times New Roman" w:hAnsi="Times New Roman" w:cs="Times New Roman" w:eastAsia="Times New Roman" w:hint="default"/>
        </w:rPr>
        <w:t>/</w:t>
      </w:r>
      <w:r>
        <w:rPr/>
        <w:t>股，公司应就本次限制性股票回购向上述三人支付回购价款共计 </w:t>
      </w:r>
      <w:r>
        <w:rPr>
          <w:rFonts w:ascii="Times New Roman" w:hAnsi="Times New Roman" w:cs="Times New Roman" w:eastAsia="Times New Roman" w:hint="default"/>
        </w:rPr>
        <w:t>435,600 </w:t>
      </w:r>
      <w:r>
        <w:rPr>
          <w:spacing w:val="-4"/>
        </w:rPr>
        <w:t>元。</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16"/>
        </w:rPr>
        <w:t> </w:t>
      </w:r>
      <w:r>
        <w:rPr/>
        <w:t>日，公司完成了对上述股 份的回购注销。</w:t>
      </w:r>
    </w:p>
    <w:p>
      <w:pPr>
        <w:pStyle w:val="BodyText"/>
        <w:spacing w:line="240" w:lineRule="auto" w:before="68"/>
        <w:ind w:left="573" w:right="1033"/>
        <w:jc w:val="left"/>
      </w:pP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20 </w:t>
      </w:r>
      <w:r>
        <w:rPr/>
        <w:t>日召开的</w:t>
      </w:r>
      <w:r>
        <w:rPr>
          <w:rFonts w:ascii="Times New Roman" w:hAnsi="Times New Roman" w:cs="Times New Roman" w:eastAsia="Times New Roman" w:hint="default"/>
        </w:rPr>
        <w:t>2013 </w:t>
      </w:r>
      <w:r>
        <w:rPr/>
        <w:t>年年度股东大会决定，公司于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30 </w:t>
      </w:r>
      <w:r>
        <w:rPr/>
        <w:t>日实施 </w:t>
      </w:r>
      <w:r>
        <w:rPr>
          <w:rFonts w:ascii="Times New Roman" w:hAnsi="Times New Roman" w:cs="Times New Roman" w:eastAsia="Times New Roman" w:hint="default"/>
        </w:rPr>
        <w:t>2013  </w:t>
      </w:r>
      <w:r>
        <w:rPr>
          <w:rFonts w:ascii="Times New Roman" w:hAnsi="Times New Roman" w:cs="Times New Roman" w:eastAsia="Times New Roman" w:hint="default"/>
          <w:spacing w:val="34"/>
        </w:rPr>
        <w:t> </w:t>
      </w:r>
      <w:r>
        <w:rPr/>
        <w:t>年度利润分</w:t>
      </w:r>
    </w:p>
    <w:p>
      <w:pPr>
        <w:pStyle w:val="BodyText"/>
        <w:spacing w:line="240" w:lineRule="auto" w:before="63"/>
        <w:ind w:right="1033"/>
        <w:jc w:val="left"/>
      </w:pPr>
      <w:r>
        <w:rPr/>
        <w:t>配方案：以公司总股本 </w:t>
      </w:r>
      <w:r>
        <w:rPr>
          <w:rFonts w:ascii="Times New Roman" w:hAnsi="Times New Roman" w:cs="Times New Roman" w:eastAsia="Times New Roman" w:hint="default"/>
        </w:rPr>
        <w:t>241,227,000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4.000663</w:t>
      </w:r>
      <w:r>
        <w:rPr>
          <w:rFonts w:ascii="Times New Roman" w:hAnsi="Times New Roman" w:cs="Times New Roman" w:eastAsia="Times New Roman" w:hint="default"/>
          <w:spacing w:val="-5"/>
        </w:rPr>
        <w:t> </w:t>
      </w:r>
      <w:r>
        <w:rPr/>
        <w:t>元人民币现金（含税），同时，以资本公</w:t>
      </w:r>
    </w:p>
    <w:p>
      <w:pPr>
        <w:pStyle w:val="BodyText"/>
        <w:spacing w:line="340" w:lineRule="auto" w:before="64"/>
        <w:ind w:left="574" w:right="6012" w:hanging="420"/>
        <w:jc w:val="left"/>
      </w:pPr>
      <w:r>
        <w:rPr/>
        <w:t>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10.001650</w:t>
      </w:r>
      <w:r>
        <w:rPr>
          <w:rFonts w:ascii="Times New Roman" w:hAnsi="Times New Roman" w:cs="Times New Roman" w:eastAsia="Times New Roman" w:hint="default"/>
          <w:spacing w:val="17"/>
        </w:rPr>
        <w:t> </w:t>
      </w:r>
      <w:r>
        <w:rPr/>
        <w:t>股。</w:t>
      </w:r>
      <w:r>
        <w:rPr>
          <w:spacing w:val="-2"/>
        </w:rPr>
        <w:t> </w:t>
      </w:r>
      <w:r>
        <w:rPr/>
        <w:t>此次利润分配后，限制性股票股数增加至</w:t>
      </w:r>
      <w:r>
        <w:rPr>
          <w:rFonts w:ascii="Times New Roman" w:hAnsi="Times New Roman" w:cs="Times New Roman" w:eastAsia="Times New Roman" w:hint="default"/>
        </w:rPr>
        <w:t>2,454,202</w:t>
      </w:r>
      <w:r>
        <w:rPr/>
        <w:t>股。</w:t>
      </w:r>
    </w:p>
    <w:p>
      <w:pPr>
        <w:pStyle w:val="BodyText"/>
        <w:spacing w:line="240" w:lineRule="auto" w:before="17"/>
        <w:ind w:left="574" w:right="10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年由于白彦清等 </w:t>
      </w:r>
      <w:r>
        <w:rPr>
          <w:rFonts w:ascii="Times New Roman" w:hAnsi="Times New Roman" w:cs="Times New Roman" w:eastAsia="Times New Roman" w:hint="default"/>
        </w:rPr>
        <w:t>10 </w:t>
      </w:r>
      <w:r>
        <w:rPr>
          <w:rFonts w:ascii="Times New Roman" w:hAnsi="Times New Roman" w:cs="Times New Roman" w:eastAsia="Times New Roman" w:hint="default"/>
          <w:spacing w:val="37"/>
        </w:rPr>
        <w:t> </w:t>
      </w:r>
      <w:r>
        <w:rPr/>
        <w:t>人因离职已不符合激励条件，根据公司《激励计划》</w:t>
      </w:r>
      <w:r>
        <w:rPr>
          <w:rFonts w:ascii="Times New Roman" w:hAnsi="Times New Roman" w:cs="Times New Roman" w:eastAsia="Times New Roman" w:hint="default"/>
        </w:rPr>
        <w:t>“</w:t>
      </w:r>
      <w:r>
        <w:rPr/>
        <w:t>第十一章股权激励计划的变更与终</w:t>
      </w:r>
    </w:p>
    <w:p>
      <w:pPr>
        <w:pStyle w:val="BodyText"/>
        <w:spacing w:line="309" w:lineRule="auto" w:before="63"/>
        <w:ind w:left="154" w:right="1131"/>
        <w:jc w:val="both"/>
      </w:pPr>
      <w:r>
        <w:rPr/>
        <w:t>止</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第十三章限制性股票的回购注销</w:t>
      </w:r>
      <w:r>
        <w:rPr>
          <w:rFonts w:ascii="Times New Roman" w:hAnsi="Times New Roman" w:cs="Times New Roman" w:eastAsia="Times New Roman" w:hint="default"/>
        </w:rPr>
        <w:t>”</w:t>
      </w:r>
      <w:r>
        <w:rPr/>
        <w:t>等规定以及公司</w:t>
      </w:r>
      <w:r>
        <w:rPr>
          <w:spacing w:val="1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年第一次临时股东大会审议通过的《关于股东大会授权董事</w:t>
      </w:r>
      <w:r>
        <w:rPr>
          <w:spacing w:val="-84"/>
        </w:rPr>
        <w:t> </w:t>
      </w:r>
      <w:r>
        <w:rPr>
          <w:spacing w:val="-84"/>
        </w:rPr>
      </w:r>
      <w:r>
        <w:rPr>
          <w:spacing w:val="-2"/>
        </w:rPr>
        <w:t>会办理公司限制性股票激励计划相关事宜的议案》的规定，公司董事会决定对上述十人所持有的已获授但尚未解锁的限制性</w:t>
      </w:r>
      <w:r>
        <w:rPr>
          <w:spacing w:val="-64"/>
        </w:rPr>
        <w:t> </w:t>
      </w:r>
      <w:r>
        <w:rPr>
          <w:spacing w:val="-64"/>
        </w:rPr>
      </w:r>
      <w:r>
        <w:rPr/>
        <w:t>股票共计</w:t>
      </w:r>
      <w:r>
        <w:rPr>
          <w:rFonts w:ascii="Times New Roman" w:hAnsi="Times New Roman" w:cs="Times New Roman" w:eastAsia="Times New Roman" w:hint="default"/>
        </w:rPr>
        <w:t>255,020</w:t>
      </w:r>
      <w:r>
        <w:rPr/>
        <w:t>股进行回购后注销。</w:t>
      </w:r>
    </w:p>
    <w:p>
      <w:pPr>
        <w:pStyle w:val="BodyText"/>
        <w:spacing w:line="304" w:lineRule="auto" w:before="43"/>
        <w:ind w:left="154" w:right="1032" w:firstLine="420"/>
        <w:jc w:val="left"/>
      </w:pPr>
      <w:r>
        <w:rPr/>
        <w:t>根据《公司</w:t>
      </w:r>
      <w:r>
        <w:rPr>
          <w:rFonts w:ascii="Times New Roman" w:hAnsi="Times New Roman" w:cs="Times New Roman" w:eastAsia="Times New Roman" w:hint="default"/>
        </w:rPr>
        <w:t>2013</w:t>
      </w:r>
      <w:r>
        <w:rPr/>
        <w:t>年限制性股票激励计划（草案修订稿）》</w:t>
      </w:r>
      <w:r>
        <w:rPr>
          <w:rFonts w:ascii="Times New Roman" w:hAnsi="Times New Roman" w:cs="Times New Roman" w:eastAsia="Times New Roman" w:hint="default"/>
        </w:rPr>
        <w:t>“</w:t>
      </w:r>
      <w:r>
        <w:rPr/>
        <w:t>第十三章限制性股票的回购注销相关规定</w:t>
      </w:r>
      <w:r>
        <w:rPr>
          <w:rFonts w:ascii="Times New Roman" w:hAnsi="Times New Roman" w:cs="Times New Roman" w:eastAsia="Times New Roman" w:hint="default"/>
        </w:rPr>
        <w:t>”</w:t>
      </w:r>
      <w:r>
        <w:rPr/>
        <w:t>：若限制性股票</w:t>
      </w:r>
      <w:r>
        <w:rPr>
          <w:spacing w:val="1"/>
        </w:rPr>
        <w:t> </w:t>
      </w:r>
      <w:r>
        <w:rPr/>
        <w:t>在授予后，公司发生资本公积金转增股本、派发股票红利、配股等影响公司股本总量或公司股票价格应进行除权的情况时，</w:t>
      </w:r>
      <w:r>
        <w:rPr>
          <w:spacing w:val="-85"/>
        </w:rPr>
        <w:t> </w:t>
      </w:r>
      <w:r>
        <w:rPr>
          <w:spacing w:val="-85"/>
        </w:rPr>
      </w:r>
      <w:r>
        <w:rPr/>
        <w:t>公司对尚未解锁的限制性股票的回购价格做相应的调整。</w:t>
      </w:r>
      <w:r>
        <w:rPr>
          <w:color w:val="0D0D0D"/>
        </w:rPr>
        <w:t>本公司于</w:t>
      </w:r>
      <w:r>
        <w:rPr>
          <w:rFonts w:ascii="Times New Roman" w:hAnsi="Times New Roman" w:cs="Times New Roman" w:eastAsia="Times New Roman" w:hint="default"/>
          <w:color w:val="0D0D0D"/>
        </w:rPr>
        <w:t>2014 </w:t>
      </w:r>
      <w:r>
        <w:rPr>
          <w:color w:val="0D0D0D"/>
        </w:rPr>
        <w:t>年 </w:t>
      </w:r>
      <w:r>
        <w:rPr>
          <w:rFonts w:ascii="Times New Roman" w:hAnsi="Times New Roman" w:cs="Times New Roman" w:eastAsia="Times New Roman" w:hint="default"/>
          <w:color w:val="0D0D0D"/>
        </w:rPr>
        <w:t>5 </w:t>
      </w:r>
      <w:r>
        <w:rPr>
          <w:color w:val="0D0D0D"/>
        </w:rPr>
        <w:t>月 </w:t>
      </w:r>
      <w:r>
        <w:rPr>
          <w:rFonts w:ascii="Times New Roman" w:hAnsi="Times New Roman" w:cs="Times New Roman" w:eastAsia="Times New Roman" w:hint="default"/>
          <w:color w:val="0D0D0D"/>
        </w:rPr>
        <w:t>20 </w:t>
      </w:r>
      <w:r>
        <w:rPr>
          <w:color w:val="0D0D0D"/>
        </w:rPr>
        <w:t>日召开的</w:t>
      </w:r>
      <w:r>
        <w:rPr>
          <w:rFonts w:ascii="Times New Roman" w:hAnsi="Times New Roman" w:cs="Times New Roman" w:eastAsia="Times New Roman" w:hint="default"/>
          <w:color w:val="0D0D0D"/>
        </w:rPr>
        <w:t>2013</w:t>
      </w:r>
      <w:r>
        <w:rPr>
          <w:rFonts w:ascii="Times New Roman" w:hAnsi="Times New Roman" w:cs="Times New Roman" w:eastAsia="Times New Roman" w:hint="default"/>
          <w:color w:val="0D0D0D"/>
          <w:spacing w:val="7"/>
        </w:rPr>
        <w:t> </w:t>
      </w:r>
      <w:r>
        <w:rPr>
          <w:color w:val="0D0D0D"/>
          <w:spacing w:val="-4"/>
        </w:rPr>
        <w:t>年年度股东大会决定，以</w:t>
      </w:r>
      <w:r>
        <w:rPr>
          <w:color w:val="0D0D0D"/>
        </w:rPr>
        <w:t> 公司总股本</w:t>
      </w:r>
      <w:r>
        <w:rPr>
          <w:color w:val="0D0D0D"/>
          <w:spacing w:val="-3"/>
        </w:rPr>
        <w:t> </w:t>
      </w:r>
      <w:r>
        <w:rPr>
          <w:rFonts w:ascii="Times New Roman" w:hAnsi="Times New Roman" w:cs="Times New Roman" w:eastAsia="Times New Roman" w:hint="default"/>
          <w:color w:val="0D0D0D"/>
        </w:rPr>
        <w:t>241,227,000</w:t>
      </w:r>
      <w:r>
        <w:rPr>
          <w:rFonts w:ascii="Times New Roman" w:hAnsi="Times New Roman" w:cs="Times New Roman" w:eastAsia="Times New Roman" w:hint="default"/>
          <w:color w:val="0D0D0D"/>
          <w:spacing w:val="38"/>
        </w:rPr>
        <w:t> </w:t>
      </w:r>
      <w:r>
        <w:rPr>
          <w:color w:val="0D0D0D"/>
        </w:rPr>
        <w:t>股为基数，以资本公积金向全体股东每</w:t>
      </w:r>
      <w:r>
        <w:rPr>
          <w:color w:val="0D0D0D"/>
          <w:spacing w:val="-3"/>
        </w:rPr>
        <w:t> </w:t>
      </w:r>
      <w:r>
        <w:rPr>
          <w:rFonts w:ascii="Times New Roman" w:hAnsi="Times New Roman" w:cs="Times New Roman" w:eastAsia="Times New Roman" w:hint="default"/>
          <w:color w:val="0D0D0D"/>
        </w:rPr>
        <w:t>10</w:t>
      </w:r>
      <w:r>
        <w:rPr>
          <w:rFonts w:ascii="Times New Roman" w:hAnsi="Times New Roman" w:cs="Times New Roman" w:eastAsia="Times New Roman" w:hint="default"/>
          <w:color w:val="0D0D0D"/>
          <w:spacing w:val="39"/>
        </w:rPr>
        <w:t> </w:t>
      </w:r>
      <w:r>
        <w:rPr>
          <w:color w:val="0D0D0D"/>
        </w:rPr>
        <w:t>股转增</w:t>
      </w:r>
      <w:r>
        <w:rPr>
          <w:color w:val="0D0D0D"/>
          <w:spacing w:val="-3"/>
        </w:rPr>
        <w:t> </w:t>
      </w:r>
      <w:r>
        <w:rPr>
          <w:rFonts w:ascii="Times New Roman" w:hAnsi="Times New Roman" w:cs="Times New Roman" w:eastAsia="Times New Roman" w:hint="default"/>
          <w:color w:val="0D0D0D"/>
        </w:rPr>
        <w:t>10.001650</w:t>
      </w:r>
      <w:r>
        <w:rPr>
          <w:rFonts w:ascii="Times New Roman" w:hAnsi="Times New Roman" w:cs="Times New Roman" w:eastAsia="Times New Roman" w:hint="default"/>
          <w:color w:val="0D0D0D"/>
          <w:spacing w:val="38"/>
        </w:rPr>
        <w:t> </w:t>
      </w:r>
      <w:r>
        <w:rPr>
          <w:color w:val="0D0D0D"/>
        </w:rPr>
        <w:t>股。</w:t>
      </w:r>
      <w:r>
        <w:rPr/>
        <w:t>本次股份回购价格调整为</w:t>
      </w:r>
      <w:r>
        <w:rPr>
          <w:rFonts w:ascii="Times New Roman" w:hAnsi="Times New Roman" w:cs="Times New Roman" w:eastAsia="Times New Roman" w:hint="default"/>
        </w:rPr>
        <w:t>5.244</w:t>
      </w:r>
      <w:r>
        <w:rPr>
          <w:rFonts w:ascii="Times New Roman" w:hAnsi="Times New Roman" w:cs="Times New Roman" w:eastAsia="Times New Roman" w:hint="default"/>
          <w:spacing w:val="-31"/>
        </w:rPr>
        <w:t> </w:t>
      </w:r>
      <w:r>
        <w:rPr/>
        <w:t>元，公司已就此次限制性股票回购向上述十人支付回购价款共计</w:t>
      </w:r>
      <w:r>
        <w:rPr>
          <w:rFonts w:ascii="Times New Roman" w:hAnsi="Times New Roman" w:cs="Times New Roman" w:eastAsia="Times New Roman" w:hint="default"/>
        </w:rPr>
        <w:t>1,337,459.96</w:t>
      </w:r>
      <w:r>
        <w:rPr/>
        <w:t>元，</w:t>
      </w:r>
      <w:r>
        <w:rPr>
          <w:color w:val="0D0D0D"/>
        </w:rPr>
        <w:t>并于</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w:t>
      </w:r>
      <w:r>
        <w:rPr>
          <w:color w:val="0D0D0D"/>
        </w:rPr>
        <w:t>月全部支付</w:t>
      </w:r>
      <w:r>
        <w:rPr/>
        <w:t>。</w:t>
      </w:r>
    </w:p>
    <w:p>
      <w:pPr>
        <w:pStyle w:val="BodyText"/>
        <w:spacing w:line="307" w:lineRule="auto" w:before="48"/>
        <w:ind w:right="1130"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日，本公司召开了第四届董事会第二十七次会议和第四届监事会第十五次会议审议通过了《关于限制 </w:t>
      </w:r>
      <w:r>
        <w:rPr>
          <w:spacing w:val="-3"/>
        </w:rPr>
        <w:t>性股票激励计划第一个解锁期解锁条件成就的议案》，限制性股票激励计划第一个解锁期截至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13</w:t>
      </w:r>
      <w:r>
        <w:rPr>
          <w:spacing w:val="-3"/>
        </w:rPr>
        <w:t>日锁定期已届满。</w:t>
      </w:r>
      <w:r>
        <w:rPr>
          <w:spacing w:val="-88"/>
        </w:rPr>
        <w:t> </w:t>
      </w:r>
      <w:r>
        <w:rPr>
          <w:spacing w:val="-2"/>
        </w:rPr>
        <w:t>董事会认为公司限制性股票激励计划设定的第一个解锁期解锁条件已经成就，且本次实施的股权激励计划与已披露的激励计</w:t>
      </w:r>
      <w:r>
        <w:rPr>
          <w:spacing w:val="-64"/>
        </w:rPr>
        <w:t> </w:t>
      </w:r>
      <w:r>
        <w:rPr>
          <w:spacing w:val="-64"/>
        </w:rPr>
      </w:r>
      <w:r>
        <w:rPr/>
        <w:t>划无差异。根据公司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年第一次临时股东大会的授权，董事会同意办理授予的限制性股票的第一期解锁事宜。</w:t>
      </w:r>
    </w:p>
    <w:p>
      <w:pPr>
        <w:pStyle w:val="BodyText"/>
        <w:spacing w:line="302" w:lineRule="auto" w:before="45"/>
        <w:ind w:left="154" w:right="1132" w:firstLine="420"/>
        <w:jc w:val="both"/>
      </w:pPr>
      <w:r>
        <w:rPr/>
        <w:t>本次解除限售股份的上市流通日期为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日，可解锁的限制性股票数量为</w:t>
      </w:r>
      <w:r>
        <w:rPr>
          <w:rFonts w:ascii="Times New Roman" w:hAnsi="Times New Roman" w:cs="Times New Roman" w:eastAsia="Times New Roman" w:hint="default"/>
        </w:rPr>
        <w:t>666,011</w:t>
      </w:r>
      <w:r>
        <w:rPr/>
        <w:t>股，根据股权激励计划相关 规定，各激励对象在本期可解锁的限制性股票数量占获授总数的比例均为</w:t>
      </w:r>
      <w:r>
        <w:rPr>
          <w:rFonts w:ascii="Times New Roman" w:hAnsi="Times New Roman" w:cs="Times New Roman" w:eastAsia="Times New Roman" w:hint="default"/>
        </w:rPr>
        <w:t>30%</w:t>
      </w:r>
      <w:r>
        <w:rPr/>
        <w:t>，剩余未解锁限制性股票数量</w:t>
      </w:r>
      <w:r>
        <w:rPr>
          <w:rFonts w:ascii="Times New Roman" w:hAnsi="Times New Roman" w:cs="Times New Roman" w:eastAsia="Times New Roman" w:hint="default"/>
        </w:rPr>
        <w:t>1,533,171</w:t>
      </w:r>
      <w:r>
        <w:rPr/>
        <w:t>股。</w:t>
      </w:r>
    </w:p>
    <w:p>
      <w:pPr>
        <w:pStyle w:val="BodyText"/>
        <w:spacing w:line="240" w:lineRule="auto" w:before="49"/>
        <w:ind w:left="574" w:right="1033"/>
        <w:jc w:val="left"/>
      </w:pPr>
      <w:r>
        <w:rPr>
          <w:rFonts w:ascii="Times New Roman" w:hAnsi="Times New Roman" w:cs="Times New Roman" w:eastAsia="Times New Roman" w:hint="default"/>
          <w:spacing w:val="-4"/>
        </w:rPr>
        <w:t>5</w:t>
      </w:r>
      <w:r>
        <w:rPr>
          <w:spacing w:val="-4"/>
        </w:rPr>
        <w:t>）本公司于</w:t>
      </w:r>
      <w:r>
        <w:rPr>
          <w:rFonts w:ascii="Times New Roman" w:hAnsi="Times New Roman" w:cs="Times New Roman" w:eastAsia="Times New Roman" w:hint="default"/>
          <w:spacing w:val="-4"/>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 </w:t>
      </w:r>
      <w:r>
        <w:rPr/>
        <w:t>日召开的</w:t>
      </w:r>
      <w:r>
        <w:rPr>
          <w:rFonts w:ascii="Times New Roman" w:hAnsi="Times New Roman" w:cs="Times New Roman" w:eastAsia="Times New Roman" w:hint="default"/>
        </w:rPr>
        <w:t>2014 </w:t>
      </w:r>
      <w:r>
        <w:rPr>
          <w:spacing w:val="-3"/>
        </w:rPr>
        <w:t>年年度股东大会决定，公司于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6 </w:t>
      </w:r>
      <w:r>
        <w:rPr/>
        <w:t>日实施 </w:t>
      </w:r>
      <w:r>
        <w:rPr>
          <w:rFonts w:ascii="Times New Roman" w:hAnsi="Times New Roman" w:cs="Times New Roman" w:eastAsia="Times New Roman" w:hint="default"/>
        </w:rPr>
        <w:t>2014 </w:t>
      </w:r>
      <w:r>
        <w:rPr>
          <w:rFonts w:ascii="Times New Roman" w:hAnsi="Times New Roman" w:cs="Times New Roman" w:eastAsia="Times New Roman" w:hint="default"/>
          <w:spacing w:val="36"/>
        </w:rPr>
        <w:t> </w:t>
      </w:r>
      <w:r>
        <w:rPr/>
        <w:t>年度利润分配</w:t>
      </w:r>
    </w:p>
    <w:p>
      <w:pPr>
        <w:pStyle w:val="BodyText"/>
        <w:spacing w:line="240" w:lineRule="auto" w:before="63"/>
        <w:ind w:right="1033"/>
        <w:jc w:val="left"/>
      </w:pPr>
      <w:r>
        <w:rPr/>
        <w:t>方案：以公司总股本 </w:t>
      </w:r>
      <w:r>
        <w:rPr>
          <w:rFonts w:ascii="Times New Roman" w:hAnsi="Times New Roman" w:cs="Times New Roman" w:eastAsia="Times New Roman" w:hint="default"/>
        </w:rPr>
        <w:t>482,238,782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1.8000</w:t>
      </w:r>
      <w:r>
        <w:rPr>
          <w:rFonts w:ascii="Times New Roman" w:hAnsi="Times New Roman" w:cs="Times New Roman" w:eastAsia="Times New Roman" w:hint="default"/>
          <w:spacing w:val="-7"/>
        </w:rPr>
        <w:t> </w:t>
      </w:r>
      <w:r>
        <w:rPr/>
        <w:t>元人民币现金（含税），同时，以资本公积金</w:t>
      </w:r>
    </w:p>
    <w:p>
      <w:pPr>
        <w:pStyle w:val="BodyText"/>
        <w:spacing w:line="340" w:lineRule="auto" w:before="64"/>
        <w:ind w:left="574" w:right="6012" w:hanging="420"/>
        <w:jc w:val="left"/>
      </w:pPr>
      <w:r>
        <w:rPr/>
        <w:t>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5.0000</w:t>
      </w:r>
      <w:r>
        <w:rPr>
          <w:rFonts w:ascii="Times New Roman" w:hAnsi="Times New Roman" w:cs="Times New Roman" w:eastAsia="Times New Roman" w:hint="default"/>
          <w:spacing w:val="19"/>
        </w:rPr>
        <w:t> </w:t>
      </w:r>
      <w:r>
        <w:rPr/>
        <w:t>股。 此次利润分配后，限制性股票股数增加至</w:t>
      </w:r>
      <w:r>
        <w:rPr>
          <w:rFonts w:ascii="Times New Roman" w:hAnsi="Times New Roman" w:cs="Times New Roman" w:eastAsia="Times New Roman" w:hint="default"/>
        </w:rPr>
        <w:t>2,299,756</w:t>
      </w:r>
      <w:r>
        <w:rPr/>
        <w:t>股。</w:t>
      </w:r>
    </w:p>
    <w:p>
      <w:pPr>
        <w:pStyle w:val="BodyText"/>
        <w:spacing w:line="304" w:lineRule="auto" w:before="17"/>
        <w:ind w:right="1129"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rFonts w:ascii="Times New Roman" w:hAnsi="Times New Roman" w:cs="Times New Roman" w:eastAsia="Times New Roman" w:hint="default"/>
        </w:rPr>
        <w:t>2015</w:t>
      </w:r>
      <w:r>
        <w:rPr/>
        <w:t>年由于吴一彬等</w:t>
      </w:r>
      <w:r>
        <w:rPr>
          <w:rFonts w:ascii="Times New Roman" w:hAnsi="Times New Roman" w:cs="Times New Roman" w:eastAsia="Times New Roman" w:hint="default"/>
        </w:rPr>
        <w:t>7</w:t>
      </w:r>
      <w:r>
        <w:rPr/>
        <w:t>人因离职已不符合激励条件，根据公司《</w:t>
      </w:r>
      <w:r>
        <w:rPr>
          <w:rFonts w:ascii="Times New Roman" w:hAnsi="Times New Roman" w:cs="Times New Roman" w:eastAsia="Times New Roman" w:hint="default"/>
        </w:rPr>
        <w:t>2013</w:t>
      </w:r>
      <w:r>
        <w:rPr/>
        <w:t>年度激励计划》</w:t>
      </w:r>
      <w:r>
        <w:rPr>
          <w:rFonts w:ascii="Times New Roman" w:hAnsi="Times New Roman" w:cs="Times New Roman" w:eastAsia="Times New Roman" w:hint="default"/>
        </w:rPr>
        <w:t>“</w:t>
      </w:r>
      <w:r>
        <w:rPr/>
        <w:t>第十一章股权激励计划的变更 与终止</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第十三章限制性股票的回购注销</w:t>
      </w:r>
      <w:r>
        <w:rPr>
          <w:rFonts w:ascii="Times New Roman" w:hAnsi="Times New Roman" w:cs="Times New Roman" w:eastAsia="Times New Roman" w:hint="default"/>
        </w:rPr>
        <w:t>”</w:t>
      </w:r>
      <w:r>
        <w:rPr/>
        <w:t>等规定以及公司</w:t>
      </w:r>
      <w:r>
        <w:rPr>
          <w:rFonts w:ascii="Times New Roman" w:hAnsi="Times New Roman" w:cs="Times New Roman" w:eastAsia="Times New Roman" w:hint="default"/>
        </w:rPr>
        <w:t>2014</w:t>
      </w:r>
      <w:r>
        <w:rPr/>
        <w:t>年第一次临时股东大会审议通过的《关于股东大会授权董</w:t>
      </w:r>
      <w:r>
        <w:rPr>
          <w:spacing w:val="-56"/>
        </w:rPr>
        <w:t> </w:t>
      </w:r>
      <w:r>
        <w:rPr>
          <w:spacing w:val="-56"/>
        </w:rPr>
      </w:r>
      <w:r>
        <w:rPr>
          <w:spacing w:val="-2"/>
        </w:rPr>
        <w:t>事会办理公司限制性股票激励计划相关事宜的议案》的规定，公司董事会决定对上述七人所持有的已获授但尚未解锁的限制</w:t>
      </w:r>
      <w:r>
        <w:rPr>
          <w:spacing w:val="-64"/>
        </w:rPr>
        <w:t> </w:t>
      </w:r>
      <w:r>
        <w:rPr>
          <w:spacing w:val="-64"/>
        </w:rPr>
      </w:r>
      <w:r>
        <w:rPr/>
        <w:t>性股票共计</w:t>
      </w:r>
      <w:r>
        <w:rPr>
          <w:rFonts w:ascii="Times New Roman" w:hAnsi="Times New Roman" w:cs="Times New Roman" w:eastAsia="Times New Roman" w:hint="default"/>
        </w:rPr>
        <w:t>231,025</w:t>
      </w:r>
      <w:r>
        <w:rPr/>
        <w:t>股进行回购后注销。</w:t>
      </w:r>
      <w:r>
        <w:rPr>
          <w:color w:val="0D0D0D"/>
        </w:rPr>
        <w:t>针对 </w:t>
      </w:r>
      <w:r>
        <w:rPr>
          <w:rFonts w:ascii="Times New Roman" w:hAnsi="Times New Roman" w:cs="Times New Roman" w:eastAsia="Times New Roman" w:hint="default"/>
          <w:color w:val="0D0D0D"/>
        </w:rPr>
        <w:t>2013 </w:t>
      </w:r>
      <w:r>
        <w:rPr>
          <w:color w:val="0D0D0D"/>
        </w:rPr>
        <w:t>年度股权激励计划授予股份本次回购价格调整为 </w:t>
      </w:r>
      <w:r>
        <w:rPr>
          <w:rFonts w:ascii="Times New Roman" w:hAnsi="Times New Roman" w:cs="Times New Roman" w:eastAsia="Times New Roman" w:hint="default"/>
          <w:color w:val="0D0D0D"/>
        </w:rPr>
        <w:t>3.376</w:t>
      </w:r>
      <w:r>
        <w:rPr>
          <w:rFonts w:ascii="Times New Roman" w:hAnsi="Times New Roman" w:cs="Times New Roman" w:eastAsia="Times New Roman" w:hint="default"/>
          <w:color w:val="0D0D0D"/>
          <w:spacing w:val="-4"/>
        </w:rPr>
        <w:t> </w:t>
      </w:r>
      <w:r>
        <w:rPr>
          <w:color w:val="0D0D0D"/>
        </w:rPr>
        <w:t>元</w:t>
      </w:r>
      <w:r>
        <w:rPr>
          <w:rFonts w:ascii="Times New Roman" w:hAnsi="Times New Roman" w:cs="Times New Roman" w:eastAsia="Times New Roman" w:hint="default"/>
          <w:color w:val="0D0D0D"/>
        </w:rPr>
        <w:t>/</w:t>
      </w:r>
      <w:r>
        <w:rPr>
          <w:color w:val="0D0D0D"/>
        </w:rPr>
        <w:t>股，公司将就 此次限制性股票回购向上述七人支付</w:t>
      </w:r>
      <w:r>
        <w:rPr>
          <w:rFonts w:ascii="Times New Roman" w:hAnsi="Times New Roman" w:cs="Times New Roman" w:eastAsia="Times New Roman" w:hint="default"/>
          <w:color w:val="0D0D0D"/>
        </w:rPr>
        <w:t>2013</w:t>
      </w:r>
      <w:r>
        <w:rPr>
          <w:color w:val="0D0D0D"/>
        </w:rPr>
        <w:t>年度股权激励回购价款共计</w:t>
      </w:r>
      <w:r>
        <w:rPr>
          <w:rFonts w:ascii="Times New Roman" w:hAnsi="Times New Roman" w:cs="Times New Roman" w:eastAsia="Times New Roman" w:hint="default"/>
          <w:color w:val="0D0D0D"/>
        </w:rPr>
        <w:t>779,940.40</w:t>
      </w:r>
      <w:r>
        <w:rPr>
          <w:color w:val="0D0D0D"/>
        </w:rPr>
        <w:t>元，并于</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1</w:t>
      </w:r>
      <w:r>
        <w:rPr>
          <w:color w:val="0D0D0D"/>
        </w:rPr>
        <w:t>月全部支付。</w:t>
      </w:r>
      <w:r>
        <w:rPr/>
      </w:r>
    </w:p>
    <w:p>
      <w:pPr>
        <w:pStyle w:val="BodyText"/>
        <w:spacing w:line="307" w:lineRule="auto" w:before="47"/>
        <w:ind w:right="1129" w:firstLine="420"/>
        <w:jc w:val="both"/>
      </w:pPr>
      <w:r>
        <w:rPr>
          <w:rFonts w:ascii="Times New Roman" w:hAnsi="Times New Roman" w:cs="Times New Roman" w:eastAsia="Times New Roman" w:hint="default"/>
          <w:color w:val="0D0D0D"/>
        </w:rPr>
        <w:t>7)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日，本公司召开了第五届董事会第九次会议和第五届监事会第五次会议通过了《关于 </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t>年限制性股</w:t>
      </w:r>
      <w:r>
        <w:rPr>
          <w:w w:val="99"/>
        </w:rPr>
        <w:t> </w:t>
      </w:r>
      <w:r>
        <w:rPr/>
        <w:t>票激励计划第二个解锁期解锁条件成就的议案》，</w:t>
      </w:r>
      <w:r>
        <w:rPr>
          <w:color w:val="0D0D0D"/>
        </w:rPr>
        <w:t>截至</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1</w:t>
      </w:r>
      <w:r>
        <w:rPr>
          <w:color w:val="0D0D0D"/>
        </w:rPr>
        <w:t>月</w:t>
      </w:r>
      <w:r>
        <w:rPr>
          <w:rFonts w:ascii="Times New Roman" w:hAnsi="Times New Roman" w:cs="Times New Roman" w:eastAsia="Times New Roman" w:hint="default"/>
          <w:color w:val="0D0D0D"/>
        </w:rPr>
        <w:t>13</w:t>
      </w:r>
      <w:r>
        <w:rPr>
          <w:color w:val="0D0D0D"/>
        </w:rPr>
        <w:t>日第二期锁定期届满。董事会认为公司</w:t>
      </w:r>
      <w:r>
        <w:rPr>
          <w:rFonts w:ascii="Times New Roman" w:hAnsi="Times New Roman" w:cs="Times New Roman" w:eastAsia="Times New Roman" w:hint="default"/>
          <w:color w:val="0D0D0D"/>
        </w:rPr>
        <w:t>2013</w:t>
      </w:r>
      <w:r>
        <w:rPr>
          <w:color w:val="0D0D0D"/>
        </w:rPr>
        <w:t>年度限制性</w:t>
      </w:r>
      <w:r>
        <w:rPr>
          <w:color w:val="0D0D0D"/>
          <w:spacing w:val="-82"/>
        </w:rPr>
        <w:t> </w:t>
      </w:r>
      <w:r>
        <w:rPr>
          <w:color w:val="0D0D0D"/>
        </w:rPr>
        <w:t>股票激励计划设定的第二个解锁期解锁条件已经成就，且本次实施的股权激励计划与已披露的激励计划无差异。根据公司</w:t>
      </w:r>
      <w:r>
        <w:rPr>
          <w:color w:val="0D0D0D"/>
          <w:spacing w:val="-9"/>
        </w:rPr>
        <w:t> </w:t>
      </w:r>
      <w:r>
        <w:rPr>
          <w:color w:val="0D0D0D"/>
          <w:spacing w:val="-9"/>
        </w:rPr>
      </w:r>
      <w:r>
        <w:rPr>
          <w:rFonts w:ascii="Times New Roman" w:hAnsi="Times New Roman" w:cs="Times New Roman" w:eastAsia="Times New Roman" w:hint="default"/>
          <w:color w:val="0D0D0D"/>
        </w:rPr>
        <w:t>2014</w:t>
      </w:r>
      <w:r>
        <w:rPr>
          <w:color w:val="0D0D0D"/>
        </w:rPr>
        <w:t>年第一次临时股东大会的授权，董事会同意办理</w:t>
      </w:r>
      <w:r>
        <w:rPr>
          <w:rFonts w:ascii="Times New Roman" w:hAnsi="Times New Roman" w:cs="Times New Roman" w:eastAsia="Times New Roman" w:hint="default"/>
          <w:color w:val="0D0D0D"/>
        </w:rPr>
        <w:t>2013</w:t>
      </w:r>
      <w:r>
        <w:rPr>
          <w:color w:val="0D0D0D"/>
        </w:rPr>
        <w:t>年股权激励计划限制性股票的第二期解锁事宜。</w:t>
      </w:r>
      <w:r>
        <w:rPr/>
      </w:r>
    </w:p>
    <w:p>
      <w:pPr>
        <w:pStyle w:val="BodyText"/>
        <w:spacing w:line="302" w:lineRule="auto" w:before="46"/>
        <w:ind w:left="154" w:right="1132" w:firstLine="420"/>
        <w:jc w:val="both"/>
      </w:pPr>
      <w:r>
        <w:rPr>
          <w:color w:val="0D0D0D"/>
        </w:rPr>
        <w:t>本次解除限售股份的上市流通日期为</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2</w:t>
      </w:r>
      <w:r>
        <w:rPr>
          <w:color w:val="0D0D0D"/>
        </w:rPr>
        <w:t>月</w:t>
      </w:r>
      <w:r>
        <w:rPr>
          <w:rFonts w:ascii="Times New Roman" w:hAnsi="Times New Roman" w:cs="Times New Roman" w:eastAsia="Times New Roman" w:hint="default"/>
          <w:color w:val="0D0D0D"/>
        </w:rPr>
        <w:t>15</w:t>
      </w:r>
      <w:r>
        <w:rPr>
          <w:color w:val="0D0D0D"/>
        </w:rPr>
        <w:t>日，可解锁的限制性股票数量为</w:t>
      </w:r>
      <w:r>
        <w:rPr>
          <w:rFonts w:ascii="Times New Roman" w:hAnsi="Times New Roman" w:cs="Times New Roman" w:eastAsia="Times New Roman" w:hint="default"/>
          <w:color w:val="0D0D0D"/>
        </w:rPr>
        <w:t>886,583</w:t>
      </w:r>
      <w:r>
        <w:rPr>
          <w:color w:val="0D0D0D"/>
        </w:rPr>
        <w:t>股，根据股权激励计划相关 规定，各激励对象在本期可解锁的限制性股票数量占获授总数的比例均为</w:t>
      </w:r>
      <w:r>
        <w:rPr>
          <w:rFonts w:ascii="Times New Roman" w:hAnsi="Times New Roman" w:cs="Times New Roman" w:eastAsia="Times New Roman" w:hint="default"/>
          <w:color w:val="0D0D0D"/>
        </w:rPr>
        <w:t>30%</w:t>
      </w:r>
      <w:r>
        <w:rPr>
          <w:color w:val="0D0D0D"/>
        </w:rPr>
        <w:t>，剩余未解锁限制性股票数量</w:t>
      </w:r>
      <w:r>
        <w:rPr>
          <w:rFonts w:ascii="Times New Roman" w:hAnsi="Times New Roman" w:cs="Times New Roman" w:eastAsia="Times New Roman" w:hint="default"/>
          <w:color w:val="0D0D0D"/>
        </w:rPr>
        <w:t>1,182,148</w:t>
      </w:r>
      <w:r>
        <w:rPr>
          <w:color w:val="0D0D0D"/>
        </w:rPr>
        <w:t>股。</w:t>
      </w:r>
      <w:r>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6"/>
        <w:spacing w:line="240" w:lineRule="auto" w:before="0"/>
        <w:ind w:left="154" w:right="1033"/>
        <w:jc w:val="left"/>
        <w:rPr>
          <w:b w:val="0"/>
          <w:bCs w:val="0"/>
        </w:rPr>
      </w:pPr>
      <w:r>
        <w:rPr>
          <w:rFonts w:ascii="Times New Roman" w:hAnsi="Times New Roman" w:cs="Times New Roman" w:eastAsia="Times New Roman" w:hint="default"/>
        </w:rPr>
        <w:t>2015</w:t>
      </w:r>
      <w:r>
        <w:rPr/>
        <w:t>年限制性股票激励计划情况：</w:t>
      </w:r>
      <w:r>
        <w:rPr>
          <w:b w:val="0"/>
          <w:bCs w:val="0"/>
        </w:rPr>
      </w:r>
    </w:p>
    <w:p>
      <w:pPr>
        <w:pStyle w:val="BodyText"/>
        <w:spacing w:line="300" w:lineRule="auto" w:before="102"/>
        <w:ind w:right="1130" w:firstLine="420"/>
        <w:jc w:val="both"/>
      </w:pPr>
      <w:r>
        <w:rPr/>
        <w:t>根据公司</w:t>
      </w:r>
      <w:r>
        <w:rPr>
          <w:rFonts w:ascii="Times New Roman" w:hAnsi="Times New Roman" w:cs="Times New Roman" w:eastAsia="Times New Roman" w:hint="default"/>
        </w:rPr>
        <w:t>2015</w:t>
      </w:r>
      <w:r>
        <w:rPr/>
        <w:t>年第四次临时股东大会审议通过的《二六三网络通信股份有限公司</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4"/>
        </w:rPr>
        <w:t>年限制性股票激励计划（草案）</w:t>
      </w:r>
      <w:r>
        <w:rPr/>
        <w:t> </w:t>
      </w:r>
      <w:r>
        <w:rPr>
          <w:spacing w:val="-2"/>
        </w:rPr>
        <w:t>及其摘要》（以下简称</w:t>
      </w:r>
      <w:r>
        <w:rPr>
          <w:rFonts w:ascii="Times New Roman" w:hAnsi="Times New Roman" w:cs="Times New Roman" w:eastAsia="Times New Roman" w:hint="default"/>
          <w:spacing w:val="-2"/>
        </w:rPr>
        <w:t>“2015</w:t>
      </w:r>
      <w:r>
        <w:rPr>
          <w:spacing w:val="-2"/>
        </w:rPr>
        <w:t>年股权激励计划</w:t>
      </w:r>
      <w:r>
        <w:rPr>
          <w:rFonts w:ascii="Times New Roman" w:hAnsi="Times New Roman" w:cs="Times New Roman" w:eastAsia="Times New Roman" w:hint="default"/>
          <w:spacing w:val="-2"/>
        </w:rPr>
        <w:t>”</w:t>
      </w:r>
      <w:r>
        <w:rPr>
          <w:spacing w:val="-2"/>
        </w:rPr>
        <w:t>），并经中国证监会备案无异议，公司限制性股票拟授予数量为</w:t>
      </w:r>
      <w:r>
        <w:rPr>
          <w:rFonts w:ascii="Times New Roman" w:hAnsi="Times New Roman" w:cs="Times New Roman" w:eastAsia="Times New Roman" w:hint="default"/>
          <w:spacing w:val="-2"/>
        </w:rPr>
        <w:t>1342.70</w:t>
      </w:r>
      <w:r>
        <w:rPr>
          <w:spacing w:val="-2"/>
        </w:rPr>
        <w:t>万股，</w:t>
      </w:r>
      <w:r>
        <w:rPr>
          <w:spacing w:val="-79"/>
        </w:rPr>
        <w:t> </w:t>
      </w:r>
      <w:r>
        <w:rPr/>
        <w:t>授予激励对象共</w:t>
      </w:r>
      <w:r>
        <w:rPr>
          <w:rFonts w:ascii="Times New Roman" w:hAnsi="Times New Roman" w:cs="Times New Roman" w:eastAsia="Times New Roman" w:hint="default"/>
        </w:rPr>
        <w:t>203</w:t>
      </w:r>
      <w:r>
        <w:rPr/>
        <w:t>人。实际授予的限制性股票对象为</w:t>
      </w:r>
      <w:r>
        <w:rPr>
          <w:rFonts w:ascii="Times New Roman" w:hAnsi="Times New Roman" w:cs="Times New Roman" w:eastAsia="Times New Roman" w:hint="default"/>
        </w:rPr>
        <w:t>202</w:t>
      </w:r>
      <w:r>
        <w:rPr/>
        <w:t>人，实际授予的限制性股票数量</w:t>
      </w:r>
      <w:r>
        <w:rPr>
          <w:rFonts w:ascii="Times New Roman" w:hAnsi="Times New Roman" w:cs="Times New Roman" w:eastAsia="Times New Roman" w:hint="default"/>
        </w:rPr>
        <w:t>1332.70</w:t>
      </w:r>
      <w:r>
        <w:rPr/>
        <w:t>万股；其中由于公司财务 负责人董桂英女士在本次限制性股票授予之日前</w:t>
      </w:r>
      <w:r>
        <w:rPr>
          <w:rFonts w:ascii="Times New Roman" w:hAnsi="Times New Roman" w:cs="Times New Roman" w:eastAsia="Times New Roman" w:hint="default"/>
        </w:rPr>
        <w:t>6</w:t>
      </w:r>
      <w:r>
        <w:rPr/>
        <w:t>个月内发生减持公司股票的行为，因此董桂英的限制性股票将自其最后一</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3"/>
        <w:jc w:val="left"/>
      </w:pPr>
      <w:r>
        <w:rPr>
          <w:spacing w:val="-1"/>
        </w:rPr>
        <w:t>次减持本公司股票之日起</w:t>
      </w:r>
      <w:r>
        <w:rPr>
          <w:rFonts w:ascii="Times New Roman" w:hAnsi="Times New Roman" w:cs="Times New Roman" w:eastAsia="Times New Roman" w:hint="default"/>
          <w:spacing w:val="-1"/>
        </w:rPr>
        <w:t>6</w:t>
      </w:r>
      <w:r>
        <w:rPr>
          <w:spacing w:val="-1"/>
        </w:rPr>
        <w:t>个月后授予。授予价格为每股</w:t>
      </w:r>
      <w:r>
        <w:rPr>
          <w:rFonts w:ascii="Times New Roman" w:hAnsi="Times New Roman" w:cs="Times New Roman" w:eastAsia="Times New Roman" w:hint="default"/>
          <w:spacing w:val="-1"/>
        </w:rPr>
        <w:t>7.12</w:t>
      </w:r>
      <w:r>
        <w:rPr>
          <w:spacing w:val="-1"/>
        </w:rPr>
        <w:t>元，授予日期为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日，授予股份已于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w:t>
      </w:r>
      <w:r>
        <w:rPr>
          <w:spacing w:val="-66"/>
        </w:rPr>
        <w:t> </w:t>
      </w:r>
      <w:r>
        <w:rPr/>
        <w:t>在中国证券登记结算有限公司深圳分公司完成股份登记。</w:t>
      </w:r>
    </w:p>
    <w:p>
      <w:pPr>
        <w:pStyle w:val="BodyText"/>
        <w:spacing w:line="302" w:lineRule="auto" w:before="68"/>
        <w:ind w:right="1130" w:firstLine="420"/>
        <w:jc w:val="both"/>
      </w:pPr>
      <w:r>
        <w:rPr>
          <w:spacing w:val="-1"/>
        </w:rPr>
        <w:t>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日本公司第五届董事会第八次会议的决议：董桂英女士已符合限制性股票授予条件</w:t>
      </w:r>
      <w:r>
        <w:rPr>
          <w:rFonts w:ascii="Times New Roman" w:hAnsi="Times New Roman" w:cs="Times New Roman" w:eastAsia="Times New Roman" w:hint="default"/>
          <w:spacing w:val="-1"/>
        </w:rPr>
        <w:t>,</w:t>
      </w:r>
      <w:r>
        <w:rPr>
          <w:spacing w:val="-1"/>
        </w:rPr>
        <w:t>现将第五届董事</w:t>
      </w:r>
      <w:r>
        <w:rPr/>
        <w:t> </w:t>
      </w:r>
      <w:r>
        <w:rPr>
          <w:spacing w:val="-1"/>
        </w:rPr>
        <w:t>会第三次会议审议通过的</w:t>
      </w:r>
      <w:r>
        <w:rPr>
          <w:rFonts w:ascii="Times New Roman" w:hAnsi="Times New Roman" w:cs="Times New Roman" w:eastAsia="Times New Roman" w:hint="default"/>
          <w:spacing w:val="-1"/>
        </w:rPr>
        <w:t>10</w:t>
      </w:r>
      <w:r>
        <w:rPr>
          <w:spacing w:val="-1"/>
        </w:rPr>
        <w:t>万股限制性股票授予董桂英女士。</w:t>
      </w:r>
      <w:r>
        <w:rPr>
          <w:color w:val="0D0D0D"/>
          <w:spacing w:val="-1"/>
        </w:rPr>
        <w:t>授予价格为每股</w:t>
      </w:r>
      <w:r>
        <w:rPr>
          <w:rFonts w:ascii="Times New Roman" w:hAnsi="Times New Roman" w:cs="Times New Roman" w:eastAsia="Times New Roman" w:hint="default"/>
          <w:color w:val="0D0D0D"/>
          <w:spacing w:val="-1"/>
        </w:rPr>
        <w:t>7.12</w:t>
      </w:r>
      <w:r>
        <w:rPr>
          <w:color w:val="0D0D0D"/>
          <w:spacing w:val="-1"/>
        </w:rPr>
        <w:t>元，授予日期为</w:t>
      </w:r>
      <w:r>
        <w:rPr>
          <w:rFonts w:ascii="Times New Roman" w:hAnsi="Times New Roman" w:cs="Times New Roman" w:eastAsia="Times New Roman" w:hint="default"/>
          <w:color w:val="0D0D0D"/>
          <w:spacing w:val="-1"/>
        </w:rPr>
        <w:t>2015</w:t>
      </w:r>
      <w:r>
        <w:rPr>
          <w:color w:val="0D0D0D"/>
          <w:spacing w:val="-1"/>
        </w:rPr>
        <w:t>年</w:t>
      </w:r>
      <w:r>
        <w:rPr>
          <w:rFonts w:ascii="Times New Roman" w:hAnsi="Times New Roman" w:cs="Times New Roman" w:eastAsia="Times New Roman" w:hint="default"/>
          <w:color w:val="0D0D0D"/>
          <w:spacing w:val="-1"/>
        </w:rPr>
        <w:t>12</w:t>
      </w:r>
      <w:r>
        <w:rPr>
          <w:color w:val="0D0D0D"/>
          <w:spacing w:val="-1"/>
        </w:rPr>
        <w:t>月</w:t>
      </w:r>
      <w:r>
        <w:rPr>
          <w:rFonts w:ascii="Times New Roman" w:hAnsi="Times New Roman" w:cs="Times New Roman" w:eastAsia="Times New Roman" w:hint="default"/>
          <w:color w:val="0D0D0D"/>
          <w:spacing w:val="-1"/>
        </w:rPr>
        <w:t>25</w:t>
      </w:r>
      <w:r>
        <w:rPr>
          <w:color w:val="0D0D0D"/>
          <w:spacing w:val="-1"/>
        </w:rPr>
        <w:t>日，授予股</w:t>
      </w:r>
      <w:r>
        <w:rPr>
          <w:color w:val="0D0D0D"/>
          <w:spacing w:val="-69"/>
        </w:rPr>
        <w:t> </w:t>
      </w:r>
      <w:r>
        <w:rPr>
          <w:color w:val="0D0D0D"/>
          <w:spacing w:val="-69"/>
        </w:rPr>
      </w:r>
      <w:r>
        <w:rPr>
          <w:color w:val="0D0D0D"/>
        </w:rPr>
        <w:t>份已于</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1</w:t>
      </w:r>
      <w:r>
        <w:rPr>
          <w:color w:val="0D0D0D"/>
        </w:rPr>
        <w:t>月</w:t>
      </w:r>
      <w:r>
        <w:rPr>
          <w:rFonts w:ascii="Times New Roman" w:hAnsi="Times New Roman" w:cs="Times New Roman" w:eastAsia="Times New Roman" w:hint="default"/>
          <w:color w:val="0D0D0D"/>
        </w:rPr>
        <w:t>12</w:t>
      </w:r>
      <w:r>
        <w:rPr>
          <w:color w:val="0D0D0D"/>
        </w:rPr>
        <w:t>日在中国证券登记结算有限公司深圳分公司完成股份登记。</w:t>
      </w:r>
      <w:r>
        <w:rPr/>
      </w:r>
    </w:p>
    <w:p>
      <w:pPr>
        <w:pStyle w:val="BodyText"/>
        <w:spacing w:line="240" w:lineRule="auto" w:before="52"/>
        <w:ind w:left="573" w:right="1033"/>
        <w:jc w:val="left"/>
      </w:pPr>
      <w:r>
        <w:rPr>
          <w:color w:val="0D0D0D"/>
        </w:rPr>
        <w:t>该激励计划下的限制性股票的锁定期与解锁期安排如下：</w:t>
      </w:r>
      <w:r>
        <w:rPr/>
      </w:r>
    </w:p>
    <w:p>
      <w:pPr>
        <w:pStyle w:val="BodyText"/>
        <w:spacing w:line="338" w:lineRule="auto" w:before="116"/>
        <w:ind w:left="634" w:right="1033" w:hanging="60"/>
        <w:jc w:val="left"/>
      </w:pPr>
      <w:r>
        <w:rPr>
          <w:rFonts w:ascii="Times New Roman" w:hAnsi="Times New Roman" w:cs="Times New Roman" w:eastAsia="Times New Roman" w:hint="default"/>
          <w:color w:val="0D0D0D"/>
        </w:rPr>
        <w:t>1</w:t>
      </w:r>
      <w:r>
        <w:rPr>
          <w:color w:val="0D0D0D"/>
        </w:rPr>
        <w:t>）锁定期与解锁期 </w:t>
      </w:r>
      <w:r>
        <w:rPr>
          <w:spacing w:val="-3"/>
        </w:rPr>
        <w:t>激励对象自限制性股票授予之日起</w:t>
      </w:r>
      <w:r>
        <w:rPr>
          <w:rFonts w:ascii="Times New Roman" w:hAnsi="Times New Roman" w:cs="Times New Roman" w:eastAsia="Times New Roman" w:hint="default"/>
          <w:spacing w:val="-3"/>
        </w:rPr>
        <w:t>18</w:t>
      </w:r>
      <w:r>
        <w:rPr>
          <w:spacing w:val="-3"/>
        </w:rPr>
        <w:t>个月内为锁定期。在锁定期内，激励对象根据本计划获授的限制性股票予以锁定，</w:t>
      </w:r>
    </w:p>
    <w:p>
      <w:pPr>
        <w:pStyle w:val="BodyText"/>
        <w:spacing w:line="218" w:lineRule="exact"/>
        <w:ind w:right="1033"/>
        <w:jc w:val="left"/>
      </w:pPr>
      <w:r>
        <w:rPr/>
        <w:t>不得转让、不得用于偿还债务。</w:t>
      </w:r>
    </w:p>
    <w:p>
      <w:pPr>
        <w:pStyle w:val="BodyText"/>
        <w:spacing w:line="240" w:lineRule="auto" w:before="117"/>
        <w:ind w:left="573" w:right="1033"/>
        <w:jc w:val="left"/>
      </w:pPr>
      <w:r>
        <w:rPr/>
        <w:t>授予限制性股票的解锁安排：</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890"/>
        <w:gridCol w:w="4739"/>
        <w:gridCol w:w="2061"/>
      </w:tblGrid>
      <w:tr>
        <w:trPr>
          <w:trHeight w:val="435" w:hRule="exact"/>
        </w:trPr>
        <w:tc>
          <w:tcPr>
            <w:tcW w:w="189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62"/>
              <w:ind w:right="396"/>
              <w:jc w:val="right"/>
              <w:rPr>
                <w:rFonts w:ascii="宋体" w:hAnsi="宋体" w:cs="宋体" w:eastAsia="宋体" w:hint="default"/>
                <w:sz w:val="18"/>
                <w:szCs w:val="18"/>
              </w:rPr>
            </w:pPr>
            <w:r>
              <w:rPr>
                <w:rFonts w:ascii="宋体" w:hAnsi="宋体" w:cs="宋体" w:eastAsia="宋体" w:hint="default"/>
                <w:color w:val="0D0D0D"/>
                <w:sz w:val="18"/>
                <w:szCs w:val="18"/>
              </w:rPr>
              <w:t>解锁安排</w:t>
            </w:r>
            <w:r>
              <w:rPr>
                <w:rFonts w:ascii="宋体" w:hAnsi="宋体" w:cs="宋体" w:eastAsia="宋体" w:hint="default"/>
                <w:sz w:val="18"/>
                <w:szCs w:val="18"/>
              </w:rPr>
            </w:r>
          </w:p>
        </w:tc>
        <w:tc>
          <w:tcPr>
            <w:tcW w:w="4739"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62"/>
              <w:ind w:left="359" w:right="0"/>
              <w:jc w:val="center"/>
              <w:rPr>
                <w:rFonts w:ascii="宋体" w:hAnsi="宋体" w:cs="宋体" w:eastAsia="宋体" w:hint="default"/>
                <w:sz w:val="18"/>
                <w:szCs w:val="18"/>
              </w:rPr>
            </w:pPr>
            <w:r>
              <w:rPr>
                <w:rFonts w:ascii="宋体" w:hAnsi="宋体" w:cs="宋体" w:eastAsia="宋体" w:hint="default"/>
                <w:color w:val="0D0D0D"/>
                <w:sz w:val="18"/>
                <w:szCs w:val="18"/>
              </w:rPr>
              <w:t>解锁时间</w:t>
            </w:r>
            <w:r>
              <w:rPr>
                <w:rFonts w:ascii="宋体" w:hAnsi="宋体" w:cs="宋体" w:eastAsia="宋体" w:hint="default"/>
                <w:sz w:val="18"/>
                <w:szCs w:val="18"/>
              </w:rPr>
            </w:r>
          </w:p>
        </w:tc>
        <w:tc>
          <w:tcPr>
            <w:tcW w:w="2061"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62"/>
              <w:ind w:left="356" w:right="0"/>
              <w:jc w:val="center"/>
              <w:rPr>
                <w:rFonts w:ascii="宋体" w:hAnsi="宋体" w:cs="宋体" w:eastAsia="宋体" w:hint="default"/>
                <w:sz w:val="18"/>
                <w:szCs w:val="18"/>
              </w:rPr>
            </w:pPr>
            <w:r>
              <w:rPr>
                <w:rFonts w:ascii="宋体" w:hAnsi="宋体" w:cs="宋体" w:eastAsia="宋体" w:hint="default"/>
                <w:color w:val="0D0D0D"/>
                <w:sz w:val="18"/>
                <w:szCs w:val="18"/>
              </w:rPr>
              <w:t>解锁比例</w:t>
            </w:r>
            <w:r>
              <w:rPr>
                <w:rFonts w:ascii="宋体" w:hAnsi="宋体" w:cs="宋体" w:eastAsia="宋体" w:hint="default"/>
                <w:sz w:val="18"/>
                <w:szCs w:val="18"/>
              </w:rPr>
            </w:r>
          </w:p>
        </w:tc>
      </w:tr>
      <w:tr>
        <w:trPr>
          <w:trHeight w:val="784" w:hRule="exact"/>
        </w:trPr>
        <w:tc>
          <w:tcPr>
            <w:tcW w:w="1890"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46"/>
              <w:ind w:right="306"/>
              <w:jc w:val="right"/>
              <w:rPr>
                <w:rFonts w:ascii="宋体" w:hAnsi="宋体" w:cs="宋体" w:eastAsia="宋体" w:hint="default"/>
                <w:sz w:val="18"/>
                <w:szCs w:val="18"/>
              </w:rPr>
            </w:pPr>
            <w:r>
              <w:rPr>
                <w:rFonts w:ascii="宋体" w:hAnsi="宋体" w:cs="宋体" w:eastAsia="宋体" w:hint="default"/>
                <w:color w:val="0D0D0D"/>
                <w:sz w:val="18"/>
                <w:szCs w:val="18"/>
              </w:rPr>
              <w:t>第一次解锁</w:t>
            </w:r>
            <w:r>
              <w:rPr>
                <w:rFonts w:ascii="宋体" w:hAnsi="宋体" w:cs="宋体" w:eastAsia="宋体" w:hint="default"/>
                <w:sz w:val="18"/>
                <w:szCs w:val="18"/>
              </w:rPr>
            </w:r>
          </w:p>
        </w:tc>
        <w:tc>
          <w:tcPr>
            <w:tcW w:w="4739" w:type="dxa"/>
            <w:tcBorders>
              <w:top w:val="single" w:sz="12" w:space="0" w:color="000000"/>
              <w:left w:val="single" w:sz="6" w:space="0" w:color="000000"/>
              <w:bottom w:val="single" w:sz="12" w:space="0" w:color="000000"/>
              <w:right w:val="single" w:sz="6" w:space="0" w:color="000000"/>
            </w:tcBorders>
          </w:tcPr>
          <w:p>
            <w:pPr>
              <w:pStyle w:val="TableParagraph"/>
              <w:spacing w:line="338" w:lineRule="auto" w:before="51"/>
              <w:ind w:left="1011" w:right="650"/>
              <w:jc w:val="left"/>
              <w:rPr>
                <w:rFonts w:ascii="宋体" w:hAnsi="宋体" w:cs="宋体" w:eastAsia="宋体" w:hint="default"/>
                <w:sz w:val="18"/>
                <w:szCs w:val="18"/>
              </w:rPr>
            </w:pPr>
            <w:r>
              <w:rPr>
                <w:rFonts w:ascii="宋体" w:hAnsi="宋体" w:cs="宋体" w:eastAsia="宋体" w:hint="default"/>
                <w:color w:val="0D0D0D"/>
                <w:sz w:val="18"/>
                <w:szCs w:val="18"/>
              </w:rPr>
              <w:t>自授予日起满</w:t>
            </w:r>
            <w:r>
              <w:rPr>
                <w:rFonts w:ascii="Times New Roman" w:hAnsi="Times New Roman" w:cs="Times New Roman" w:eastAsia="Times New Roman" w:hint="default"/>
                <w:color w:val="0D0D0D"/>
                <w:sz w:val="18"/>
                <w:szCs w:val="18"/>
              </w:rPr>
              <w:t>18</w:t>
            </w:r>
            <w:r>
              <w:rPr>
                <w:rFonts w:ascii="宋体" w:hAnsi="宋体" w:cs="宋体" w:eastAsia="宋体" w:hint="default"/>
                <w:color w:val="0D0D0D"/>
                <w:sz w:val="18"/>
                <w:szCs w:val="18"/>
              </w:rPr>
              <w:t>个月后的首个交易日至 授予日起</w:t>
            </w:r>
            <w:r>
              <w:rPr>
                <w:rFonts w:ascii="Times New Roman" w:hAnsi="Times New Roman" w:cs="Times New Roman" w:eastAsia="Times New Roman" w:hint="default"/>
                <w:color w:val="0D0D0D"/>
                <w:sz w:val="18"/>
                <w:szCs w:val="18"/>
              </w:rPr>
              <w:t>30</w:t>
            </w:r>
            <w:r>
              <w:rPr>
                <w:rFonts w:ascii="宋体" w:hAnsi="宋体" w:cs="宋体" w:eastAsia="宋体" w:hint="default"/>
                <w:color w:val="0D0D0D"/>
                <w:sz w:val="18"/>
                <w:szCs w:val="18"/>
              </w:rPr>
              <w:t>个月内的最后一个交易日止</w:t>
            </w:r>
            <w:r>
              <w:rPr>
                <w:rFonts w:ascii="宋体" w:hAnsi="宋体" w:cs="宋体" w:eastAsia="宋体" w:hint="default"/>
                <w:sz w:val="18"/>
                <w:szCs w:val="18"/>
              </w:rPr>
            </w:r>
          </w:p>
        </w:tc>
        <w:tc>
          <w:tcPr>
            <w:tcW w:w="20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left="355" w:right="0"/>
              <w:jc w:val="center"/>
              <w:rPr>
                <w:rFonts w:ascii="Times New Roman" w:hAnsi="Times New Roman" w:cs="Times New Roman" w:eastAsia="Times New Roman" w:hint="default"/>
                <w:sz w:val="18"/>
                <w:szCs w:val="18"/>
              </w:rPr>
            </w:pPr>
            <w:r>
              <w:rPr>
                <w:rFonts w:ascii="Times New Roman"/>
                <w:color w:val="0D0D0D"/>
                <w:sz w:val="18"/>
              </w:rPr>
              <w:t>40%</w:t>
            </w:r>
            <w:r>
              <w:rPr>
                <w:rFonts w:ascii="Times New Roman"/>
                <w:sz w:val="18"/>
              </w:rPr>
            </w:r>
          </w:p>
        </w:tc>
      </w:tr>
      <w:tr>
        <w:trPr>
          <w:trHeight w:val="784" w:hRule="exact"/>
        </w:trPr>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306"/>
              <w:jc w:val="right"/>
              <w:rPr>
                <w:rFonts w:ascii="宋体" w:hAnsi="宋体" w:cs="宋体" w:eastAsia="宋体" w:hint="default"/>
                <w:sz w:val="18"/>
                <w:szCs w:val="18"/>
              </w:rPr>
            </w:pPr>
            <w:r>
              <w:rPr>
                <w:rFonts w:ascii="宋体" w:hAnsi="宋体" w:cs="宋体" w:eastAsia="宋体" w:hint="default"/>
                <w:color w:val="0D0D0D"/>
                <w:sz w:val="18"/>
                <w:szCs w:val="18"/>
              </w:rPr>
              <w:t>第二次解锁</w:t>
            </w:r>
            <w:r>
              <w:rPr>
                <w:rFonts w:ascii="宋体" w:hAnsi="宋体" w:cs="宋体" w:eastAsia="宋体" w:hint="default"/>
                <w:sz w:val="18"/>
                <w:szCs w:val="18"/>
              </w:rPr>
            </w:r>
          </w:p>
        </w:tc>
        <w:tc>
          <w:tcPr>
            <w:tcW w:w="4739" w:type="dxa"/>
            <w:tcBorders>
              <w:top w:val="single" w:sz="12" w:space="0" w:color="000000"/>
              <w:left w:val="single" w:sz="6" w:space="0" w:color="000000"/>
              <w:bottom w:val="single" w:sz="12" w:space="0" w:color="000000"/>
              <w:right w:val="single" w:sz="6" w:space="0" w:color="000000"/>
            </w:tcBorders>
          </w:tcPr>
          <w:p>
            <w:pPr>
              <w:pStyle w:val="TableParagraph"/>
              <w:spacing w:line="340" w:lineRule="auto" w:before="51"/>
              <w:ind w:left="1011" w:right="650"/>
              <w:jc w:val="left"/>
              <w:rPr>
                <w:rFonts w:ascii="宋体" w:hAnsi="宋体" w:cs="宋体" w:eastAsia="宋体" w:hint="default"/>
                <w:sz w:val="18"/>
                <w:szCs w:val="18"/>
              </w:rPr>
            </w:pPr>
            <w:r>
              <w:rPr>
                <w:rFonts w:ascii="宋体" w:hAnsi="宋体" w:cs="宋体" w:eastAsia="宋体" w:hint="default"/>
                <w:color w:val="0D0D0D"/>
                <w:sz w:val="18"/>
                <w:szCs w:val="18"/>
              </w:rPr>
              <w:t>自授予日起满</w:t>
            </w:r>
            <w:r>
              <w:rPr>
                <w:rFonts w:ascii="Times New Roman" w:hAnsi="Times New Roman" w:cs="Times New Roman" w:eastAsia="Times New Roman" w:hint="default"/>
                <w:color w:val="0D0D0D"/>
                <w:sz w:val="18"/>
                <w:szCs w:val="18"/>
              </w:rPr>
              <w:t>30</w:t>
            </w:r>
            <w:r>
              <w:rPr>
                <w:rFonts w:ascii="宋体" w:hAnsi="宋体" w:cs="宋体" w:eastAsia="宋体" w:hint="default"/>
                <w:color w:val="0D0D0D"/>
                <w:sz w:val="18"/>
                <w:szCs w:val="18"/>
              </w:rPr>
              <w:t>个月后的首个交易日至 授予日起</w:t>
            </w:r>
            <w:r>
              <w:rPr>
                <w:rFonts w:ascii="Times New Roman" w:hAnsi="Times New Roman" w:cs="Times New Roman" w:eastAsia="Times New Roman" w:hint="default"/>
                <w:color w:val="0D0D0D"/>
                <w:sz w:val="18"/>
                <w:szCs w:val="18"/>
              </w:rPr>
              <w:t>42</w:t>
            </w:r>
            <w:r>
              <w:rPr>
                <w:rFonts w:ascii="宋体" w:hAnsi="宋体" w:cs="宋体" w:eastAsia="宋体" w:hint="default"/>
                <w:color w:val="0D0D0D"/>
                <w:sz w:val="18"/>
                <w:szCs w:val="18"/>
              </w:rPr>
              <w:t>个月内的最后一个交易日止</w:t>
            </w:r>
            <w:r>
              <w:rPr>
                <w:rFonts w:ascii="宋体" w:hAnsi="宋体" w:cs="宋体" w:eastAsia="宋体" w:hint="default"/>
                <w:sz w:val="18"/>
                <w:szCs w:val="18"/>
              </w:rPr>
            </w:r>
          </w:p>
        </w:tc>
        <w:tc>
          <w:tcPr>
            <w:tcW w:w="20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left="355" w:right="0"/>
              <w:jc w:val="center"/>
              <w:rPr>
                <w:rFonts w:ascii="Times New Roman" w:hAnsi="Times New Roman" w:cs="Times New Roman" w:eastAsia="Times New Roman" w:hint="default"/>
                <w:sz w:val="18"/>
                <w:szCs w:val="18"/>
              </w:rPr>
            </w:pPr>
            <w:r>
              <w:rPr>
                <w:rFonts w:ascii="Times New Roman"/>
                <w:color w:val="0D0D0D"/>
                <w:sz w:val="18"/>
              </w:rPr>
              <w:t>30%</w:t>
            </w:r>
            <w:r>
              <w:rPr>
                <w:rFonts w:ascii="Times New Roman"/>
                <w:sz w:val="18"/>
              </w:rPr>
            </w:r>
          </w:p>
        </w:tc>
      </w:tr>
      <w:tr>
        <w:trPr>
          <w:trHeight w:val="785" w:hRule="exact"/>
        </w:trPr>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306"/>
              <w:jc w:val="right"/>
              <w:rPr>
                <w:rFonts w:ascii="宋体" w:hAnsi="宋体" w:cs="宋体" w:eastAsia="宋体" w:hint="default"/>
                <w:sz w:val="18"/>
                <w:szCs w:val="18"/>
              </w:rPr>
            </w:pPr>
            <w:r>
              <w:rPr>
                <w:rFonts w:ascii="宋体" w:hAnsi="宋体" w:cs="宋体" w:eastAsia="宋体" w:hint="default"/>
                <w:color w:val="0D0D0D"/>
                <w:sz w:val="18"/>
                <w:szCs w:val="18"/>
              </w:rPr>
              <w:t>第三次解锁</w:t>
            </w:r>
            <w:r>
              <w:rPr>
                <w:rFonts w:ascii="宋体" w:hAnsi="宋体" w:cs="宋体" w:eastAsia="宋体" w:hint="default"/>
                <w:sz w:val="18"/>
                <w:szCs w:val="18"/>
              </w:rPr>
            </w:r>
          </w:p>
        </w:tc>
        <w:tc>
          <w:tcPr>
            <w:tcW w:w="4739" w:type="dxa"/>
            <w:tcBorders>
              <w:top w:val="single" w:sz="12" w:space="0" w:color="000000"/>
              <w:left w:val="single" w:sz="6" w:space="0" w:color="000000"/>
              <w:bottom w:val="single" w:sz="12" w:space="0" w:color="000000"/>
              <w:right w:val="single" w:sz="6" w:space="0" w:color="000000"/>
            </w:tcBorders>
          </w:tcPr>
          <w:p>
            <w:pPr>
              <w:pStyle w:val="TableParagraph"/>
              <w:spacing w:line="340" w:lineRule="auto" w:before="51"/>
              <w:ind w:left="1011" w:right="650"/>
              <w:jc w:val="left"/>
              <w:rPr>
                <w:rFonts w:ascii="宋体" w:hAnsi="宋体" w:cs="宋体" w:eastAsia="宋体" w:hint="default"/>
                <w:sz w:val="18"/>
                <w:szCs w:val="18"/>
              </w:rPr>
            </w:pPr>
            <w:r>
              <w:rPr>
                <w:rFonts w:ascii="宋体" w:hAnsi="宋体" w:cs="宋体" w:eastAsia="宋体" w:hint="default"/>
                <w:color w:val="0D0D0D"/>
                <w:sz w:val="18"/>
                <w:szCs w:val="18"/>
              </w:rPr>
              <w:t>自授予日起满</w:t>
            </w:r>
            <w:r>
              <w:rPr>
                <w:rFonts w:ascii="Times New Roman" w:hAnsi="Times New Roman" w:cs="Times New Roman" w:eastAsia="Times New Roman" w:hint="default"/>
                <w:color w:val="0D0D0D"/>
                <w:sz w:val="18"/>
                <w:szCs w:val="18"/>
              </w:rPr>
              <w:t>42</w:t>
            </w:r>
            <w:r>
              <w:rPr>
                <w:rFonts w:ascii="宋体" w:hAnsi="宋体" w:cs="宋体" w:eastAsia="宋体" w:hint="default"/>
                <w:color w:val="0D0D0D"/>
                <w:sz w:val="18"/>
                <w:szCs w:val="18"/>
              </w:rPr>
              <w:t>个月后的首个交易日至 授予日起</w:t>
            </w:r>
            <w:r>
              <w:rPr>
                <w:rFonts w:ascii="Times New Roman" w:hAnsi="Times New Roman" w:cs="Times New Roman" w:eastAsia="Times New Roman" w:hint="default"/>
                <w:color w:val="0D0D0D"/>
                <w:sz w:val="18"/>
                <w:szCs w:val="18"/>
              </w:rPr>
              <w:t>54</w:t>
            </w:r>
            <w:r>
              <w:rPr>
                <w:rFonts w:ascii="宋体" w:hAnsi="宋体" w:cs="宋体" w:eastAsia="宋体" w:hint="default"/>
                <w:color w:val="0D0D0D"/>
                <w:sz w:val="18"/>
                <w:szCs w:val="18"/>
              </w:rPr>
              <w:t>个月内的最后一个交易日止</w:t>
            </w:r>
            <w:r>
              <w:rPr>
                <w:rFonts w:ascii="宋体" w:hAnsi="宋体" w:cs="宋体" w:eastAsia="宋体" w:hint="default"/>
                <w:sz w:val="18"/>
                <w:szCs w:val="18"/>
              </w:rPr>
            </w:r>
          </w:p>
        </w:tc>
        <w:tc>
          <w:tcPr>
            <w:tcW w:w="20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left="355" w:right="0"/>
              <w:jc w:val="center"/>
              <w:rPr>
                <w:rFonts w:ascii="Times New Roman" w:hAnsi="Times New Roman" w:cs="Times New Roman" w:eastAsia="Times New Roman" w:hint="default"/>
                <w:sz w:val="18"/>
                <w:szCs w:val="18"/>
              </w:rPr>
            </w:pPr>
            <w:r>
              <w:rPr>
                <w:rFonts w:ascii="Times New Roman"/>
                <w:color w:val="0D0D0D"/>
                <w:sz w:val="18"/>
              </w:rPr>
              <w:t>30%</w:t>
            </w:r>
            <w:r>
              <w:rPr>
                <w:rFonts w:ascii="Times New Roman"/>
                <w:sz w:val="18"/>
              </w:rPr>
            </w:r>
          </w:p>
        </w:tc>
      </w:tr>
    </w:tbl>
    <w:p>
      <w:pPr>
        <w:pStyle w:val="BodyText"/>
        <w:spacing w:line="350" w:lineRule="auto" w:before="51"/>
        <w:ind w:left="573" w:right="2665" w:firstLine="60"/>
        <w:jc w:val="left"/>
      </w:pPr>
      <w:r>
        <w:rPr>
          <w:rFonts w:ascii="Times New Roman" w:hAnsi="Times New Roman" w:cs="Times New Roman" w:eastAsia="Times New Roman" w:hint="default"/>
        </w:rPr>
        <w:t>2</w:t>
      </w:r>
      <w:r>
        <w:rPr/>
        <w:t>）限制性股票解锁条件 在解锁日，激励对象按本计划的规定对获授的限制性股票进行解锁时，必须同时满足以下条件： </w:t>
      </w: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公司未发生以下任一情形：</w:t>
      </w:r>
    </w:p>
    <w:p>
      <w:pPr>
        <w:pStyle w:val="BodyText"/>
        <w:spacing w:line="240" w:lineRule="auto" w:before="10"/>
        <w:ind w:left="573" w:right="1033"/>
        <w:jc w:val="left"/>
      </w:pPr>
      <w:r>
        <w:rPr/>
        <w:t>（</w:t>
      </w:r>
      <w:r>
        <w:rPr>
          <w:rFonts w:ascii="Times New Roman" w:hAnsi="Times New Roman" w:cs="Times New Roman" w:eastAsia="Times New Roman" w:hint="default"/>
        </w:rPr>
        <w:t>1</w:t>
      </w:r>
      <w:r>
        <w:rPr/>
        <w:t>）最近一个会计年度财务会计报告被注册会计师出具否定意见或者无法表示意见的审计报告；</w:t>
      </w:r>
    </w:p>
    <w:p>
      <w:pPr>
        <w:pStyle w:val="BodyText"/>
        <w:spacing w:line="240" w:lineRule="auto" w:before="102"/>
        <w:ind w:left="573" w:right="1033"/>
        <w:jc w:val="left"/>
      </w:pPr>
      <w:r>
        <w:rPr/>
        <w:t>（</w:t>
      </w:r>
      <w:r>
        <w:rPr>
          <w:rFonts w:ascii="Times New Roman" w:hAnsi="Times New Roman" w:cs="Times New Roman" w:eastAsia="Times New Roman" w:hint="default"/>
        </w:rPr>
        <w:t>2</w:t>
      </w:r>
      <w:r>
        <w:rPr/>
        <w:t>）最近一年内因重大违法违规行为被中国证监会予以行政处罚；</w:t>
      </w:r>
    </w:p>
    <w:p>
      <w:pPr>
        <w:pStyle w:val="BodyText"/>
        <w:spacing w:line="240" w:lineRule="auto" w:before="103"/>
        <w:ind w:left="573" w:right="1033"/>
        <w:jc w:val="left"/>
      </w:pPr>
      <w:r>
        <w:rPr/>
        <w:t>（</w:t>
      </w:r>
      <w:r>
        <w:rPr>
          <w:rFonts w:ascii="Times New Roman" w:hAnsi="Times New Roman" w:cs="Times New Roman" w:eastAsia="Times New Roman" w:hint="default"/>
        </w:rPr>
        <w:t>3</w:t>
      </w:r>
      <w:r>
        <w:rPr/>
        <w:t>）中国证监会认定的其他情形。</w:t>
      </w:r>
    </w:p>
    <w:p>
      <w:pPr>
        <w:pStyle w:val="BodyText"/>
        <w:spacing w:line="240" w:lineRule="auto" w:before="102"/>
        <w:ind w:left="573" w:right="10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激励对象未发生以下任一情形：</w:t>
      </w:r>
    </w:p>
    <w:p>
      <w:pPr>
        <w:pStyle w:val="BodyText"/>
        <w:spacing w:line="240" w:lineRule="auto" w:before="102"/>
        <w:ind w:left="573" w:right="1033"/>
        <w:jc w:val="left"/>
      </w:pPr>
      <w:r>
        <w:rPr/>
        <w:t>（</w:t>
      </w:r>
      <w:r>
        <w:rPr>
          <w:rFonts w:ascii="Times New Roman" w:hAnsi="Times New Roman" w:cs="Times New Roman" w:eastAsia="Times New Roman" w:hint="default"/>
        </w:rPr>
        <w:t>1</w:t>
      </w:r>
      <w:r>
        <w:rPr/>
        <w:t>）最近三年内被证券交易所公开谴责或宣布为不适当人员；</w:t>
      </w:r>
    </w:p>
    <w:p>
      <w:pPr>
        <w:pStyle w:val="BodyText"/>
        <w:spacing w:line="240" w:lineRule="auto" w:before="103"/>
        <w:ind w:left="574" w:right="1033"/>
        <w:jc w:val="left"/>
      </w:pPr>
      <w:r>
        <w:rPr/>
        <w:t>（</w:t>
      </w:r>
      <w:r>
        <w:rPr>
          <w:rFonts w:ascii="Times New Roman" w:hAnsi="Times New Roman" w:cs="Times New Roman" w:eastAsia="Times New Roman" w:hint="default"/>
        </w:rPr>
        <w:t>2</w:t>
      </w:r>
      <w:r>
        <w:rPr/>
        <w:t>）最近三年内因重大违法违规行为被中国证监会予以行政处罚；</w:t>
      </w:r>
    </w:p>
    <w:p>
      <w:pPr>
        <w:pStyle w:val="BodyText"/>
        <w:spacing w:line="240" w:lineRule="auto" w:before="102"/>
        <w:ind w:left="573" w:right="1033"/>
        <w:jc w:val="left"/>
      </w:pPr>
      <w:r>
        <w:rPr/>
        <w:t>（</w:t>
      </w:r>
      <w:r>
        <w:rPr>
          <w:rFonts w:ascii="Times New Roman" w:hAnsi="Times New Roman" w:cs="Times New Roman" w:eastAsia="Times New Roman" w:hint="default"/>
        </w:rPr>
        <w:t>3</w:t>
      </w:r>
      <w:r>
        <w:rPr/>
        <w:t>）具有《公司法》规定的不得担任公司董事及高级管理人员的情形；</w:t>
      </w:r>
    </w:p>
    <w:p>
      <w:pPr>
        <w:pStyle w:val="BodyText"/>
        <w:spacing w:line="338" w:lineRule="auto" w:before="102"/>
        <w:ind w:left="574" w:right="5562"/>
        <w:jc w:val="left"/>
      </w:pPr>
      <w:r>
        <w:rPr/>
        <w:t>（</w:t>
      </w:r>
      <w:r>
        <w:rPr>
          <w:rFonts w:ascii="Times New Roman" w:hAnsi="Times New Roman" w:cs="Times New Roman" w:eastAsia="Times New Roman" w:hint="default"/>
        </w:rPr>
        <w:t>4</w:t>
      </w:r>
      <w:r>
        <w:rPr/>
        <w:t>）公司董事会认定的其他严重违反公司有关规定的情形。 </w:t>
      </w:r>
      <w:r>
        <w:rPr>
          <w:rFonts w:ascii="Times New Roman" w:hAnsi="Times New Roman" w:cs="Times New Roman" w:eastAsia="Times New Roman" w:hint="default"/>
        </w:rPr>
        <w:t>C.</w:t>
      </w:r>
      <w:r>
        <w:rPr>
          <w:rFonts w:ascii="Times New Roman" w:hAnsi="Times New Roman" w:cs="Times New Roman" w:eastAsia="Times New Roman" w:hint="default"/>
          <w:spacing w:val="28"/>
        </w:rPr>
        <w:t> </w:t>
      </w:r>
      <w:r>
        <w:rPr/>
        <w:t>公司层面业绩考核条件 授予各年度业绩考核目标如下表所示：</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46"/>
        <w:gridCol w:w="6878"/>
      </w:tblGrid>
      <w:tr>
        <w:trPr>
          <w:trHeight w:val="427" w:hRule="exact"/>
        </w:trPr>
        <w:tc>
          <w:tcPr>
            <w:tcW w:w="16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275"/>
              <w:jc w:val="right"/>
              <w:rPr>
                <w:rFonts w:ascii="宋体" w:hAnsi="宋体" w:cs="宋体" w:eastAsia="宋体" w:hint="default"/>
                <w:sz w:val="18"/>
                <w:szCs w:val="18"/>
              </w:rPr>
            </w:pPr>
            <w:r>
              <w:rPr>
                <w:rFonts w:ascii="宋体" w:hAnsi="宋体" w:cs="宋体" w:eastAsia="宋体" w:hint="default"/>
                <w:color w:val="0D0D0D"/>
                <w:sz w:val="18"/>
                <w:szCs w:val="18"/>
              </w:rPr>
              <w:t>解锁安排</w:t>
            </w:r>
            <w:r>
              <w:rPr>
                <w:rFonts w:ascii="宋体" w:hAnsi="宋体" w:cs="宋体" w:eastAsia="宋体" w:hint="default"/>
                <w:sz w:val="18"/>
                <w:szCs w:val="18"/>
              </w:rPr>
            </w:r>
          </w:p>
        </w:tc>
        <w:tc>
          <w:tcPr>
            <w:tcW w:w="68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58" w:right="0"/>
              <w:jc w:val="center"/>
              <w:rPr>
                <w:rFonts w:ascii="宋体" w:hAnsi="宋体" w:cs="宋体" w:eastAsia="宋体" w:hint="default"/>
                <w:sz w:val="18"/>
                <w:szCs w:val="18"/>
              </w:rPr>
            </w:pPr>
            <w:r>
              <w:rPr>
                <w:rFonts w:ascii="宋体" w:hAnsi="宋体" w:cs="宋体" w:eastAsia="宋体" w:hint="default"/>
                <w:color w:val="0D0D0D"/>
                <w:sz w:val="18"/>
                <w:szCs w:val="18"/>
              </w:rPr>
              <w:t>业绩考核目标</w:t>
            </w:r>
            <w:r>
              <w:rPr>
                <w:rFonts w:ascii="宋体" w:hAnsi="宋体" w:cs="宋体" w:eastAsia="宋体" w:hint="default"/>
                <w:sz w:val="18"/>
                <w:szCs w:val="18"/>
              </w:rPr>
            </w:r>
          </w:p>
        </w:tc>
      </w:tr>
      <w:tr>
        <w:trPr>
          <w:trHeight w:val="427" w:hRule="exact"/>
        </w:trPr>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5"/>
              <w:jc w:val="right"/>
              <w:rPr>
                <w:rFonts w:ascii="宋体" w:hAnsi="宋体" w:cs="宋体" w:eastAsia="宋体" w:hint="default"/>
                <w:sz w:val="18"/>
                <w:szCs w:val="18"/>
              </w:rPr>
            </w:pPr>
            <w:r>
              <w:rPr>
                <w:rFonts w:ascii="宋体" w:hAnsi="宋体" w:cs="宋体" w:eastAsia="宋体" w:hint="default"/>
                <w:color w:val="0D0D0D"/>
                <w:sz w:val="18"/>
                <w:szCs w:val="18"/>
              </w:rPr>
              <w:t>第一次解锁</w:t>
            </w:r>
            <w:r>
              <w:rPr>
                <w:rFonts w:ascii="宋体" w:hAnsi="宋体" w:cs="宋体" w:eastAsia="宋体" w:hint="default"/>
                <w:sz w:val="18"/>
                <w:szCs w:val="18"/>
              </w:rPr>
            </w:r>
          </w:p>
        </w:tc>
        <w:tc>
          <w:tcPr>
            <w:tcW w:w="6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宋体" w:hAnsi="宋体" w:cs="宋体" w:eastAsia="宋体" w:hint="default"/>
                <w:sz w:val="18"/>
                <w:szCs w:val="18"/>
              </w:rPr>
            </w:pPr>
            <w:r>
              <w:rPr>
                <w:rFonts w:ascii="宋体" w:hAnsi="宋体" w:cs="宋体" w:eastAsia="宋体" w:hint="default"/>
                <w:color w:val="0D0D0D"/>
                <w:sz w:val="18"/>
                <w:szCs w:val="18"/>
              </w:rPr>
              <w:t>以</w:t>
            </w:r>
            <w:r>
              <w:rPr>
                <w:rFonts w:ascii="Times New Roman" w:hAnsi="Times New Roman" w:cs="Times New Roman" w:eastAsia="Times New Roman" w:hint="default"/>
                <w:color w:val="0D0D0D"/>
                <w:sz w:val="18"/>
                <w:szCs w:val="18"/>
              </w:rPr>
              <w:t>2014</w:t>
            </w:r>
            <w:r>
              <w:rPr>
                <w:rFonts w:ascii="宋体" w:hAnsi="宋体" w:cs="宋体" w:eastAsia="宋体" w:hint="default"/>
                <w:color w:val="0D0D0D"/>
                <w:sz w:val="18"/>
                <w:szCs w:val="18"/>
              </w:rPr>
              <w:t>年营业收入为基数，</w:t>
            </w:r>
            <w:r>
              <w:rPr>
                <w:rFonts w:ascii="Times New Roman" w:hAnsi="Times New Roman" w:cs="Times New Roman" w:eastAsia="Times New Roman" w:hint="default"/>
                <w:color w:val="0D0D0D"/>
                <w:sz w:val="18"/>
                <w:szCs w:val="18"/>
              </w:rPr>
              <w:t>2016</w:t>
            </w:r>
            <w:r>
              <w:rPr>
                <w:rFonts w:ascii="宋体" w:hAnsi="宋体" w:cs="宋体" w:eastAsia="宋体" w:hint="default"/>
                <w:color w:val="0D0D0D"/>
                <w:sz w:val="18"/>
                <w:szCs w:val="18"/>
              </w:rPr>
              <w:t>年营业收入增长率不低于</w:t>
            </w:r>
            <w:r>
              <w:rPr>
                <w:rFonts w:ascii="Times New Roman" w:hAnsi="Times New Roman" w:cs="Times New Roman" w:eastAsia="Times New Roman" w:hint="default"/>
                <w:color w:val="0D0D0D"/>
                <w:sz w:val="18"/>
                <w:szCs w:val="18"/>
              </w:rPr>
              <w:t>30%</w:t>
            </w:r>
            <w:r>
              <w:rPr>
                <w:rFonts w:ascii="宋体" w:hAnsi="宋体" w:cs="宋体" w:eastAsia="宋体" w:hint="default"/>
                <w:color w:val="0D0D0D"/>
                <w:sz w:val="18"/>
                <w:szCs w:val="18"/>
              </w:rPr>
              <w:t>；</w:t>
            </w:r>
            <w:r>
              <w:rPr>
                <w:rFonts w:ascii="宋体" w:hAnsi="宋体" w:cs="宋体" w:eastAsia="宋体" w:hint="default"/>
                <w:sz w:val="18"/>
                <w:szCs w:val="18"/>
              </w:rPr>
            </w:r>
          </w:p>
        </w:tc>
      </w:tr>
      <w:tr>
        <w:trPr>
          <w:trHeight w:val="427" w:hRule="exact"/>
        </w:trPr>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5"/>
              <w:jc w:val="right"/>
              <w:rPr>
                <w:rFonts w:ascii="宋体" w:hAnsi="宋体" w:cs="宋体" w:eastAsia="宋体" w:hint="default"/>
                <w:sz w:val="18"/>
                <w:szCs w:val="18"/>
              </w:rPr>
            </w:pPr>
            <w:r>
              <w:rPr>
                <w:rFonts w:ascii="宋体" w:hAnsi="宋体" w:cs="宋体" w:eastAsia="宋体" w:hint="default"/>
                <w:color w:val="0D0D0D"/>
                <w:sz w:val="18"/>
                <w:szCs w:val="18"/>
              </w:rPr>
              <w:t>第二次解锁</w:t>
            </w:r>
            <w:r>
              <w:rPr>
                <w:rFonts w:ascii="宋体" w:hAnsi="宋体" w:cs="宋体" w:eastAsia="宋体" w:hint="default"/>
                <w:sz w:val="18"/>
                <w:szCs w:val="18"/>
              </w:rPr>
            </w:r>
          </w:p>
        </w:tc>
        <w:tc>
          <w:tcPr>
            <w:tcW w:w="6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宋体" w:hAnsi="宋体" w:cs="宋体" w:eastAsia="宋体" w:hint="default"/>
                <w:sz w:val="18"/>
                <w:szCs w:val="18"/>
              </w:rPr>
            </w:pPr>
            <w:r>
              <w:rPr>
                <w:rFonts w:ascii="宋体" w:hAnsi="宋体" w:cs="宋体" w:eastAsia="宋体" w:hint="default"/>
                <w:color w:val="0D0D0D"/>
                <w:sz w:val="18"/>
                <w:szCs w:val="18"/>
              </w:rPr>
              <w:t>以</w:t>
            </w:r>
            <w:r>
              <w:rPr>
                <w:rFonts w:ascii="Times New Roman" w:hAnsi="Times New Roman" w:cs="Times New Roman" w:eastAsia="Times New Roman" w:hint="default"/>
                <w:color w:val="0D0D0D"/>
                <w:sz w:val="18"/>
                <w:szCs w:val="18"/>
              </w:rPr>
              <w:t>2014</w:t>
            </w:r>
            <w:r>
              <w:rPr>
                <w:rFonts w:ascii="宋体" w:hAnsi="宋体" w:cs="宋体" w:eastAsia="宋体" w:hint="default"/>
                <w:color w:val="0D0D0D"/>
                <w:sz w:val="18"/>
                <w:szCs w:val="18"/>
              </w:rPr>
              <w:t>年营业收入为基数，</w:t>
            </w:r>
            <w:r>
              <w:rPr>
                <w:rFonts w:ascii="Times New Roman" w:hAnsi="Times New Roman" w:cs="Times New Roman" w:eastAsia="Times New Roman" w:hint="default"/>
                <w:color w:val="0D0D0D"/>
                <w:sz w:val="18"/>
                <w:szCs w:val="18"/>
              </w:rPr>
              <w:t>2017</w:t>
            </w:r>
            <w:r>
              <w:rPr>
                <w:rFonts w:ascii="宋体" w:hAnsi="宋体" w:cs="宋体" w:eastAsia="宋体" w:hint="default"/>
                <w:color w:val="0D0D0D"/>
                <w:sz w:val="18"/>
                <w:szCs w:val="18"/>
              </w:rPr>
              <w:t>年营业收入增长率不低于</w:t>
            </w:r>
            <w:r>
              <w:rPr>
                <w:rFonts w:ascii="Times New Roman" w:hAnsi="Times New Roman" w:cs="Times New Roman" w:eastAsia="Times New Roman" w:hint="default"/>
                <w:color w:val="0D0D0D"/>
                <w:sz w:val="18"/>
                <w:szCs w:val="18"/>
              </w:rPr>
              <w:t>60%</w:t>
            </w:r>
            <w:r>
              <w:rPr>
                <w:rFonts w:ascii="宋体" w:hAnsi="宋体" w:cs="宋体" w:eastAsia="宋体" w:hint="default"/>
                <w:color w:val="0D0D0D"/>
                <w:sz w:val="18"/>
                <w:szCs w:val="18"/>
              </w:rPr>
              <w:t>；</w:t>
            </w:r>
            <w:r>
              <w:rPr>
                <w:rFonts w:ascii="宋体" w:hAnsi="宋体" w:cs="宋体" w:eastAsia="宋体" w:hint="default"/>
                <w:sz w:val="18"/>
                <w:szCs w:val="18"/>
              </w:rPr>
            </w:r>
          </w:p>
        </w:tc>
      </w:tr>
      <w:tr>
        <w:trPr>
          <w:trHeight w:val="427" w:hRule="exact"/>
        </w:trPr>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5"/>
              <w:jc w:val="right"/>
              <w:rPr>
                <w:rFonts w:ascii="宋体" w:hAnsi="宋体" w:cs="宋体" w:eastAsia="宋体" w:hint="default"/>
                <w:sz w:val="18"/>
                <w:szCs w:val="18"/>
              </w:rPr>
            </w:pPr>
            <w:r>
              <w:rPr>
                <w:rFonts w:ascii="宋体" w:hAnsi="宋体" w:cs="宋体" w:eastAsia="宋体" w:hint="default"/>
                <w:color w:val="0D0D0D"/>
                <w:sz w:val="18"/>
                <w:szCs w:val="18"/>
              </w:rPr>
              <w:t>第三次解锁</w:t>
            </w:r>
            <w:r>
              <w:rPr>
                <w:rFonts w:ascii="宋体" w:hAnsi="宋体" w:cs="宋体" w:eastAsia="宋体" w:hint="default"/>
                <w:sz w:val="18"/>
                <w:szCs w:val="18"/>
              </w:rPr>
            </w:r>
          </w:p>
        </w:tc>
        <w:tc>
          <w:tcPr>
            <w:tcW w:w="6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宋体" w:hAnsi="宋体" w:cs="宋体" w:eastAsia="宋体" w:hint="default"/>
                <w:sz w:val="18"/>
                <w:szCs w:val="18"/>
              </w:rPr>
            </w:pPr>
            <w:r>
              <w:rPr>
                <w:rFonts w:ascii="宋体" w:hAnsi="宋体" w:cs="宋体" w:eastAsia="宋体" w:hint="default"/>
                <w:color w:val="0D0D0D"/>
                <w:sz w:val="18"/>
                <w:szCs w:val="18"/>
              </w:rPr>
              <w:t>以</w:t>
            </w:r>
            <w:r>
              <w:rPr>
                <w:rFonts w:ascii="Times New Roman" w:hAnsi="Times New Roman" w:cs="Times New Roman" w:eastAsia="Times New Roman" w:hint="default"/>
                <w:color w:val="0D0D0D"/>
                <w:sz w:val="18"/>
                <w:szCs w:val="18"/>
              </w:rPr>
              <w:t>2014</w:t>
            </w:r>
            <w:r>
              <w:rPr>
                <w:rFonts w:ascii="宋体" w:hAnsi="宋体" w:cs="宋体" w:eastAsia="宋体" w:hint="default"/>
                <w:color w:val="0D0D0D"/>
                <w:sz w:val="18"/>
                <w:szCs w:val="18"/>
              </w:rPr>
              <w:t>年营业收入为基数，</w:t>
            </w:r>
            <w:r>
              <w:rPr>
                <w:rFonts w:ascii="Times New Roman" w:hAnsi="Times New Roman" w:cs="Times New Roman" w:eastAsia="Times New Roman" w:hint="default"/>
                <w:color w:val="0D0D0D"/>
                <w:sz w:val="18"/>
                <w:szCs w:val="18"/>
              </w:rPr>
              <w:t>2018</w:t>
            </w:r>
            <w:r>
              <w:rPr>
                <w:rFonts w:ascii="宋体" w:hAnsi="宋体" w:cs="宋体" w:eastAsia="宋体" w:hint="default"/>
                <w:color w:val="0D0D0D"/>
                <w:sz w:val="18"/>
                <w:szCs w:val="18"/>
              </w:rPr>
              <w:t>年营业收入增长率不低于</w:t>
            </w:r>
            <w:r>
              <w:rPr>
                <w:rFonts w:ascii="Times New Roman" w:hAnsi="Times New Roman" w:cs="Times New Roman" w:eastAsia="Times New Roman" w:hint="default"/>
                <w:color w:val="0D0D0D"/>
                <w:sz w:val="18"/>
                <w:szCs w:val="18"/>
              </w:rPr>
              <w:t>90%</w:t>
            </w:r>
            <w:r>
              <w:rPr>
                <w:rFonts w:ascii="宋体" w:hAnsi="宋体" w:cs="宋体" w:eastAsia="宋体" w:hint="default"/>
                <w:color w:val="0D0D0D"/>
                <w:sz w:val="18"/>
                <w:szCs w:val="18"/>
              </w:rPr>
              <w:t>。</w:t>
            </w:r>
            <w:r>
              <w:rPr>
                <w:rFonts w:ascii="宋体" w:hAnsi="宋体" w:cs="宋体" w:eastAsia="宋体" w:hint="default"/>
                <w:sz w:val="18"/>
                <w:szCs w:val="18"/>
              </w:rPr>
            </w:r>
          </w:p>
        </w:tc>
      </w:tr>
    </w:tbl>
    <w:p>
      <w:pPr>
        <w:pStyle w:val="BodyText"/>
        <w:spacing w:line="319" w:lineRule="auto" w:before="51"/>
        <w:ind w:left="154" w:right="1131" w:firstLine="420"/>
        <w:jc w:val="both"/>
      </w:pPr>
      <w:r>
        <w:rPr/>
        <w:t>若第一、第二个解锁期内未达到公司业绩考核目标时，这部分限制性股票可以递延到下一年，在下一年达到业绩考核 </w:t>
      </w:r>
      <w:r>
        <w:rPr>
          <w:spacing w:val="-2"/>
        </w:rPr>
        <w:t>目标时一起解锁；若下一年仍未达到公司业绩考核目标时，该部分限制性股票不得解锁，由公司回购注销。第三个解锁期内</w:t>
      </w:r>
      <w:r>
        <w:rPr>
          <w:spacing w:val="-66"/>
        </w:rPr>
        <w:t> </w:t>
      </w:r>
      <w:r>
        <w:rPr>
          <w:spacing w:val="-66"/>
        </w:rPr>
      </w:r>
      <w:r>
        <w:rPr/>
        <w:t>未达到公司业绩考核目标时，该部分限制性股票不得解锁，由公司回购注销。</w:t>
      </w:r>
    </w:p>
    <w:p>
      <w:pPr>
        <w:pStyle w:val="BodyText"/>
        <w:spacing w:line="240" w:lineRule="auto" w:before="56"/>
        <w:ind w:left="573" w:right="1033"/>
        <w:jc w:val="left"/>
      </w:pPr>
      <w:r>
        <w:rPr/>
        <w:t>由本次股权激励产生的激励成本将在管理费用中列支。</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73" w:right="1033"/>
        <w:jc w:val="left"/>
      </w:pPr>
      <w:r>
        <w:rPr>
          <w:rFonts w:ascii="Times New Roman" w:hAnsi="Times New Roman" w:cs="Times New Roman" w:eastAsia="Times New Roman" w:hint="default"/>
        </w:rPr>
        <w:t>D</w:t>
      </w:r>
      <w:r>
        <w:rPr/>
        <w:t>．个人层面绩效考核要求 根据《二六三网络通信股份有限公司</w:t>
      </w:r>
      <w:r>
        <w:rPr>
          <w:rFonts w:ascii="Times New Roman" w:hAnsi="Times New Roman" w:cs="Times New Roman" w:eastAsia="Times New Roman" w:hint="default"/>
        </w:rPr>
        <w:t>2015</w:t>
      </w:r>
      <w:r>
        <w:rPr/>
        <w:t>年限制性股票激励计划实施考核管理办法》，各解锁期内不能解锁的限制性</w:t>
      </w:r>
    </w:p>
    <w:p>
      <w:pPr>
        <w:pStyle w:val="BodyText"/>
        <w:spacing w:line="218" w:lineRule="exact"/>
        <w:ind w:right="1033"/>
        <w:jc w:val="left"/>
      </w:pPr>
      <w:r>
        <w:rPr/>
        <w:t>股票由公司以激励对象购买价回购注销。</w:t>
      </w:r>
    </w:p>
    <w:p>
      <w:pPr>
        <w:pStyle w:val="BodyText"/>
        <w:spacing w:line="240" w:lineRule="auto" w:before="117"/>
        <w:ind w:left="573" w:right="10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解锁及回购情况</w:t>
      </w:r>
    </w:p>
    <w:p>
      <w:pPr>
        <w:pStyle w:val="BodyText"/>
        <w:spacing w:line="300" w:lineRule="auto" w:before="101"/>
        <w:ind w:right="1130" w:firstLine="420"/>
        <w:jc w:val="both"/>
      </w:pPr>
      <w:r>
        <w:rPr>
          <w:rFonts w:ascii="Times New Roman" w:hAnsi="Times New Roman" w:cs="Times New Roman" w:eastAsia="Times New Roman" w:hint="default"/>
          <w:color w:val="0D0D0D"/>
        </w:rPr>
        <w:t>2015</w:t>
      </w:r>
      <w:r>
        <w:rPr>
          <w:color w:val="0D0D0D"/>
        </w:rPr>
        <w:t>年由于麦卫冲、廖海波因离职已不符合激励条件，根据公司《</w:t>
      </w:r>
      <w:r>
        <w:rPr>
          <w:rFonts w:ascii="Times New Roman" w:hAnsi="Times New Roman" w:cs="Times New Roman" w:eastAsia="Times New Roman" w:hint="default"/>
          <w:color w:val="0D0D0D"/>
        </w:rPr>
        <w:t>2015</w:t>
      </w:r>
      <w:r>
        <w:rPr>
          <w:color w:val="0D0D0D"/>
        </w:rPr>
        <w:t>年度激励计划》</w:t>
      </w:r>
      <w:r>
        <w:rPr>
          <w:rFonts w:ascii="Times New Roman" w:hAnsi="Times New Roman" w:cs="Times New Roman" w:eastAsia="Times New Roman" w:hint="default"/>
          <w:color w:val="0D0D0D"/>
        </w:rPr>
        <w:t>“</w:t>
      </w:r>
      <w:r>
        <w:rPr>
          <w:color w:val="0D0D0D"/>
        </w:rPr>
        <w:t>第十三章公司</w:t>
      </w:r>
      <w:r>
        <w:rPr>
          <w:rFonts w:ascii="Times New Roman" w:hAnsi="Times New Roman" w:cs="Times New Roman" w:eastAsia="Times New Roman" w:hint="default"/>
          <w:color w:val="0D0D0D"/>
        </w:rPr>
        <w:t>/</w:t>
      </w:r>
      <w:r>
        <w:rPr>
          <w:color w:val="0D0D0D"/>
        </w:rPr>
        <w:t>激励对象发生 异动处理</w:t>
      </w:r>
      <w:r>
        <w:rPr>
          <w:rFonts w:ascii="Times New Roman" w:hAnsi="Times New Roman" w:cs="Times New Roman" w:eastAsia="Times New Roman" w:hint="default"/>
          <w:color w:val="0D0D0D"/>
        </w:rPr>
        <w:t>”</w:t>
      </w:r>
      <w:r>
        <w:rPr>
          <w:color w:val="0D0D0D"/>
        </w:rPr>
        <w:t>和</w:t>
      </w:r>
      <w:r>
        <w:rPr>
          <w:rFonts w:ascii="Times New Roman" w:hAnsi="Times New Roman" w:cs="Times New Roman" w:eastAsia="Times New Roman" w:hint="default"/>
          <w:color w:val="0D0D0D"/>
        </w:rPr>
        <w:t>“</w:t>
      </w:r>
      <w:r>
        <w:rPr>
          <w:color w:val="0D0D0D"/>
        </w:rPr>
        <w:t>第十四章限制性股票的回购注销</w:t>
      </w:r>
      <w:r>
        <w:rPr>
          <w:rFonts w:ascii="Times New Roman" w:hAnsi="Times New Roman" w:cs="Times New Roman" w:eastAsia="Times New Roman" w:hint="default"/>
          <w:color w:val="0D0D0D"/>
        </w:rPr>
        <w:t>”</w:t>
      </w:r>
      <w:r>
        <w:rPr>
          <w:color w:val="0D0D0D"/>
        </w:rPr>
        <w:t>等规定以及公司</w:t>
      </w:r>
      <w:r>
        <w:rPr>
          <w:rFonts w:ascii="Times New Roman" w:hAnsi="Times New Roman" w:cs="Times New Roman" w:eastAsia="Times New Roman" w:hint="default"/>
          <w:color w:val="0D0D0D"/>
        </w:rPr>
        <w:t>2015</w:t>
      </w:r>
      <w:r>
        <w:rPr>
          <w:color w:val="0D0D0D"/>
        </w:rPr>
        <w:t>年第四次临时股东大会审议通过的《关于股东大会授权</w:t>
      </w:r>
      <w:r>
        <w:rPr>
          <w:color w:val="0D0D0D"/>
          <w:spacing w:val="-57"/>
        </w:rPr>
        <w:t> </w:t>
      </w:r>
      <w:r>
        <w:rPr>
          <w:color w:val="0D0D0D"/>
          <w:spacing w:val="-57"/>
        </w:rPr>
      </w:r>
      <w:r>
        <w:rPr>
          <w:color w:val="0D0D0D"/>
          <w:spacing w:val="-2"/>
        </w:rPr>
        <w:t>董事会办理公司</w:t>
      </w:r>
      <w:r>
        <w:rPr>
          <w:rFonts w:ascii="Times New Roman" w:hAnsi="Times New Roman" w:cs="Times New Roman" w:eastAsia="Times New Roman" w:hint="default"/>
          <w:color w:val="0D0D0D"/>
          <w:spacing w:val="-2"/>
        </w:rPr>
        <w:t>2015</w:t>
      </w:r>
      <w:r>
        <w:rPr>
          <w:color w:val="0D0D0D"/>
          <w:spacing w:val="-2"/>
        </w:rPr>
        <w:t>年限制性股票激励计划相关事宜的议案》的规定，公司董事会决定对上述两人所持有的已获授但尚未解</w:t>
      </w:r>
      <w:r>
        <w:rPr>
          <w:color w:val="0D0D0D"/>
          <w:spacing w:val="-60"/>
        </w:rPr>
        <w:t> </w:t>
      </w:r>
      <w:r>
        <w:rPr>
          <w:color w:val="0D0D0D"/>
          <w:spacing w:val="-60"/>
        </w:rPr>
      </w:r>
      <w:r>
        <w:rPr>
          <w:color w:val="0D0D0D"/>
        </w:rPr>
        <w:t>锁的限制性股票共计</w:t>
      </w:r>
      <w:r>
        <w:rPr>
          <w:rFonts w:ascii="Times New Roman" w:hAnsi="Times New Roman" w:cs="Times New Roman" w:eastAsia="Times New Roman" w:hint="default"/>
          <w:color w:val="0D0D0D"/>
        </w:rPr>
        <w:t>50,000</w:t>
      </w:r>
      <w:r>
        <w:rPr>
          <w:color w:val="0D0D0D"/>
        </w:rPr>
        <w:t>股进行回购后注销。</w:t>
      </w:r>
      <w:r>
        <w:rPr/>
        <w:t>此次限制性股票回购价格为 </w:t>
      </w:r>
      <w:r>
        <w:rPr>
          <w:rFonts w:ascii="Times New Roman" w:hAnsi="Times New Roman" w:cs="Times New Roman" w:eastAsia="Times New Roman" w:hint="default"/>
        </w:rPr>
        <w:t>7.12</w:t>
      </w:r>
      <w:r>
        <w:rPr/>
        <w:t>元</w:t>
      </w:r>
      <w:r>
        <w:rPr>
          <w:rFonts w:ascii="Times New Roman" w:hAnsi="Times New Roman" w:cs="Times New Roman" w:eastAsia="Times New Roman" w:hint="default"/>
        </w:rPr>
        <w:t>/</w:t>
      </w:r>
      <w:r>
        <w:rPr/>
        <w:t>股，公司应就本次限制性股票回购向上</w:t>
      </w:r>
      <w:r>
        <w:rPr>
          <w:spacing w:val="-56"/>
        </w:rPr>
        <w:t> </w:t>
      </w:r>
      <w:r>
        <w:rPr>
          <w:spacing w:val="-56"/>
        </w:rPr>
      </w:r>
      <w:r>
        <w:rPr/>
        <w:t>述三人支付回购价款共计 </w:t>
      </w:r>
      <w:r>
        <w:rPr>
          <w:rFonts w:ascii="Times New Roman" w:hAnsi="Times New Roman" w:cs="Times New Roman" w:eastAsia="Times New Roman" w:hint="default"/>
        </w:rPr>
        <w:t>356,000.00</w:t>
      </w:r>
      <w:r>
        <w:rPr>
          <w:rFonts w:ascii="Times New Roman" w:hAnsi="Times New Roman" w:cs="Times New Roman" w:eastAsia="Times New Roman" w:hint="default"/>
          <w:spacing w:val="8"/>
        </w:rPr>
        <w:t> </w:t>
      </w:r>
      <w:r>
        <w:rPr/>
        <w:t>元。</w:t>
      </w:r>
    </w:p>
    <w:p>
      <w:pPr>
        <w:pStyle w:val="BodyText"/>
        <w:spacing w:line="240" w:lineRule="auto" w:before="52"/>
        <w:ind w:right="1033"/>
        <w:jc w:val="left"/>
      </w:pPr>
      <w:r>
        <w:rPr/>
        <w:t>此次限制性股票回购后，</w:t>
      </w:r>
      <w:r>
        <w:rPr>
          <w:rFonts w:ascii="Times New Roman" w:hAnsi="Times New Roman" w:cs="Times New Roman" w:eastAsia="Times New Roman" w:hint="default"/>
        </w:rPr>
        <w:t>2015</w:t>
      </w:r>
      <w:r>
        <w:rPr/>
        <w:t>年度激励计划</w:t>
      </w:r>
      <w:r>
        <w:rPr>
          <w:color w:val="0D0D0D"/>
        </w:rPr>
        <w:t>剩余未解锁限制性股票数量</w:t>
      </w:r>
      <w:r>
        <w:rPr>
          <w:rFonts w:ascii="Times New Roman" w:hAnsi="Times New Roman" w:cs="Times New Roman" w:eastAsia="Times New Roman" w:hint="default"/>
          <w:color w:val="0D0D0D"/>
        </w:rPr>
        <w:t>13,377,000</w:t>
      </w:r>
      <w:r>
        <w:rPr>
          <w:color w:val="0D0D0D"/>
        </w:rPr>
        <w:t>股。</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left="153" w:right="1033"/>
        <w:jc w:val="left"/>
        <w:rPr>
          <w:b w:val="0"/>
          <w:bCs w:val="0"/>
        </w:rPr>
      </w:pPr>
      <w:bookmarkStart w:name="2、以权益结算的股份支付情况" w:id="380"/>
      <w:bookmarkEnd w:id="38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righ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模型）确定</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 期解锁比例确定</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49"/>
              <w:jc w:val="left"/>
              <w:rPr>
                <w:rFonts w:ascii="宋体" w:hAnsi="宋体" w:cs="宋体" w:eastAsia="宋体" w:hint="default"/>
                <w:sz w:val="18"/>
                <w:szCs w:val="18"/>
              </w:rPr>
            </w:pPr>
            <w:r>
              <w:rPr>
                <w:rFonts w:ascii="宋体" w:hAnsi="宋体" w:cs="宋体" w:eastAsia="宋体" w:hint="default"/>
                <w:sz w:val="18"/>
                <w:szCs w:val="18"/>
              </w:rPr>
              <w:t>本期依行权条件对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年限制性股票股权激励计划第三 期解锁可能性进行了重新判断</w:t>
            </w:r>
            <w:r>
              <w:rPr>
                <w:rFonts w:ascii="Times New Roman" w:hAnsi="Times New Roman" w:cs="Times New Roman" w:eastAsia="Times New Roman" w:hint="default"/>
                <w:sz w:val="18"/>
                <w:szCs w:val="18"/>
              </w:rPr>
              <w:t>——</w:t>
            </w:r>
            <w:r>
              <w:rPr>
                <w:rFonts w:ascii="宋体" w:hAnsi="宋体" w:cs="宋体" w:eastAsia="宋体" w:hint="default"/>
                <w:sz w:val="18"/>
                <w:szCs w:val="18"/>
              </w:rPr>
              <w:t>不满足业绩条件，行权 可能性为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3,892,369.17</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1,393,198.98</w:t>
            </w:r>
          </w:p>
        </w:tc>
      </w:tr>
    </w:tbl>
    <w:p>
      <w:pPr>
        <w:pStyle w:val="BodyText"/>
        <w:spacing w:line="338" w:lineRule="auto" w:before="51"/>
        <w:ind w:right="6093"/>
        <w:jc w:val="left"/>
      </w:pPr>
      <w:r>
        <w:rPr/>
        <w:t>注：本期估计与上期估计不存在重大差异的，请填写</w:t>
      </w:r>
      <w:r>
        <w:rPr>
          <w:rFonts w:ascii="Times New Roman" w:hAnsi="Times New Roman" w:cs="Times New Roman" w:eastAsia="Times New Roman" w:hint="default"/>
        </w:rPr>
        <w:t>“</w:t>
      </w:r>
      <w:r>
        <w:rPr/>
        <w:t>无</w:t>
      </w:r>
      <w:r>
        <w:rPr>
          <w:rFonts w:ascii="Times New Roman" w:hAnsi="Times New Roman" w:cs="Times New Roman" w:eastAsia="Times New Roman" w:hint="default"/>
        </w:rPr>
        <w:t>”</w:t>
      </w:r>
      <w:r>
        <w:rPr/>
        <w:t>。 其他说明</w:t>
      </w:r>
    </w:p>
    <w:p>
      <w:pPr>
        <w:pStyle w:val="BodyText"/>
        <w:spacing w:line="300" w:lineRule="auto" w:before="42"/>
        <w:ind w:right="1130" w:firstLine="420"/>
        <w:jc w:val="both"/>
      </w:pPr>
      <w:r>
        <w:rPr/>
        <w:t>根据《企业会计准则第</w:t>
      </w:r>
      <w:r>
        <w:rPr>
          <w:spacing w:val="-51"/>
        </w:rPr>
        <w:t> </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股份支付》应用指南的规定，由于本公司授予激励对象的限制性股票属于没有活跃市场 </w:t>
      </w:r>
      <w:r>
        <w:rPr>
          <w:spacing w:val="-3"/>
        </w:rPr>
        <w:t>的权益工具，因此需要借助相关估值手段确定授予日限制性股票的公允价值。公司聘请了上海荣正投资咨询有限公司按照</w:t>
      </w:r>
      <w:r>
        <w:rPr>
          <w:rFonts w:ascii="Times New Roman" w:hAnsi="Times New Roman" w:cs="Times New Roman" w:eastAsia="Times New Roman" w:hint="default"/>
          <w:spacing w:val="-3"/>
        </w:rPr>
        <w:t>“</w:t>
      </w:r>
      <w:r>
        <w:rPr>
          <w:spacing w:val="-3"/>
        </w:rPr>
        <w:t>布</w:t>
      </w:r>
      <w:r>
        <w:rPr>
          <w:spacing w:val="-88"/>
        </w:rPr>
        <w:t> </w:t>
      </w:r>
      <w:r>
        <w:rPr/>
        <w:t>莱克</w:t>
      </w:r>
      <w:r>
        <w:rPr>
          <w:rFonts w:ascii="Times New Roman" w:hAnsi="Times New Roman" w:cs="Times New Roman" w:eastAsia="Times New Roman" w:hint="default"/>
        </w:rPr>
        <w:t>-</w:t>
      </w:r>
      <w:r>
        <w:rPr/>
        <w:t>斯科尔期权定价模型</w:t>
      </w:r>
      <w:r>
        <w:rPr>
          <w:rFonts w:ascii="Times New Roman" w:hAnsi="Times New Roman" w:cs="Times New Roman" w:eastAsia="Times New Roman" w:hint="default"/>
        </w:rPr>
        <w:t>”</w:t>
      </w:r>
      <w:r>
        <w:rPr/>
        <w:t>对本期股权激励计划授予的限制性股票的公允价值进行测算。</w:t>
      </w:r>
    </w:p>
    <w:p>
      <w:pPr>
        <w:pStyle w:val="BodyText"/>
        <w:spacing w:line="240" w:lineRule="auto" w:before="52"/>
        <w:ind w:left="573" w:right="1033"/>
        <w:jc w:val="left"/>
      </w:pPr>
      <w:r>
        <w:rPr/>
        <w:t>布莱克</w:t>
      </w:r>
      <w:r>
        <w:rPr>
          <w:rFonts w:ascii="Times New Roman" w:hAnsi="Times New Roman" w:cs="Times New Roman" w:eastAsia="Times New Roman" w:hint="default"/>
        </w:rPr>
        <w:t>-</w:t>
      </w:r>
      <w:r>
        <w:rPr/>
        <w:t>斯科尔期权定价模型如下：</w:t>
      </w:r>
    </w:p>
    <w:p>
      <w:pPr>
        <w:spacing w:line="240" w:lineRule="auto" w:before="13"/>
        <w:rPr>
          <w:rFonts w:ascii="宋体" w:hAnsi="宋体" w:cs="宋体" w:eastAsia="宋体" w:hint="default"/>
          <w:sz w:val="15"/>
          <w:szCs w:val="15"/>
        </w:rPr>
      </w:pPr>
    </w:p>
    <w:p>
      <w:pPr>
        <w:spacing w:line="1641" w:lineRule="exact"/>
        <w:ind w:left="60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269460" cy="1042416"/>
            <wp:effectExtent l="0" t="0" r="0" b="0"/>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26" cstate="print"/>
                    <a:stretch>
                      <a:fillRect/>
                    </a:stretch>
                  </pic:blipFill>
                  <pic:spPr>
                    <a:xfrm>
                      <a:off x="0" y="0"/>
                      <a:ext cx="5269460" cy="1042416"/>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8"/>
        <w:rPr>
          <w:rFonts w:ascii="宋体" w:hAnsi="宋体" w:cs="宋体" w:eastAsia="宋体" w:hint="default"/>
          <w:sz w:val="12"/>
          <w:szCs w:val="12"/>
        </w:rPr>
      </w:pPr>
    </w:p>
    <w:p>
      <w:pPr>
        <w:pStyle w:val="BodyText"/>
        <w:spacing w:line="240" w:lineRule="auto"/>
        <w:ind w:left="573" w:right="1033"/>
        <w:jc w:val="left"/>
      </w:pPr>
      <w:r>
        <w:rPr>
          <w:spacing w:val="-9"/>
        </w:rPr>
        <w:t>标的股价（</w:t>
      </w:r>
      <w:r>
        <w:rPr>
          <w:rFonts w:ascii="Times New Roman" w:hAnsi="Times New Roman" w:cs="Times New Roman" w:eastAsia="Times New Roman" w:hint="default"/>
          <w:spacing w:val="-9"/>
        </w:rPr>
        <w:t>S</w:t>
      </w:r>
      <w:r>
        <w:rPr>
          <w:spacing w:val="-9"/>
        </w:rPr>
        <w:t>），行权价（</w:t>
      </w:r>
      <w:r>
        <w:rPr>
          <w:rFonts w:ascii="Times New Roman" w:hAnsi="Times New Roman" w:cs="Times New Roman" w:eastAsia="Times New Roman" w:hint="default"/>
          <w:spacing w:val="-9"/>
        </w:rPr>
        <w:t>K</w:t>
      </w:r>
      <w:r>
        <w:rPr>
          <w:spacing w:val="-9"/>
        </w:rPr>
        <w:t>），无风险利率（</w:t>
      </w:r>
      <w:r>
        <w:rPr>
          <w:rFonts w:ascii="Times New Roman" w:hAnsi="Times New Roman" w:cs="Times New Roman" w:eastAsia="Times New Roman" w:hint="default"/>
          <w:spacing w:val="-9"/>
        </w:rPr>
        <w:t>r</w:t>
      </w:r>
      <w:r>
        <w:rPr>
          <w:spacing w:val="-9"/>
        </w:rPr>
        <w:t>），期权有效期（</w:t>
      </w:r>
      <w:r>
        <w:rPr>
          <w:rFonts w:ascii="Times New Roman" w:hAnsi="Times New Roman" w:cs="Times New Roman" w:eastAsia="Times New Roman" w:hint="default"/>
          <w:spacing w:val="-9"/>
        </w:rPr>
        <w:t>t</w:t>
      </w:r>
      <w:r>
        <w:rPr>
          <w:spacing w:val="-9"/>
        </w:rPr>
        <w:t>）、标的股票波动率（</w:t>
      </w:r>
      <w:r>
        <w:rPr>
          <w:rFonts w:ascii="Times New Roman" w:hAnsi="Times New Roman" w:cs="Times New Roman" w:eastAsia="Times New Roman" w:hint="default"/>
          <w:spacing w:val="-9"/>
        </w:rPr>
        <w:t>σ</w:t>
      </w:r>
      <w:r>
        <w:rPr>
          <w:spacing w:val="-9"/>
        </w:rPr>
        <w:t>）以及标的股票的股息率（</w:t>
      </w:r>
      <w:r>
        <w:rPr>
          <w:rFonts w:ascii="Times New Roman" w:hAnsi="Times New Roman" w:cs="Times New Roman" w:eastAsia="Times New Roman" w:hint="default"/>
          <w:spacing w:val="-9"/>
        </w:rPr>
        <w:t>i</w:t>
      </w:r>
      <w:r>
        <w:rPr>
          <w:spacing w:val="-9"/>
        </w:rPr>
        <w:t>）。</w:t>
      </w:r>
      <w:r>
        <w:rPr/>
      </w:r>
    </w:p>
    <w:p>
      <w:pPr>
        <w:pStyle w:val="BodyText"/>
        <w:spacing w:line="240" w:lineRule="auto" w:before="103"/>
        <w:ind w:left="574" w:right="10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年股权激励计划本公司基本参数如下：</w:t>
      </w:r>
    </w:p>
    <w:p>
      <w:pPr>
        <w:pStyle w:val="BodyText"/>
        <w:spacing w:line="240" w:lineRule="auto" w:before="102"/>
        <w:ind w:left="574" w:right="1033"/>
        <w:jc w:val="left"/>
      </w:pPr>
      <w:r>
        <w:rPr>
          <w:rFonts w:ascii="Times New Roman" w:hAnsi="Times New Roman" w:cs="Times New Roman" w:eastAsia="Times New Roman" w:hint="default"/>
        </w:rPr>
        <w:t>1</w:t>
      </w:r>
      <w:r>
        <w:rPr/>
        <w:t>）授予价格</w:t>
      </w:r>
      <w:r>
        <w:rPr>
          <w:rFonts w:ascii="Times New Roman" w:hAnsi="Times New Roman" w:cs="Times New Roman" w:eastAsia="Times New Roman" w:hint="default"/>
        </w:rPr>
        <w:t>:</w:t>
      </w:r>
      <w:r>
        <w:rPr/>
        <w:t>本计划中限制性股票授予价格为每股</w:t>
      </w:r>
      <w:r>
        <w:rPr>
          <w:rFonts w:ascii="Times New Roman" w:hAnsi="Times New Roman" w:cs="Times New Roman" w:eastAsia="Times New Roman" w:hint="default"/>
        </w:rPr>
        <w:t>10.89</w:t>
      </w:r>
      <w:r>
        <w:rPr/>
        <w:t>元；</w:t>
      </w:r>
    </w:p>
    <w:p>
      <w:pPr>
        <w:pStyle w:val="BodyText"/>
        <w:spacing w:line="240" w:lineRule="auto" w:before="103"/>
        <w:ind w:left="573" w:right="1033"/>
        <w:jc w:val="left"/>
      </w:pPr>
      <w:r>
        <w:rPr>
          <w:rFonts w:ascii="Times New Roman" w:hAnsi="Times New Roman" w:cs="Times New Roman" w:eastAsia="Times New Roman" w:hint="default"/>
        </w:rPr>
        <w:t>2</w:t>
      </w:r>
      <w:r>
        <w:rPr/>
        <w:t>）限制性股票授予日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w:t>
      </w:r>
      <w:r>
        <w:rPr/>
        <w:t>收盘价：</w:t>
      </w:r>
      <w:r>
        <w:rPr>
          <w:rFonts w:ascii="Times New Roman" w:hAnsi="Times New Roman" w:cs="Times New Roman" w:eastAsia="Times New Roman" w:hint="default"/>
        </w:rPr>
        <w:t>19.28</w:t>
      </w:r>
      <w:r>
        <w:rPr/>
        <w:t>元</w:t>
      </w:r>
      <w:r>
        <w:rPr>
          <w:rFonts w:ascii="Times New Roman" w:hAnsi="Times New Roman" w:cs="Times New Roman" w:eastAsia="Times New Roman" w:hint="default"/>
        </w:rPr>
        <w:t>/</w:t>
      </w:r>
      <w:r>
        <w:rPr/>
        <w:t>股；</w:t>
      </w:r>
    </w:p>
    <w:p>
      <w:pPr>
        <w:pStyle w:val="BodyText"/>
        <w:spacing w:line="240" w:lineRule="auto" w:before="101"/>
        <w:ind w:left="573" w:right="1033"/>
        <w:jc w:val="left"/>
      </w:pPr>
      <w:r>
        <w:rPr>
          <w:rFonts w:ascii="Times New Roman" w:hAnsi="Times New Roman" w:cs="Times New Roman" w:eastAsia="Times New Roman" w:hint="default"/>
        </w:rPr>
        <w:t>3</w:t>
      </w:r>
      <w:r>
        <w:rPr/>
        <w:t>）限制性股票各期解锁期限和解锁比例：</w:t>
      </w:r>
      <w:r>
        <w:rPr>
          <w:rFonts w:ascii="Times New Roman" w:hAnsi="Times New Roman" w:cs="Times New Roman" w:eastAsia="Times New Roman" w:hint="default"/>
        </w:rPr>
        <w:t>12</w:t>
      </w:r>
      <w:r>
        <w:rPr/>
        <w:t>个月后、</w:t>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个月后分三次解锁，每次解锁的限制性股票比例分</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别为授予总量的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w:t>
      </w:r>
    </w:p>
    <w:p>
      <w:pPr>
        <w:pStyle w:val="BodyText"/>
        <w:spacing w:line="240" w:lineRule="auto" w:before="102"/>
        <w:ind w:left="574" w:right="1033"/>
        <w:jc w:val="left"/>
      </w:pPr>
      <w:r>
        <w:rPr>
          <w:rFonts w:ascii="Times New Roman" w:hAnsi="Times New Roman" w:cs="Times New Roman" w:eastAsia="Times New Roman" w:hint="default"/>
        </w:rPr>
        <w:t>4</w:t>
      </w:r>
      <w:r>
        <w:rPr/>
        <w:t>）根据中国人民币定期存款利率确定无风险利率：</w:t>
      </w:r>
      <w:r>
        <w:rPr>
          <w:rFonts w:ascii="Times New Roman" w:hAnsi="Times New Roman" w:cs="Times New Roman" w:eastAsia="Times New Roman" w:hint="default"/>
        </w:rPr>
        <w:t>3.00%</w:t>
      </w:r>
      <w:r>
        <w:rPr/>
        <w:t>、</w:t>
      </w:r>
      <w:r>
        <w:rPr>
          <w:rFonts w:ascii="Times New Roman" w:hAnsi="Times New Roman" w:cs="Times New Roman" w:eastAsia="Times New Roman" w:hint="default"/>
        </w:rPr>
        <w:t>3.75%</w:t>
      </w:r>
      <w:r>
        <w:rPr/>
        <w:t>、</w:t>
      </w:r>
      <w:r>
        <w:rPr>
          <w:rFonts w:ascii="Times New Roman" w:hAnsi="Times New Roman" w:cs="Times New Roman" w:eastAsia="Times New Roman" w:hint="default"/>
        </w:rPr>
        <w:t>4.25%</w:t>
      </w:r>
      <w:r>
        <w:rPr/>
        <w:t>；</w:t>
      </w:r>
    </w:p>
    <w:p>
      <w:pPr>
        <w:pStyle w:val="BodyText"/>
        <w:spacing w:line="240" w:lineRule="auto" w:before="103"/>
        <w:ind w:left="573" w:right="1033"/>
        <w:jc w:val="left"/>
      </w:pPr>
      <w:r>
        <w:rPr>
          <w:rFonts w:ascii="Times New Roman" w:hAnsi="Times New Roman" w:cs="Times New Roman" w:eastAsia="Times New Roman" w:hint="default"/>
        </w:rPr>
        <w:t>5</w:t>
      </w:r>
      <w:r>
        <w:rPr/>
        <w:t>）权证的有效期分别为：一年、两年、三年；</w:t>
      </w:r>
    </w:p>
    <w:p>
      <w:pPr>
        <w:pStyle w:val="BodyText"/>
        <w:spacing w:line="240" w:lineRule="auto" w:before="102"/>
        <w:ind w:left="574" w:right="1033"/>
        <w:jc w:val="left"/>
      </w:pPr>
      <w:r>
        <w:rPr>
          <w:rFonts w:ascii="Times New Roman" w:hAnsi="Times New Roman" w:cs="Times New Roman" w:eastAsia="Times New Roman" w:hint="default"/>
        </w:rPr>
        <w:t>6</w:t>
      </w:r>
      <w:r>
        <w:rPr/>
        <w:t>）波动率根据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日前一、二、三年中小板综指的历史波动率确定为：</w:t>
      </w:r>
      <w:r>
        <w:rPr>
          <w:rFonts w:ascii="Times New Roman" w:hAnsi="Times New Roman" w:cs="Times New Roman" w:eastAsia="Times New Roman" w:hint="default"/>
        </w:rPr>
        <w:t>23.77%</w:t>
      </w:r>
      <w:r>
        <w:rPr/>
        <w:t>、</w:t>
      </w:r>
      <w:r>
        <w:rPr>
          <w:rFonts w:ascii="Times New Roman" w:hAnsi="Times New Roman" w:cs="Times New Roman" w:eastAsia="Times New Roman" w:hint="default"/>
        </w:rPr>
        <w:t>22.64%</w:t>
      </w:r>
      <w:r>
        <w:rPr/>
        <w:t>、</w:t>
      </w:r>
      <w:r>
        <w:rPr>
          <w:rFonts w:ascii="Times New Roman" w:hAnsi="Times New Roman" w:cs="Times New Roman" w:eastAsia="Times New Roman" w:hint="default"/>
        </w:rPr>
        <w:t>23.21%</w:t>
      </w:r>
      <w:r>
        <w:rPr/>
        <w:t>；</w:t>
      </w:r>
    </w:p>
    <w:p>
      <w:pPr>
        <w:pStyle w:val="BodyText"/>
        <w:spacing w:line="240" w:lineRule="auto" w:before="103"/>
        <w:ind w:left="573" w:right="1033"/>
        <w:jc w:val="left"/>
        <w:rPr>
          <w:rFonts w:ascii="Times New Roman" w:hAnsi="Times New Roman" w:cs="Times New Roman" w:eastAsia="Times New Roman" w:hint="default"/>
        </w:rPr>
      </w:pPr>
      <w:r>
        <w:rPr>
          <w:rFonts w:ascii="Times New Roman" w:hAnsi="Times New Roman" w:cs="Times New Roman" w:eastAsia="Times New Roman" w:hint="default"/>
        </w:rPr>
        <w:t>7</w:t>
      </w:r>
      <w:r>
        <w:rPr/>
        <w:t>）股息率根据本公司上市后的平均股息率计算，一年期、两年期和三年期的平均股息为：</w:t>
      </w:r>
      <w:r>
        <w:rPr>
          <w:rFonts w:ascii="Times New Roman" w:hAnsi="Times New Roman" w:cs="Times New Roman" w:eastAsia="Times New Roman" w:hint="default"/>
        </w:rPr>
        <w:t>1.44%</w:t>
      </w:r>
      <w:r>
        <w:rPr/>
        <w:t>、</w:t>
      </w:r>
      <w:r>
        <w:rPr>
          <w:rFonts w:ascii="Times New Roman" w:hAnsi="Times New Roman" w:cs="Times New Roman" w:eastAsia="Times New Roman" w:hint="default"/>
        </w:rPr>
        <w:t>1.44%</w:t>
      </w:r>
      <w:r>
        <w:rPr/>
        <w:t>、</w:t>
      </w:r>
      <w:r>
        <w:rPr>
          <w:rFonts w:ascii="Times New Roman" w:hAnsi="Times New Roman" w:cs="Times New Roman" w:eastAsia="Times New Roman" w:hint="default"/>
        </w:rPr>
        <w:t>1.48%;</w:t>
      </w:r>
    </w:p>
    <w:p>
      <w:pPr>
        <w:pStyle w:val="BodyText"/>
        <w:spacing w:line="338" w:lineRule="auto" w:before="103"/>
        <w:ind w:left="573" w:right="1131"/>
        <w:jc w:val="left"/>
      </w:pPr>
      <w:r>
        <w:rPr>
          <w:rFonts w:ascii="Times New Roman" w:hAnsi="Times New Roman" w:cs="Times New Roman" w:eastAsia="Times New Roman" w:hint="default"/>
        </w:rPr>
        <w:t>8</w:t>
      </w:r>
      <w:r>
        <w:rPr/>
        <w:t>）根据以上参数计算的确定每股限制性股票三年的公允价值分别为：</w:t>
      </w:r>
      <w:r>
        <w:rPr>
          <w:rFonts w:ascii="Times New Roman" w:hAnsi="Times New Roman" w:cs="Times New Roman" w:eastAsia="Times New Roman" w:hint="default"/>
        </w:rPr>
        <w:t>8.25</w:t>
      </w:r>
      <w:r>
        <w:rPr>
          <w:rFonts w:ascii="Times New Roman" w:hAnsi="Times New Roman" w:cs="Times New Roman" w:eastAsia="Times New Roman" w:hint="default"/>
          <w:spacing w:val="27"/>
        </w:rPr>
        <w:t>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4.56</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0.50</w:t>
      </w:r>
      <w:r>
        <w:rPr/>
        <w:t>元</w:t>
      </w:r>
      <w:r>
        <w:rPr>
          <w:rFonts w:ascii="Times New Roman" w:hAnsi="Times New Roman" w:cs="Times New Roman" w:eastAsia="Times New Roman" w:hint="default"/>
        </w:rPr>
        <w:t>/</w:t>
      </w:r>
      <w:r>
        <w:rPr/>
        <w:t>股； 本公司采用布莱克</w:t>
      </w:r>
      <w:r>
        <w:rPr>
          <w:rFonts w:ascii="Times New Roman" w:hAnsi="Times New Roman" w:cs="Times New Roman" w:eastAsia="Times New Roman" w:hint="default"/>
        </w:rPr>
        <w:t>-</w:t>
      </w:r>
      <w:r>
        <w:rPr/>
        <w:t>斯科尔期权定价模型，在确定上数参数基础上，并充分考虑（</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年及</w:t>
      </w:r>
      <w:r>
        <w:rPr>
          <w:rFonts w:ascii="Times New Roman" w:hAnsi="Times New Roman" w:cs="Times New Roman" w:eastAsia="Times New Roman" w:hint="default"/>
        </w:rPr>
        <w:t>2015</w:t>
      </w:r>
      <w:r>
        <w:rPr/>
        <w:t>年因员工离职而产</w:t>
      </w:r>
    </w:p>
    <w:p>
      <w:pPr>
        <w:pStyle w:val="BodyText"/>
        <w:spacing w:line="230" w:lineRule="exact"/>
        <w:ind w:right="0"/>
        <w:jc w:val="left"/>
        <w:rPr>
          <w:rFonts w:ascii="Times New Roman" w:hAnsi="Times New Roman" w:cs="Times New Roman" w:eastAsia="Times New Roman" w:hint="default"/>
        </w:rPr>
      </w:pPr>
      <w:r>
        <w:rPr/>
        <w:t>生的限制性股票回购、股利分配资本公积转增股本等情况，计算出公司截至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日，以权益结算的股份支付中</w:t>
      </w:r>
      <w:r>
        <w:rPr>
          <w:rFonts w:ascii="Times New Roman" w:hAnsi="Times New Roman" w:cs="Times New Roman" w:eastAsia="Times New Roman" w:hint="default"/>
        </w:rPr>
        <w:t>2013</w:t>
      </w:r>
    </w:p>
    <w:p>
      <w:pPr>
        <w:pStyle w:val="BodyText"/>
        <w:spacing w:line="338" w:lineRule="auto" w:before="64"/>
        <w:ind w:left="574" w:right="1132" w:hanging="420"/>
        <w:jc w:val="left"/>
      </w:pPr>
      <w:r>
        <w:rPr/>
        <w:t>年股权激励计划计入资本公积的累计金额为</w:t>
      </w:r>
      <w:r>
        <w:rPr>
          <w:rFonts w:ascii="Times New Roman" w:hAnsi="Times New Roman" w:cs="Times New Roman" w:eastAsia="Times New Roman" w:hint="default"/>
        </w:rPr>
        <w:t>3,796,358.25</w:t>
      </w:r>
      <w:r>
        <w:rPr/>
        <w:t>元，本期以权益结算的股份支付确认的费用总额</w:t>
      </w:r>
      <w:r>
        <w:rPr>
          <w:rFonts w:ascii="Times New Roman" w:hAnsi="Times New Roman" w:cs="Times New Roman" w:eastAsia="Times New Roman" w:hint="default"/>
        </w:rPr>
        <w:t>3,796,358.25</w:t>
      </w:r>
      <w:r>
        <w:rPr/>
        <w:t>元。 </w:t>
      </w:r>
      <w:r>
        <w:rPr>
          <w:color w:val="0D0D0D"/>
          <w:spacing w:val="5"/>
        </w:rPr>
        <w:t>本公司</w:t>
      </w:r>
      <w:r>
        <w:rPr>
          <w:rFonts w:ascii="Times New Roman" w:hAnsi="Times New Roman" w:cs="Times New Roman" w:eastAsia="Times New Roman" w:hint="default"/>
          <w:color w:val="0D0D0D"/>
          <w:spacing w:val="5"/>
        </w:rPr>
        <w:t>2015</w:t>
      </w:r>
      <w:r>
        <w:rPr>
          <w:color w:val="0D0D0D"/>
          <w:spacing w:val="5"/>
        </w:rPr>
        <w:t>年扣除非经常性损益前后孰低的净利润为</w:t>
      </w:r>
      <w:r>
        <w:rPr>
          <w:rFonts w:ascii="Times New Roman" w:hAnsi="Times New Roman" w:cs="Times New Roman" w:eastAsia="Times New Roman" w:hint="default"/>
          <w:color w:val="0D0D0D"/>
          <w:spacing w:val="5"/>
        </w:rPr>
        <w:t>5,891.85</w:t>
      </w:r>
      <w:r>
        <w:rPr>
          <w:color w:val="0D0D0D"/>
          <w:spacing w:val="5"/>
        </w:rPr>
        <w:t>万元，以</w:t>
      </w:r>
      <w:r>
        <w:rPr>
          <w:rFonts w:ascii="Times New Roman" w:hAnsi="Times New Roman" w:cs="Times New Roman" w:eastAsia="Times New Roman" w:hint="default"/>
          <w:color w:val="0D0D0D"/>
          <w:spacing w:val="5"/>
        </w:rPr>
        <w:t>2012</w:t>
      </w:r>
      <w:r>
        <w:rPr>
          <w:color w:val="0D0D0D"/>
          <w:spacing w:val="5"/>
        </w:rPr>
        <w:t>年扣除非经常性损益前后孰低的净利润</w:t>
      </w:r>
      <w:r>
        <w:rPr>
          <w:spacing w:val="5"/>
        </w:rPr>
      </w:r>
    </w:p>
    <w:p>
      <w:pPr>
        <w:pStyle w:val="BodyText"/>
        <w:spacing w:line="230" w:lineRule="exact"/>
        <w:ind w:left="154" w:right="0"/>
        <w:jc w:val="left"/>
      </w:pPr>
      <w:r>
        <w:rPr>
          <w:rFonts w:ascii="Times New Roman" w:hAnsi="Times New Roman" w:cs="Times New Roman" w:eastAsia="Times New Roman" w:hint="default"/>
          <w:color w:val="0D0D0D"/>
        </w:rPr>
        <w:t>5,818.44</w:t>
      </w:r>
      <w:r>
        <w:rPr>
          <w:color w:val="0D0D0D"/>
        </w:rPr>
        <w:t>万元为固定基数计算，其增长率为</w:t>
      </w:r>
      <w:r>
        <w:rPr>
          <w:rFonts w:ascii="Times New Roman" w:hAnsi="Times New Roman" w:cs="Times New Roman" w:eastAsia="Times New Roman" w:hint="default"/>
          <w:color w:val="0D0D0D"/>
        </w:rPr>
        <w:t>101.26%</w:t>
      </w:r>
      <w:r>
        <w:rPr>
          <w:color w:val="0D0D0D"/>
        </w:rPr>
        <w:t>，不满足</w:t>
      </w:r>
      <w:r>
        <w:rPr>
          <w:rFonts w:ascii="Times New Roman" w:hAnsi="Times New Roman" w:cs="Times New Roman" w:eastAsia="Times New Roman" w:hint="default"/>
          <w:color w:val="0D0D0D"/>
        </w:rPr>
        <w:t>2013</w:t>
      </w:r>
      <w:r>
        <w:rPr>
          <w:color w:val="0D0D0D"/>
        </w:rPr>
        <w:t>年度限制性股票激励计划设定的第三个解锁期解锁条件（净</w:t>
      </w:r>
      <w:r>
        <w:rPr/>
      </w:r>
    </w:p>
    <w:p>
      <w:pPr>
        <w:pStyle w:val="BodyText"/>
        <w:spacing w:line="300" w:lineRule="auto" w:before="63"/>
        <w:ind w:right="1130"/>
        <w:jc w:val="both"/>
      </w:pPr>
      <w:r>
        <w:rPr>
          <w:color w:val="0D0D0D"/>
          <w:spacing w:val="-1"/>
        </w:rPr>
        <w:t>利润增长率</w:t>
      </w:r>
      <w:r>
        <w:rPr>
          <w:rFonts w:ascii="Times New Roman" w:hAnsi="Times New Roman" w:cs="Times New Roman" w:eastAsia="Times New Roman" w:hint="default"/>
          <w:color w:val="0D0D0D"/>
          <w:spacing w:val="-1"/>
        </w:rPr>
        <w:t>180%</w:t>
      </w:r>
      <w:r>
        <w:rPr>
          <w:color w:val="0D0D0D"/>
          <w:spacing w:val="-1"/>
        </w:rPr>
        <w:t>），故预计</w:t>
      </w:r>
      <w:r>
        <w:rPr>
          <w:rFonts w:ascii="Times New Roman" w:hAnsi="Times New Roman" w:cs="Times New Roman" w:eastAsia="Times New Roman" w:hint="default"/>
          <w:color w:val="0D0D0D"/>
          <w:spacing w:val="-1"/>
        </w:rPr>
        <w:t>2013</w:t>
      </w:r>
      <w:r>
        <w:rPr>
          <w:color w:val="0D0D0D"/>
          <w:spacing w:val="-1"/>
        </w:rPr>
        <w:t>年股权激励计划第三个解锁期对应股票的预计可行权人数为</w:t>
      </w:r>
      <w:r>
        <w:rPr>
          <w:rFonts w:ascii="Times New Roman" w:hAnsi="Times New Roman" w:cs="Times New Roman" w:eastAsia="Times New Roman" w:hint="default"/>
          <w:color w:val="0D0D0D"/>
          <w:spacing w:val="-1"/>
        </w:rPr>
        <w:t>0</w:t>
      </w:r>
      <w:r>
        <w:rPr>
          <w:color w:val="0D0D0D"/>
          <w:spacing w:val="-1"/>
        </w:rPr>
        <w:t>人，</w:t>
      </w:r>
      <w:r>
        <w:rPr>
          <w:rFonts w:ascii="Times New Roman" w:hAnsi="Times New Roman" w:cs="Times New Roman" w:eastAsia="Times New Roman" w:hint="default"/>
          <w:color w:val="0D0D0D"/>
          <w:spacing w:val="-1"/>
        </w:rPr>
        <w:t>2013</w:t>
      </w:r>
      <w:r>
        <w:rPr>
          <w:color w:val="0D0D0D"/>
          <w:spacing w:val="-1"/>
        </w:rPr>
        <w:t>年股权激励计划第三</w:t>
      </w:r>
      <w:r>
        <w:rPr>
          <w:color w:val="0D0D0D"/>
          <w:spacing w:val="-84"/>
        </w:rPr>
        <w:t> </w:t>
      </w:r>
      <w:r>
        <w:rPr>
          <w:color w:val="0D0D0D"/>
        </w:rPr>
        <w:t>个解锁期股票对应费用应为</w:t>
      </w:r>
      <w:r>
        <w:rPr>
          <w:rFonts w:ascii="Times New Roman" w:hAnsi="Times New Roman" w:cs="Times New Roman" w:eastAsia="Times New Roman" w:hint="default"/>
          <w:color w:val="0D0D0D"/>
        </w:rPr>
        <w:t>0</w:t>
      </w:r>
      <w:r>
        <w:rPr>
          <w:color w:val="0D0D0D"/>
        </w:rPr>
        <w:t>元，本公司将前期确认的归属于</w:t>
      </w:r>
      <w:r>
        <w:rPr>
          <w:rFonts w:ascii="Times New Roman" w:hAnsi="Times New Roman" w:cs="Times New Roman" w:eastAsia="Times New Roman" w:hint="default"/>
          <w:color w:val="0D0D0D"/>
        </w:rPr>
        <w:t>2013</w:t>
      </w:r>
      <w:r>
        <w:rPr>
          <w:color w:val="0D0D0D"/>
        </w:rPr>
        <w:t>年度股权激励计划中第三个解锁期股票的股份支付费用额</w:t>
      </w:r>
      <w:r>
        <w:rPr>
          <w:color w:val="0D0D0D"/>
          <w:spacing w:val="-83"/>
        </w:rPr>
        <w:t> </w:t>
      </w:r>
      <w:r>
        <w:rPr>
          <w:color w:val="0D0D0D"/>
          <w:spacing w:val="-83"/>
        </w:rPr>
      </w:r>
      <w:r>
        <w:rPr>
          <w:color w:val="0D0D0D"/>
        </w:rPr>
        <w:t>予以冲销，冲销金额为</w:t>
      </w:r>
      <w:r>
        <w:rPr>
          <w:rFonts w:ascii="Times New Roman" w:hAnsi="Times New Roman" w:cs="Times New Roman" w:eastAsia="Times New Roman" w:hint="default"/>
          <w:color w:val="0D0D0D"/>
        </w:rPr>
        <w:t>1,161,519.08</w:t>
      </w:r>
      <w:r>
        <w:rPr>
          <w:color w:val="0D0D0D"/>
        </w:rPr>
        <w:t>元。</w:t>
      </w:r>
      <w:r>
        <w:rPr/>
      </w:r>
    </w:p>
    <w:p>
      <w:pPr>
        <w:pStyle w:val="BodyText"/>
        <w:spacing w:line="302" w:lineRule="auto" w:before="52"/>
        <w:ind w:right="1033" w:firstLine="420"/>
        <w:jc w:val="left"/>
      </w:pPr>
      <w:r>
        <w:rPr>
          <w:color w:val="0D0D0D"/>
          <w:spacing w:val="10"/>
        </w:rPr>
        <w:t>上述处理后，</w:t>
      </w:r>
      <w:r>
        <w:rPr>
          <w:spacing w:val="10"/>
        </w:rPr>
        <w:t>截至</w:t>
      </w:r>
      <w:r>
        <w:rPr>
          <w:rFonts w:ascii="Times New Roman" w:hAnsi="Times New Roman" w:cs="Times New Roman" w:eastAsia="Times New Roman" w:hint="default"/>
          <w:spacing w:val="10"/>
        </w:rPr>
        <w:t>2015</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日，以权益结算的股份支付中</w:t>
      </w:r>
      <w:r>
        <w:rPr>
          <w:rFonts w:ascii="Times New Roman" w:hAnsi="Times New Roman" w:cs="Times New Roman" w:eastAsia="Times New Roman" w:hint="default"/>
          <w:spacing w:val="10"/>
        </w:rPr>
        <w:t>2013</w:t>
      </w:r>
      <w:r>
        <w:rPr>
          <w:spacing w:val="10"/>
        </w:rPr>
        <w:t>年股权激励计划计入资本公积的累计金额为</w:t>
      </w:r>
      <w:r>
        <w:rPr/>
        <w:t> </w:t>
      </w:r>
      <w:r>
        <w:rPr>
          <w:rFonts w:ascii="Times New Roman" w:hAnsi="Times New Roman" w:cs="Times New Roman" w:eastAsia="Times New Roman" w:hint="default"/>
        </w:rPr>
        <w:t>2,634,839.17</w:t>
      </w:r>
      <w:r>
        <w:rPr/>
        <w:t>元，本期以权益结算的股份支付确认的费用总额</w:t>
      </w:r>
      <w:r>
        <w:rPr>
          <w:rFonts w:ascii="Times New Roman" w:hAnsi="Times New Roman" w:cs="Times New Roman" w:eastAsia="Times New Roman" w:hint="default"/>
        </w:rPr>
        <w:t>135,668.98</w:t>
      </w:r>
      <w:r>
        <w:rPr/>
        <w:t>元。</w:t>
      </w:r>
    </w:p>
    <w:p>
      <w:pPr>
        <w:pStyle w:val="BodyText"/>
        <w:spacing w:line="240" w:lineRule="auto" w:before="50"/>
        <w:ind w:left="135" w:right="5769"/>
        <w:jc w:val="cente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年股权激励计划第一次授予本公司基本参数如下：</w:t>
      </w:r>
    </w:p>
    <w:p>
      <w:pPr>
        <w:pStyle w:val="BodyText"/>
        <w:spacing w:line="240" w:lineRule="auto" w:before="102"/>
        <w:ind w:left="573" w:right="1033"/>
        <w:jc w:val="left"/>
      </w:pPr>
      <w:r>
        <w:rPr>
          <w:rFonts w:ascii="Times New Roman" w:hAnsi="Times New Roman" w:cs="Times New Roman" w:eastAsia="Times New Roman" w:hint="default"/>
          <w:color w:val="0D0D0D"/>
        </w:rPr>
        <w:t>1</w:t>
      </w:r>
      <w:r>
        <w:rPr>
          <w:color w:val="0D0D0D"/>
        </w:rPr>
        <w:t>）授予价格为每股</w:t>
      </w:r>
      <w:r>
        <w:rPr>
          <w:rFonts w:ascii="Times New Roman" w:hAnsi="Times New Roman" w:cs="Times New Roman" w:eastAsia="Times New Roman" w:hint="default"/>
          <w:color w:val="0D0D0D"/>
        </w:rPr>
        <w:t>7.12</w:t>
      </w:r>
      <w:r>
        <w:rPr>
          <w:color w:val="0D0D0D"/>
        </w:rPr>
        <w:t>元；</w:t>
      </w:r>
      <w:r>
        <w:rPr/>
      </w:r>
    </w:p>
    <w:p>
      <w:pPr>
        <w:pStyle w:val="BodyText"/>
        <w:spacing w:line="240" w:lineRule="auto" w:before="103"/>
        <w:ind w:left="574" w:right="1033"/>
        <w:jc w:val="left"/>
      </w:pPr>
      <w:r>
        <w:rPr>
          <w:rFonts w:ascii="Times New Roman" w:hAnsi="Times New Roman" w:cs="Times New Roman" w:eastAsia="Times New Roman" w:hint="default"/>
          <w:color w:val="0D0D0D"/>
        </w:rPr>
        <w:t>2</w:t>
      </w:r>
      <w:r>
        <w:rPr>
          <w:color w:val="0D0D0D"/>
        </w:rPr>
        <w:t>）限制性股票授予日</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18</w:t>
      </w:r>
      <w:r>
        <w:rPr>
          <w:color w:val="0D0D0D"/>
        </w:rPr>
        <w:t>日</w:t>
      </w:r>
      <w:r>
        <w:rPr>
          <w:rFonts w:ascii="Times New Roman" w:hAnsi="Times New Roman" w:cs="Times New Roman" w:eastAsia="Times New Roman" w:hint="default"/>
          <w:color w:val="0D0D0D"/>
        </w:rPr>
        <w:t>)</w:t>
      </w:r>
      <w:r>
        <w:rPr>
          <w:color w:val="0D0D0D"/>
        </w:rPr>
        <w:t>收盘价</w:t>
      </w:r>
      <w:r>
        <w:rPr>
          <w:rFonts w:ascii="Times New Roman" w:hAnsi="Times New Roman" w:cs="Times New Roman" w:eastAsia="Times New Roman" w:hint="default"/>
          <w:color w:val="0D0D0D"/>
        </w:rPr>
        <w:t>:11.30</w:t>
      </w:r>
      <w:r>
        <w:rPr>
          <w:color w:val="0D0D0D"/>
        </w:rPr>
        <w:t>元</w:t>
      </w:r>
      <w:r>
        <w:rPr>
          <w:rFonts w:ascii="Times New Roman" w:hAnsi="Times New Roman" w:cs="Times New Roman" w:eastAsia="Times New Roman" w:hint="default"/>
          <w:color w:val="0D0D0D"/>
        </w:rPr>
        <w:t>/</w:t>
      </w:r>
      <w:r>
        <w:rPr>
          <w:color w:val="0D0D0D"/>
        </w:rPr>
        <w:t>股；</w:t>
      </w:r>
      <w:r>
        <w:rPr/>
      </w:r>
    </w:p>
    <w:p>
      <w:pPr>
        <w:pStyle w:val="BodyText"/>
        <w:spacing w:line="302" w:lineRule="auto" w:before="101"/>
        <w:ind w:left="154" w:right="1116" w:firstLine="420"/>
        <w:jc w:val="left"/>
      </w:pPr>
      <w:r>
        <w:rPr>
          <w:rFonts w:ascii="Times New Roman" w:hAnsi="Times New Roman" w:cs="Times New Roman" w:eastAsia="Times New Roman" w:hint="default"/>
          <w:color w:val="0D0D0D"/>
        </w:rPr>
        <w:t>3</w:t>
      </w:r>
      <w:r>
        <w:rPr>
          <w:color w:val="0D0D0D"/>
        </w:rPr>
        <w:t>）限制性股票各期解锁期限和解锁比例</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spacing w:val="31"/>
        </w:rPr>
        <w:t> </w:t>
      </w:r>
      <w:r>
        <w:rPr>
          <w:rFonts w:ascii="Times New Roman" w:hAnsi="Times New Roman" w:cs="Times New Roman" w:eastAsia="Times New Roman" w:hint="default"/>
          <w:color w:val="0D0D0D"/>
        </w:rPr>
        <w:t>18</w:t>
      </w:r>
      <w:r>
        <w:rPr>
          <w:color w:val="0D0D0D"/>
        </w:rPr>
        <w:t>个月后、</w:t>
      </w:r>
      <w:r>
        <w:rPr>
          <w:rFonts w:ascii="Times New Roman" w:hAnsi="Times New Roman" w:cs="Times New Roman" w:eastAsia="Times New Roman" w:hint="default"/>
          <w:color w:val="0D0D0D"/>
        </w:rPr>
        <w:t>30</w:t>
      </w:r>
      <w:r>
        <w:rPr>
          <w:color w:val="0D0D0D"/>
        </w:rPr>
        <w:t>个月后、</w:t>
      </w:r>
      <w:r>
        <w:rPr>
          <w:rFonts w:ascii="Times New Roman" w:hAnsi="Times New Roman" w:cs="Times New Roman" w:eastAsia="Times New Roman" w:hint="default"/>
          <w:color w:val="0D0D0D"/>
        </w:rPr>
        <w:t>42</w:t>
      </w:r>
      <w:r>
        <w:rPr>
          <w:color w:val="0D0D0D"/>
        </w:rPr>
        <w:t>个月后分三次解锁，每次解锁的限制性股票比例分 别为授予总量的</w:t>
      </w:r>
      <w:r>
        <w:rPr>
          <w:rFonts w:ascii="Times New Roman" w:hAnsi="Times New Roman" w:cs="Times New Roman" w:eastAsia="Times New Roman" w:hint="default"/>
          <w:color w:val="0D0D0D"/>
        </w:rPr>
        <w:t>40%</w:t>
      </w:r>
      <w:r>
        <w:rPr>
          <w:color w:val="0D0D0D"/>
        </w:rPr>
        <w:t>、</w:t>
      </w:r>
      <w:r>
        <w:rPr>
          <w:rFonts w:ascii="Times New Roman" w:hAnsi="Times New Roman" w:cs="Times New Roman" w:eastAsia="Times New Roman" w:hint="default"/>
          <w:color w:val="0D0D0D"/>
        </w:rPr>
        <w:t>30%</w:t>
      </w:r>
      <w:r>
        <w:rPr>
          <w:color w:val="0D0D0D"/>
        </w:rPr>
        <w:t>、</w:t>
      </w:r>
      <w:r>
        <w:rPr>
          <w:rFonts w:ascii="Times New Roman" w:hAnsi="Times New Roman" w:cs="Times New Roman" w:eastAsia="Times New Roman" w:hint="default"/>
          <w:color w:val="0D0D0D"/>
        </w:rPr>
        <w:t>30%</w:t>
      </w:r>
      <w:r>
        <w:rPr>
          <w:color w:val="0D0D0D"/>
        </w:rPr>
        <w:t>；</w:t>
      </w:r>
      <w:r>
        <w:rPr/>
      </w:r>
    </w:p>
    <w:p>
      <w:pPr>
        <w:pStyle w:val="BodyText"/>
        <w:spacing w:line="240" w:lineRule="auto" w:before="51"/>
        <w:ind w:left="574" w:right="1033"/>
        <w:jc w:val="left"/>
      </w:pPr>
      <w:r>
        <w:rPr>
          <w:rFonts w:ascii="Times New Roman" w:hAnsi="Times New Roman" w:cs="Times New Roman" w:eastAsia="Times New Roman" w:hint="default"/>
          <w:color w:val="0D0D0D"/>
        </w:rPr>
        <w:t>4</w:t>
      </w:r>
      <w:r>
        <w:rPr>
          <w:color w:val="0D0D0D"/>
        </w:rPr>
        <w:t>）无风险利率：</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18</w:t>
      </w:r>
      <w:r>
        <w:rPr>
          <w:color w:val="0D0D0D"/>
        </w:rPr>
        <w:t>日中国国债利率</w:t>
      </w:r>
      <w:r>
        <w:rPr>
          <w:rFonts w:ascii="Times New Roman" w:hAnsi="Times New Roman" w:cs="Times New Roman" w:eastAsia="Times New Roman" w:hint="default"/>
          <w:color w:val="0D0D0D"/>
        </w:rPr>
        <w:t>2.4862</w:t>
      </w:r>
      <w:r>
        <w:rPr>
          <w:color w:val="0D0D0D"/>
        </w:rPr>
        <w:t>（</w:t>
      </w:r>
      <w:r>
        <w:rPr>
          <w:rFonts w:ascii="Times New Roman" w:hAnsi="Times New Roman" w:cs="Times New Roman" w:eastAsia="Times New Roman" w:hint="default"/>
          <w:color w:val="0D0D0D"/>
        </w:rPr>
        <w:t>1.5</w:t>
      </w:r>
      <w:r>
        <w:rPr>
          <w:color w:val="0D0D0D"/>
        </w:rPr>
        <w:t>年）、</w:t>
      </w:r>
      <w:r>
        <w:rPr>
          <w:rFonts w:ascii="Times New Roman" w:hAnsi="Times New Roman" w:cs="Times New Roman" w:eastAsia="Times New Roman" w:hint="default"/>
          <w:color w:val="0D0D0D"/>
        </w:rPr>
        <w:t>2.8242</w:t>
      </w:r>
      <w:r>
        <w:rPr>
          <w:color w:val="0D0D0D"/>
        </w:rPr>
        <w:t>（</w:t>
      </w:r>
      <w:r>
        <w:rPr>
          <w:rFonts w:ascii="Times New Roman" w:hAnsi="Times New Roman" w:cs="Times New Roman" w:eastAsia="Times New Roman" w:hint="default"/>
          <w:color w:val="0D0D0D"/>
        </w:rPr>
        <w:t>2.5</w:t>
      </w:r>
      <w:r>
        <w:rPr>
          <w:color w:val="0D0D0D"/>
        </w:rPr>
        <w:t>年）、</w:t>
      </w:r>
      <w:r>
        <w:rPr>
          <w:rFonts w:ascii="Times New Roman" w:hAnsi="Times New Roman" w:cs="Times New Roman" w:eastAsia="Times New Roman" w:hint="default"/>
          <w:color w:val="0D0D0D"/>
        </w:rPr>
        <w:t>3.0446</w:t>
      </w:r>
      <w:r>
        <w:rPr>
          <w:color w:val="0D0D0D"/>
        </w:rPr>
        <w:t>（</w:t>
      </w:r>
      <w:r>
        <w:rPr>
          <w:rFonts w:ascii="Times New Roman" w:hAnsi="Times New Roman" w:cs="Times New Roman" w:eastAsia="Times New Roman" w:hint="default"/>
          <w:color w:val="0D0D0D"/>
        </w:rPr>
        <w:t>3.5</w:t>
      </w:r>
      <w:r>
        <w:rPr>
          <w:color w:val="0D0D0D"/>
        </w:rPr>
        <w:t>年）；</w:t>
      </w:r>
      <w:r>
        <w:rPr/>
      </w:r>
    </w:p>
    <w:p>
      <w:pPr>
        <w:pStyle w:val="BodyText"/>
        <w:spacing w:line="240" w:lineRule="auto" w:before="103"/>
        <w:ind w:left="573" w:right="1033"/>
        <w:jc w:val="left"/>
      </w:pPr>
      <w:r>
        <w:rPr>
          <w:rFonts w:ascii="Times New Roman" w:hAnsi="Times New Roman" w:cs="Times New Roman" w:eastAsia="Times New Roman" w:hint="default"/>
          <w:color w:val="0D0D0D"/>
        </w:rPr>
        <w:t>5</w:t>
      </w:r>
      <w:r>
        <w:rPr>
          <w:color w:val="0D0D0D"/>
        </w:rPr>
        <w:t>）权证的有效期分别为：</w:t>
      </w:r>
      <w:r>
        <w:rPr>
          <w:rFonts w:ascii="Times New Roman" w:hAnsi="Times New Roman" w:cs="Times New Roman" w:eastAsia="Times New Roman" w:hint="default"/>
          <w:color w:val="0D0D0D"/>
        </w:rPr>
        <w:t>18</w:t>
      </w:r>
      <w:r>
        <w:rPr>
          <w:color w:val="0D0D0D"/>
        </w:rPr>
        <w:t>个月、</w:t>
      </w:r>
      <w:r>
        <w:rPr>
          <w:rFonts w:ascii="Times New Roman" w:hAnsi="Times New Roman" w:cs="Times New Roman" w:eastAsia="Times New Roman" w:hint="default"/>
          <w:color w:val="0D0D0D"/>
        </w:rPr>
        <w:t>30</w:t>
      </w:r>
      <w:r>
        <w:rPr>
          <w:color w:val="0D0D0D"/>
        </w:rPr>
        <w:t>个月、</w:t>
      </w:r>
      <w:r>
        <w:rPr>
          <w:rFonts w:ascii="Times New Roman" w:hAnsi="Times New Roman" w:cs="Times New Roman" w:eastAsia="Times New Roman" w:hint="default"/>
          <w:color w:val="0D0D0D"/>
        </w:rPr>
        <w:t>42</w:t>
      </w:r>
      <w:r>
        <w:rPr>
          <w:color w:val="0D0D0D"/>
        </w:rPr>
        <w:t>个月；</w:t>
      </w:r>
      <w:r>
        <w:rPr/>
      </w:r>
    </w:p>
    <w:p>
      <w:pPr>
        <w:pStyle w:val="BodyText"/>
        <w:spacing w:line="240" w:lineRule="auto" w:before="102"/>
        <w:ind w:left="574" w:right="1033"/>
        <w:jc w:val="left"/>
      </w:pPr>
      <w:r>
        <w:rPr>
          <w:rFonts w:ascii="Times New Roman" w:hAnsi="Times New Roman" w:cs="Times New Roman" w:eastAsia="Times New Roman" w:hint="default"/>
          <w:color w:val="0D0D0D"/>
          <w:spacing w:val="-5"/>
        </w:rPr>
        <w:t>6</w:t>
      </w:r>
      <w:r>
        <w:rPr>
          <w:color w:val="0D0D0D"/>
          <w:spacing w:val="-5"/>
        </w:rPr>
        <w:t>）波动率</w:t>
      </w:r>
      <w:r>
        <w:rPr>
          <w:spacing w:val="-5"/>
        </w:rPr>
        <w:t>根据</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18</w:t>
      </w:r>
      <w:r>
        <w:rPr>
          <w:spacing w:val="-5"/>
        </w:rPr>
        <w:t>日前</w:t>
      </w:r>
      <w:r>
        <w:rPr>
          <w:rFonts w:ascii="Times New Roman" w:hAnsi="Times New Roman" w:cs="Times New Roman" w:eastAsia="Times New Roman" w:hint="default"/>
          <w:spacing w:val="-5"/>
        </w:rPr>
        <w:t>1.5</w:t>
      </w:r>
      <w:r>
        <w:rPr>
          <w:spacing w:val="-5"/>
        </w:rPr>
        <w:t>年、</w:t>
      </w:r>
      <w:r>
        <w:rPr>
          <w:rFonts w:ascii="Times New Roman" w:hAnsi="Times New Roman" w:cs="Times New Roman" w:eastAsia="Times New Roman" w:hint="default"/>
          <w:spacing w:val="-5"/>
        </w:rPr>
        <w:t>2.5</w:t>
      </w:r>
      <w:r>
        <w:rPr>
          <w:spacing w:val="-5"/>
        </w:rPr>
        <w:t>年、</w:t>
      </w:r>
      <w:r>
        <w:rPr>
          <w:rFonts w:ascii="Times New Roman" w:hAnsi="Times New Roman" w:cs="Times New Roman" w:eastAsia="Times New Roman" w:hint="default"/>
          <w:spacing w:val="-5"/>
        </w:rPr>
        <w:t>3.5</w:t>
      </w:r>
      <w:r>
        <w:rPr>
          <w:spacing w:val="-5"/>
        </w:rPr>
        <w:t>年中小板指的历史波动率确定，即分别为</w:t>
      </w:r>
      <w:r>
        <w:rPr>
          <w:rFonts w:ascii="Times New Roman" w:hAnsi="Times New Roman" w:cs="Times New Roman" w:eastAsia="Times New Roman" w:hint="default"/>
          <w:spacing w:val="-5"/>
        </w:rPr>
        <w:t>35.00%</w:t>
      </w:r>
      <w:r>
        <w:rPr>
          <w:spacing w:val="-5"/>
        </w:rPr>
        <w:t>、</w:t>
      </w:r>
      <w:r>
        <w:rPr>
          <w:rFonts w:ascii="Times New Roman" w:hAnsi="Times New Roman" w:cs="Times New Roman" w:eastAsia="Times New Roman" w:hint="default"/>
          <w:spacing w:val="-5"/>
        </w:rPr>
        <w:t>31.02%</w:t>
      </w:r>
      <w:r>
        <w:rPr>
          <w:spacing w:val="-5"/>
        </w:rPr>
        <w:t>、</w:t>
      </w:r>
      <w:r>
        <w:rPr>
          <w:rFonts w:ascii="Times New Roman" w:hAnsi="Times New Roman" w:cs="Times New Roman" w:eastAsia="Times New Roman" w:hint="default"/>
          <w:spacing w:val="-5"/>
        </w:rPr>
        <w:t>25.21%</w:t>
      </w:r>
      <w:r>
        <w:rPr>
          <w:spacing w:val="-5"/>
        </w:rPr>
        <w:t>；</w:t>
      </w:r>
      <w:r>
        <w:rPr>
          <w:color w:val="0D0D0D"/>
          <w:spacing w:val="-5"/>
        </w:rPr>
        <w:t>；</w:t>
      </w:r>
      <w:r>
        <w:rPr>
          <w:spacing w:val="-5"/>
        </w:rPr>
      </w:r>
    </w:p>
    <w:p>
      <w:pPr>
        <w:pStyle w:val="BodyText"/>
        <w:spacing w:line="240" w:lineRule="auto" w:before="102"/>
        <w:ind w:left="574" w:right="0"/>
        <w:jc w:val="left"/>
        <w:rPr>
          <w:rFonts w:ascii="Times New Roman" w:hAnsi="Times New Roman" w:cs="Times New Roman" w:eastAsia="Times New Roman" w:hint="default"/>
        </w:rPr>
      </w:pPr>
      <w:r>
        <w:rPr>
          <w:rFonts w:ascii="Times New Roman" w:hAnsi="Times New Roman" w:cs="Times New Roman" w:eastAsia="Times New Roman" w:hint="default"/>
          <w:color w:val="0D0D0D"/>
        </w:rPr>
        <w:t>7</w:t>
      </w:r>
      <w:r>
        <w:rPr>
          <w:color w:val="0D0D0D"/>
        </w:rPr>
        <w:t>）股息率根</w:t>
      </w:r>
      <w:r>
        <w:rPr/>
        <w:t>据</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18</w:t>
      </w:r>
      <w:r>
        <w:rPr>
          <w:color w:val="0D0D0D"/>
        </w:rPr>
        <w:t>日前公司的历史红利率确定，即分别为</w:t>
      </w:r>
      <w:r>
        <w:rPr>
          <w:rFonts w:ascii="Times New Roman" w:hAnsi="Times New Roman" w:cs="Times New Roman" w:eastAsia="Times New Roman" w:hint="default"/>
          <w:color w:val="0D0D0D"/>
        </w:rPr>
        <w:t>0.27%</w:t>
      </w:r>
      <w:r>
        <w:rPr>
          <w:color w:val="0D0D0D"/>
        </w:rPr>
        <w:t>（</w:t>
      </w:r>
      <w:r>
        <w:rPr>
          <w:rFonts w:ascii="Times New Roman" w:hAnsi="Times New Roman" w:cs="Times New Roman" w:eastAsia="Times New Roman" w:hint="default"/>
          <w:color w:val="0D0D0D"/>
        </w:rPr>
        <w:t>1.5</w:t>
      </w:r>
      <w:r>
        <w:rPr>
          <w:color w:val="0D0D0D"/>
        </w:rPr>
        <w:t>年）、</w:t>
      </w:r>
      <w:r>
        <w:rPr>
          <w:rFonts w:ascii="Times New Roman" w:hAnsi="Times New Roman" w:cs="Times New Roman" w:eastAsia="Times New Roman" w:hint="default"/>
          <w:color w:val="0D0D0D"/>
        </w:rPr>
        <w:t>0.35%</w:t>
      </w:r>
      <w:r>
        <w:rPr>
          <w:color w:val="0D0D0D"/>
        </w:rPr>
        <w:t>（</w:t>
      </w:r>
      <w:r>
        <w:rPr>
          <w:rFonts w:ascii="Times New Roman" w:hAnsi="Times New Roman" w:cs="Times New Roman" w:eastAsia="Times New Roman" w:hint="default"/>
          <w:color w:val="0D0D0D"/>
        </w:rPr>
        <w:t>2.5</w:t>
      </w:r>
      <w:r>
        <w:rPr>
          <w:color w:val="0D0D0D"/>
        </w:rPr>
        <w:t>年）、</w:t>
      </w:r>
      <w:r>
        <w:rPr>
          <w:rFonts w:ascii="Times New Roman" w:hAnsi="Times New Roman" w:cs="Times New Roman" w:eastAsia="Times New Roman" w:hint="default"/>
          <w:color w:val="0D0D0D"/>
        </w:rPr>
        <w:t>0.66%</w:t>
      </w:r>
      <w:r>
        <w:rPr>
          <w:color w:val="0D0D0D"/>
        </w:rPr>
        <w:t>（</w:t>
      </w:r>
      <w:r>
        <w:rPr>
          <w:rFonts w:ascii="Times New Roman" w:hAnsi="Times New Roman" w:cs="Times New Roman" w:eastAsia="Times New Roman" w:hint="default"/>
          <w:color w:val="0D0D0D"/>
        </w:rPr>
        <w:t>3.5</w:t>
      </w:r>
      <w:r>
        <w:rPr>
          <w:color w:val="0D0D0D"/>
        </w:rPr>
        <w:t>年）</w:t>
      </w:r>
      <w:r>
        <w:rPr>
          <w:rFonts w:ascii="Times New Roman" w:hAnsi="Times New Roman" w:cs="Times New Roman" w:eastAsia="Times New Roman" w:hint="default"/>
          <w:color w:val="0D0D0D"/>
        </w:rPr>
        <w:t>;</w:t>
      </w:r>
      <w:r>
        <w:rPr>
          <w:rFonts w:ascii="Times New Roman" w:hAnsi="Times New Roman" w:cs="Times New Roman" w:eastAsia="Times New Roman" w:hint="default"/>
        </w:rPr>
      </w:r>
    </w:p>
    <w:p>
      <w:pPr>
        <w:pStyle w:val="BodyText"/>
        <w:spacing w:line="240" w:lineRule="auto" w:before="103"/>
        <w:ind w:left="574" w:right="1033"/>
        <w:jc w:val="left"/>
      </w:pPr>
      <w:r>
        <w:rPr>
          <w:rFonts w:ascii="Times New Roman" w:hAnsi="Times New Roman" w:cs="Times New Roman" w:eastAsia="Times New Roman" w:hint="default"/>
          <w:color w:val="0D0D0D"/>
        </w:rPr>
        <w:t>8</w:t>
      </w:r>
      <w:r>
        <w:rPr>
          <w:color w:val="0D0D0D"/>
        </w:rPr>
        <w:t>）根据以上参数计算的确定每股限制性股票三年的公允价值分别为：</w:t>
      </w:r>
      <w:r>
        <w:rPr>
          <w:rFonts w:ascii="Times New Roman" w:hAnsi="Times New Roman" w:cs="Times New Roman" w:eastAsia="Times New Roman" w:hint="default"/>
          <w:color w:val="0D0D0D"/>
        </w:rPr>
        <w:t>1.38</w:t>
      </w:r>
      <w:r>
        <w:rPr>
          <w:color w:val="0D0D0D"/>
        </w:rPr>
        <w:t>元</w:t>
      </w:r>
      <w:r>
        <w:rPr>
          <w:rFonts w:ascii="Times New Roman" w:hAnsi="Times New Roman" w:cs="Times New Roman" w:eastAsia="Times New Roman" w:hint="default"/>
          <w:color w:val="0D0D0D"/>
        </w:rPr>
        <w:t>/</w:t>
      </w:r>
      <w:r>
        <w:rPr>
          <w:color w:val="0D0D0D"/>
        </w:rPr>
        <w:t>股、</w:t>
      </w:r>
      <w:r>
        <w:rPr>
          <w:rFonts w:ascii="Times New Roman" w:hAnsi="Times New Roman" w:cs="Times New Roman" w:eastAsia="Times New Roman" w:hint="default"/>
          <w:color w:val="0D0D0D"/>
        </w:rPr>
        <w:t>0.49</w:t>
      </w:r>
      <w:r>
        <w:rPr>
          <w:color w:val="0D0D0D"/>
        </w:rPr>
        <w:t>元</w:t>
      </w:r>
      <w:r>
        <w:rPr>
          <w:rFonts w:ascii="Times New Roman" w:hAnsi="Times New Roman" w:cs="Times New Roman" w:eastAsia="Times New Roman" w:hint="default"/>
          <w:color w:val="0D0D0D"/>
        </w:rPr>
        <w:t>/</w:t>
      </w:r>
      <w:r>
        <w:rPr>
          <w:color w:val="0D0D0D"/>
        </w:rPr>
        <w:t>股、</w:t>
      </w:r>
      <w:r>
        <w:rPr>
          <w:rFonts w:ascii="Times New Roman" w:hAnsi="Times New Roman" w:cs="Times New Roman" w:eastAsia="Times New Roman" w:hint="default"/>
          <w:color w:val="0D0D0D"/>
        </w:rPr>
        <w:t>0.22</w:t>
      </w:r>
      <w:r>
        <w:rPr>
          <w:color w:val="0D0D0D"/>
        </w:rPr>
        <w:t>元</w:t>
      </w:r>
      <w:r>
        <w:rPr>
          <w:rFonts w:ascii="Times New Roman" w:hAnsi="Times New Roman" w:cs="Times New Roman" w:eastAsia="Times New Roman" w:hint="default"/>
          <w:color w:val="0D0D0D"/>
        </w:rPr>
        <w:t>/</w:t>
      </w:r>
      <w:r>
        <w:rPr>
          <w:color w:val="0D0D0D"/>
        </w:rPr>
        <w:t>股；</w:t>
      </w:r>
      <w:r>
        <w:rPr/>
      </w:r>
    </w:p>
    <w:p>
      <w:pPr>
        <w:pStyle w:val="BodyText"/>
        <w:spacing w:line="240" w:lineRule="auto" w:before="102"/>
        <w:ind w:left="135" w:right="5769"/>
        <w:jc w:val="cente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年股权激励计划第二次授予本公司基本参数如下：</w:t>
      </w:r>
    </w:p>
    <w:p>
      <w:pPr>
        <w:pStyle w:val="BodyText"/>
        <w:spacing w:line="240" w:lineRule="auto" w:before="102"/>
        <w:ind w:left="573" w:right="1033"/>
        <w:jc w:val="left"/>
      </w:pPr>
      <w:r>
        <w:rPr>
          <w:rFonts w:ascii="Times New Roman" w:hAnsi="Times New Roman" w:cs="Times New Roman" w:eastAsia="Times New Roman" w:hint="default"/>
          <w:color w:val="0D0D0D"/>
        </w:rPr>
        <w:t>1</w:t>
      </w:r>
      <w:r>
        <w:rPr>
          <w:color w:val="0D0D0D"/>
        </w:rPr>
        <w:t>）授予价格为每股</w:t>
      </w:r>
      <w:r>
        <w:rPr>
          <w:rFonts w:ascii="Times New Roman" w:hAnsi="Times New Roman" w:cs="Times New Roman" w:eastAsia="Times New Roman" w:hint="default"/>
          <w:color w:val="0D0D0D"/>
        </w:rPr>
        <w:t>7.12</w:t>
      </w:r>
      <w:r>
        <w:rPr>
          <w:color w:val="0D0D0D"/>
        </w:rPr>
        <w:t>元；</w:t>
      </w:r>
      <w:r>
        <w:rPr/>
      </w:r>
    </w:p>
    <w:p>
      <w:pPr>
        <w:pStyle w:val="BodyText"/>
        <w:spacing w:line="240" w:lineRule="auto" w:before="103"/>
        <w:ind w:left="574" w:right="1033"/>
        <w:jc w:val="left"/>
      </w:pPr>
      <w:r>
        <w:rPr>
          <w:rFonts w:ascii="Times New Roman" w:hAnsi="Times New Roman" w:cs="Times New Roman" w:eastAsia="Times New Roman" w:hint="default"/>
          <w:color w:val="0D0D0D"/>
        </w:rPr>
        <w:t>2</w:t>
      </w:r>
      <w:r>
        <w:rPr>
          <w:color w:val="0D0D0D"/>
        </w:rPr>
        <w:t>）限制性股票授予日</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25</w:t>
      </w:r>
      <w:r>
        <w:rPr>
          <w:color w:val="0D0D0D"/>
        </w:rPr>
        <w:t>日</w:t>
      </w:r>
      <w:r>
        <w:rPr>
          <w:rFonts w:ascii="Times New Roman" w:hAnsi="Times New Roman" w:cs="Times New Roman" w:eastAsia="Times New Roman" w:hint="default"/>
          <w:color w:val="0D0D0D"/>
        </w:rPr>
        <w:t>)</w:t>
      </w:r>
      <w:r>
        <w:rPr>
          <w:color w:val="0D0D0D"/>
        </w:rPr>
        <w:t>收盘价</w:t>
      </w:r>
      <w:r>
        <w:rPr>
          <w:rFonts w:ascii="Times New Roman" w:hAnsi="Times New Roman" w:cs="Times New Roman" w:eastAsia="Times New Roman" w:hint="default"/>
          <w:color w:val="0D0D0D"/>
        </w:rPr>
        <w:t>:20.82</w:t>
      </w:r>
      <w:r>
        <w:rPr>
          <w:color w:val="0D0D0D"/>
        </w:rPr>
        <w:t>元</w:t>
      </w:r>
      <w:r>
        <w:rPr>
          <w:rFonts w:ascii="Times New Roman" w:hAnsi="Times New Roman" w:cs="Times New Roman" w:eastAsia="Times New Roman" w:hint="default"/>
          <w:color w:val="0D0D0D"/>
        </w:rPr>
        <w:t>/</w:t>
      </w:r>
      <w:r>
        <w:rPr>
          <w:color w:val="0D0D0D"/>
        </w:rPr>
        <w:t>股；</w:t>
      </w:r>
      <w:r>
        <w:rPr/>
      </w:r>
    </w:p>
    <w:p>
      <w:pPr>
        <w:pStyle w:val="BodyText"/>
        <w:spacing w:line="302" w:lineRule="auto" w:before="101"/>
        <w:ind w:left="154" w:right="1116" w:firstLine="420"/>
        <w:jc w:val="left"/>
      </w:pPr>
      <w:r>
        <w:rPr>
          <w:rFonts w:ascii="Times New Roman" w:hAnsi="Times New Roman" w:cs="Times New Roman" w:eastAsia="Times New Roman" w:hint="default"/>
          <w:color w:val="0D0D0D"/>
        </w:rPr>
        <w:t>3</w:t>
      </w:r>
      <w:r>
        <w:rPr>
          <w:color w:val="0D0D0D"/>
        </w:rPr>
        <w:t>）限制性股票各期解锁期限和解锁比例</w:t>
      </w:r>
      <w:r>
        <w:rPr>
          <w:rFonts w:ascii="Times New Roman" w:hAnsi="Times New Roman" w:cs="Times New Roman" w:eastAsia="Times New Roman" w:hint="default"/>
          <w:color w:val="0D0D0D"/>
        </w:rPr>
        <w:t>:</w:t>
      </w:r>
      <w:r>
        <w:rPr>
          <w:rFonts w:ascii="Times New Roman" w:hAnsi="Times New Roman" w:cs="Times New Roman" w:eastAsia="Times New Roman" w:hint="default"/>
          <w:color w:val="0D0D0D"/>
          <w:spacing w:val="31"/>
        </w:rPr>
        <w:t> </w:t>
      </w:r>
      <w:r>
        <w:rPr>
          <w:rFonts w:ascii="Times New Roman" w:hAnsi="Times New Roman" w:cs="Times New Roman" w:eastAsia="Times New Roman" w:hint="default"/>
          <w:color w:val="0D0D0D"/>
        </w:rPr>
        <w:t>18</w:t>
      </w:r>
      <w:r>
        <w:rPr>
          <w:color w:val="0D0D0D"/>
        </w:rPr>
        <w:t>个月后、</w:t>
      </w:r>
      <w:r>
        <w:rPr>
          <w:rFonts w:ascii="Times New Roman" w:hAnsi="Times New Roman" w:cs="Times New Roman" w:eastAsia="Times New Roman" w:hint="default"/>
          <w:color w:val="0D0D0D"/>
        </w:rPr>
        <w:t>30</w:t>
      </w:r>
      <w:r>
        <w:rPr>
          <w:color w:val="0D0D0D"/>
        </w:rPr>
        <w:t>个月后、</w:t>
      </w:r>
      <w:r>
        <w:rPr>
          <w:rFonts w:ascii="Times New Roman" w:hAnsi="Times New Roman" w:cs="Times New Roman" w:eastAsia="Times New Roman" w:hint="default"/>
          <w:color w:val="0D0D0D"/>
        </w:rPr>
        <w:t>42</w:t>
      </w:r>
      <w:r>
        <w:rPr>
          <w:color w:val="0D0D0D"/>
        </w:rPr>
        <w:t>个月后分三次解锁，每次解锁的限制性股票比例分 别为授予总量的</w:t>
      </w:r>
      <w:r>
        <w:rPr>
          <w:rFonts w:ascii="Times New Roman" w:hAnsi="Times New Roman" w:cs="Times New Roman" w:eastAsia="Times New Roman" w:hint="default"/>
          <w:color w:val="0D0D0D"/>
        </w:rPr>
        <w:t>40%</w:t>
      </w:r>
      <w:r>
        <w:rPr>
          <w:color w:val="0D0D0D"/>
        </w:rPr>
        <w:t>、</w:t>
      </w:r>
      <w:r>
        <w:rPr>
          <w:rFonts w:ascii="Times New Roman" w:hAnsi="Times New Roman" w:cs="Times New Roman" w:eastAsia="Times New Roman" w:hint="default"/>
          <w:color w:val="0D0D0D"/>
        </w:rPr>
        <w:t>30%</w:t>
      </w:r>
      <w:r>
        <w:rPr>
          <w:color w:val="0D0D0D"/>
        </w:rPr>
        <w:t>、</w:t>
      </w:r>
      <w:r>
        <w:rPr>
          <w:rFonts w:ascii="Times New Roman" w:hAnsi="Times New Roman" w:cs="Times New Roman" w:eastAsia="Times New Roman" w:hint="default"/>
          <w:color w:val="0D0D0D"/>
        </w:rPr>
        <w:t>30%</w:t>
      </w:r>
      <w:r>
        <w:rPr>
          <w:color w:val="0D0D0D"/>
        </w:rPr>
        <w:t>；</w:t>
      </w:r>
      <w:r>
        <w:rPr/>
      </w:r>
    </w:p>
    <w:p>
      <w:pPr>
        <w:pStyle w:val="BodyText"/>
        <w:spacing w:line="240" w:lineRule="auto" w:before="50"/>
        <w:ind w:left="574" w:right="1033"/>
        <w:jc w:val="left"/>
      </w:pPr>
      <w:r>
        <w:rPr>
          <w:rFonts w:ascii="Times New Roman" w:hAnsi="Times New Roman" w:cs="Times New Roman" w:eastAsia="Times New Roman" w:hint="default"/>
          <w:color w:val="0D0D0D"/>
        </w:rPr>
        <w:t>4</w:t>
      </w:r>
      <w:r>
        <w:rPr>
          <w:color w:val="0D0D0D"/>
        </w:rPr>
        <w:t>）无风险利率：</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18</w:t>
      </w:r>
      <w:r>
        <w:rPr>
          <w:color w:val="0D0D0D"/>
        </w:rPr>
        <w:t>日中国国债利率</w:t>
      </w:r>
      <w:r>
        <w:rPr>
          <w:rFonts w:ascii="Times New Roman" w:hAnsi="Times New Roman" w:cs="Times New Roman" w:eastAsia="Times New Roman" w:hint="default"/>
          <w:color w:val="0D0D0D"/>
        </w:rPr>
        <w:t>2.4862</w:t>
      </w:r>
      <w:r>
        <w:rPr>
          <w:color w:val="0D0D0D"/>
        </w:rPr>
        <w:t>（</w:t>
      </w:r>
      <w:r>
        <w:rPr>
          <w:rFonts w:ascii="Times New Roman" w:hAnsi="Times New Roman" w:cs="Times New Roman" w:eastAsia="Times New Roman" w:hint="default"/>
          <w:color w:val="0D0D0D"/>
        </w:rPr>
        <w:t>1.5</w:t>
      </w:r>
      <w:r>
        <w:rPr>
          <w:color w:val="0D0D0D"/>
        </w:rPr>
        <w:t>年）、</w:t>
      </w:r>
      <w:r>
        <w:rPr>
          <w:rFonts w:ascii="Times New Roman" w:hAnsi="Times New Roman" w:cs="Times New Roman" w:eastAsia="Times New Roman" w:hint="default"/>
          <w:color w:val="0D0D0D"/>
        </w:rPr>
        <w:t>2.8242</w:t>
      </w:r>
      <w:r>
        <w:rPr>
          <w:color w:val="0D0D0D"/>
        </w:rPr>
        <w:t>（</w:t>
      </w:r>
      <w:r>
        <w:rPr>
          <w:rFonts w:ascii="Times New Roman" w:hAnsi="Times New Roman" w:cs="Times New Roman" w:eastAsia="Times New Roman" w:hint="default"/>
          <w:color w:val="0D0D0D"/>
        </w:rPr>
        <w:t>2.5</w:t>
      </w:r>
      <w:r>
        <w:rPr>
          <w:color w:val="0D0D0D"/>
        </w:rPr>
        <w:t>年）、</w:t>
      </w:r>
      <w:r>
        <w:rPr>
          <w:rFonts w:ascii="Times New Roman" w:hAnsi="Times New Roman" w:cs="Times New Roman" w:eastAsia="Times New Roman" w:hint="default"/>
          <w:color w:val="0D0D0D"/>
        </w:rPr>
        <w:t>3.0446</w:t>
      </w:r>
      <w:r>
        <w:rPr>
          <w:color w:val="0D0D0D"/>
        </w:rPr>
        <w:t>（</w:t>
      </w:r>
      <w:r>
        <w:rPr>
          <w:rFonts w:ascii="Times New Roman" w:hAnsi="Times New Roman" w:cs="Times New Roman" w:eastAsia="Times New Roman" w:hint="default"/>
          <w:color w:val="0D0D0D"/>
        </w:rPr>
        <w:t>3.5</w:t>
      </w:r>
      <w:r>
        <w:rPr>
          <w:color w:val="0D0D0D"/>
        </w:rPr>
        <w:t>年）；</w:t>
      </w:r>
      <w:r>
        <w:rPr/>
      </w:r>
    </w:p>
    <w:p>
      <w:pPr>
        <w:pStyle w:val="BodyText"/>
        <w:spacing w:line="240" w:lineRule="auto" w:before="103"/>
        <w:ind w:left="573" w:right="1033"/>
        <w:jc w:val="left"/>
      </w:pPr>
      <w:r>
        <w:rPr>
          <w:rFonts w:ascii="Times New Roman" w:hAnsi="Times New Roman" w:cs="Times New Roman" w:eastAsia="Times New Roman" w:hint="default"/>
          <w:color w:val="0D0D0D"/>
        </w:rPr>
        <w:t>5</w:t>
      </w:r>
      <w:r>
        <w:rPr>
          <w:color w:val="0D0D0D"/>
        </w:rPr>
        <w:t>）权证的有效期分别为：</w:t>
      </w:r>
      <w:r>
        <w:rPr>
          <w:rFonts w:ascii="Times New Roman" w:hAnsi="Times New Roman" w:cs="Times New Roman" w:eastAsia="Times New Roman" w:hint="default"/>
          <w:color w:val="0D0D0D"/>
        </w:rPr>
        <w:t>18</w:t>
      </w:r>
      <w:r>
        <w:rPr>
          <w:color w:val="0D0D0D"/>
        </w:rPr>
        <w:t>个月、</w:t>
      </w:r>
      <w:r>
        <w:rPr>
          <w:rFonts w:ascii="Times New Roman" w:hAnsi="Times New Roman" w:cs="Times New Roman" w:eastAsia="Times New Roman" w:hint="default"/>
          <w:color w:val="0D0D0D"/>
        </w:rPr>
        <w:t>30</w:t>
      </w:r>
      <w:r>
        <w:rPr>
          <w:color w:val="0D0D0D"/>
        </w:rPr>
        <w:t>个月、</w:t>
      </w:r>
      <w:r>
        <w:rPr>
          <w:rFonts w:ascii="Times New Roman" w:hAnsi="Times New Roman" w:cs="Times New Roman" w:eastAsia="Times New Roman" w:hint="default"/>
          <w:color w:val="0D0D0D"/>
        </w:rPr>
        <w:t>42</w:t>
      </w:r>
      <w:r>
        <w:rPr>
          <w:color w:val="0D0D0D"/>
        </w:rPr>
        <w:t>个月；</w:t>
      </w:r>
      <w:r>
        <w:rPr/>
      </w:r>
    </w:p>
    <w:p>
      <w:pPr>
        <w:pStyle w:val="BodyText"/>
        <w:spacing w:line="240" w:lineRule="auto" w:before="102"/>
        <w:ind w:left="574" w:right="1033"/>
        <w:jc w:val="left"/>
      </w:pPr>
      <w:r>
        <w:rPr>
          <w:rFonts w:ascii="Times New Roman" w:hAnsi="Times New Roman" w:cs="Times New Roman" w:eastAsia="Times New Roman" w:hint="default"/>
          <w:color w:val="0D0D0D"/>
          <w:spacing w:val="-4"/>
        </w:rPr>
        <w:t>6</w:t>
      </w:r>
      <w:r>
        <w:rPr>
          <w:color w:val="0D0D0D"/>
          <w:spacing w:val="-4"/>
        </w:rPr>
        <w:t>）波动率</w:t>
      </w:r>
      <w:r>
        <w:rPr>
          <w:spacing w:val="-4"/>
        </w:rPr>
        <w:t>根据</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日前</w:t>
      </w:r>
      <w:r>
        <w:rPr>
          <w:rFonts w:ascii="Times New Roman" w:hAnsi="Times New Roman" w:cs="Times New Roman" w:eastAsia="Times New Roman" w:hint="default"/>
          <w:spacing w:val="-4"/>
        </w:rPr>
        <w:t>1.5</w:t>
      </w:r>
      <w:r>
        <w:rPr>
          <w:spacing w:val="-4"/>
        </w:rPr>
        <w:t>年、</w:t>
      </w:r>
      <w:r>
        <w:rPr>
          <w:rFonts w:ascii="Times New Roman" w:hAnsi="Times New Roman" w:cs="Times New Roman" w:eastAsia="Times New Roman" w:hint="default"/>
          <w:spacing w:val="-4"/>
        </w:rPr>
        <w:t>2.5</w:t>
      </w:r>
      <w:r>
        <w:rPr>
          <w:spacing w:val="-4"/>
        </w:rPr>
        <w:t>年、</w:t>
      </w:r>
      <w:r>
        <w:rPr>
          <w:rFonts w:ascii="Times New Roman" w:hAnsi="Times New Roman" w:cs="Times New Roman" w:eastAsia="Times New Roman" w:hint="default"/>
          <w:spacing w:val="-4"/>
        </w:rPr>
        <w:t>3.5</w:t>
      </w:r>
      <w:r>
        <w:rPr>
          <w:spacing w:val="-4"/>
        </w:rPr>
        <w:t>年中小板指的历史波动率确定，即分别为</w:t>
      </w:r>
      <w:r>
        <w:rPr>
          <w:rFonts w:ascii="Times New Roman" w:hAnsi="Times New Roman" w:cs="Times New Roman" w:eastAsia="Times New Roman" w:hint="default"/>
          <w:spacing w:val="-4"/>
        </w:rPr>
        <w:t>36.60%</w:t>
      </w:r>
      <w:r>
        <w:rPr>
          <w:spacing w:val="-4"/>
        </w:rPr>
        <w:t>、</w:t>
      </w:r>
      <w:r>
        <w:rPr>
          <w:rFonts w:ascii="Times New Roman" w:hAnsi="Times New Roman" w:cs="Times New Roman" w:eastAsia="Times New Roman" w:hint="default"/>
          <w:spacing w:val="-4"/>
        </w:rPr>
        <w:t>31.63%</w:t>
      </w:r>
      <w:r>
        <w:rPr>
          <w:spacing w:val="-4"/>
        </w:rPr>
        <w:t>、</w:t>
      </w:r>
      <w:r>
        <w:rPr>
          <w:rFonts w:ascii="Times New Roman" w:hAnsi="Times New Roman" w:cs="Times New Roman" w:eastAsia="Times New Roman" w:hint="default"/>
          <w:spacing w:val="-4"/>
        </w:rPr>
        <w:t>29.41%</w:t>
      </w:r>
      <w:r>
        <w:rPr>
          <w:spacing w:val="-4"/>
        </w:rPr>
        <w:t>；</w:t>
      </w:r>
    </w:p>
    <w:p>
      <w:pPr>
        <w:pStyle w:val="BodyText"/>
        <w:spacing w:line="240" w:lineRule="auto" w:before="102"/>
        <w:ind w:left="573" w:right="0"/>
        <w:jc w:val="left"/>
        <w:rPr>
          <w:rFonts w:ascii="Times New Roman" w:hAnsi="Times New Roman" w:cs="Times New Roman" w:eastAsia="Times New Roman" w:hint="default"/>
        </w:rPr>
      </w:pPr>
      <w:r>
        <w:rPr>
          <w:rFonts w:ascii="Times New Roman" w:hAnsi="Times New Roman" w:cs="Times New Roman" w:eastAsia="Times New Roman" w:hint="default"/>
          <w:color w:val="0D0D0D"/>
        </w:rPr>
        <w:t>7</w:t>
      </w:r>
      <w:r>
        <w:rPr>
          <w:color w:val="0D0D0D"/>
        </w:rPr>
        <w:t>）股息率根</w:t>
      </w:r>
      <w:r>
        <w:rPr/>
        <w:t>据</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9</w:t>
      </w:r>
      <w:r>
        <w:rPr>
          <w:color w:val="0D0D0D"/>
        </w:rPr>
        <w:t>月</w:t>
      </w:r>
      <w:r>
        <w:rPr>
          <w:rFonts w:ascii="Times New Roman" w:hAnsi="Times New Roman" w:cs="Times New Roman" w:eastAsia="Times New Roman" w:hint="default"/>
          <w:color w:val="0D0D0D"/>
        </w:rPr>
        <w:t>18</w:t>
      </w:r>
      <w:r>
        <w:rPr>
          <w:color w:val="0D0D0D"/>
        </w:rPr>
        <w:t>日前公司的历史红利率确定，即分别为</w:t>
      </w:r>
      <w:r>
        <w:rPr>
          <w:rFonts w:ascii="Times New Roman" w:hAnsi="Times New Roman" w:cs="Times New Roman" w:eastAsia="Times New Roman" w:hint="default"/>
          <w:color w:val="0D0D0D"/>
        </w:rPr>
        <w:t>0.27%</w:t>
      </w:r>
      <w:r>
        <w:rPr>
          <w:color w:val="0D0D0D"/>
        </w:rPr>
        <w:t>（</w:t>
      </w:r>
      <w:r>
        <w:rPr>
          <w:rFonts w:ascii="Times New Roman" w:hAnsi="Times New Roman" w:cs="Times New Roman" w:eastAsia="Times New Roman" w:hint="default"/>
          <w:color w:val="0D0D0D"/>
        </w:rPr>
        <w:t>1.5</w:t>
      </w:r>
      <w:r>
        <w:rPr>
          <w:color w:val="0D0D0D"/>
        </w:rPr>
        <w:t>年）、</w:t>
      </w:r>
      <w:r>
        <w:rPr>
          <w:rFonts w:ascii="Times New Roman" w:hAnsi="Times New Roman" w:cs="Times New Roman" w:eastAsia="Times New Roman" w:hint="default"/>
          <w:color w:val="0D0D0D"/>
        </w:rPr>
        <w:t>0.35%</w:t>
      </w:r>
      <w:r>
        <w:rPr>
          <w:color w:val="0D0D0D"/>
        </w:rPr>
        <w:t>（</w:t>
      </w:r>
      <w:r>
        <w:rPr>
          <w:rFonts w:ascii="Times New Roman" w:hAnsi="Times New Roman" w:cs="Times New Roman" w:eastAsia="Times New Roman" w:hint="default"/>
          <w:color w:val="0D0D0D"/>
        </w:rPr>
        <w:t>2.5</w:t>
      </w:r>
      <w:r>
        <w:rPr>
          <w:color w:val="0D0D0D"/>
        </w:rPr>
        <w:t>年）、</w:t>
      </w:r>
      <w:r>
        <w:rPr>
          <w:rFonts w:ascii="Times New Roman" w:hAnsi="Times New Roman" w:cs="Times New Roman" w:eastAsia="Times New Roman" w:hint="default"/>
          <w:color w:val="0D0D0D"/>
        </w:rPr>
        <w:t>0.66%</w:t>
      </w:r>
      <w:r>
        <w:rPr>
          <w:color w:val="0D0D0D"/>
        </w:rPr>
        <w:t>（</w:t>
      </w:r>
      <w:r>
        <w:rPr>
          <w:rFonts w:ascii="Times New Roman" w:hAnsi="Times New Roman" w:cs="Times New Roman" w:eastAsia="Times New Roman" w:hint="default"/>
          <w:color w:val="0D0D0D"/>
        </w:rPr>
        <w:t>3.5</w:t>
      </w:r>
      <w:r>
        <w:rPr>
          <w:color w:val="0D0D0D"/>
        </w:rPr>
        <w:t>年）</w:t>
      </w:r>
      <w:r>
        <w:rPr>
          <w:rFonts w:ascii="Times New Roman" w:hAnsi="Times New Roman" w:cs="Times New Roman" w:eastAsia="Times New Roman" w:hint="default"/>
          <w:color w:val="0D0D0D"/>
        </w:rPr>
        <w:t>;</w:t>
      </w:r>
      <w:r>
        <w:rPr>
          <w:rFonts w:ascii="Times New Roman" w:hAnsi="Times New Roman" w:cs="Times New Roman" w:eastAsia="Times New Roman" w:hint="default"/>
        </w:rPr>
      </w:r>
    </w:p>
    <w:p>
      <w:pPr>
        <w:pStyle w:val="BodyText"/>
        <w:spacing w:line="338" w:lineRule="auto" w:before="103"/>
        <w:ind w:left="574" w:right="1131"/>
        <w:jc w:val="left"/>
      </w:pPr>
      <w:r>
        <w:rPr>
          <w:rFonts w:ascii="Times New Roman" w:hAnsi="Times New Roman" w:cs="Times New Roman" w:eastAsia="Times New Roman" w:hint="default"/>
          <w:color w:val="0D0D0D"/>
        </w:rPr>
        <w:t>8</w:t>
      </w:r>
      <w:r>
        <w:rPr>
          <w:color w:val="0D0D0D"/>
        </w:rPr>
        <w:t>）根据以上参数计算的确定每股限制性股票三年的公允价值分别为：</w:t>
      </w:r>
      <w:r>
        <w:rPr>
          <w:rFonts w:ascii="Times New Roman" w:hAnsi="Times New Roman" w:cs="Times New Roman" w:eastAsia="Times New Roman" w:hint="default"/>
          <w:color w:val="0D0D0D"/>
        </w:rPr>
        <w:t>9.95</w:t>
      </w:r>
      <w:r>
        <w:rPr>
          <w:color w:val="0D0D0D"/>
        </w:rPr>
        <w:t>元</w:t>
      </w:r>
      <w:r>
        <w:rPr>
          <w:rFonts w:ascii="Times New Roman" w:hAnsi="Times New Roman" w:cs="Times New Roman" w:eastAsia="Times New Roman" w:hint="default"/>
          <w:color w:val="0D0D0D"/>
        </w:rPr>
        <w:t>/</w:t>
      </w:r>
      <w:r>
        <w:rPr>
          <w:color w:val="0D0D0D"/>
        </w:rPr>
        <w:t>股、</w:t>
      </w:r>
      <w:r>
        <w:rPr>
          <w:rFonts w:ascii="Times New Roman" w:hAnsi="Times New Roman" w:cs="Times New Roman" w:eastAsia="Times New Roman" w:hint="default"/>
          <w:color w:val="0D0D0D"/>
        </w:rPr>
        <w:t>7.82</w:t>
      </w:r>
      <w:r>
        <w:rPr>
          <w:color w:val="0D0D0D"/>
        </w:rPr>
        <w:t>元</w:t>
      </w:r>
      <w:r>
        <w:rPr>
          <w:rFonts w:ascii="Times New Roman" w:hAnsi="Times New Roman" w:cs="Times New Roman" w:eastAsia="Times New Roman" w:hint="default"/>
          <w:color w:val="0D0D0D"/>
        </w:rPr>
        <w:t>/</w:t>
      </w:r>
      <w:r>
        <w:rPr>
          <w:color w:val="0D0D0D"/>
        </w:rPr>
        <w:t>股、</w:t>
      </w:r>
      <w:r>
        <w:rPr>
          <w:rFonts w:ascii="Times New Roman" w:hAnsi="Times New Roman" w:cs="Times New Roman" w:eastAsia="Times New Roman" w:hint="default"/>
          <w:color w:val="0D0D0D"/>
        </w:rPr>
        <w:t>6.71</w:t>
      </w:r>
      <w:r>
        <w:rPr>
          <w:color w:val="0D0D0D"/>
        </w:rPr>
        <w:t>元</w:t>
      </w:r>
      <w:r>
        <w:rPr>
          <w:rFonts w:ascii="Times New Roman" w:hAnsi="Times New Roman" w:cs="Times New Roman" w:eastAsia="Times New Roman" w:hint="default"/>
          <w:color w:val="0D0D0D"/>
        </w:rPr>
        <w:t>/</w:t>
      </w:r>
      <w:r>
        <w:rPr>
          <w:color w:val="0D0D0D"/>
        </w:rPr>
        <w:t>股； </w:t>
      </w:r>
      <w:r>
        <w:rPr>
          <w:color w:val="0D0D0D"/>
          <w:spacing w:val="-1"/>
        </w:rPr>
        <w:t>本公司采用布莱克</w:t>
      </w:r>
      <w:r>
        <w:rPr>
          <w:rFonts w:ascii="Times New Roman" w:hAnsi="Times New Roman" w:cs="Times New Roman" w:eastAsia="Times New Roman" w:hint="default"/>
          <w:color w:val="0D0D0D"/>
          <w:spacing w:val="-1"/>
        </w:rPr>
        <w:t>-</w:t>
      </w:r>
      <w:r>
        <w:rPr>
          <w:color w:val="0D0D0D"/>
          <w:spacing w:val="-1"/>
        </w:rPr>
        <w:t>斯科尔期权定价模型，在确定上数参数基础上，并充分考虑</w:t>
      </w:r>
      <w:r>
        <w:rPr>
          <w:rFonts w:ascii="Times New Roman" w:hAnsi="Times New Roman" w:cs="Times New Roman" w:eastAsia="Times New Roman" w:hint="default"/>
          <w:color w:val="0D0D0D"/>
          <w:spacing w:val="-1"/>
        </w:rPr>
        <w:t>2015</w:t>
      </w:r>
      <w:r>
        <w:rPr>
          <w:color w:val="0D0D0D"/>
          <w:spacing w:val="-1"/>
        </w:rPr>
        <w:t>年因员工离职而产生的限制性股票</w:t>
      </w:r>
      <w:r>
        <w:rPr>
          <w:spacing w:val="-1"/>
        </w:rPr>
      </w:r>
    </w:p>
    <w:p>
      <w:pPr>
        <w:pStyle w:val="BodyText"/>
        <w:spacing w:line="231" w:lineRule="exact"/>
        <w:ind w:left="154" w:right="0"/>
        <w:jc w:val="left"/>
      </w:pPr>
      <w:r>
        <w:rPr>
          <w:color w:val="0D0D0D"/>
        </w:rPr>
        <w:t>回购、股利分配资本公积转增股本等情况，计算出公司截至</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日，以权益结算的股份支付中</w:t>
      </w:r>
      <w:r>
        <w:rPr>
          <w:rFonts w:ascii="Times New Roman" w:hAnsi="Times New Roman" w:cs="Times New Roman" w:eastAsia="Times New Roman" w:hint="default"/>
          <w:color w:val="0D0D0D"/>
        </w:rPr>
        <w:t>2015</w:t>
      </w:r>
      <w:r>
        <w:rPr>
          <w:color w:val="0D0D0D"/>
        </w:rPr>
        <w:t>年股权激励计划</w:t>
      </w:r>
      <w:r>
        <w:rPr/>
      </w:r>
    </w:p>
    <w:p>
      <w:pPr>
        <w:pStyle w:val="BodyText"/>
        <w:spacing w:line="319" w:lineRule="auto" w:before="64"/>
        <w:ind w:right="1033"/>
        <w:jc w:val="left"/>
      </w:pPr>
      <w:r>
        <w:rPr>
          <w:color w:val="0D0D0D"/>
        </w:rPr>
        <w:t>计入资本公积的累计金额为</w:t>
      </w:r>
      <w:r>
        <w:rPr>
          <w:rFonts w:ascii="Times New Roman" w:hAnsi="Times New Roman" w:cs="Times New Roman" w:eastAsia="Times New Roman" w:hint="default"/>
          <w:color w:val="0D0D0D"/>
        </w:rPr>
        <w:t>1,257,530.00</w:t>
      </w:r>
      <w:r>
        <w:rPr>
          <w:color w:val="0D0D0D"/>
        </w:rPr>
        <w:t>元，本期以权益结算的股份支付确认的费用总额</w:t>
      </w:r>
      <w:r>
        <w:rPr>
          <w:rFonts w:ascii="Times New Roman" w:hAnsi="Times New Roman" w:cs="Times New Roman" w:eastAsia="Times New Roman" w:hint="default"/>
          <w:color w:val="0D0D0D"/>
        </w:rPr>
        <w:t>1,257,530.00</w:t>
      </w:r>
      <w:r>
        <w:rPr>
          <w:color w:val="0D0D0D"/>
        </w:rPr>
        <w:t>元。 </w:t>
      </w:r>
      <w:r>
        <w:rPr/>
        <w:t>综上，</w:t>
      </w:r>
      <w:r>
        <w:rPr>
          <w:color w:val="0D0D0D"/>
        </w:rPr>
        <w:t>截至</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日，以权益结算的股份支付中两期股权激励计划计入资本公积的累计金额为</w:t>
      </w:r>
      <w:r>
        <w:rPr>
          <w:rFonts w:ascii="Times New Roman" w:hAnsi="Times New Roman" w:cs="Times New Roman" w:eastAsia="Times New Roman" w:hint="default"/>
          <w:color w:val="0D0D0D"/>
        </w:rPr>
        <w:t>3,892,369.17</w:t>
      </w:r>
      <w:r>
        <w:rPr>
          <w:color w:val="0D0D0D"/>
        </w:rPr>
        <w:t>元，本期</w:t>
      </w:r>
      <w:r>
        <w:rPr>
          <w:color w:val="0D0D0D"/>
          <w:spacing w:val="-47"/>
        </w:rPr>
        <w:t> </w:t>
      </w:r>
      <w:r>
        <w:rPr>
          <w:color w:val="0D0D0D"/>
          <w:spacing w:val="-47"/>
        </w:rPr>
      </w:r>
      <w:r>
        <w:rPr>
          <w:color w:val="0D0D0D"/>
        </w:rPr>
        <w:t>以权益结算的股份支付确认的费用总额</w:t>
      </w:r>
      <w:r>
        <w:rPr>
          <w:rFonts w:ascii="Times New Roman" w:hAnsi="Times New Roman" w:cs="Times New Roman" w:eastAsia="Times New Roman" w:hint="default"/>
          <w:color w:val="0D0D0D"/>
        </w:rPr>
        <w:t>1,393,198.98</w:t>
      </w:r>
      <w:r>
        <w:rPr>
          <w:color w:val="0D0D0D"/>
        </w:rPr>
        <w:t>元。</w:t>
      </w:r>
      <w:r>
        <w:rPr/>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以现金结算的股份支付情况" w:id="381"/>
      <w:bookmarkEnd w:id="38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7"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w:t>
      </w:r>
      <w:bookmarkStart w:name="4、股份支付的修改、终止情况" w:id="382"/>
      <w:bookmarkEnd w:id="38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19"/>
        <w:ind w:right="1033"/>
        <w:jc w:val="left"/>
        <w:rPr>
          <w:b w:val="0"/>
          <w:bCs w:val="0"/>
        </w:rPr>
      </w:pPr>
      <w:bookmarkStart w:name="5、其他" w:id="383"/>
      <w:bookmarkEnd w:id="383"/>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3" w:firstLine="363"/>
        <w:jc w:val="left"/>
      </w:pPr>
      <w:r>
        <w:rPr>
          <w:color w:val="0D0D0D"/>
        </w:rPr>
        <w:t>本公司</w:t>
      </w:r>
      <w:r>
        <w:rPr>
          <w:rFonts w:ascii="Times New Roman" w:hAnsi="Times New Roman" w:cs="Times New Roman" w:eastAsia="Times New Roman" w:hint="default"/>
          <w:color w:val="0D0D0D"/>
        </w:rPr>
        <w:t>2015</w:t>
      </w:r>
      <w:r>
        <w:rPr>
          <w:color w:val="0D0D0D"/>
        </w:rPr>
        <w:t>年扣除非经常性损益前后孰低的净利润为</w:t>
      </w:r>
      <w:r>
        <w:rPr>
          <w:rFonts w:ascii="Times New Roman" w:hAnsi="Times New Roman" w:cs="Times New Roman" w:eastAsia="Times New Roman" w:hint="default"/>
          <w:color w:val="0D0D0D"/>
        </w:rPr>
        <w:t>5,891.85</w:t>
      </w:r>
      <w:r>
        <w:rPr>
          <w:color w:val="0D0D0D"/>
        </w:rPr>
        <w:t>万元，以</w:t>
      </w:r>
      <w:r>
        <w:rPr>
          <w:rFonts w:ascii="Times New Roman" w:hAnsi="Times New Roman" w:cs="Times New Roman" w:eastAsia="Times New Roman" w:hint="default"/>
          <w:color w:val="0D0D0D"/>
        </w:rPr>
        <w:t>2012</w:t>
      </w:r>
      <w:r>
        <w:rPr>
          <w:color w:val="0D0D0D"/>
        </w:rPr>
        <w:t>年扣除非经常性损益前后孰低的净利润 </w:t>
      </w:r>
      <w:r>
        <w:rPr>
          <w:rFonts w:ascii="Times New Roman" w:hAnsi="Times New Roman" w:cs="Times New Roman" w:eastAsia="Times New Roman" w:hint="default"/>
          <w:color w:val="0D0D0D"/>
          <w:spacing w:val="-2"/>
        </w:rPr>
        <w:t>5,818.44</w:t>
      </w:r>
      <w:r>
        <w:rPr>
          <w:color w:val="0D0D0D"/>
          <w:spacing w:val="-2"/>
        </w:rPr>
        <w:t>万元为固定基数计算，其增长率为</w:t>
      </w:r>
      <w:r>
        <w:rPr>
          <w:rFonts w:ascii="Times New Roman" w:hAnsi="Times New Roman" w:cs="Times New Roman" w:eastAsia="Times New Roman" w:hint="default"/>
          <w:color w:val="0D0D0D"/>
          <w:spacing w:val="-2"/>
        </w:rPr>
        <w:t>101.26%</w:t>
      </w:r>
      <w:r>
        <w:rPr>
          <w:color w:val="0D0D0D"/>
          <w:spacing w:val="-2"/>
        </w:rPr>
        <w:t>，不满足</w:t>
      </w:r>
      <w:r>
        <w:rPr>
          <w:rFonts w:ascii="Times New Roman" w:hAnsi="Times New Roman" w:cs="Times New Roman" w:eastAsia="Times New Roman" w:hint="default"/>
          <w:color w:val="0D0D0D"/>
          <w:spacing w:val="-2"/>
        </w:rPr>
        <w:t>2013</w:t>
      </w:r>
      <w:r>
        <w:rPr>
          <w:color w:val="0D0D0D"/>
          <w:spacing w:val="-2"/>
        </w:rPr>
        <w:t>年度限制性股票激励计划设定的第三个解锁期解锁条件（净</w:t>
      </w:r>
      <w:r>
        <w:rPr>
          <w:color w:val="0D0D0D"/>
          <w:spacing w:val="-64"/>
        </w:rPr>
        <w:t> </w:t>
      </w:r>
      <w:r>
        <w:rPr>
          <w:color w:val="0D0D0D"/>
          <w:spacing w:val="-64"/>
        </w:rPr>
      </w:r>
      <w:r>
        <w:rPr>
          <w:color w:val="0D0D0D"/>
        </w:rPr>
        <w:t>利润增长率</w:t>
      </w:r>
      <w:r>
        <w:rPr>
          <w:rFonts w:ascii="Times New Roman" w:hAnsi="Times New Roman" w:cs="Times New Roman" w:eastAsia="Times New Roman" w:hint="default"/>
          <w:color w:val="0D0D0D"/>
        </w:rPr>
        <w:t>180%</w:t>
      </w:r>
      <w:r>
        <w:rPr>
          <w:color w:val="0D0D0D"/>
        </w:rPr>
        <w:t>），故预计</w:t>
      </w:r>
      <w:r>
        <w:rPr>
          <w:rFonts w:ascii="Times New Roman" w:hAnsi="Times New Roman" w:cs="Times New Roman" w:eastAsia="Times New Roman" w:hint="default"/>
          <w:color w:val="0D0D0D"/>
        </w:rPr>
        <w:t>2013</w:t>
      </w:r>
      <w:r>
        <w:rPr>
          <w:color w:val="0D0D0D"/>
        </w:rPr>
        <w:t>年股权激励计划第三个解锁期可能性为</w:t>
      </w:r>
      <w:r>
        <w:rPr>
          <w:rFonts w:ascii="Times New Roman" w:hAnsi="Times New Roman" w:cs="Times New Roman" w:eastAsia="Times New Roman" w:hint="default"/>
          <w:color w:val="0D0D0D"/>
        </w:rPr>
        <w:t>0%</w:t>
      </w:r>
      <w:r>
        <w:rPr>
          <w:color w:val="0D0D0D"/>
        </w:rPr>
        <w:t>，对应股票的预计可行权人数为</w:t>
      </w:r>
      <w:r>
        <w:rPr>
          <w:rFonts w:ascii="Times New Roman" w:hAnsi="Times New Roman" w:cs="Times New Roman" w:eastAsia="Times New Roman" w:hint="default"/>
          <w:color w:val="0D0D0D"/>
        </w:rPr>
        <w:t>0</w:t>
      </w:r>
      <w:r>
        <w:rPr>
          <w:color w:val="0D0D0D"/>
        </w:rPr>
        <w:t>人，</w:t>
      </w:r>
      <w:r>
        <w:rPr>
          <w:rFonts w:ascii="Times New Roman" w:hAnsi="Times New Roman" w:cs="Times New Roman" w:eastAsia="Times New Roman" w:hint="default"/>
          <w:color w:val="0D0D0D"/>
        </w:rPr>
        <w:t>2013</w:t>
      </w:r>
      <w:r>
        <w:rPr>
          <w:color w:val="0D0D0D"/>
        </w:rPr>
        <w:t>年股 权激励计划第三个解锁期股票对应费用应为</w:t>
      </w:r>
      <w:r>
        <w:rPr>
          <w:rFonts w:ascii="Times New Roman" w:hAnsi="Times New Roman" w:cs="Times New Roman" w:eastAsia="Times New Roman" w:hint="default"/>
          <w:color w:val="0D0D0D"/>
        </w:rPr>
        <w:t>0</w:t>
      </w:r>
      <w:r>
        <w:rPr>
          <w:color w:val="0D0D0D"/>
        </w:rPr>
        <w:t>元，本公司将前期确认的归属于</w:t>
      </w:r>
      <w:r>
        <w:rPr>
          <w:rFonts w:ascii="Times New Roman" w:hAnsi="Times New Roman" w:cs="Times New Roman" w:eastAsia="Times New Roman" w:hint="default"/>
          <w:color w:val="0D0D0D"/>
        </w:rPr>
        <w:t>2013</w:t>
      </w:r>
      <w:r>
        <w:rPr>
          <w:color w:val="0D0D0D"/>
        </w:rPr>
        <w:t>年度股权激励计划中第三个解锁期股票的 股份支付费用额予以冲销，冲销金额为</w:t>
      </w:r>
      <w:r>
        <w:rPr>
          <w:rFonts w:ascii="Times New Roman" w:hAnsi="Times New Roman" w:cs="Times New Roman" w:eastAsia="Times New Roman" w:hint="default"/>
          <w:color w:val="0D0D0D"/>
        </w:rPr>
        <w:t>1,161,519.08</w:t>
      </w:r>
      <w:r>
        <w:rPr>
          <w:color w:val="0D0D0D"/>
        </w:rPr>
        <w:t>元。</w:t>
      </w:r>
      <w:r>
        <w:rPr/>
      </w:r>
    </w:p>
    <w:p>
      <w:pPr>
        <w:spacing w:line="240" w:lineRule="auto" w:before="3"/>
        <w:rPr>
          <w:rFonts w:ascii="宋体" w:hAnsi="宋体" w:cs="宋体" w:eastAsia="宋体" w:hint="default"/>
          <w:sz w:val="20"/>
          <w:szCs w:val="20"/>
        </w:rPr>
      </w:pPr>
    </w:p>
    <w:p>
      <w:pPr>
        <w:pStyle w:val="Heading3"/>
        <w:spacing w:line="240" w:lineRule="auto"/>
        <w:ind w:right="1033"/>
        <w:jc w:val="left"/>
        <w:rPr>
          <w:b w:val="0"/>
          <w:bCs w:val="0"/>
        </w:rPr>
      </w:pPr>
      <w:bookmarkStart w:name="十四、承诺及或有事项" w:id="384"/>
      <w:bookmarkEnd w:id="38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重要承诺事项" w:id="385"/>
      <w:bookmarkEnd w:id="38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或有事项" w:id="386"/>
      <w:bookmarkEnd w:id="3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
        <w:rPr>
          <w:rFonts w:ascii="宋体" w:hAnsi="宋体" w:cs="宋体" w:eastAsia="宋体" w:hint="default"/>
          <w:sz w:val="25"/>
          <w:szCs w:val="25"/>
        </w:rPr>
      </w:pPr>
    </w:p>
    <w:p>
      <w:pPr>
        <w:pStyle w:val="Heading3"/>
        <w:spacing w:line="240" w:lineRule="auto"/>
        <w:ind w:left="154" w:right="1033"/>
        <w:jc w:val="left"/>
        <w:rPr>
          <w:b w:val="0"/>
          <w:bCs w:val="0"/>
        </w:rPr>
      </w:pPr>
      <w:bookmarkStart w:name="十五、资产负债表日后事项" w:id="387"/>
      <w:bookmarkEnd w:id="387"/>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利润分配情况" w:id="388"/>
      <w:bookmarkEnd w:id="388"/>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31,876,288.80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31,876,288.80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销售退回" w:id="389"/>
      <w:bookmarkEnd w:id="389"/>
      <w:r>
        <w:rPr>
          <w:b w:val="0"/>
          <w:bCs w:val="0"/>
        </w:rPr>
      </w:r>
      <w:r>
        <w:rPr>
          <w:rFonts w:ascii="Times New Roman" w:hAnsi="Times New Roman" w:cs="Times New Roman" w:eastAsia="Times New Roman" w:hint="default"/>
        </w:rPr>
        <w:t>2</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其他资产负债表日后事项说明" w:id="390"/>
      <w:bookmarkEnd w:id="390"/>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514" w:right="1033"/>
        <w:jc w:val="left"/>
      </w:pPr>
      <w:r>
        <w:rPr/>
        <w:t>（</w:t>
      </w:r>
      <w:r>
        <w:rPr>
          <w:rFonts w:ascii="Times New Roman" w:hAnsi="Times New Roman" w:cs="Times New Roman" w:eastAsia="Times New Roman" w:hint="default"/>
        </w:rPr>
        <w:t>1</w:t>
      </w:r>
      <w:r>
        <w:rPr/>
        <w:t>）限制性股票激励计划第二个解锁</w:t>
      </w:r>
    </w:p>
    <w:p>
      <w:pPr>
        <w:pStyle w:val="BodyText"/>
        <w:spacing w:line="240" w:lineRule="auto" w:before="151"/>
        <w:ind w:left="513" w:right="1033"/>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日第五届董事会第九次会议审议通过，限制性股票激励计划第二个解锁期解锁条件满足</w:t>
      </w:r>
      <w:r>
        <w:rPr>
          <w:rFonts w:ascii="Times New Roman" w:hAnsi="Times New Roman" w:cs="Times New Roman" w:eastAsia="Times New Roman" w:hint="default"/>
        </w:rPr>
        <w:t>,</w:t>
      </w:r>
      <w:r>
        <w:rPr/>
        <w:t>公司共</w:t>
      </w:r>
      <w:r>
        <w:rPr>
          <w:spacing w:val="-44"/>
        </w:rPr>
        <w:t> </w:t>
      </w:r>
      <w:r>
        <w:rPr>
          <w:rFonts w:ascii="Times New Roman" w:hAnsi="Times New Roman" w:cs="Times New Roman" w:eastAsia="Times New Roman" w:hint="default"/>
        </w:rPr>
        <w:t>70</w:t>
      </w:r>
      <w:r>
        <w:rPr>
          <w:rFonts w:ascii="Times New Roman" w:hAnsi="Times New Roman" w:cs="Times New Roman" w:eastAsia="Times New Roman" w:hint="default"/>
          <w:spacing w:val="3"/>
        </w:rPr>
        <w:t> </w:t>
      </w:r>
      <w:r>
        <w:rPr/>
        <w:t>名</w:t>
      </w:r>
    </w:p>
    <w:p>
      <w:pPr>
        <w:pStyle w:val="BodyText"/>
        <w:spacing w:line="338" w:lineRule="auto" w:before="100"/>
        <w:ind w:right="1114"/>
        <w:jc w:val="left"/>
      </w:pPr>
      <w:r>
        <w:rPr/>
        <w:t>激励对象在第一个解锁期实际可解锁</w:t>
      </w:r>
      <w:r>
        <w:rPr>
          <w:spacing w:val="-63"/>
        </w:rPr>
        <w:t> </w:t>
      </w:r>
      <w:r>
        <w:rPr>
          <w:rFonts w:ascii="Times New Roman" w:hAnsi="Times New Roman" w:cs="Times New Roman" w:eastAsia="Times New Roman" w:hint="default"/>
        </w:rPr>
        <w:t>886,583</w:t>
      </w:r>
      <w:r>
        <w:rPr>
          <w:rFonts w:ascii="Times New Roman" w:hAnsi="Times New Roman" w:cs="Times New Roman" w:eastAsia="Times New Roman" w:hint="default"/>
          <w:spacing w:val="-18"/>
        </w:rPr>
        <w:t> </w:t>
      </w:r>
      <w:r>
        <w:rPr/>
        <w:t>股，限制性股票根据股权激励计划相关规定，各激励对象在本期可解锁的限制 性股票数量占获授总数的比例均为</w:t>
      </w:r>
      <w:r>
        <w:rPr>
          <w:spacing w:val="-46"/>
        </w:rPr>
        <w:t> </w:t>
      </w:r>
      <w:r>
        <w:rPr>
          <w:rFonts w:ascii="Times New Roman" w:hAnsi="Times New Roman" w:cs="Times New Roman" w:eastAsia="Times New Roman" w:hint="default"/>
        </w:rPr>
        <w:t>30%</w:t>
      </w:r>
      <w:r>
        <w:rPr/>
        <w:t>。</w:t>
      </w:r>
    </w:p>
    <w:p>
      <w:pPr>
        <w:spacing w:after="0" w:line="338" w:lineRule="auto"/>
        <w:jc w:val="left"/>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left="513" w:right="1033"/>
        <w:jc w:val="left"/>
      </w:pPr>
      <w:r>
        <w:rPr/>
        <w:t>（</w:t>
      </w:r>
      <w:r>
        <w:rPr>
          <w:rFonts w:ascii="Times New Roman" w:hAnsi="Times New Roman" w:cs="Times New Roman" w:eastAsia="Times New Roman" w:hint="default"/>
        </w:rPr>
        <w:t>2</w:t>
      </w:r>
      <w:r>
        <w:rPr/>
        <w:t>）回购已离职股权激励对象所持已获授但尚未解锁的限制性股票</w:t>
      </w:r>
    </w:p>
    <w:p>
      <w:pPr>
        <w:pStyle w:val="BodyText"/>
        <w:spacing w:line="348" w:lineRule="auto" w:before="150"/>
        <w:ind w:right="1132"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t>日第五届董事会第九次会议审议通过，审议通过了《关于回购已离职股权激励对象所持已获授但尚未解 </w:t>
      </w:r>
      <w:r>
        <w:rPr>
          <w:spacing w:val="-2"/>
        </w:rPr>
        <w:t>锁的限制性股票的议案》，决定回购已离职股权激励对象吴一彬、张晓丹、包典、罗鹏、麦卫冲、徐雷、崔冬青、廖海波八</w:t>
      </w:r>
      <w:r>
        <w:rPr>
          <w:spacing w:val="-69"/>
        </w:rPr>
        <w:t> </w:t>
      </w:r>
      <w:r>
        <w:rPr>
          <w:spacing w:val="-69"/>
        </w:rPr>
      </w:r>
      <w:r>
        <w:rPr/>
        <w:t>人所持</w:t>
      </w:r>
      <w:r>
        <w:rPr>
          <w:spacing w:val="-46"/>
        </w:rPr>
        <w:t> </w:t>
      </w:r>
      <w:r>
        <w:rPr>
          <w:rFonts w:ascii="Times New Roman" w:hAnsi="Times New Roman" w:cs="Times New Roman" w:eastAsia="Times New Roman" w:hint="default"/>
        </w:rPr>
        <w:t>281,025</w:t>
      </w:r>
      <w:r>
        <w:rPr>
          <w:rFonts w:ascii="Times New Roman" w:hAnsi="Times New Roman" w:cs="Times New Roman" w:eastAsia="Times New Roman" w:hint="default"/>
          <w:spacing w:val="-1"/>
        </w:rPr>
        <w:t> </w:t>
      </w:r>
      <w:r>
        <w:rPr/>
        <w:t>股已获授但尚未解锁的限制性股票。</w:t>
      </w:r>
    </w:p>
    <w:p>
      <w:pPr>
        <w:pStyle w:val="BodyText"/>
        <w:spacing w:line="240" w:lineRule="auto" w:before="61"/>
        <w:ind w:left="513" w:right="1033"/>
        <w:jc w:val="left"/>
      </w:pPr>
      <w:r>
        <w:rPr/>
        <w:t>公司于</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3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日实施</w:t>
      </w:r>
      <w:r>
        <w:rPr>
          <w:spacing w:val="-3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年度利润分配方案：以公司总股本</w:t>
      </w:r>
      <w:r>
        <w:rPr>
          <w:spacing w:val="-30"/>
        </w:rPr>
        <w:t> </w:t>
      </w:r>
      <w:r>
        <w:rPr>
          <w:rFonts w:ascii="Times New Roman" w:hAnsi="Times New Roman" w:cs="Times New Roman" w:eastAsia="Times New Roman" w:hint="default"/>
        </w:rPr>
        <w:t>241,227,000</w:t>
      </w:r>
      <w:r>
        <w:rPr>
          <w:rFonts w:ascii="Times New Roman" w:hAnsi="Times New Roman" w:cs="Times New Roman" w:eastAsia="Times New Roman" w:hint="default"/>
          <w:spacing w:val="14"/>
        </w:rPr>
        <w:t> </w:t>
      </w:r>
      <w:r>
        <w:rPr/>
        <w:t>股为基数，向全体股东每</w:t>
      </w:r>
      <w:r>
        <w:rPr>
          <w:spacing w:val="-30"/>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w:t>
      </w:r>
    </w:p>
    <w:p>
      <w:pPr>
        <w:pStyle w:val="BodyText"/>
        <w:spacing w:line="240" w:lineRule="auto" w:before="100"/>
        <w:ind w:right="1033"/>
        <w:jc w:val="left"/>
      </w:pPr>
      <w:r>
        <w:rPr>
          <w:rFonts w:ascii="Times New Roman" w:hAnsi="Times New Roman" w:cs="Times New Roman" w:eastAsia="Times New Roman" w:hint="default"/>
        </w:rPr>
        <w:t>4.000663 </w:t>
      </w:r>
      <w:r>
        <w:rPr>
          <w:spacing w:val="-7"/>
        </w:rPr>
        <w:t>元人民币现金（含税），同时，以资本公积金向全体股东每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10.001650</w:t>
      </w:r>
      <w:r>
        <w:rPr>
          <w:rFonts w:ascii="Times New Roman" w:hAnsi="Times New Roman" w:cs="Times New Roman" w:eastAsia="Times New Roman" w:hint="default"/>
          <w:spacing w:val="-1"/>
        </w:rPr>
        <w:t> </w:t>
      </w:r>
      <w:r>
        <w:rPr>
          <w:spacing w:val="-11"/>
        </w:rPr>
        <w:t>股。根据</w:t>
      </w:r>
      <w:r>
        <w:rPr>
          <w:spacing w:val="-46"/>
        </w:rPr>
        <w:t> </w:t>
      </w:r>
      <w:r>
        <w:rPr>
          <w:rFonts w:ascii="Times New Roman" w:hAnsi="Times New Roman" w:cs="Times New Roman" w:eastAsia="Times New Roman" w:hint="default"/>
        </w:rPr>
        <w:t>2013 </w:t>
      </w:r>
      <w:r>
        <w:rPr/>
        <w:t>年度利润分配方案，</w:t>
      </w:r>
    </w:p>
    <w:p>
      <w:pPr>
        <w:pStyle w:val="BodyText"/>
        <w:spacing w:line="240" w:lineRule="auto" w:before="101"/>
        <w:ind w:right="1033"/>
        <w:jc w:val="left"/>
        <w:rPr>
          <w:rFonts w:ascii="Times New Roman" w:hAnsi="Times New Roman" w:cs="Times New Roman" w:eastAsia="Times New Roman" w:hint="default"/>
        </w:rPr>
      </w:pPr>
      <w:r>
        <w:rPr/>
        <w:t>第一次股份回购价格调整为</w:t>
      </w:r>
      <w:r>
        <w:rPr>
          <w:spacing w:val="-58"/>
        </w:rPr>
        <w:t> </w:t>
      </w:r>
      <w:r>
        <w:rPr>
          <w:rFonts w:ascii="Times New Roman" w:hAnsi="Times New Roman" w:cs="Times New Roman" w:eastAsia="Times New Roman" w:hint="default"/>
        </w:rPr>
        <w:t>5.244</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r>
        <w:rPr>
          <w:spacing w:val="-90"/>
        </w:rPr>
        <w:t>。</w:t>
      </w:r>
      <w:r>
        <w:rPr/>
        <w:t>公司于</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日实施</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年度利润分配方案</w:t>
      </w:r>
      <w:r>
        <w:rPr>
          <w:spacing w:val="-90"/>
        </w:rPr>
        <w:t>：</w:t>
      </w:r>
      <w:r>
        <w:rPr/>
        <w:t>以公司现有总股本</w:t>
      </w:r>
      <w:r>
        <w:rPr>
          <w:spacing w:val="-56"/>
        </w:rPr>
        <w:t> </w:t>
      </w:r>
      <w:r>
        <w:rPr>
          <w:rFonts w:ascii="Times New Roman" w:hAnsi="Times New Roman" w:cs="Times New Roman" w:eastAsia="Times New Roman" w:hint="default"/>
        </w:rPr>
        <w:t>482,</w:t>
      </w:r>
      <w:r>
        <w:rPr>
          <w:rFonts w:ascii="Times New Roman" w:hAnsi="Times New Roman" w:cs="Times New Roman" w:eastAsia="Times New Roman" w:hint="default"/>
          <w:spacing w:val="-2"/>
        </w:rPr>
        <w:t>2</w:t>
      </w:r>
      <w:r>
        <w:rPr>
          <w:rFonts w:ascii="Times New Roman" w:hAnsi="Times New Roman" w:cs="Times New Roman" w:eastAsia="Times New Roman" w:hint="default"/>
        </w:rPr>
        <w:t>38,7</w:t>
      </w:r>
      <w:r>
        <w:rPr>
          <w:rFonts w:ascii="Times New Roman" w:hAnsi="Times New Roman" w:cs="Times New Roman" w:eastAsia="Times New Roman" w:hint="default"/>
          <w:spacing w:val="1"/>
        </w:rPr>
        <w:t>8</w:t>
      </w:r>
      <w:r>
        <w:rPr>
          <w:rFonts w:ascii="Times New Roman" w:hAnsi="Times New Roman" w:cs="Times New Roman" w:eastAsia="Times New Roman" w:hint="default"/>
        </w:rPr>
        <w:t>2</w:t>
      </w:r>
    </w:p>
    <w:p>
      <w:pPr>
        <w:pStyle w:val="BodyText"/>
        <w:spacing w:line="338" w:lineRule="auto" w:before="101"/>
        <w:ind w:right="1118"/>
        <w:jc w:val="left"/>
      </w:pPr>
      <w:r>
        <w:rPr/>
        <w:t>股为基数，向全体股东每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w:t>
      </w:r>
      <w:r>
        <w:rPr>
          <w:spacing w:val="-39"/>
        </w:rPr>
        <w:t> </w:t>
      </w:r>
      <w:r>
        <w:rPr>
          <w:rFonts w:ascii="Times New Roman" w:hAnsi="Times New Roman" w:cs="Times New Roman" w:eastAsia="Times New Roman" w:hint="default"/>
        </w:rPr>
        <w:t>1.80</w:t>
      </w:r>
      <w:r>
        <w:rPr>
          <w:rFonts w:ascii="Times New Roman" w:hAnsi="Times New Roman" w:cs="Times New Roman" w:eastAsia="Times New Roman" w:hint="default"/>
          <w:spacing w:val="6"/>
        </w:rPr>
        <w:t> </w:t>
      </w:r>
      <w:r>
        <w:rPr/>
        <w:t>元人民币现金（含税），同时，以资本公积金向全体股东每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股。本次股 份回购价格调整过程如下</w:t>
      </w:r>
    </w:p>
    <w:p>
      <w:pPr>
        <w:pStyle w:val="BodyText"/>
        <w:spacing w:line="240" w:lineRule="auto" w:before="90"/>
        <w:ind w:left="513" w:right="1033"/>
        <w:jc w:val="left"/>
      </w:pPr>
      <w:r>
        <w:rPr>
          <w:rFonts w:ascii="Times New Roman" w:hAnsi="Times New Roman" w:cs="Times New Roman" w:eastAsia="Times New Roman" w:hint="default"/>
        </w:rPr>
        <w:t>P=(P0-V )/(1+N)=  </w:t>
      </w:r>
      <w:r>
        <w:rPr/>
        <w:t>（</w:t>
      </w:r>
      <w:r>
        <w:rPr>
          <w:rFonts w:ascii="Times New Roman" w:hAnsi="Times New Roman" w:cs="Times New Roman" w:eastAsia="Times New Roman" w:hint="default"/>
        </w:rPr>
        <w:t>5.244-0.18</w:t>
      </w:r>
      <w:r>
        <w:rPr/>
        <w:t>）</w:t>
      </w:r>
      <w:r>
        <w:rPr>
          <w:rFonts w:ascii="Times New Roman" w:hAnsi="Times New Roman" w:cs="Times New Roman" w:eastAsia="Times New Roman" w:hint="default"/>
        </w:rPr>
        <w:t>/(1+0.5)=3.376</w:t>
      </w:r>
      <w:r>
        <w:rPr>
          <w:rFonts w:ascii="Times New Roman" w:hAnsi="Times New Roman" w:cs="Times New Roman" w:eastAsia="Times New Roman" w:hint="default"/>
          <w:spacing w:val="37"/>
        </w:rPr>
        <w:t> </w:t>
      </w:r>
      <w:r>
        <w:rPr/>
        <w:t>元</w:t>
      </w:r>
    </w:p>
    <w:p>
      <w:pPr>
        <w:pStyle w:val="BodyText"/>
        <w:spacing w:line="386" w:lineRule="auto" w:before="150"/>
        <w:ind w:left="513" w:right="4272"/>
        <w:jc w:val="left"/>
      </w:pPr>
      <w:r>
        <w:rPr/>
        <w:t>其中，</w:t>
      </w:r>
      <w:r>
        <w:rPr>
          <w:rFonts w:ascii="Times New Roman" w:hAnsi="Times New Roman" w:cs="Times New Roman" w:eastAsia="Times New Roman" w:hint="default"/>
        </w:rPr>
        <w:t>P0 </w:t>
      </w:r>
      <w:r>
        <w:rPr/>
        <w:t>为第一次回购价格；</w:t>
      </w:r>
      <w:r>
        <w:rPr>
          <w:rFonts w:ascii="Times New Roman" w:hAnsi="Times New Roman" w:cs="Times New Roman" w:eastAsia="Times New Roman" w:hint="default"/>
        </w:rPr>
        <w:t>V </w:t>
      </w:r>
      <w:r>
        <w:rPr/>
        <w:t>为每股的派息额；</w:t>
      </w:r>
      <w:r>
        <w:rPr>
          <w:rFonts w:ascii="Times New Roman" w:hAnsi="Times New Roman" w:cs="Times New Roman" w:eastAsia="Times New Roman" w:hint="default"/>
        </w:rPr>
        <w:t>N</w:t>
      </w:r>
      <w:r>
        <w:rPr>
          <w:rFonts w:ascii="Times New Roman" w:hAnsi="Times New Roman" w:cs="Times New Roman" w:eastAsia="Times New Roman" w:hint="default"/>
          <w:spacing w:val="41"/>
        </w:rPr>
        <w:t> </w:t>
      </w:r>
      <w:r>
        <w:rPr/>
        <w:t>为每股的资本公积转增 股本的比例；</w:t>
      </w:r>
      <w:r>
        <w:rPr>
          <w:rFonts w:ascii="Times New Roman" w:hAnsi="Times New Roman" w:cs="Times New Roman" w:eastAsia="Times New Roman" w:hint="default"/>
        </w:rPr>
        <w:t>P</w:t>
      </w:r>
      <w:r>
        <w:rPr>
          <w:rFonts w:ascii="Times New Roman" w:hAnsi="Times New Roman" w:cs="Times New Roman" w:eastAsia="Times New Roman" w:hint="default"/>
          <w:spacing w:val="43"/>
        </w:rPr>
        <w:t> </w:t>
      </w:r>
      <w:r>
        <w:rPr/>
        <w:t>为本次回购价格；</w:t>
      </w:r>
    </w:p>
    <w:p>
      <w:pPr>
        <w:pStyle w:val="BodyText"/>
        <w:spacing w:line="240" w:lineRule="auto" w:before="29"/>
        <w:ind w:left="513" w:right="1033"/>
        <w:jc w:val="left"/>
        <w:rPr>
          <w:rFonts w:ascii="Times New Roman" w:hAnsi="Times New Roman" w:cs="Times New Roman" w:eastAsia="Times New Roman" w:hint="default"/>
        </w:rPr>
      </w:pPr>
      <w:r>
        <w:rPr/>
        <w:t>因此</w:t>
      </w:r>
      <w:r>
        <w:rPr>
          <w:spacing w:val="-89"/>
        </w:rPr>
        <w:t>，</w:t>
      </w:r>
      <w:r>
        <w:rPr/>
        <w:t>针对 </w:t>
      </w:r>
      <w:r>
        <w:rPr>
          <w:rFonts w:ascii="Times New Roman" w:hAnsi="Times New Roman" w:cs="Times New Roman" w:eastAsia="Times New Roman" w:hint="default"/>
        </w:rPr>
        <w:t>2013  </w:t>
      </w:r>
      <w:r>
        <w:rPr/>
        <w:t>年度股权激励计划授予股份本次回购价格调整为 </w:t>
      </w:r>
      <w:r>
        <w:rPr>
          <w:rFonts w:ascii="Times New Roman" w:hAnsi="Times New Roman" w:cs="Times New Roman" w:eastAsia="Times New Roman" w:hint="default"/>
        </w:rPr>
        <w:t>3.376 </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r>
        <w:rPr>
          <w:spacing w:val="-89"/>
        </w:rPr>
        <w:t>，</w:t>
      </w:r>
      <w:r>
        <w:rPr>
          <w:rFonts w:ascii="Times New Roman" w:hAnsi="Times New Roman" w:cs="Times New Roman" w:eastAsia="Times New Roman" w:hint="default"/>
        </w:rPr>
        <w:t>2015  </w:t>
      </w:r>
      <w:r>
        <w:rPr/>
        <w:t>年度股权激励计划授予日为 </w:t>
      </w:r>
      <w:r>
        <w:rPr>
          <w:rFonts w:ascii="Times New Roman" w:hAnsi="Times New Roman" w:cs="Times New Roman" w:eastAsia="Times New Roman" w:hint="default"/>
        </w:rPr>
        <w:t>2015</w:t>
      </w:r>
    </w:p>
    <w:p>
      <w:pPr>
        <w:pStyle w:val="BodyText"/>
        <w:spacing w:line="240" w:lineRule="auto" w:before="100"/>
        <w:ind w:right="1033"/>
        <w:jc w:val="left"/>
      </w:pP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18  </w:t>
      </w:r>
      <w:r>
        <w:rPr>
          <w:spacing w:val="6"/>
        </w:rPr>
        <w:t>日，本次回购价格仍为授予价格 </w:t>
      </w:r>
      <w:r>
        <w:rPr>
          <w:rFonts w:ascii="Times New Roman" w:hAnsi="Times New Roman" w:cs="Times New Roman" w:eastAsia="Times New Roman" w:hint="default"/>
        </w:rPr>
        <w:t>7.12  </w:t>
      </w:r>
      <w:r>
        <w:rPr>
          <w:rFonts w:ascii="Times New Roman" w:hAnsi="Times New Roman" w:cs="Times New Roman" w:eastAsia="Times New Roman" w:hint="default"/>
          <w:spacing w:val="38"/>
        </w:rPr>
        <w:t> </w:t>
      </w:r>
      <w:r>
        <w:rPr>
          <w:spacing w:val="6"/>
        </w:rPr>
        <w:t>元</w:t>
      </w:r>
      <w:r>
        <w:rPr>
          <w:rFonts w:ascii="Times New Roman" w:hAnsi="Times New Roman" w:cs="Times New Roman" w:eastAsia="Times New Roman" w:hint="default"/>
          <w:spacing w:val="6"/>
        </w:rPr>
        <w:t>/</w:t>
      </w:r>
      <w:r>
        <w:rPr>
          <w:spacing w:val="6"/>
        </w:rPr>
        <w:t>股。公司应就本次限制性股票回购向上述八人支付回购价款共计</w:t>
      </w:r>
    </w:p>
    <w:p>
      <w:pPr>
        <w:pStyle w:val="BodyText"/>
        <w:spacing w:line="240" w:lineRule="auto" w:before="102"/>
        <w:ind w:right="1033"/>
        <w:jc w:val="left"/>
      </w:pPr>
      <w:r>
        <w:rPr>
          <w:rFonts w:ascii="Times New Roman" w:hAnsi="Times New Roman" w:cs="Times New Roman" w:eastAsia="Times New Roman" w:hint="default"/>
        </w:rPr>
        <w:t>1,135,940.40</w:t>
      </w:r>
      <w:r>
        <w:rPr>
          <w:rFonts w:ascii="Times New Roman" w:hAnsi="Times New Roman" w:cs="Times New Roman" w:eastAsia="Times New Roman" w:hint="default"/>
          <w:spacing w:val="-2"/>
        </w:rPr>
        <w:t> </w:t>
      </w:r>
      <w:r>
        <w:rPr/>
        <w:t>元，公司将使用自有资金进行回购。</w:t>
      </w:r>
    </w:p>
    <w:p>
      <w:pPr>
        <w:pStyle w:val="BodyText"/>
        <w:spacing w:line="240" w:lineRule="auto" w:before="150"/>
        <w:ind w:left="513" w:right="1033"/>
        <w:jc w:val="left"/>
      </w:pPr>
      <w:r>
        <w:rPr/>
        <w:t>（</w:t>
      </w:r>
      <w:r>
        <w:rPr>
          <w:rFonts w:ascii="Times New Roman" w:hAnsi="Times New Roman" w:cs="Times New Roman" w:eastAsia="Times New Roman" w:hint="default"/>
        </w:rPr>
        <w:t>3</w:t>
      </w:r>
      <w:r>
        <w:rPr/>
        <w:t>）关于公司募集资金投资项目增加实施主体的议案</w:t>
      </w:r>
    </w:p>
    <w:p>
      <w:pPr>
        <w:pStyle w:val="BodyText"/>
        <w:spacing w:line="338" w:lineRule="auto" w:before="151"/>
        <w:ind w:right="1127" w:firstLine="360"/>
        <w:jc w:val="both"/>
      </w:pPr>
      <w:r>
        <w:rPr/>
        <w:t>本公司之募投项目</w:t>
      </w:r>
      <w:r>
        <w:rPr>
          <w:spacing w:val="80"/>
        </w:rPr>
        <w:t> </w:t>
      </w:r>
      <w:r>
        <w:rPr>
          <w:rFonts w:ascii="Times New Roman" w:hAnsi="Times New Roman" w:cs="Times New Roman" w:eastAsia="Times New Roman" w:hint="default"/>
        </w:rPr>
        <w:t>“</w:t>
      </w:r>
      <w:r>
        <w:rPr/>
        <w:t>企业云统一通信服务项目</w:t>
      </w:r>
      <w:r>
        <w:rPr>
          <w:rFonts w:ascii="Times New Roman" w:hAnsi="Times New Roman" w:cs="Times New Roman" w:eastAsia="Times New Roman" w:hint="default"/>
        </w:rPr>
        <w:t>”</w:t>
      </w:r>
      <w:r>
        <w:rPr/>
        <w:t>实施主体为公司全资子公司</w:t>
      </w:r>
      <w:r>
        <w:rPr>
          <w:rFonts w:ascii="Times New Roman" w:hAnsi="Times New Roman" w:cs="Times New Roman" w:eastAsia="Times New Roman" w:hint="default"/>
        </w:rPr>
        <w:t>-</w:t>
      </w:r>
      <w:r>
        <w:rPr/>
        <w:t>北京二六三企业通信有限公司</w:t>
      </w:r>
      <w:r>
        <w:rPr>
          <w:rFonts w:ascii="Times New Roman" w:hAnsi="Times New Roman" w:cs="Times New Roman" w:eastAsia="Times New Roman" w:hint="default"/>
        </w:rPr>
        <w:t>,</w:t>
      </w:r>
      <w:r>
        <w:rPr/>
        <w:t>现为提高项 目建设效率及便于对募集资金使用的管理，经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日第五届董事会第九次会议审议通过</w:t>
      </w:r>
      <w:r>
        <w:rPr>
          <w:rFonts w:ascii="Times New Roman" w:hAnsi="Times New Roman" w:cs="Times New Roman" w:eastAsia="Times New Roman" w:hint="default"/>
        </w:rPr>
        <w:t>,</w:t>
      </w:r>
      <w:r>
        <w:rPr/>
        <w:t>将亦向企业用户提供 </w:t>
      </w:r>
      <w:r>
        <w:rPr>
          <w:spacing w:val="2"/>
        </w:rPr>
        <w:t>通信服务的另一公司全资子公司</w:t>
      </w:r>
      <w:r>
        <w:rPr>
          <w:rFonts w:ascii="Times New Roman" w:hAnsi="Times New Roman" w:cs="Times New Roman" w:eastAsia="Times New Roman" w:hint="default"/>
          <w:spacing w:val="2"/>
        </w:rPr>
        <w:t>-</w:t>
      </w:r>
      <w:r>
        <w:rPr>
          <w:spacing w:val="2"/>
        </w:rPr>
        <w:t>上海二六三通信有限公司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上海二六三</w:t>
      </w:r>
      <w:r>
        <w:rPr>
          <w:rFonts w:ascii="Times New Roman" w:hAnsi="Times New Roman" w:cs="Times New Roman" w:eastAsia="Times New Roman" w:hint="default"/>
          <w:spacing w:val="2"/>
        </w:rPr>
        <w:t>”)</w:t>
      </w:r>
      <w:r>
        <w:rPr>
          <w:spacing w:val="2"/>
        </w:rPr>
        <w:t>增加为</w:t>
      </w:r>
      <w:r>
        <w:rPr>
          <w:rFonts w:ascii="Times New Roman" w:hAnsi="Times New Roman" w:cs="Times New Roman" w:eastAsia="Times New Roman" w:hint="default"/>
          <w:spacing w:val="2"/>
        </w:rPr>
        <w:t>“</w:t>
      </w:r>
      <w:r>
        <w:rPr>
          <w:spacing w:val="2"/>
        </w:rPr>
        <w:t>企业云统一通信服务项目</w:t>
      </w:r>
      <w:r>
        <w:rPr>
          <w:rFonts w:ascii="Times New Roman" w:hAnsi="Times New Roman" w:cs="Times New Roman" w:eastAsia="Times New Roman" w:hint="default"/>
          <w:spacing w:val="2"/>
        </w:rPr>
        <w:t>”</w:t>
      </w:r>
      <w:r>
        <w:rPr>
          <w:spacing w:val="2"/>
        </w:rPr>
        <w:t>的实</w:t>
      </w:r>
      <w:r>
        <w:rPr>
          <w:spacing w:val="-80"/>
        </w:rPr>
        <w:t> </w:t>
      </w:r>
      <w:r>
        <w:rPr/>
        <w:t>施主体。</w:t>
      </w:r>
    </w:p>
    <w:p>
      <w:pPr>
        <w:pStyle w:val="BodyText"/>
        <w:spacing w:line="343" w:lineRule="auto" w:before="91"/>
        <w:ind w:right="1033" w:firstLine="360"/>
        <w:jc w:val="left"/>
      </w:pPr>
      <w:r>
        <w:rPr/>
        <w:t>本次募集资金投资项目增加实施主体将通过公司以募集资金</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亿元向上海二六三增加注册资金的方式，由上海二六三进</w:t>
      </w:r>
      <w:r>
        <w:rPr/>
        <w:t> 行</w:t>
      </w:r>
      <w:r>
        <w:rPr>
          <w:rFonts w:ascii="Times New Roman" w:hAnsi="Times New Roman" w:cs="Times New Roman" w:eastAsia="Times New Roman" w:hint="default"/>
        </w:rPr>
        <w:t>“</w:t>
      </w:r>
      <w:r>
        <w:rPr/>
        <w:t>企业云统一通信服务项目</w:t>
      </w:r>
      <w:r>
        <w:rPr>
          <w:rFonts w:ascii="Times New Roman" w:hAnsi="Times New Roman" w:cs="Times New Roman" w:eastAsia="Times New Roman" w:hint="default"/>
        </w:rPr>
        <w:t>”</w:t>
      </w:r>
      <w:r>
        <w:rPr/>
        <w:t>募投项目的部分实施，主要是企业云统一通信服务中的典型大企业客户的基础通信集成服务。</w:t>
      </w:r>
      <w:r>
        <w:rPr>
          <w:spacing w:val="-67"/>
        </w:rPr>
        <w:t> </w:t>
      </w:r>
      <w:r>
        <w:rPr>
          <w:spacing w:val="-67"/>
        </w:rPr>
      </w:r>
      <w:r>
        <w:rPr>
          <w:spacing w:val="-2"/>
        </w:rPr>
        <w:t>同时，为保证募集资金安全，上海二六三将设立募集资金专用账户，用于存放上述募集资金，公司和上海二六三作为共同一</w:t>
      </w:r>
      <w:r>
        <w:rPr>
          <w:spacing w:val="-66"/>
        </w:rPr>
        <w:t> </w:t>
      </w:r>
      <w:r>
        <w:rPr>
          <w:spacing w:val="-66"/>
        </w:rPr>
      </w:r>
      <w:r>
        <w:rPr/>
        <w:t>方与银行及保荐机构签订《募集资金三方监管协议》。</w:t>
      </w:r>
    </w:p>
    <w:p>
      <w:pPr>
        <w:pStyle w:val="BodyText"/>
        <w:spacing w:line="240" w:lineRule="auto" w:before="86"/>
        <w:ind w:left="514" w:right="1033"/>
        <w:jc w:val="left"/>
      </w:pPr>
      <w:r>
        <w:rPr/>
        <w:t>（</w:t>
      </w:r>
      <w:r>
        <w:rPr>
          <w:rFonts w:ascii="Times New Roman" w:hAnsi="Times New Roman" w:cs="Times New Roman" w:eastAsia="Times New Roman" w:hint="default"/>
        </w:rPr>
        <w:t>4</w:t>
      </w:r>
      <w:r>
        <w:rPr/>
        <w:t>）关于公司向三家全资子公司增资的议案</w:t>
      </w:r>
    </w:p>
    <w:p>
      <w:pPr>
        <w:pStyle w:val="BodyText"/>
        <w:spacing w:line="240" w:lineRule="auto" w:before="151"/>
        <w:ind w:left="514" w:right="1033"/>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15"/>
        </w:rPr>
        <w:t> </w:t>
      </w:r>
      <w:r>
        <w:rPr/>
        <w:t>日第五届董事会第九次会议审议通过《关于公司向三家全资子公司增资的议案》，向全资子公司企业通</w:t>
      </w:r>
    </w:p>
    <w:p>
      <w:pPr>
        <w:pStyle w:val="BodyText"/>
        <w:spacing w:line="240" w:lineRule="auto" w:before="100"/>
        <w:ind w:left="154" w:right="1033"/>
        <w:jc w:val="left"/>
      </w:pPr>
      <w:r>
        <w:rPr/>
        <w:t>信增资</w:t>
      </w:r>
      <w:r>
        <w:rPr>
          <w:spacing w:val="-60"/>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5"/>
        </w:rPr>
        <w:t> </w:t>
      </w:r>
      <w:r>
        <w:rPr/>
        <w:t>万元，用于其投资企业云统一通信服务项目的使用；向全资子公司上海二六三增资</w:t>
      </w:r>
      <w:r>
        <w:rPr>
          <w:spacing w:val="-59"/>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5"/>
        </w:rPr>
        <w:t> </w:t>
      </w:r>
      <w:r>
        <w:rPr>
          <w:spacing w:val="-5"/>
        </w:rPr>
        <w:t>万元，用于其</w:t>
      </w:r>
    </w:p>
    <w:p>
      <w:pPr>
        <w:pStyle w:val="BodyText"/>
        <w:spacing w:line="338" w:lineRule="auto" w:before="101"/>
        <w:ind w:right="1117"/>
        <w:jc w:val="left"/>
      </w:pPr>
      <w:r>
        <w:rPr/>
        <w:t>投资企业云统一通信服务项目的使用；向全资子公司广州二六三增资</w:t>
      </w:r>
      <w:r>
        <w:rPr>
          <w:spacing w:val="-42"/>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t>万元，用于其投资全球华人移动通信服务项 目的使用。</w:t>
      </w:r>
    </w:p>
    <w:p>
      <w:pPr>
        <w:pStyle w:val="BodyText"/>
        <w:spacing w:line="240" w:lineRule="auto" w:before="90"/>
        <w:ind w:left="513" w:right="1033"/>
        <w:jc w:val="left"/>
      </w:pPr>
      <w:r>
        <w:rPr/>
        <w:t>（</w:t>
      </w:r>
      <w:r>
        <w:rPr>
          <w:rFonts w:ascii="Times New Roman" w:hAnsi="Times New Roman" w:cs="Times New Roman" w:eastAsia="Times New Roman" w:hint="default"/>
        </w:rPr>
        <w:t>5</w:t>
      </w:r>
      <w:r>
        <w:rPr/>
        <w:t>）关于公司全资孙公司向</w:t>
      </w:r>
      <w:r>
        <w:rPr>
          <w:spacing w:val="-48"/>
        </w:rPr>
        <w:t> </w:t>
      </w:r>
      <w:r>
        <w:rPr>
          <w:rFonts w:ascii="Times New Roman" w:hAnsi="Times New Roman" w:cs="Times New Roman" w:eastAsia="Times New Roman" w:hint="default"/>
        </w:rPr>
        <w:t>Old</w:t>
      </w:r>
      <w:r>
        <w:rPr>
          <w:rFonts w:ascii="Times New Roman" w:hAnsi="Times New Roman" w:cs="Times New Roman" w:eastAsia="Times New Roman" w:hint="default"/>
          <w:spacing w:val="-2"/>
        </w:rPr>
        <w:t> </w:t>
      </w:r>
      <w:r>
        <w:rPr>
          <w:rFonts w:ascii="Times New Roman" w:hAnsi="Times New Roman" w:cs="Times New Roman" w:eastAsia="Times New Roman" w:hint="default"/>
        </w:rPr>
        <w:t>Dominion</w:t>
      </w:r>
      <w:r>
        <w:rPr>
          <w:rFonts w:ascii="Times New Roman" w:hAnsi="Times New Roman" w:cs="Times New Roman" w:eastAsia="Times New Roman" w:hint="default"/>
          <w:spacing w:val="-2"/>
        </w:rPr>
        <w:t> </w:t>
      </w:r>
      <w:r>
        <w:rPr>
          <w:rFonts w:ascii="Times New Roman" w:hAnsi="Times New Roman" w:cs="Times New Roman" w:eastAsia="Times New Roman" w:hint="default"/>
        </w:rPr>
        <w:t>National</w:t>
      </w:r>
      <w:r>
        <w:rPr>
          <w:rFonts w:ascii="Times New Roman" w:hAnsi="Times New Roman" w:cs="Times New Roman" w:eastAsia="Times New Roman" w:hint="default"/>
          <w:spacing w:val="-1"/>
        </w:rPr>
        <w:t> </w:t>
      </w:r>
      <w:r>
        <w:rPr>
          <w:rFonts w:ascii="Times New Roman" w:hAnsi="Times New Roman" w:cs="Times New Roman" w:eastAsia="Times New Roman" w:hint="default"/>
        </w:rPr>
        <w:t>Bank</w:t>
      </w:r>
      <w:r>
        <w:rPr>
          <w:rFonts w:ascii="Times New Roman" w:hAnsi="Times New Roman" w:cs="Times New Roman" w:eastAsia="Times New Roman" w:hint="default"/>
          <w:spacing w:val="-1"/>
        </w:rPr>
        <w:t> </w:t>
      </w:r>
      <w:r>
        <w:rPr/>
        <w:t>投资的议案</w:t>
      </w:r>
    </w:p>
    <w:p>
      <w:pPr>
        <w:pStyle w:val="BodyText"/>
        <w:spacing w:line="240" w:lineRule="auto" w:before="150"/>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日第五届董事会第九次会议审议通过《关于公司全资孙公司向</w:t>
      </w:r>
      <w:r>
        <w:rPr>
          <w:spacing w:val="-47"/>
        </w:rPr>
        <w:t> </w:t>
      </w:r>
      <w:r>
        <w:rPr>
          <w:rFonts w:ascii="Times New Roman" w:hAnsi="Times New Roman" w:cs="Times New Roman" w:eastAsia="Times New Roman" w:hint="default"/>
        </w:rPr>
        <w:t>Old</w:t>
      </w:r>
      <w:r>
        <w:rPr>
          <w:rFonts w:ascii="Times New Roman" w:hAnsi="Times New Roman" w:cs="Times New Roman" w:eastAsia="Times New Roman" w:hint="default"/>
          <w:spacing w:val="25"/>
        </w:rPr>
        <w:t> </w:t>
      </w:r>
      <w:r>
        <w:rPr>
          <w:rFonts w:ascii="Times New Roman" w:hAnsi="Times New Roman" w:cs="Times New Roman" w:eastAsia="Times New Roman" w:hint="default"/>
        </w:rPr>
        <w:t>Dominion</w:t>
      </w:r>
      <w:r>
        <w:rPr>
          <w:rFonts w:ascii="Times New Roman" w:hAnsi="Times New Roman" w:cs="Times New Roman" w:eastAsia="Times New Roman" w:hint="default"/>
          <w:spacing w:val="25"/>
        </w:rPr>
        <w:t> </w:t>
      </w:r>
      <w:r>
        <w:rPr>
          <w:rFonts w:ascii="Times New Roman" w:hAnsi="Times New Roman" w:cs="Times New Roman" w:eastAsia="Times New Roman" w:hint="default"/>
        </w:rPr>
        <w:t>National</w:t>
      </w:r>
      <w:r>
        <w:rPr>
          <w:rFonts w:ascii="Times New Roman" w:hAnsi="Times New Roman" w:cs="Times New Roman" w:eastAsia="Times New Roman" w:hint="default"/>
          <w:spacing w:val="24"/>
        </w:rPr>
        <w:t> </w:t>
      </w:r>
      <w:r>
        <w:rPr>
          <w:rFonts w:ascii="Times New Roman" w:hAnsi="Times New Roman" w:cs="Times New Roman" w:eastAsia="Times New Roman" w:hint="default"/>
        </w:rPr>
        <w:t>Bank </w:t>
      </w:r>
      <w:r>
        <w:rPr/>
        <w:t>投资的议案》</w:t>
      </w:r>
    </w:p>
    <w:p>
      <w:pPr>
        <w:pStyle w:val="BodyText"/>
        <w:spacing w:line="338" w:lineRule="auto" w:before="100"/>
        <w:ind w:right="1131"/>
        <w:jc w:val="left"/>
      </w:pPr>
      <w:r>
        <w:rPr/>
        <w:t>（以下简称</w:t>
      </w:r>
      <w:r>
        <w:rPr>
          <w:rFonts w:ascii="Times New Roman" w:hAnsi="Times New Roman" w:cs="Times New Roman" w:eastAsia="Times New Roman" w:hint="default"/>
        </w:rPr>
        <w:t>”ODNB”</w:t>
      </w:r>
      <w:r>
        <w:rPr/>
        <w:t>），由公司之全资孙公司</w:t>
      </w:r>
      <w:r>
        <w:rPr>
          <w:spacing w:val="-48"/>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
        </w:rPr>
        <w:t> </w:t>
      </w:r>
      <w:r>
        <w:rPr>
          <w:rFonts w:ascii="Times New Roman" w:hAnsi="Times New Roman" w:cs="Times New Roman" w:eastAsia="Times New Roman" w:hint="default"/>
        </w:rPr>
        <w:t>Communications</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（以下简称</w:t>
      </w:r>
      <w:r>
        <w:rPr>
          <w:rFonts w:ascii="Times New Roman" w:hAnsi="Times New Roman" w:cs="Times New Roman" w:eastAsia="Times New Roman" w:hint="default"/>
        </w:rPr>
        <w:t>”Global”</w:t>
      </w:r>
      <w:r>
        <w:rPr/>
        <w:t>）以自有资金</w:t>
      </w:r>
      <w:r>
        <w:rPr>
          <w:spacing w:val="-48"/>
        </w:rPr>
        <w:t> </w:t>
      </w:r>
      <w:r>
        <w:rPr>
          <w:rFonts w:ascii="Times New Roman" w:hAnsi="Times New Roman" w:cs="Times New Roman" w:eastAsia="Times New Roman" w:hint="default"/>
        </w:rPr>
        <w:t>240</w:t>
      </w:r>
      <w:r>
        <w:rPr>
          <w:rFonts w:ascii="Times New Roman" w:hAnsi="Times New Roman" w:cs="Times New Roman" w:eastAsia="Times New Roman" w:hint="default"/>
          <w:spacing w:val="-2"/>
        </w:rPr>
        <w:t> </w:t>
      </w:r>
      <w:r>
        <w:rPr/>
        <w:t>万美元 投资取得</w:t>
      </w:r>
      <w:r>
        <w:rPr>
          <w:spacing w:val="-48"/>
        </w:rPr>
        <w:t> </w:t>
      </w:r>
      <w:r>
        <w:rPr>
          <w:rFonts w:ascii="Times New Roman" w:hAnsi="Times New Roman" w:cs="Times New Roman" w:eastAsia="Times New Roman" w:hint="default"/>
        </w:rPr>
        <w:t>ODNB</w:t>
      </w:r>
      <w:r>
        <w:rPr>
          <w:rFonts w:ascii="Times New Roman" w:hAnsi="Times New Roman" w:cs="Times New Roman" w:eastAsia="Times New Roman" w:hint="default"/>
          <w:spacing w:val="-2"/>
        </w:rPr>
        <w:t> </w:t>
      </w:r>
      <w:r>
        <w:rPr>
          <w:rFonts w:ascii="Times New Roman" w:hAnsi="Times New Roman" w:cs="Times New Roman" w:eastAsia="Times New Roman" w:hint="default"/>
        </w:rPr>
        <w:t>9.9%</w:t>
      </w:r>
      <w:r>
        <w:rPr/>
        <w:t>的股权，该事项不构成重大资产重组及关联交易，无需提交股东大会审议。</w:t>
      </w:r>
    </w:p>
    <w:p>
      <w:pPr>
        <w:pStyle w:val="BodyText"/>
        <w:spacing w:line="240" w:lineRule="auto" w:before="68"/>
        <w:ind w:left="514" w:right="1033"/>
        <w:jc w:val="left"/>
      </w:pPr>
      <w:r>
        <w:rPr/>
        <w:t>（</w:t>
      </w:r>
      <w:r>
        <w:rPr>
          <w:rFonts w:ascii="Times New Roman" w:hAnsi="Times New Roman" w:cs="Times New Roman" w:eastAsia="Times New Roman" w:hint="default"/>
        </w:rPr>
        <w:t>6</w:t>
      </w:r>
      <w:r>
        <w:rPr/>
        <w:t>）关于使用闲置募集资金购买理财产品的议案</w:t>
      </w:r>
    </w:p>
    <w:p>
      <w:pPr>
        <w:pStyle w:val="BodyText"/>
        <w:spacing w:line="348" w:lineRule="auto" w:before="152"/>
        <w:ind w:right="1132"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年第一次临时股东大会决议通过，本公司为提高募集资金使用效率、增加股东回报，在确保不 </w:t>
      </w:r>
      <w:r>
        <w:rPr>
          <w:spacing w:val="-2"/>
        </w:rPr>
        <w:t>影响公司募集资金投资项目和公司正常经营的情况下，公司拟使用闲置募集资金购买安全性高、流动性好的银行保本型理财</w:t>
      </w:r>
      <w:r>
        <w:rPr>
          <w:spacing w:val="-64"/>
        </w:rPr>
        <w:t> </w:t>
      </w:r>
      <w:r>
        <w:rPr>
          <w:spacing w:val="-64"/>
        </w:rPr>
      </w:r>
      <w:r>
        <w:rPr/>
        <w:t>产品。</w:t>
      </w:r>
    </w:p>
    <w:p>
      <w:pPr>
        <w:spacing w:after="0" w:line="348" w:lineRule="auto"/>
        <w:jc w:val="both"/>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left="573" w:right="0"/>
        <w:jc w:val="left"/>
      </w:pPr>
      <w:r>
        <w:rPr/>
        <w:t>同意公司</w:t>
      </w:r>
      <w:r>
        <w:rPr>
          <w:spacing w:val="-46"/>
        </w:rPr>
        <w:t> </w:t>
      </w:r>
      <w:r>
        <w:rPr>
          <w:rFonts w:ascii="Times New Roman" w:hAnsi="Times New Roman" w:cs="Times New Roman" w:eastAsia="Times New Roman" w:hint="default"/>
        </w:rPr>
        <w:t>2016 </w:t>
      </w:r>
      <w:r>
        <w:rPr/>
        <w:t>年拟使用不超过人民币</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
        </w:rPr>
        <w:t>亿</w:t>
      </w:r>
      <w:r>
        <w:rPr/>
        <w:t>元的闲置募集资金购买保本型理财产品</w:t>
      </w:r>
      <w:r>
        <w:rPr>
          <w:spacing w:val="-87"/>
        </w:rPr>
        <w:t>。</w:t>
      </w:r>
      <w:r>
        <w:rPr/>
        <w:t>在上述额度内</w:t>
      </w:r>
      <w:r>
        <w:rPr>
          <w:spacing w:val="-87"/>
        </w:rPr>
        <w:t>，</w:t>
      </w:r>
      <w:r>
        <w:rPr/>
        <w:t>资金可以滚动使用。</w:t>
      </w:r>
    </w:p>
    <w:p>
      <w:pPr>
        <w:pStyle w:val="BodyText"/>
        <w:spacing w:line="240" w:lineRule="auto" w:before="150"/>
        <w:ind w:left="574" w:right="0"/>
        <w:jc w:val="left"/>
      </w:pPr>
      <w:r>
        <w:rPr/>
        <w:t>（</w:t>
      </w:r>
      <w:r>
        <w:rPr>
          <w:rFonts w:ascii="Times New Roman" w:hAnsi="Times New Roman" w:cs="Times New Roman" w:eastAsia="Times New Roman" w:hint="default"/>
        </w:rPr>
        <w:t>7</w:t>
      </w:r>
      <w:r>
        <w:rPr/>
        <w:t>）关于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年利用自有闲置资金购买理财产品的议案</w:t>
      </w:r>
    </w:p>
    <w:p>
      <w:pPr>
        <w:pStyle w:val="BodyText"/>
        <w:spacing w:line="240" w:lineRule="auto" w:before="151"/>
        <w:ind w:left="57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年第一次临时股东大会决议通过，本公司为提高自有资金使用效率，同意公司</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年拟使用不</w:t>
      </w:r>
    </w:p>
    <w:p>
      <w:pPr>
        <w:pStyle w:val="BodyText"/>
        <w:spacing w:line="240" w:lineRule="auto" w:before="101"/>
        <w:ind w:left="213" w:right="0"/>
        <w:jc w:val="left"/>
      </w:pPr>
      <w:r>
        <w:rPr/>
        <w:t>超过人民币</w:t>
      </w:r>
      <w:r>
        <w:rPr>
          <w:spacing w:val="-46"/>
        </w:rPr>
        <w:t> </w:t>
      </w:r>
      <w:r>
        <w:rPr>
          <w:rFonts w:ascii="Times New Roman" w:hAnsi="Times New Roman" w:cs="Times New Roman" w:eastAsia="Times New Roman" w:hint="default"/>
        </w:rPr>
        <w:t>4 </w:t>
      </w:r>
      <w:r>
        <w:rPr/>
        <w:t>亿元的自有闲置资金购买保本型理财产品。在上述额度内，资金可以滚动使用。</w:t>
      </w:r>
    </w:p>
    <w:p>
      <w:pPr>
        <w:pStyle w:val="BodyText"/>
        <w:spacing w:line="240" w:lineRule="auto" w:before="151"/>
        <w:ind w:left="573" w:right="0"/>
        <w:jc w:val="left"/>
      </w:pPr>
      <w:r>
        <w:rPr/>
        <w:t>同意公司</w:t>
      </w:r>
      <w:r>
        <w:rPr>
          <w:spacing w:val="-46"/>
        </w:rPr>
        <w:t> </w:t>
      </w:r>
      <w:r>
        <w:rPr>
          <w:rFonts w:ascii="Times New Roman" w:hAnsi="Times New Roman" w:cs="Times New Roman" w:eastAsia="Times New Roman" w:hint="default"/>
        </w:rPr>
        <w:t>2016 </w:t>
      </w:r>
      <w:r>
        <w:rPr/>
        <w:t>年拟使用不超过人民币</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
        </w:rPr>
        <w:t>亿</w:t>
      </w:r>
      <w:r>
        <w:rPr/>
        <w:t>元的自有闲置资金购买保本型理财产品</w:t>
      </w:r>
      <w:r>
        <w:rPr>
          <w:spacing w:val="-87"/>
        </w:rPr>
        <w:t>。</w:t>
      </w:r>
      <w:r>
        <w:rPr/>
        <w:t>在上述额度内</w:t>
      </w:r>
      <w:r>
        <w:rPr>
          <w:spacing w:val="-87"/>
        </w:rPr>
        <w:t>，</w:t>
      </w:r>
      <w:r>
        <w:rPr/>
        <w:t>资金可以滚动使用。</w:t>
      </w:r>
    </w:p>
    <w:p>
      <w:pPr>
        <w:pStyle w:val="BodyText"/>
        <w:spacing w:line="240" w:lineRule="auto" w:before="150"/>
        <w:ind w:left="573" w:right="0"/>
        <w:jc w:val="left"/>
      </w:pPr>
      <w:r>
        <w:rPr/>
        <w:t>（</w:t>
      </w:r>
      <w:r>
        <w:rPr>
          <w:rFonts w:ascii="Times New Roman" w:hAnsi="Times New Roman" w:cs="Times New Roman" w:eastAsia="Times New Roman" w:hint="default"/>
        </w:rPr>
        <w:t>8</w:t>
      </w:r>
      <w:r>
        <w:rPr/>
        <w:t>）关于修订《公司章程》的议案</w:t>
      </w:r>
    </w:p>
    <w:p>
      <w:pPr>
        <w:spacing w:line="240" w:lineRule="auto" w:before="12"/>
        <w:rPr>
          <w:rFonts w:ascii="宋体" w:hAnsi="宋体" w:cs="宋体" w:eastAsia="宋体" w:hint="default"/>
          <w:sz w:val="13"/>
          <w:szCs w:val="13"/>
        </w:rPr>
      </w:pPr>
    </w:p>
    <w:p>
      <w:pPr>
        <w:pStyle w:val="BodyText"/>
        <w:spacing w:line="240" w:lineRule="auto"/>
        <w:ind w:left="633" w:right="0"/>
        <w:jc w:val="left"/>
        <w:rPr>
          <w:rFonts w:ascii="Times New Roman" w:hAnsi="Times New Roman" w:cs="Times New Roman" w:eastAsia="Times New Roman" w:hint="default"/>
        </w:rPr>
      </w:pP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2</w:t>
      </w:r>
      <w:r>
        <w:rPr>
          <w:color w:val="0D0D0D"/>
        </w:rPr>
        <w:t>月</w:t>
      </w:r>
      <w:r>
        <w:rPr>
          <w:rFonts w:ascii="Times New Roman" w:hAnsi="Times New Roman" w:cs="Times New Roman" w:eastAsia="Times New Roman" w:hint="default"/>
          <w:color w:val="0D0D0D"/>
        </w:rPr>
        <w:t>24</w:t>
      </w:r>
      <w:r>
        <w:rPr>
          <w:color w:val="0D0D0D"/>
        </w:rPr>
        <w:t>日</w:t>
      </w:r>
      <w:r>
        <w:rPr>
          <w:rFonts w:ascii="Times New Roman" w:hAnsi="Times New Roman" w:cs="Times New Roman" w:eastAsia="Times New Roman" w:hint="default"/>
          <w:color w:val="0D0D0D"/>
        </w:rPr>
        <w:t>2016</w:t>
      </w:r>
      <w:r>
        <w:rPr>
          <w:color w:val="0D0D0D"/>
        </w:rPr>
        <w:t>年第一次临时股东大会决议通过对《公司章程》的修改议案，如财务报告一、所述</w:t>
      </w:r>
      <w:r>
        <w:rPr>
          <w:rFonts w:ascii="Times New Roman" w:hAnsi="Times New Roman" w:cs="Times New Roman" w:eastAsia="Times New Roman" w:hint="default"/>
          <w:color w:val="0D0D0D"/>
        </w:rPr>
        <w:t>,</w:t>
      </w:r>
      <w:r>
        <w:rPr>
          <w:color w:val="0D0D0D"/>
        </w:rPr>
        <w:t>截至</w:t>
      </w:r>
      <w:r>
        <w:rPr>
          <w:rFonts w:ascii="Times New Roman" w:hAnsi="Times New Roman" w:cs="Times New Roman" w:eastAsia="Times New Roman" w:hint="default"/>
          <w:color w:val="0D0D0D"/>
        </w:rPr>
        <w:t>2015</w:t>
      </w:r>
      <w:r>
        <w:rPr>
          <w:color w:val="0D0D0D"/>
        </w:rPr>
        <w:t>年</w:t>
      </w:r>
      <w:r>
        <w:rPr>
          <w:rFonts w:ascii="Times New Roman" w:hAnsi="Times New Roman" w:cs="Times New Roman" w:eastAsia="Times New Roman" w:hint="default"/>
          <w:color w:val="0D0D0D"/>
        </w:rPr>
        <w:t>12</w:t>
      </w:r>
      <w:r>
        <w:rPr>
          <w:rFonts w:ascii="Times New Roman" w:hAnsi="Times New Roman" w:cs="Times New Roman" w:eastAsia="Times New Roman" w:hint="default"/>
        </w:rPr>
      </w:r>
    </w:p>
    <w:p>
      <w:pPr>
        <w:pStyle w:val="BodyText"/>
        <w:spacing w:line="240" w:lineRule="auto" w:before="64"/>
        <w:ind w:left="214" w:right="0"/>
        <w:jc w:val="left"/>
      </w:pPr>
      <w:r>
        <w:rPr>
          <w:color w:val="0D0D0D"/>
        </w:rPr>
        <w:t>月</w:t>
      </w:r>
      <w:r>
        <w:rPr>
          <w:rFonts w:ascii="Times New Roman" w:hAnsi="Times New Roman" w:cs="Times New Roman" w:eastAsia="Times New Roman" w:hint="default"/>
          <w:color w:val="0D0D0D"/>
        </w:rPr>
        <w:t>31</w:t>
      </w:r>
      <w:r>
        <w:rPr>
          <w:color w:val="0D0D0D"/>
        </w:rPr>
        <w:t>日，本公司注册资本（股本）为</w:t>
      </w:r>
      <w:r>
        <w:rPr>
          <w:rFonts w:ascii="Times New Roman" w:hAnsi="Times New Roman" w:cs="Times New Roman" w:eastAsia="Times New Roman" w:hint="default"/>
          <w:color w:val="0D0D0D"/>
        </w:rPr>
        <w:t>798,420,393</w:t>
      </w:r>
      <w:r>
        <w:rPr>
          <w:color w:val="0D0D0D"/>
        </w:rPr>
        <w:t>股，与股本总额相关的章程修改事项如下：</w:t>
      </w:r>
      <w:r>
        <w:rPr/>
      </w:r>
    </w:p>
    <w:p>
      <w:pPr>
        <w:spacing w:line="240" w:lineRule="auto" w:before="12"/>
        <w:rPr>
          <w:rFonts w:ascii="宋体" w:hAnsi="宋体" w:cs="宋体" w:eastAsia="宋体" w:hint="default"/>
          <w:sz w:val="7"/>
          <w:szCs w:val="7"/>
        </w:rPr>
      </w:pPr>
    </w:p>
    <w:tbl>
      <w:tblPr>
        <w:tblW w:w="0" w:type="auto"/>
        <w:jc w:val="left"/>
        <w:tblInd w:w="1096" w:type="dxa"/>
        <w:tblLayout w:type="fixed"/>
        <w:tblCellMar>
          <w:top w:w="0" w:type="dxa"/>
          <w:left w:w="0" w:type="dxa"/>
          <w:bottom w:w="0" w:type="dxa"/>
          <w:right w:w="0" w:type="dxa"/>
        </w:tblCellMar>
        <w:tblLook w:val="01E0"/>
      </w:tblPr>
      <w:tblGrid>
        <w:gridCol w:w="3930"/>
        <w:gridCol w:w="3930"/>
      </w:tblGrid>
      <w:tr>
        <w:trPr>
          <w:trHeight w:val="407" w:hRule="exact"/>
        </w:trPr>
        <w:tc>
          <w:tcPr>
            <w:tcW w:w="393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修订前</w:t>
            </w:r>
          </w:p>
        </w:tc>
        <w:tc>
          <w:tcPr>
            <w:tcW w:w="3930" w:type="dxa"/>
            <w:tcBorders>
              <w:top w:val="single" w:sz="6" w:space="0" w:color="000000"/>
              <w:left w:val="single" w:sz="6" w:space="0" w:color="000000"/>
              <w:bottom w:val="single" w:sz="12" w:space="0" w:color="000000"/>
              <w:right w:val="single" w:sz="4" w:space="0" w:color="000000"/>
            </w:tcBorders>
            <w:shd w:val="clear" w:color="auto" w:fill="D9D9D9"/>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修订后</w:t>
            </w:r>
          </w:p>
        </w:tc>
      </w:tr>
      <w:tr>
        <w:trPr>
          <w:trHeight w:val="759" w:hRule="exact"/>
        </w:trPr>
        <w:tc>
          <w:tcPr>
            <w:tcW w:w="393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66"/>
              <w:ind w:left="2" w:right="131"/>
              <w:jc w:val="left"/>
              <w:rPr>
                <w:rFonts w:ascii="宋体" w:hAnsi="宋体" w:cs="宋体" w:eastAsia="宋体" w:hint="default"/>
                <w:sz w:val="18"/>
                <w:szCs w:val="18"/>
              </w:rPr>
            </w:pPr>
            <w:r>
              <w:rPr>
                <w:rFonts w:ascii="宋体" w:hAnsi="宋体" w:cs="宋体" w:eastAsia="宋体" w:hint="default"/>
                <w:sz w:val="18"/>
                <w:szCs w:val="18"/>
              </w:rPr>
              <w:t>第六条公司注册资本为人民币柒亿叁仟陆佰陆拾 捌万伍仟壹佰柒拾叁元（</w:t>
            </w:r>
            <w:r>
              <w:rPr>
                <w:rFonts w:ascii="Times New Roman" w:hAnsi="Times New Roman" w:cs="Times New Roman" w:eastAsia="Times New Roman" w:hint="default"/>
                <w:sz w:val="18"/>
                <w:szCs w:val="18"/>
              </w:rPr>
              <w:t>736,685,173</w:t>
            </w:r>
            <w:r>
              <w:rPr>
                <w:rFonts w:ascii="宋体" w:hAnsi="宋体" w:cs="宋体" w:eastAsia="宋体" w:hint="default"/>
                <w:sz w:val="18"/>
                <w:szCs w:val="18"/>
              </w:rPr>
              <w:t>元）。</w:t>
            </w:r>
          </w:p>
        </w:tc>
        <w:tc>
          <w:tcPr>
            <w:tcW w:w="3930" w:type="dxa"/>
            <w:tcBorders>
              <w:top w:val="single" w:sz="16" w:space="0" w:color="000000"/>
              <w:left w:val="single" w:sz="6" w:space="0" w:color="000000"/>
              <w:bottom w:val="single" w:sz="12" w:space="0" w:color="000000"/>
              <w:right w:val="single" w:sz="4" w:space="0" w:color="000000"/>
            </w:tcBorders>
          </w:tcPr>
          <w:p>
            <w:pPr>
              <w:pStyle w:val="TableParagraph"/>
              <w:spacing w:line="316" w:lineRule="auto" w:before="61"/>
              <w:ind w:left="2" w:right="135"/>
              <w:jc w:val="left"/>
              <w:rPr>
                <w:rFonts w:ascii="宋体" w:hAnsi="宋体" w:cs="宋体" w:eastAsia="宋体" w:hint="default"/>
                <w:sz w:val="18"/>
                <w:szCs w:val="18"/>
              </w:rPr>
            </w:pPr>
            <w:r>
              <w:rPr>
                <w:rFonts w:ascii="宋体" w:hAnsi="宋体" w:cs="宋体" w:eastAsia="宋体" w:hint="default"/>
                <w:sz w:val="18"/>
                <w:szCs w:val="18"/>
              </w:rPr>
              <w:t>第六条公司注册资本为人民币柒亿玖仟捌佰肆拾 贰万零叁佰玖拾叁元（</w:t>
            </w:r>
            <w:r>
              <w:rPr>
                <w:rFonts w:ascii="Times New Roman" w:hAnsi="Times New Roman" w:cs="Times New Roman" w:eastAsia="Times New Roman" w:hint="default"/>
                <w:sz w:val="18"/>
                <w:szCs w:val="18"/>
              </w:rPr>
              <w:t>798,420,393</w:t>
            </w:r>
            <w:r>
              <w:rPr>
                <w:rFonts w:ascii="宋体" w:hAnsi="宋体" w:cs="宋体" w:eastAsia="宋体" w:hint="default"/>
                <w:sz w:val="18"/>
                <w:szCs w:val="18"/>
              </w:rPr>
              <w:t>元）。</w:t>
            </w:r>
          </w:p>
        </w:tc>
      </w:tr>
      <w:tr>
        <w:trPr>
          <w:trHeight w:val="744" w:hRule="exact"/>
        </w:trPr>
        <w:tc>
          <w:tcPr>
            <w:tcW w:w="39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51"/>
              <w:ind w:left="2" w:right="1"/>
              <w:jc w:val="left"/>
              <w:rPr>
                <w:rFonts w:ascii="宋体" w:hAnsi="宋体" w:cs="宋体" w:eastAsia="宋体" w:hint="default"/>
                <w:sz w:val="18"/>
                <w:szCs w:val="18"/>
              </w:rPr>
            </w:pPr>
            <w:r>
              <w:rPr>
                <w:rFonts w:ascii="宋体" w:hAnsi="宋体" w:cs="宋体" w:eastAsia="宋体" w:hint="default"/>
                <w:spacing w:val="-2"/>
                <w:sz w:val="18"/>
                <w:szCs w:val="18"/>
              </w:rPr>
              <w:t>第十九条公司股份总数为</w:t>
            </w:r>
            <w:r>
              <w:rPr>
                <w:rFonts w:ascii="Times New Roman" w:hAnsi="Times New Roman" w:cs="Times New Roman" w:eastAsia="Times New Roman" w:hint="default"/>
                <w:spacing w:val="-2"/>
                <w:sz w:val="18"/>
                <w:szCs w:val="18"/>
              </w:rPr>
              <w:t>736,685,173</w:t>
            </w:r>
            <w:r>
              <w:rPr>
                <w:rFonts w:ascii="宋体" w:hAnsi="宋体" w:cs="宋体" w:eastAsia="宋体" w:hint="default"/>
                <w:spacing w:val="-2"/>
                <w:sz w:val="18"/>
                <w:szCs w:val="18"/>
              </w:rPr>
              <w:t>股，均为普通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3930" w:type="dxa"/>
            <w:tcBorders>
              <w:top w:val="single" w:sz="12" w:space="0" w:color="000000"/>
              <w:left w:val="single" w:sz="6" w:space="0" w:color="000000"/>
              <w:bottom w:val="single" w:sz="12" w:space="0" w:color="000000"/>
              <w:right w:val="single" w:sz="4" w:space="0" w:color="000000"/>
            </w:tcBorders>
          </w:tcPr>
          <w:p>
            <w:pPr>
              <w:pStyle w:val="TableParagraph"/>
              <w:spacing w:line="300" w:lineRule="auto" w:before="51"/>
              <w:ind w:left="2" w:right="5"/>
              <w:jc w:val="left"/>
              <w:rPr>
                <w:rFonts w:ascii="宋体" w:hAnsi="宋体" w:cs="宋体" w:eastAsia="宋体" w:hint="default"/>
                <w:sz w:val="18"/>
                <w:szCs w:val="18"/>
              </w:rPr>
            </w:pPr>
            <w:r>
              <w:rPr>
                <w:rFonts w:ascii="宋体" w:hAnsi="宋体" w:cs="宋体" w:eastAsia="宋体" w:hint="default"/>
                <w:spacing w:val="-2"/>
                <w:sz w:val="18"/>
                <w:szCs w:val="18"/>
              </w:rPr>
              <w:t>第十九条公司股份总数为</w:t>
            </w:r>
            <w:r>
              <w:rPr>
                <w:rFonts w:ascii="Times New Roman" w:hAnsi="Times New Roman" w:cs="Times New Roman" w:eastAsia="Times New Roman" w:hint="default"/>
                <w:spacing w:val="-2"/>
                <w:sz w:val="18"/>
                <w:szCs w:val="18"/>
              </w:rPr>
              <w:t>798,420,393</w:t>
            </w:r>
            <w:r>
              <w:rPr>
                <w:rFonts w:ascii="宋体" w:hAnsi="宋体" w:cs="宋体" w:eastAsia="宋体" w:hint="default"/>
                <w:spacing w:val="-2"/>
                <w:sz w:val="18"/>
                <w:szCs w:val="18"/>
              </w:rPr>
              <w:t>股，均为普通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r>
    </w:tbl>
    <w:p>
      <w:pPr>
        <w:pStyle w:val="BodyText"/>
        <w:spacing w:line="240" w:lineRule="auto" w:before="20"/>
        <w:ind w:left="574" w:right="0"/>
        <w:jc w:val="left"/>
      </w:pPr>
      <w:r>
        <w:rPr/>
        <w:t>（</w:t>
      </w:r>
      <w:r>
        <w:rPr>
          <w:rFonts w:ascii="Times New Roman" w:hAnsi="Times New Roman" w:cs="Times New Roman" w:eastAsia="Times New Roman" w:hint="default"/>
        </w:rPr>
        <w:t>9</w:t>
      </w:r>
      <w:r>
        <w:rPr/>
        <w:t>）关于公司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年股权激励计划部分不符合解锁条件限制性股票回购的议案</w:t>
      </w:r>
    </w:p>
    <w:p>
      <w:pPr>
        <w:pStyle w:val="BodyText"/>
        <w:spacing w:line="240" w:lineRule="auto" w:before="151"/>
        <w:ind w:left="573" w:right="0"/>
        <w:jc w:val="left"/>
      </w:pPr>
      <w:r>
        <w:rPr/>
        <w:t>本公司 </w:t>
      </w:r>
      <w:r>
        <w:rPr>
          <w:rFonts w:ascii="Times New Roman" w:hAnsi="Times New Roman" w:cs="Times New Roman" w:eastAsia="Times New Roman" w:hint="default"/>
        </w:rPr>
        <w:t>2013 </w:t>
      </w:r>
      <w:r>
        <w:rPr/>
        <w:t>年实施了限制性股票激励计划（以下简称</w:t>
      </w:r>
      <w:r>
        <w:rPr>
          <w:rFonts w:ascii="Times New Roman" w:hAnsi="Times New Roman" w:cs="Times New Roman" w:eastAsia="Times New Roman" w:hint="default"/>
        </w:rPr>
        <w:t>“13 </w:t>
      </w:r>
      <w:r>
        <w:rPr/>
        <w:t>年激励计划</w:t>
      </w:r>
      <w:r>
        <w:rPr>
          <w:rFonts w:ascii="Times New Roman" w:hAnsi="Times New Roman" w:cs="Times New Roman" w:eastAsia="Times New Roman" w:hint="default"/>
        </w:rPr>
        <w:t>”</w:t>
      </w:r>
      <w:r>
        <w:rPr/>
        <w:t>），本次限制性股票实际授予对象 </w:t>
      </w:r>
      <w:r>
        <w:rPr>
          <w:rFonts w:ascii="Times New Roman" w:hAnsi="Times New Roman" w:cs="Times New Roman" w:eastAsia="Times New Roman" w:hint="default"/>
        </w:rPr>
        <w:t>90</w:t>
      </w:r>
      <w:r>
        <w:rPr>
          <w:rFonts w:ascii="Times New Roman" w:hAnsi="Times New Roman" w:cs="Times New Roman" w:eastAsia="Times New Roman" w:hint="default"/>
          <w:spacing w:val="-20"/>
        </w:rPr>
        <w:t> </w:t>
      </w:r>
      <w:r>
        <w:rPr/>
        <w:t>人，实际</w:t>
      </w:r>
    </w:p>
    <w:p>
      <w:pPr>
        <w:pStyle w:val="BodyText"/>
        <w:spacing w:line="240" w:lineRule="auto" w:before="100"/>
        <w:ind w:left="213" w:right="0"/>
        <w:jc w:val="left"/>
      </w:pPr>
      <w:r>
        <w:rPr/>
        <w:t>授予股份数量</w:t>
      </w:r>
      <w:r>
        <w:rPr>
          <w:spacing w:val="-44"/>
        </w:rPr>
        <w:t> </w:t>
      </w:r>
      <w:r>
        <w:rPr>
          <w:rFonts w:ascii="Times New Roman" w:hAnsi="Times New Roman" w:cs="Times New Roman" w:eastAsia="Times New Roman" w:hint="default"/>
        </w:rPr>
        <w:t>126.7</w:t>
      </w:r>
      <w:r>
        <w:rPr>
          <w:rFonts w:ascii="Times New Roman" w:hAnsi="Times New Roman" w:cs="Times New Roman" w:eastAsia="Times New Roman" w:hint="default"/>
          <w:spacing w:val="1"/>
        </w:rPr>
        <w:t> </w:t>
      </w:r>
      <w:r>
        <w:rPr>
          <w:spacing w:val="-9"/>
        </w:rPr>
        <w:t>万股，授予价格为</w:t>
      </w:r>
      <w:r>
        <w:rPr>
          <w:spacing w:val="-44"/>
        </w:rPr>
        <w:t> </w:t>
      </w:r>
      <w:r>
        <w:rPr>
          <w:rFonts w:ascii="Times New Roman" w:hAnsi="Times New Roman" w:cs="Times New Roman" w:eastAsia="Times New Roman" w:hint="default"/>
        </w:rPr>
        <w:t>10.89</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股。如财务报告十三</w:t>
      </w:r>
      <w:r>
        <w:rPr>
          <w:rFonts w:ascii="Times New Roman" w:hAnsi="Times New Roman" w:cs="Times New Roman" w:eastAsia="Times New Roman" w:hint="default"/>
          <w:spacing w:val="-4"/>
        </w:rPr>
        <w:t>.</w:t>
      </w:r>
      <w:r>
        <w:rPr>
          <w:spacing w:val="-4"/>
        </w:rPr>
        <w:t>股份支付</w:t>
      </w:r>
      <w:r>
        <w:rPr>
          <w:rFonts w:ascii="Times New Roman" w:hAnsi="Times New Roman" w:cs="Times New Roman" w:eastAsia="Times New Roman" w:hint="default"/>
          <w:spacing w:val="-4"/>
        </w:rPr>
        <w:t>(</w:t>
      </w:r>
      <w:r>
        <w:rPr>
          <w:spacing w:val="-4"/>
        </w:rPr>
        <w:t>一</w:t>
      </w:r>
      <w:r>
        <w:rPr>
          <w:rFonts w:ascii="Times New Roman" w:hAnsi="Times New Roman" w:cs="Times New Roman" w:eastAsia="Times New Roman" w:hint="default"/>
          <w:spacing w:val="-4"/>
        </w:rPr>
        <w:t>)</w:t>
      </w:r>
      <w:r>
        <w:rPr>
          <w:spacing w:val="-4"/>
        </w:rPr>
        <w:t>支付总体情况所述，经历次回购及解锁后，</w:t>
      </w:r>
    </w:p>
    <w:p>
      <w:pPr>
        <w:pStyle w:val="BodyText"/>
        <w:spacing w:line="240" w:lineRule="auto" w:before="101"/>
        <w:ind w:left="213" w:right="0"/>
        <w:jc w:val="left"/>
      </w:pPr>
      <w:r>
        <w:rPr>
          <w:rFonts w:ascii="Times New Roman" w:hAnsi="Times New Roman" w:cs="Times New Roman" w:eastAsia="Times New Roman" w:hint="default"/>
        </w:rPr>
        <w:t>13  </w:t>
      </w:r>
      <w:r>
        <w:rPr/>
        <w:t>年激励计划限制性股票持有对象剩余 </w:t>
      </w:r>
      <w:r>
        <w:rPr>
          <w:rFonts w:ascii="Times New Roman" w:hAnsi="Times New Roman" w:cs="Times New Roman" w:eastAsia="Times New Roman" w:hint="default"/>
        </w:rPr>
        <w:t>70  </w:t>
      </w:r>
      <w:r>
        <w:rPr/>
        <w:t>人，持有 </w:t>
      </w:r>
      <w:r>
        <w:rPr>
          <w:rFonts w:ascii="Times New Roman" w:hAnsi="Times New Roman" w:cs="Times New Roman" w:eastAsia="Times New Roman" w:hint="default"/>
        </w:rPr>
        <w:t>13  </w:t>
      </w:r>
      <w:r>
        <w:rPr/>
        <w:t>年激励计划剩余 </w:t>
      </w:r>
      <w:r>
        <w:rPr>
          <w:spacing w:val="19"/>
        </w:rPr>
        <w:t> </w:t>
      </w:r>
      <w:r>
        <w:rPr>
          <w:rFonts w:ascii="Times New Roman" w:hAnsi="Times New Roman" w:cs="Times New Roman" w:eastAsia="Times New Roman" w:hint="default"/>
        </w:rPr>
        <w:t>40%</w:t>
      </w:r>
      <w:r>
        <w:rPr/>
        <w:t>的的已获授但尚未解锁的限制性股票共计</w:t>
      </w:r>
    </w:p>
    <w:p>
      <w:pPr>
        <w:pStyle w:val="BodyText"/>
        <w:spacing w:line="240" w:lineRule="auto" w:before="100"/>
        <w:ind w:left="213" w:right="0"/>
        <w:jc w:val="left"/>
      </w:pPr>
      <w:r>
        <w:rPr>
          <w:rFonts w:ascii="Times New Roman" w:hAnsi="Times New Roman" w:cs="Times New Roman" w:eastAsia="Times New Roman" w:hint="default"/>
        </w:rPr>
        <w:t>1,182,148</w:t>
      </w:r>
      <w:r>
        <w:rPr>
          <w:rFonts w:ascii="Times New Roman" w:hAnsi="Times New Roman" w:cs="Times New Roman" w:eastAsia="Times New Roman" w:hint="default"/>
          <w:spacing w:val="-16"/>
        </w:rPr>
        <w:t> </w:t>
      </w:r>
      <w:r>
        <w:rPr>
          <w:spacing w:val="-4"/>
        </w:rPr>
        <w:t>股。因公司</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年度业绩指标未达到《</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t>年限制性股票激励计划（草案修订稿）》中对于第三期解锁条件的要</w:t>
      </w:r>
    </w:p>
    <w:p>
      <w:pPr>
        <w:pStyle w:val="BodyText"/>
        <w:spacing w:line="384" w:lineRule="auto" w:before="103"/>
        <w:ind w:left="573" w:right="5162" w:hanging="360"/>
        <w:jc w:val="left"/>
      </w:pPr>
      <w:r>
        <w:rPr/>
        <w:t>求，现拟对</w:t>
      </w:r>
      <w:r>
        <w:rPr>
          <w:spacing w:val="-46"/>
        </w:rPr>
        <w:t> </w:t>
      </w:r>
      <w:r>
        <w:rPr>
          <w:rFonts w:ascii="Times New Roman" w:hAnsi="Times New Roman" w:cs="Times New Roman" w:eastAsia="Times New Roman" w:hint="default"/>
        </w:rPr>
        <w:t>13 </w:t>
      </w:r>
      <w:r>
        <w:rPr/>
        <w:t>年激励计划剩余</w:t>
      </w:r>
      <w:r>
        <w:rPr>
          <w:spacing w:val="-46"/>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人所持有的剩余</w:t>
      </w:r>
      <w:r>
        <w:rPr>
          <w:spacing w:val="-46"/>
        </w:rPr>
        <w:t> </w:t>
      </w:r>
      <w:r>
        <w:rPr>
          <w:rFonts w:ascii="Times New Roman" w:hAnsi="Times New Roman" w:cs="Times New Roman" w:eastAsia="Times New Roman" w:hint="default"/>
        </w:rPr>
        <w:t>40%</w:t>
      </w:r>
      <w:r>
        <w:rPr/>
        <w:t>股份进行回购。 本次股份回购价格调整过程如下：</w:t>
      </w:r>
    </w:p>
    <w:p>
      <w:pPr>
        <w:pStyle w:val="BodyText"/>
        <w:spacing w:line="240" w:lineRule="auto" w:before="57"/>
        <w:ind w:left="573" w:right="0"/>
        <w:jc w:val="left"/>
      </w:pPr>
      <w:r>
        <w:rPr>
          <w:rFonts w:ascii="Times New Roman" w:hAnsi="Times New Roman" w:cs="Times New Roman" w:eastAsia="Times New Roman" w:hint="default"/>
        </w:rPr>
        <w:t>P=(P0-V )/(1+N)=  </w:t>
      </w:r>
      <w:r>
        <w:rPr/>
        <w:t>（</w:t>
      </w:r>
      <w:r>
        <w:rPr>
          <w:rFonts w:ascii="Times New Roman" w:hAnsi="Times New Roman" w:cs="Times New Roman" w:eastAsia="Times New Roman" w:hint="default"/>
        </w:rPr>
        <w:t>5.244-0.18</w:t>
      </w:r>
      <w:r>
        <w:rPr/>
        <w:t>）</w:t>
      </w:r>
      <w:r>
        <w:rPr>
          <w:rFonts w:ascii="Times New Roman" w:hAnsi="Times New Roman" w:cs="Times New Roman" w:eastAsia="Times New Roman" w:hint="default"/>
        </w:rPr>
        <w:t>/(1+0.5)=3.376</w:t>
      </w:r>
      <w:r>
        <w:rPr>
          <w:rFonts w:ascii="Times New Roman" w:hAnsi="Times New Roman" w:cs="Times New Roman" w:eastAsia="Times New Roman" w:hint="default"/>
          <w:spacing w:val="-9"/>
        </w:rPr>
        <w:t> </w:t>
      </w:r>
      <w:r>
        <w:rPr/>
        <w:t>元</w:t>
      </w:r>
    </w:p>
    <w:p>
      <w:pPr>
        <w:pStyle w:val="BodyText"/>
        <w:spacing w:line="362" w:lineRule="auto" w:before="150"/>
        <w:ind w:left="573" w:right="1116"/>
        <w:jc w:val="left"/>
      </w:pPr>
      <w:r>
        <w:rPr/>
        <w:t>其中，</w:t>
      </w:r>
      <w:r>
        <w:rPr>
          <w:rFonts w:ascii="Times New Roman" w:hAnsi="Times New Roman" w:cs="Times New Roman" w:eastAsia="Times New Roman" w:hint="default"/>
        </w:rPr>
        <w:t>P</w:t>
      </w:r>
      <w:r>
        <w:rPr>
          <w:rFonts w:ascii="Times New Roman" w:hAnsi="Times New Roman" w:cs="Times New Roman" w:eastAsia="Times New Roman" w:hint="default"/>
          <w:position w:val="-2"/>
          <w:sz w:val="12"/>
          <w:szCs w:val="12"/>
        </w:rPr>
        <w:t>0 </w:t>
      </w:r>
      <w:r>
        <w:rPr/>
        <w:t>为第一次回购价格；</w:t>
      </w:r>
      <w:r>
        <w:rPr>
          <w:rFonts w:ascii="Times New Roman" w:hAnsi="Times New Roman" w:cs="Times New Roman" w:eastAsia="Times New Roman" w:hint="default"/>
        </w:rPr>
        <w:t>V </w:t>
      </w:r>
      <w:r>
        <w:rPr/>
        <w:t>为每股的派息额；</w:t>
      </w:r>
      <w:r>
        <w:rPr>
          <w:rFonts w:ascii="Times New Roman" w:hAnsi="Times New Roman" w:cs="Times New Roman" w:eastAsia="Times New Roman" w:hint="default"/>
        </w:rPr>
        <w:t>N </w:t>
      </w:r>
      <w:r>
        <w:rPr/>
        <w:t>为每股的资本公积转增股本的比例；</w:t>
      </w:r>
      <w:r>
        <w:rPr>
          <w:rFonts w:ascii="Times New Roman" w:hAnsi="Times New Roman" w:cs="Times New Roman" w:eastAsia="Times New Roman" w:hint="default"/>
        </w:rPr>
        <w:t>P</w:t>
      </w:r>
      <w:r>
        <w:rPr>
          <w:rFonts w:ascii="Times New Roman" w:hAnsi="Times New Roman" w:cs="Times New Roman" w:eastAsia="Times New Roman" w:hint="default"/>
          <w:spacing w:val="-4"/>
        </w:rPr>
        <w:t> </w:t>
      </w:r>
      <w:r>
        <w:rPr/>
        <w:t>为本次回购价格； 因此，针对</w:t>
      </w:r>
      <w:r>
        <w:rPr>
          <w:spacing w:val="-44"/>
        </w:rPr>
        <w:t> </w:t>
      </w:r>
      <w:r>
        <w:rPr>
          <w:rFonts w:ascii="Times New Roman" w:hAnsi="Times New Roman" w:cs="Times New Roman" w:eastAsia="Times New Roman" w:hint="default"/>
        </w:rPr>
        <w:t>2013 </w:t>
      </w:r>
      <w:r>
        <w:rPr/>
        <w:t>年度股权激励计划授予股份本次回购价格调整为</w:t>
      </w:r>
      <w:r>
        <w:rPr>
          <w:spacing w:val="-44"/>
        </w:rPr>
        <w:t> </w:t>
      </w:r>
      <w:r>
        <w:rPr>
          <w:rFonts w:ascii="Times New Roman" w:hAnsi="Times New Roman" w:cs="Times New Roman" w:eastAsia="Times New Roman" w:hint="default"/>
        </w:rPr>
        <w:t>3.376 </w:t>
      </w:r>
      <w:r>
        <w:rPr/>
        <w:t>元</w:t>
      </w:r>
      <w:r>
        <w:rPr>
          <w:rFonts w:ascii="Times New Roman" w:hAnsi="Times New Roman" w:cs="Times New Roman" w:eastAsia="Times New Roman" w:hint="default"/>
        </w:rPr>
        <w:t>/</w:t>
      </w:r>
      <w:r>
        <w:rPr/>
        <w:t>股，公司将使用自有资金就本次限制性股票</w:t>
      </w:r>
    </w:p>
    <w:p>
      <w:pPr>
        <w:pStyle w:val="BodyText"/>
        <w:spacing w:line="249" w:lineRule="exact"/>
        <w:ind w:left="213" w:right="0"/>
        <w:jc w:val="left"/>
      </w:pPr>
      <w:r>
        <w:rPr/>
        <w:t>回购向上述</w:t>
      </w:r>
      <w:r>
        <w:rPr>
          <w:spacing w:val="-47"/>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人支付回购价款共计</w:t>
      </w:r>
      <w:r>
        <w:rPr>
          <w:spacing w:val="-47"/>
        </w:rPr>
        <w:t> </w:t>
      </w:r>
      <w:r>
        <w:rPr>
          <w:rFonts w:ascii="Times New Roman" w:hAnsi="Times New Roman" w:cs="Times New Roman" w:eastAsia="Times New Roman" w:hint="default"/>
        </w:rPr>
        <w:t>3,990,931.65</w:t>
      </w:r>
      <w:r>
        <w:rPr>
          <w:rFonts w:ascii="Times New Roman" w:hAnsi="Times New Roman" w:cs="Times New Roman" w:eastAsia="Times New Roman" w:hint="default"/>
          <w:spacing w:val="-1"/>
        </w:rPr>
        <w:t> </w:t>
      </w:r>
      <w:r>
        <w:rPr/>
        <w:t>元。</w:t>
      </w:r>
    </w:p>
    <w:p>
      <w:pPr>
        <w:pStyle w:val="BodyText"/>
        <w:spacing w:line="240" w:lineRule="auto" w:before="150"/>
        <w:ind w:left="573" w:right="0"/>
        <w:jc w:val="left"/>
      </w:pPr>
      <w:r>
        <w:rPr/>
        <w:t>（</w:t>
      </w:r>
      <w:r>
        <w:rPr>
          <w:rFonts w:ascii="Times New Roman" w:hAnsi="Times New Roman" w:cs="Times New Roman" w:eastAsia="Times New Roman" w:hint="default"/>
        </w:rPr>
        <w:t>10</w:t>
      </w:r>
      <w:r>
        <w:rPr/>
        <w:t>）调整</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年股权激励计划考核指标的议案</w:t>
      </w:r>
    </w:p>
    <w:p>
      <w:pPr>
        <w:pStyle w:val="BodyText"/>
        <w:spacing w:line="338" w:lineRule="auto" w:before="150"/>
        <w:ind w:left="214" w:right="1130" w:firstLine="360"/>
        <w:jc w:val="both"/>
      </w:pPr>
      <w:r>
        <w:rPr/>
        <w:t>如财务报告十六、</w:t>
      </w:r>
      <w:r>
        <w:rPr>
          <w:rFonts w:ascii="Times New Roman" w:hAnsi="Times New Roman" w:cs="Times New Roman" w:eastAsia="Times New Roman" w:hint="default"/>
        </w:rPr>
        <w:t>.</w:t>
      </w:r>
      <w:r>
        <w:rPr/>
        <w:t>其他重要事项说明、</w:t>
      </w:r>
      <w:r>
        <w:rPr>
          <w:rFonts w:ascii="Times New Roman" w:hAnsi="Times New Roman" w:cs="Times New Roman" w:eastAsia="Times New Roman" w:hint="default"/>
        </w:rPr>
        <w:t>1 </w:t>
      </w:r>
      <w:r>
        <w:rPr/>
        <w:t>中所述，由于会计差错更正带来收入的调整，造成《</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年限制性股票激励 </w:t>
      </w:r>
      <w:r>
        <w:rPr>
          <w:spacing w:val="-9"/>
          <w:w w:val="100"/>
        </w:rPr>
        <w:t>计划（草案）》中业绩考核条件</w:t>
      </w:r>
      <w:r>
        <w:rPr>
          <w:rFonts w:ascii="Times New Roman" w:hAnsi="Times New Roman" w:cs="Times New Roman" w:eastAsia="Times New Roman" w:hint="default"/>
          <w:spacing w:val="-9"/>
          <w:w w:val="100"/>
        </w:rPr>
        <w:t>“</w:t>
      </w:r>
      <w:r>
        <w:rPr>
          <w:spacing w:val="-9"/>
          <w:w w:val="100"/>
        </w:rPr>
        <w:t>以</w:t>
      </w:r>
      <w:r>
        <w:rPr>
          <w:spacing w:val="-42"/>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w w:val="100"/>
        </w:rPr>
        <w:t>年营业收入为基数</w:t>
      </w:r>
      <w:r>
        <w:rPr>
          <w:rFonts w:ascii="Times New Roman" w:hAnsi="Times New Roman" w:cs="Times New Roman" w:eastAsia="Times New Roman" w:hint="default"/>
          <w:w w:val="100"/>
        </w:rPr>
        <w:t>”</w:t>
      </w:r>
      <w:r>
        <w:rPr>
          <w:w w:val="100"/>
        </w:rPr>
        <w:t>中的</w:t>
      </w:r>
      <w:r>
        <w:rPr>
          <w:spacing w:val="-42"/>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2"/>
        </w:rPr>
        <w:t>年营业收入需要进行调整，因此根据原</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年营业收 入为基数而测算的</w:t>
      </w:r>
      <w:r>
        <w:rPr>
          <w:spacing w:val="-44"/>
        </w:rPr>
        <w:t> </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年营业收入增长率亦应进行调整。现对</w:t>
      </w:r>
      <w:r>
        <w:rPr>
          <w:spacing w:val="-44"/>
        </w:rPr>
        <w:t> </w:t>
      </w:r>
      <w:r>
        <w:rPr>
          <w:rFonts w:ascii="Times New Roman" w:hAnsi="Times New Roman" w:cs="Times New Roman" w:eastAsia="Times New Roman" w:hint="default"/>
        </w:rPr>
        <w:t>2015 </w:t>
      </w:r>
      <w:r>
        <w:rPr/>
        <w:t>年度限制性股票激励计划中公司业 绩指标进行修正如下：</w:t>
      </w:r>
    </w:p>
    <w:p>
      <w:pPr>
        <w:spacing w:line="240" w:lineRule="auto" w:before="13"/>
        <w:rPr>
          <w:rFonts w:ascii="宋体" w:hAnsi="宋体" w:cs="宋体" w:eastAsia="宋体" w:hint="default"/>
          <w:sz w:val="15"/>
          <w:szCs w:val="15"/>
        </w:rPr>
      </w:pPr>
    </w:p>
    <w:p>
      <w:pPr>
        <w:pStyle w:val="BodyText"/>
        <w:spacing w:line="240" w:lineRule="auto"/>
        <w:ind w:left="574" w:right="0"/>
        <w:jc w:val="left"/>
      </w:pPr>
      <w:r>
        <w:rPr>
          <w:rFonts w:ascii="Times New Roman" w:hAnsi="Times New Roman" w:cs="Times New Roman" w:eastAsia="Times New Roman" w:hint="default"/>
        </w:rPr>
        <w:t>A</w:t>
      </w:r>
      <w:r>
        <w:rPr/>
        <w:t>、原</w:t>
      </w:r>
      <w:r>
        <w:rPr>
          <w:rFonts w:ascii="Times New Roman" w:hAnsi="Times New Roman" w:cs="Times New Roman" w:eastAsia="Times New Roman" w:hint="default"/>
        </w:rPr>
        <w:t>2015</w:t>
      </w:r>
      <w:r>
        <w:rPr/>
        <w:t>年限制性股票激励计划（草案）中业绩考核指标</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64"/>
        <w:gridCol w:w="8091"/>
      </w:tblGrid>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解锁安排</w:t>
            </w:r>
            <w:r>
              <w:rPr>
                <w:rFonts w:ascii="宋体" w:hAnsi="宋体" w:cs="宋体" w:eastAsia="宋体" w:hint="default"/>
                <w:sz w:val="18"/>
                <w:szCs w:val="18"/>
              </w:rPr>
            </w:r>
          </w:p>
        </w:tc>
        <w:tc>
          <w:tcPr>
            <w:tcW w:w="8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574" w:right="0"/>
        <w:jc w:val="left"/>
      </w:pPr>
      <w:r>
        <w:rPr>
          <w:rFonts w:ascii="Times New Roman" w:hAnsi="Times New Roman" w:cs="Times New Roman" w:eastAsia="Times New Roman" w:hint="default"/>
        </w:rPr>
        <w:t>B</w:t>
      </w:r>
      <w:r>
        <w:rPr/>
        <w:t>、修正方法</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73" w:right="0"/>
        <w:jc w:val="left"/>
      </w:pPr>
      <w:r>
        <w:rPr>
          <w:color w:val="0D0D0D"/>
        </w:rPr>
        <w:t>按调整前</w:t>
      </w:r>
      <w:r>
        <w:rPr>
          <w:rFonts w:ascii="Times New Roman" w:hAnsi="Times New Roman" w:cs="Times New Roman" w:eastAsia="Times New Roman" w:hint="default"/>
          <w:color w:val="0D0D0D"/>
        </w:rPr>
        <w:t>2014</w:t>
      </w:r>
      <w:r>
        <w:rPr>
          <w:color w:val="0D0D0D"/>
        </w:rPr>
        <w:t>年收入及承诺的同比增长比率推算</w:t>
      </w: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2017</w:t>
      </w:r>
      <w:r>
        <w:rPr>
          <w:color w:val="0D0D0D"/>
        </w:rPr>
        <w:t>年、</w:t>
      </w:r>
      <w:r>
        <w:rPr>
          <w:rFonts w:ascii="Times New Roman" w:hAnsi="Times New Roman" w:cs="Times New Roman" w:eastAsia="Times New Roman" w:hint="default"/>
          <w:color w:val="0D0D0D"/>
        </w:rPr>
        <w:t>2018</w:t>
      </w:r>
      <w:r>
        <w:rPr>
          <w:color w:val="0D0D0D"/>
        </w:rPr>
        <w:t>年收入，再叠加前述的收入调增因素，推算得出</w:t>
      </w:r>
      <w:r>
        <w:rPr/>
      </w:r>
    </w:p>
    <w:p>
      <w:pPr>
        <w:spacing w:line="240" w:lineRule="auto" w:before="11"/>
        <w:rPr>
          <w:rFonts w:ascii="宋体" w:hAnsi="宋体" w:cs="宋体" w:eastAsia="宋体" w:hint="default"/>
          <w:sz w:val="16"/>
          <w:szCs w:val="16"/>
        </w:rPr>
      </w:pPr>
    </w:p>
    <w:p>
      <w:pPr>
        <w:pStyle w:val="BodyText"/>
        <w:spacing w:line="240" w:lineRule="auto"/>
        <w:ind w:left="213" w:right="0"/>
        <w:jc w:val="left"/>
        <w:rPr>
          <w:rFonts w:ascii="Times New Roman" w:hAnsi="Times New Roman" w:cs="Times New Roman" w:eastAsia="Times New Roman" w:hint="default"/>
        </w:rPr>
      </w:pPr>
      <w:r>
        <w:rPr>
          <w:rFonts w:ascii="Times New Roman" w:hAnsi="Times New Roman" w:cs="Times New Roman" w:eastAsia="Times New Roman" w:hint="default"/>
          <w:color w:val="0D0D0D"/>
        </w:rPr>
        <w:t>2016</w:t>
      </w:r>
      <w:r>
        <w:rPr>
          <w:color w:val="0D0D0D"/>
        </w:rPr>
        <w:t>年、</w:t>
      </w:r>
      <w:r>
        <w:rPr>
          <w:rFonts w:ascii="Times New Roman" w:hAnsi="Times New Roman" w:cs="Times New Roman" w:eastAsia="Times New Roman" w:hint="default"/>
          <w:color w:val="0D0D0D"/>
        </w:rPr>
        <w:t>2017</w:t>
      </w:r>
      <w:r>
        <w:rPr>
          <w:color w:val="0D0D0D"/>
        </w:rPr>
        <w:t>年、</w:t>
      </w:r>
      <w:r>
        <w:rPr>
          <w:rFonts w:ascii="Times New Roman" w:hAnsi="Times New Roman" w:cs="Times New Roman" w:eastAsia="Times New Roman" w:hint="default"/>
          <w:color w:val="0D0D0D"/>
        </w:rPr>
        <w:t>2018</w:t>
      </w:r>
      <w:r>
        <w:rPr>
          <w:color w:val="0D0D0D"/>
        </w:rPr>
        <w:t>年的收入及相应的同比</w:t>
      </w:r>
      <w:r>
        <w:rPr>
          <w:rFonts w:ascii="Times New Roman" w:hAnsi="Times New Roman" w:cs="Times New Roman" w:eastAsia="Times New Roman" w:hint="default"/>
          <w:color w:val="0D0D0D"/>
        </w:rPr>
        <w:t>2014</w:t>
      </w:r>
      <w:r>
        <w:rPr>
          <w:color w:val="0D0D0D"/>
        </w:rPr>
        <w:t>年增幅，具体修正推算过程见下表</w:t>
      </w:r>
      <w:r>
        <w:rPr>
          <w:rFonts w:ascii="Times New Roman" w:hAnsi="Times New Roman" w:cs="Times New Roman" w:eastAsia="Times New Roman" w:hint="default"/>
          <w:color w:val="0D0D0D"/>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885"/>
        <w:gridCol w:w="1380"/>
        <w:gridCol w:w="1786"/>
        <w:gridCol w:w="1786"/>
        <w:gridCol w:w="2010"/>
        <w:gridCol w:w="2009"/>
      </w:tblGrid>
      <w:tr>
        <w:trPr>
          <w:trHeight w:val="402" w:hRule="exact"/>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sz w:val="18"/>
                <w:szCs w:val="18"/>
              </w:rPr>
            </w:r>
          </w:p>
        </w:tc>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2" w:hRule="exact"/>
        </w:trPr>
        <w:tc>
          <w:tcPr>
            <w:tcW w:w="8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原指标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年收入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684</w:t>
            </w:r>
            <w:r>
              <w:rPr>
                <w:rFonts w:ascii="宋体" w:hAnsi="宋体" w:cs="宋体" w:eastAsia="宋体" w:hint="default"/>
                <w:sz w:val="18"/>
                <w:szCs w:val="18"/>
              </w:rPr>
              <w:t>，</w:t>
            </w:r>
            <w:r>
              <w:rPr>
                <w:rFonts w:ascii="Times New Roman" w:hAnsi="Times New Roman" w:cs="Times New Roman" w:eastAsia="Times New Roman" w:hint="default"/>
                <w:sz w:val="18"/>
                <w:szCs w:val="18"/>
              </w:rPr>
              <w:t>897</w:t>
            </w:r>
            <w:r>
              <w:rPr>
                <w:rFonts w:ascii="宋体" w:hAnsi="宋体" w:cs="宋体" w:eastAsia="宋体" w:hint="default"/>
                <w:sz w:val="18"/>
                <w:szCs w:val="18"/>
              </w:rPr>
              <w:t>，</w:t>
            </w:r>
            <w:r>
              <w:rPr>
                <w:rFonts w:ascii="Times New Roman" w:hAnsi="Times New Roman" w:cs="Times New Roman" w:eastAsia="Times New Roman" w:hint="default"/>
                <w:sz w:val="18"/>
                <w:szCs w:val="18"/>
              </w:rPr>
              <w:t>755.79</w:t>
            </w:r>
          </w:p>
        </w:tc>
        <w:tc>
          <w:tcPr>
            <w:tcW w:w="1786" w:type="dxa"/>
            <w:tcBorders>
              <w:top w:val="single" w:sz="4" w:space="0" w:color="000000"/>
              <w:left w:val="single" w:sz="4" w:space="0" w:color="000000"/>
              <w:bottom w:val="single" w:sz="4" w:space="0" w:color="000000"/>
              <w:right w:val="single" w:sz="4" w:space="0" w:color="000000"/>
            </w:tcBorders>
          </w:tcPr>
          <w:p>
            <w:pPr/>
          </w:p>
        </w:tc>
        <w:tc>
          <w:tcPr>
            <w:tcW w:w="20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85" w:type="dxa"/>
            <w:vMerge/>
            <w:tcBorders>
              <w:left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505" w:right="143" w:hanging="360"/>
              <w:jc w:val="left"/>
              <w:rPr>
                <w:rFonts w:ascii="宋体" w:hAnsi="宋体" w:cs="宋体" w:eastAsia="宋体" w:hint="default"/>
                <w:sz w:val="18"/>
                <w:szCs w:val="18"/>
              </w:rPr>
            </w:pPr>
            <w:r>
              <w:rPr>
                <w:rFonts w:ascii="宋体" w:hAnsi="宋体" w:cs="宋体" w:eastAsia="宋体" w:hint="default"/>
                <w:sz w:val="18"/>
                <w:szCs w:val="18"/>
              </w:rPr>
              <w:t>较</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年同比 增幅</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885"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考核期收入</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890,367,082.53</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1,095,836,409.26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1,301,305,736.00</w:t>
            </w:r>
          </w:p>
        </w:tc>
      </w:tr>
      <w:tr>
        <w:trPr>
          <w:trHeight w:val="402" w:hRule="exact"/>
        </w:trPr>
        <w:tc>
          <w:tcPr>
            <w:tcW w:w="8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56" w:right="166" w:hanging="90"/>
              <w:jc w:val="left"/>
              <w:rPr>
                <w:rFonts w:ascii="宋体" w:hAnsi="宋体" w:cs="宋体" w:eastAsia="宋体" w:hint="default"/>
                <w:sz w:val="18"/>
                <w:szCs w:val="18"/>
              </w:rPr>
            </w:pPr>
            <w:r>
              <w:rPr>
                <w:rFonts w:ascii="宋体" w:hAnsi="宋体" w:cs="宋体" w:eastAsia="宋体" w:hint="default"/>
                <w:sz w:val="18"/>
                <w:szCs w:val="18"/>
              </w:rPr>
              <w:t>修正后 指标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收入调增额</w:t>
            </w:r>
          </w:p>
        </w:tc>
        <w:tc>
          <w:tcPr>
            <w:tcW w:w="75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60,515,010.69</w:t>
            </w:r>
            <w:r>
              <w:rPr>
                <w:rFonts w:ascii="Times New Roman"/>
                <w:sz w:val="18"/>
              </w:rPr>
            </w:r>
          </w:p>
        </w:tc>
      </w:tr>
      <w:tr>
        <w:trPr>
          <w:trHeight w:val="402" w:hRule="exact"/>
        </w:trPr>
        <w:tc>
          <w:tcPr>
            <w:tcW w:w="885" w:type="dxa"/>
            <w:vMerge/>
            <w:tcBorders>
              <w:left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745,412,766.48</w:t>
            </w:r>
          </w:p>
        </w:tc>
        <w:tc>
          <w:tcPr>
            <w:tcW w:w="1786" w:type="dxa"/>
            <w:tcBorders>
              <w:top w:val="single" w:sz="4" w:space="0" w:color="000000"/>
              <w:left w:val="single" w:sz="4" w:space="0" w:color="000000"/>
              <w:bottom w:val="single" w:sz="4" w:space="0" w:color="000000"/>
              <w:right w:val="single" w:sz="4" w:space="0" w:color="000000"/>
            </w:tcBorders>
          </w:tcPr>
          <w:p>
            <w:pPr/>
          </w:p>
        </w:tc>
        <w:tc>
          <w:tcPr>
            <w:tcW w:w="20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5" w:type="dxa"/>
            <w:vMerge/>
            <w:tcBorders>
              <w:left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考核期收入</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950,882,093.22</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1,156,351,419.95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1,361,820,746.69</w:t>
            </w:r>
          </w:p>
        </w:tc>
      </w:tr>
      <w:tr>
        <w:trPr>
          <w:trHeight w:val="715" w:hRule="exact"/>
        </w:trPr>
        <w:tc>
          <w:tcPr>
            <w:tcW w:w="885"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505" w:right="101" w:hanging="402"/>
              <w:jc w:val="left"/>
              <w:rPr>
                <w:rFonts w:ascii="宋体" w:hAnsi="宋体" w:cs="宋体" w:eastAsia="宋体" w:hint="default"/>
                <w:sz w:val="18"/>
                <w:szCs w:val="18"/>
              </w:rPr>
            </w:pPr>
            <w:r>
              <w:rPr>
                <w:rFonts w:ascii="宋体" w:hAnsi="宋体" w:cs="宋体" w:eastAsia="宋体" w:hint="default"/>
                <w:sz w:val="18"/>
                <w:szCs w:val="18"/>
              </w:rPr>
              <w:t>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年同比 增幅</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27.6%</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82.7%</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left="574" w:right="0"/>
        <w:jc w:val="left"/>
      </w:pPr>
      <w:r>
        <w:rPr>
          <w:rFonts w:ascii="Times New Roman" w:hAnsi="Times New Roman" w:cs="Times New Roman" w:eastAsia="Times New Roman" w:hint="default"/>
        </w:rPr>
        <w:t>C</w:t>
      </w:r>
      <w:r>
        <w:rPr/>
        <w:t>、修正后</w:t>
      </w:r>
      <w:r>
        <w:rPr>
          <w:rFonts w:ascii="Times New Roman" w:hAnsi="Times New Roman" w:cs="Times New Roman" w:eastAsia="Times New Roman" w:hint="default"/>
        </w:rPr>
        <w:t>2015</w:t>
      </w:r>
      <w:r>
        <w:rPr/>
        <w:t>年限制性股票激励计划业绩考核指标</w:t>
      </w:r>
    </w:p>
    <w:p>
      <w:pPr>
        <w:spacing w:line="240" w:lineRule="auto" w:before="12"/>
        <w:rPr>
          <w:rFonts w:ascii="宋体" w:hAnsi="宋体" w:cs="宋体" w:eastAsia="宋体" w:hint="default"/>
          <w:sz w:val="12"/>
          <w:szCs w:val="12"/>
        </w:rPr>
      </w:pPr>
    </w:p>
    <w:tbl>
      <w:tblPr>
        <w:tblW w:w="0" w:type="auto"/>
        <w:jc w:val="left"/>
        <w:tblInd w:w="650" w:type="dxa"/>
        <w:tblLayout w:type="fixed"/>
        <w:tblCellMar>
          <w:top w:w="0" w:type="dxa"/>
          <w:left w:w="0" w:type="dxa"/>
          <w:bottom w:w="0" w:type="dxa"/>
          <w:right w:w="0" w:type="dxa"/>
        </w:tblCellMar>
        <w:tblLook w:val="01E0"/>
      </w:tblPr>
      <w:tblGrid>
        <w:gridCol w:w="1526"/>
        <w:gridCol w:w="7230"/>
      </w:tblGrid>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解锁安排</w:t>
            </w:r>
            <w:r>
              <w:rPr>
                <w:rFonts w:ascii="宋体" w:hAnsi="宋体" w:cs="宋体" w:eastAsia="宋体" w:hint="default"/>
                <w:sz w:val="18"/>
                <w:szCs w:val="18"/>
              </w:rPr>
            </w:r>
          </w:p>
        </w:tc>
        <w:tc>
          <w:tcPr>
            <w:tcW w:w="7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27.6%</w:t>
            </w:r>
            <w:r>
              <w:rPr>
                <w:rFonts w:ascii="宋体" w:hAnsi="宋体" w:cs="宋体" w:eastAsia="宋体" w:hint="default"/>
                <w:sz w:val="18"/>
                <w:szCs w:val="18"/>
              </w:rPr>
              <w:t>；</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55.1%</w:t>
            </w:r>
            <w:r>
              <w:rPr>
                <w:rFonts w:ascii="宋体" w:hAnsi="宋体" w:cs="宋体" w:eastAsia="宋体" w:hint="default"/>
                <w:sz w:val="18"/>
                <w:szCs w:val="18"/>
              </w:rPr>
              <w:t>；</w:t>
            </w:r>
          </w:p>
        </w:tc>
      </w:tr>
      <w:tr>
        <w:trPr>
          <w:trHeight w:val="40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82.7%</w:t>
            </w:r>
            <w:r>
              <w:rPr>
                <w:rFonts w:ascii="宋体" w:hAnsi="宋体" w:cs="宋体" w:eastAsia="宋体" w:hint="default"/>
                <w:sz w:val="18"/>
                <w:szCs w:val="18"/>
              </w:rPr>
              <w:t>。</w:t>
            </w:r>
          </w:p>
        </w:tc>
      </w:tr>
    </w:tbl>
    <w:p>
      <w:pPr>
        <w:pStyle w:val="BodyText"/>
        <w:spacing w:line="240" w:lineRule="auto" w:before="51"/>
        <w:ind w:left="634" w:right="0"/>
        <w:jc w:val="left"/>
      </w:pPr>
      <w:r>
        <w:rPr/>
        <w:t>该议案尚需</w:t>
      </w:r>
      <w:r>
        <w:rPr>
          <w:color w:val="0D0D0D"/>
        </w:rPr>
        <w:t>本公司股东大会批准</w:t>
      </w:r>
      <w:r>
        <w:rPr/>
        <w:t>。</w:t>
      </w:r>
    </w:p>
    <w:p>
      <w:pPr>
        <w:pStyle w:val="BodyText"/>
        <w:spacing w:line="386" w:lineRule="auto" w:before="85"/>
        <w:ind w:left="574" w:right="1118"/>
        <w:jc w:val="left"/>
      </w:pPr>
      <w:r>
        <w:rPr/>
        <w:t>（</w:t>
      </w:r>
      <w:r>
        <w:rPr>
          <w:rFonts w:ascii="Times New Roman" w:hAnsi="Times New Roman" w:cs="Times New Roman" w:eastAsia="Times New Roman" w:hint="default"/>
        </w:rPr>
        <w:t>11</w:t>
      </w:r>
      <w:r>
        <w:rPr/>
        <w:t>）关于公司收购北京朝歌数码科技股份有限公司</w:t>
      </w:r>
      <w:r>
        <w:rPr>
          <w:spacing w:val="-47"/>
        </w:rPr>
        <w:t> </w:t>
      </w:r>
      <w:r>
        <w:rPr>
          <w:rFonts w:ascii="Times New Roman" w:hAnsi="Times New Roman" w:cs="Times New Roman" w:eastAsia="Times New Roman" w:hint="default"/>
        </w:rPr>
        <w:t>4%</w:t>
      </w:r>
      <w:r>
        <w:rPr/>
        <w:t>股权的议案 </w:t>
      </w:r>
      <w:r>
        <w:rPr>
          <w:spacing w:val="-5"/>
        </w:rPr>
        <w:t>为建立与北京朝歌数码科技股份有限公司（以下简称：</w:t>
      </w:r>
      <w:r>
        <w:rPr>
          <w:rFonts w:ascii="Times New Roman" w:hAnsi="Times New Roman" w:cs="Times New Roman" w:eastAsia="Times New Roman" w:hint="default"/>
          <w:spacing w:val="-5"/>
        </w:rPr>
        <w:t>“</w:t>
      </w:r>
      <w:r>
        <w:rPr>
          <w:spacing w:val="-5"/>
        </w:rPr>
        <w:t>朝歌科技</w:t>
      </w:r>
      <w:r>
        <w:rPr>
          <w:rFonts w:ascii="Times New Roman" w:hAnsi="Times New Roman" w:cs="Times New Roman" w:eastAsia="Times New Roman" w:hint="default"/>
          <w:spacing w:val="-5"/>
        </w:rPr>
        <w:t>”</w:t>
      </w:r>
      <w:r>
        <w:rPr>
          <w:spacing w:val="-5"/>
        </w:rPr>
        <w:t>）的战略合作关系，优化公司 </w:t>
      </w:r>
      <w:r>
        <w:rPr>
          <w:rFonts w:ascii="Times New Roman" w:hAnsi="Times New Roman" w:cs="Times New Roman" w:eastAsia="Times New Roman" w:hint="default"/>
        </w:rPr>
        <w:t>IPTV</w:t>
      </w:r>
      <w:r>
        <w:rPr>
          <w:rFonts w:ascii="Times New Roman" w:hAnsi="Times New Roman" w:cs="Times New Roman" w:eastAsia="Times New Roman" w:hint="default"/>
          <w:spacing w:val="-21"/>
        </w:rPr>
        <w:t> </w:t>
      </w:r>
      <w:r>
        <w:rPr/>
        <w:t>业务的资源配置。</w:t>
      </w:r>
    </w:p>
    <w:p>
      <w:pPr>
        <w:pStyle w:val="BodyText"/>
        <w:spacing w:line="228" w:lineRule="exact"/>
        <w:ind w:left="213" w:right="0"/>
        <w:jc w:val="left"/>
      </w:pPr>
      <w:r>
        <w:rPr/>
        <w:t>公司拟使用自有资金</w:t>
      </w:r>
      <w:r>
        <w:rPr>
          <w:spacing w:val="-62"/>
        </w:rPr>
        <w:t> </w:t>
      </w:r>
      <w:r>
        <w:rPr>
          <w:rFonts w:ascii="Times New Roman" w:hAnsi="Times New Roman" w:cs="Times New Roman" w:eastAsia="Times New Roman" w:hint="default"/>
        </w:rPr>
        <w:t>2,040</w:t>
      </w:r>
      <w:r>
        <w:rPr>
          <w:rFonts w:ascii="Times New Roman" w:hAnsi="Times New Roman" w:cs="Times New Roman" w:eastAsia="Times New Roman" w:hint="default"/>
          <w:spacing w:val="-18"/>
        </w:rPr>
        <w:t> </w:t>
      </w:r>
      <w:r>
        <w:rPr/>
        <w:t>万元人民币从朝歌科技自然人股东王军收购</w:t>
      </w:r>
      <w:r>
        <w:rPr>
          <w:spacing w:val="-62"/>
        </w:rPr>
        <w:t> </w:t>
      </w:r>
      <w:r>
        <w:rPr>
          <w:rFonts w:ascii="Times New Roman" w:hAnsi="Times New Roman" w:cs="Times New Roman" w:eastAsia="Times New Roman" w:hint="default"/>
        </w:rPr>
        <w:t>4%</w:t>
      </w:r>
      <w:r>
        <w:rPr/>
        <w:t>的股权</w:t>
      </w:r>
      <w:r>
        <w:rPr>
          <w:spacing w:val="-90"/>
        </w:rPr>
        <w:t>。</w:t>
      </w:r>
      <w:r>
        <w:rPr/>
        <w:t>该事项不构成重大资产重组及关联交易，</w:t>
      </w:r>
    </w:p>
    <w:p>
      <w:pPr>
        <w:pStyle w:val="BodyText"/>
        <w:spacing w:line="240" w:lineRule="auto" w:before="102"/>
        <w:ind w:left="213" w:right="0"/>
        <w:jc w:val="left"/>
      </w:pPr>
      <w:r>
        <w:rPr/>
        <w:t>无需提交股东大会审议。</w:t>
      </w:r>
    </w:p>
    <w:p>
      <w:pPr>
        <w:spacing w:line="240" w:lineRule="auto" w:before="7"/>
        <w:rPr>
          <w:rFonts w:ascii="宋体" w:hAnsi="宋体" w:cs="宋体" w:eastAsia="宋体" w:hint="default"/>
          <w:sz w:val="12"/>
          <w:szCs w:val="12"/>
        </w:rPr>
      </w:pPr>
    </w:p>
    <w:p>
      <w:pPr>
        <w:pStyle w:val="BodyText"/>
        <w:spacing w:line="338" w:lineRule="auto"/>
        <w:ind w:left="213" w:right="1131" w:firstLine="360"/>
        <w:jc w:val="both"/>
      </w:pPr>
      <w:r>
        <w:rPr>
          <w:spacing w:val="-4"/>
        </w:rPr>
        <w:t>交易方式：王军将所其持有的</w:t>
      </w:r>
      <w:r>
        <w:rPr>
          <w:spacing w:val="-60"/>
        </w:rPr>
        <w:t> </w:t>
      </w:r>
      <w:r>
        <w:rPr>
          <w:rFonts w:ascii="Times New Roman" w:hAnsi="Times New Roman" w:cs="Times New Roman" w:eastAsia="Times New Roman" w:hint="default"/>
        </w:rPr>
        <w:t>160</w:t>
      </w:r>
      <w:r>
        <w:rPr>
          <w:rFonts w:ascii="Times New Roman" w:hAnsi="Times New Roman" w:cs="Times New Roman" w:eastAsia="Times New Roman" w:hint="default"/>
          <w:spacing w:val="-15"/>
        </w:rPr>
        <w:t> </w:t>
      </w:r>
      <w:r>
        <w:rPr/>
        <w:t>万股朝歌科技股份在协议约定的交易当日，按照约定好的成交价格和数量通过证券交 </w:t>
      </w:r>
      <w:r>
        <w:rPr>
          <w:spacing w:val="-2"/>
        </w:rPr>
        <w:t>易软件以报出成交确认委托的方式（</w:t>
      </w:r>
      <w:r>
        <w:rPr>
          <w:rFonts w:ascii="Times New Roman" w:hAnsi="Times New Roman" w:cs="Times New Roman" w:eastAsia="Times New Roman" w:hint="default"/>
          <w:spacing w:val="-2"/>
        </w:rPr>
        <w:t>“</w:t>
      </w:r>
      <w:r>
        <w:rPr>
          <w:spacing w:val="-2"/>
        </w:rPr>
        <w:t>互报成交确认方式</w:t>
      </w:r>
      <w:r>
        <w:rPr>
          <w:rFonts w:ascii="Times New Roman" w:hAnsi="Times New Roman" w:cs="Times New Roman" w:eastAsia="Times New Roman" w:hint="default"/>
          <w:spacing w:val="-2"/>
        </w:rPr>
        <w:t>”</w:t>
      </w:r>
      <w:r>
        <w:rPr>
          <w:spacing w:val="-2"/>
        </w:rPr>
        <w:t>）转让给本公司。本公司必须按协议的约定条款，在协议约定交易</w:t>
      </w:r>
      <w:r>
        <w:rPr>
          <w:spacing w:val="-44"/>
        </w:rPr>
        <w:t> </w:t>
      </w:r>
      <w:r>
        <w:rPr>
          <w:spacing w:val="-44"/>
        </w:rPr>
      </w:r>
      <w:r>
        <w:rPr/>
        <w:t>当日买入上述王军转让的股份。预定交易时间为</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p>
    <w:p>
      <w:pPr>
        <w:pStyle w:val="BodyText"/>
        <w:spacing w:line="240" w:lineRule="auto" w:before="68"/>
        <w:ind w:left="574" w:right="0"/>
        <w:jc w:val="left"/>
      </w:pPr>
      <w:r>
        <w:rPr/>
        <w:t>（</w:t>
      </w:r>
      <w:r>
        <w:rPr>
          <w:rFonts w:ascii="Times New Roman" w:hAnsi="Times New Roman" w:cs="Times New Roman" w:eastAsia="Times New Roman" w:hint="default"/>
        </w:rPr>
        <w:t>12</w:t>
      </w:r>
      <w:r>
        <w:rPr/>
        <w:t>）关于使用募集资金置换先期投入自筹资金的议案</w:t>
      </w:r>
    </w:p>
    <w:p>
      <w:pPr>
        <w:pStyle w:val="BodyText"/>
        <w:spacing w:line="338" w:lineRule="auto" w:before="150"/>
        <w:ind w:left="213" w:right="1131" w:firstLine="360"/>
        <w:jc w:val="both"/>
      </w:pPr>
      <w:r>
        <w:rPr>
          <w:spacing w:val="-2"/>
        </w:rPr>
        <w:t>根据本公司《</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5"/>
        </w:rPr>
        <w:t> </w:t>
      </w:r>
      <w:r>
        <w:rPr>
          <w:spacing w:val="-3"/>
        </w:rPr>
        <w:t>年度非公开发行股票预案（修订稿）》披露的非公开发行股票募集资金投资项目及募集资金使用计划</w:t>
      </w:r>
      <w:r>
        <w:rPr/>
        <w:t> 所述：在本次非公开发行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股股票募集资金到位之前，公司将根据项目进度的实际需要以自筹资金先行投入，并在募集资 金到位之后按照相关法规规定的程序予以置换。</w:t>
      </w:r>
    </w:p>
    <w:p>
      <w:pPr>
        <w:pStyle w:val="BodyText"/>
        <w:spacing w:line="300" w:lineRule="auto" w:before="120"/>
        <w:ind w:left="213" w:right="1130" w:firstLine="420"/>
        <w:jc w:val="both"/>
      </w:pP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日公司第四届董事会第二十九次会议审议通过《关于公司非公开发行股票预案》相关事宜至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 </w:t>
      </w:r>
      <w:r>
        <w:rPr>
          <w:rFonts w:ascii="Times New Roman" w:hAnsi="Times New Roman" w:cs="Times New Roman" w:eastAsia="Times New Roman" w:hint="default"/>
          <w:spacing w:val="-2"/>
        </w:rPr>
        <w:t>31</w:t>
      </w:r>
      <w:r>
        <w:rPr>
          <w:spacing w:val="-2"/>
        </w:rPr>
        <w:t>日，公司自筹资金实际投资额</w:t>
      </w:r>
      <w:r>
        <w:rPr>
          <w:rFonts w:ascii="Times New Roman" w:hAnsi="Times New Roman" w:cs="Times New Roman" w:eastAsia="Times New Roman" w:hint="default"/>
          <w:spacing w:val="-2"/>
        </w:rPr>
        <w:t>3,259.91</w:t>
      </w:r>
      <w:r>
        <w:rPr>
          <w:spacing w:val="-2"/>
        </w:rPr>
        <w:t>万元。经公司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日第五届董事会第十二次会议会议批准，上述实际投资自</w:t>
      </w:r>
      <w:r>
        <w:rPr>
          <w:spacing w:val="-50"/>
        </w:rPr>
        <w:t> </w:t>
      </w:r>
      <w:r>
        <w:rPr>
          <w:spacing w:val="-50"/>
        </w:rPr>
      </w:r>
      <w:r>
        <w:rPr>
          <w:spacing w:val="-2"/>
        </w:rPr>
        <w:t>有资金以募集资金予以置换；该事项业经大华会计师事务所（特殊普通合伙）于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日出具的大华核字</w:t>
      </w:r>
      <w:r>
        <w:rPr>
          <w:rFonts w:ascii="Times New Roman" w:hAnsi="Times New Roman" w:cs="Times New Roman" w:eastAsia="Times New Roman" w:hint="default"/>
          <w:spacing w:val="-2"/>
        </w:rPr>
        <w:t>[2016]001271</w:t>
      </w:r>
      <w:r>
        <w:rPr>
          <w:rFonts w:ascii="Times New Roman" w:hAnsi="Times New Roman" w:cs="Times New Roman" w:eastAsia="Times New Roman" w:hint="default"/>
          <w:spacing w:val="-31"/>
        </w:rPr>
        <w:t> </w:t>
      </w:r>
      <w:r>
        <w:rPr/>
        <w:t>号《二六三网络通信股份有限公司以自筹资金预先投入募集资金投资项目的鉴证报告》予以鉴证。</w:t>
      </w:r>
    </w:p>
    <w:p>
      <w:pPr>
        <w:pStyle w:val="BodyText"/>
        <w:spacing w:line="240" w:lineRule="auto" w:before="72"/>
        <w:ind w:left="573" w:right="0"/>
        <w:jc w:val="left"/>
      </w:pPr>
      <w:r>
        <w:rPr/>
        <w:t>（</w:t>
      </w:r>
      <w:r>
        <w:rPr>
          <w:rFonts w:ascii="Times New Roman" w:hAnsi="Times New Roman" w:cs="Times New Roman" w:eastAsia="Times New Roman" w:hint="default"/>
        </w:rPr>
        <w:t>13</w:t>
      </w:r>
      <w:r>
        <w:rPr>
          <w:spacing w:val="-90"/>
        </w:rPr>
        <w:t>）</w:t>
      </w:r>
      <w:r>
        <w:rPr/>
        <w:t>《关于公司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w:t>
      </w:r>
      <w:r>
        <w:rPr>
          <w:spacing w:val="1"/>
        </w:rPr>
        <w:t>利</w:t>
      </w:r>
      <w:r>
        <w:rPr/>
        <w:t>润分配方案的议案》</w:t>
      </w:r>
    </w:p>
    <w:p>
      <w:pPr>
        <w:pStyle w:val="BodyText"/>
        <w:spacing w:line="240" w:lineRule="auto" w:before="101"/>
        <w:ind w:left="634" w:right="0"/>
        <w:jc w:val="left"/>
      </w:pPr>
      <w:r>
        <w:rPr/>
        <w:t>本公司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3"/>
        </w:rPr>
        <w:t>年度利润分配方案为：以</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日的公司总股本</w:t>
      </w:r>
      <w:r>
        <w:rPr>
          <w:spacing w:val="-48"/>
        </w:rPr>
        <w:t> </w:t>
      </w:r>
      <w:r>
        <w:rPr>
          <w:rFonts w:ascii="Times New Roman" w:hAnsi="Times New Roman" w:cs="Times New Roman" w:eastAsia="Times New Roman" w:hint="default"/>
        </w:rPr>
        <w:t>798,420,393</w:t>
      </w:r>
      <w:r>
        <w:rPr>
          <w:rFonts w:ascii="Times New Roman" w:hAnsi="Times New Roman" w:cs="Times New Roman" w:eastAsia="Times New Roman" w:hint="default"/>
          <w:spacing w:val="-3"/>
        </w:rPr>
        <w:t> </w:t>
      </w:r>
      <w:r>
        <w:rPr/>
        <w:t>股，扣除拟回购注销的限制性股票</w:t>
      </w:r>
    </w:p>
    <w:p>
      <w:pPr>
        <w:pStyle w:val="BodyText"/>
        <w:spacing w:line="240" w:lineRule="auto" w:before="64"/>
        <w:ind w:left="214" w:right="0"/>
        <w:jc w:val="left"/>
      </w:pPr>
      <w:r>
        <w:rPr>
          <w:rFonts w:ascii="Times New Roman" w:hAnsi="Times New Roman" w:cs="Times New Roman" w:eastAsia="Times New Roman" w:hint="default"/>
        </w:rPr>
        <w:t>1,513,173 </w:t>
      </w:r>
      <w:r>
        <w:rPr/>
        <w:t>股</w:t>
      </w:r>
      <w:r>
        <w:rPr>
          <w:spacing w:val="-2"/>
        </w:rPr>
        <w:t>，</w:t>
      </w:r>
      <w:r>
        <w:rPr/>
        <w:t>即</w:t>
      </w:r>
      <w:r>
        <w:rPr>
          <w:spacing w:val="-46"/>
        </w:rPr>
        <w:t> </w:t>
      </w:r>
      <w:r>
        <w:rPr>
          <w:rFonts w:ascii="Times New Roman" w:hAnsi="Times New Roman" w:cs="Times New Roman" w:eastAsia="Times New Roman" w:hint="default"/>
        </w:rPr>
        <w:t>796,907,220</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 </w:t>
      </w:r>
      <w:r>
        <w:rPr/>
        <w:t>股派发现金红利</w:t>
      </w:r>
      <w:r>
        <w:rPr>
          <w:spacing w:val="-46"/>
        </w:rPr>
        <w:t> </w:t>
      </w:r>
      <w:r>
        <w:rPr>
          <w:rFonts w:ascii="Times New Roman" w:hAnsi="Times New Roman" w:cs="Times New Roman" w:eastAsia="Times New Roman" w:hint="default"/>
        </w:rPr>
        <w:t>0.40</w:t>
      </w:r>
      <w:r>
        <w:rPr>
          <w:rFonts w:ascii="Times New Roman" w:hAnsi="Times New Roman" w:cs="Times New Roman" w:eastAsia="Times New Roman" w:hint="default"/>
          <w:spacing w:val="-1"/>
        </w:rPr>
        <w:t> </w:t>
      </w:r>
      <w:r>
        <w:rPr/>
        <w:t>元人民币（含税</w:t>
      </w:r>
      <w:r>
        <w:rPr>
          <w:spacing w:val="-90"/>
        </w:rPr>
        <w:t>）</w:t>
      </w:r>
      <w:r>
        <w:rPr/>
        <w:t>。</w:t>
      </w:r>
    </w:p>
    <w:p>
      <w:pPr>
        <w:spacing w:after="0" w:line="240" w:lineRule="auto"/>
        <w:jc w:val="left"/>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1033"/>
        <w:jc w:val="left"/>
      </w:pPr>
      <w:r>
        <w:rPr/>
        <w:t>（</w:t>
      </w:r>
      <w:r>
        <w:rPr>
          <w:rFonts w:ascii="Times New Roman" w:hAnsi="Times New Roman" w:cs="Times New Roman" w:eastAsia="Times New Roman" w:hint="default"/>
        </w:rPr>
        <w:t>14</w:t>
      </w:r>
      <w:r>
        <w:rPr/>
        <w:t>）关于回购</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年股权激励计划中已离职股权激励对象所持已获授但尚未解锁的限制性股票的议案</w:t>
      </w:r>
    </w:p>
    <w:p>
      <w:pPr>
        <w:pStyle w:val="BodyText"/>
        <w:spacing w:line="240" w:lineRule="auto" w:before="101"/>
        <w:ind w:left="573" w:right="1033"/>
        <w:jc w:val="left"/>
      </w:pPr>
      <w:r>
        <w:rPr>
          <w:rFonts w:ascii="Times New Roman" w:hAnsi="Times New Roman" w:cs="Times New Roman" w:eastAsia="Times New Roman" w:hint="default"/>
        </w:rPr>
        <w:t>2016 </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日第五届董事会第十二次会议审议通过《关于回购</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年股权激励计划中已离职股权激励对象所持已</w:t>
      </w:r>
    </w:p>
    <w:p>
      <w:pPr>
        <w:pStyle w:val="BodyText"/>
        <w:spacing w:line="302" w:lineRule="auto" w:before="63"/>
        <w:ind w:right="1121"/>
        <w:jc w:val="left"/>
      </w:pPr>
      <w:r>
        <w:rPr>
          <w:spacing w:val="-3"/>
        </w:rPr>
        <w:t>获授但尚未解锁的限制性股票的议案》，决定回购已离职股权激励对象刘冰、宋超、王昌双三人所持</w:t>
      </w:r>
      <w:r>
        <w:rPr>
          <w:spacing w:val="-45"/>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
        </w:rPr>
        <w:t> </w:t>
      </w:r>
      <w:r>
        <w:rPr/>
        <w:t>股已获授但尚未 解锁的限制性股票。</w:t>
      </w:r>
    </w:p>
    <w:p>
      <w:pPr>
        <w:pStyle w:val="BodyText"/>
        <w:spacing w:line="300" w:lineRule="auto" w:before="69"/>
        <w:ind w:right="1130" w:firstLine="420"/>
        <w:jc w:val="both"/>
      </w:pPr>
      <w:r>
        <w:rPr/>
        <w:t>因从</w:t>
      </w:r>
      <w:r>
        <w:rPr>
          <w:rFonts w:ascii="Times New Roman" w:hAnsi="Times New Roman" w:cs="Times New Roman" w:eastAsia="Times New Roman" w:hint="default"/>
        </w:rPr>
        <w:t>2015</w:t>
      </w:r>
      <w:r>
        <w:rPr/>
        <w:t>年限制性股票授予日至今，公司未发生资本公积转增股本、派送股票红利、股份拆细、配股或缩股、派息等 </w:t>
      </w:r>
      <w:r>
        <w:rPr>
          <w:spacing w:val="-2"/>
        </w:rPr>
        <w:t>事项，所以本次限制性股票回购价格仍为</w:t>
      </w:r>
      <w:r>
        <w:rPr>
          <w:rFonts w:ascii="Times New Roman" w:hAnsi="Times New Roman" w:cs="Times New Roman" w:eastAsia="Times New Roman" w:hint="default"/>
          <w:spacing w:val="-2"/>
        </w:rPr>
        <w:t>7.12</w:t>
      </w:r>
      <w:r>
        <w:rPr>
          <w:spacing w:val="-2"/>
        </w:rPr>
        <w:t>元</w:t>
      </w:r>
      <w:r>
        <w:rPr>
          <w:rFonts w:ascii="Times New Roman" w:hAnsi="Times New Roman" w:cs="Times New Roman" w:eastAsia="Times New Roman" w:hint="default"/>
          <w:spacing w:val="-2"/>
        </w:rPr>
        <w:t>/</w:t>
      </w:r>
      <w:r>
        <w:rPr>
          <w:spacing w:val="-2"/>
        </w:rPr>
        <w:t>股。公司应就本次限制性股票回购向刘冰、宋超、王昌双支付回购价款共计</w:t>
      </w:r>
      <w:r>
        <w:rPr>
          <w:spacing w:val="-66"/>
        </w:rPr>
        <w:t> </w:t>
      </w:r>
      <w:r>
        <w:rPr>
          <w:spacing w:val="-66"/>
        </w:rPr>
      </w:r>
      <w:r>
        <w:rPr>
          <w:rFonts w:ascii="Times New Roman" w:hAnsi="Times New Roman" w:cs="Times New Roman" w:eastAsia="Times New Roman" w:hint="default"/>
        </w:rPr>
        <w:t>356,000</w:t>
      </w:r>
      <w:r>
        <w:rPr/>
        <w:t>元，公司将使用自有资金进行回购。</w:t>
      </w:r>
    </w:p>
    <w:p>
      <w:pPr>
        <w:pStyle w:val="BodyText"/>
        <w:spacing w:line="240" w:lineRule="auto" w:before="52"/>
        <w:ind w:left="573" w:right="1033"/>
        <w:jc w:val="left"/>
      </w:pPr>
      <w:r>
        <w:rPr>
          <w:color w:val="0D0D0D"/>
        </w:rPr>
        <w:t>除存在上述资产负债表日后事项外，截止财务报告日，本公司无其他应披露未披露的重大资产负债表日后事项。</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3"/>
        <w:spacing w:line="240" w:lineRule="auto"/>
        <w:ind w:right="1033"/>
        <w:jc w:val="left"/>
        <w:rPr>
          <w:b w:val="0"/>
          <w:bCs w:val="0"/>
        </w:rPr>
      </w:pPr>
      <w:bookmarkStart w:name="十六、其他重要事项" w:id="391"/>
      <w:bookmarkEnd w:id="39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前期会计差错更正" w:id="392"/>
      <w:bookmarkEnd w:id="3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追溯重述法" w:id="393"/>
      <w:bookmarkEnd w:id="3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02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综合费（</w:t>
            </w:r>
            <w:r>
              <w:rPr>
                <w:rFonts w:ascii="Times New Roman" w:hAnsi="Times New Roman" w:cs="Times New Roman" w:eastAsia="Times New Roman" w:hint="default"/>
                <w:sz w:val="18"/>
                <w:szCs w:val="18"/>
              </w:rPr>
              <w:t>Applicable Regulatory/Compliance Fees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Charges</w:t>
            </w:r>
            <w:r>
              <w:rPr>
                <w:rFonts w:ascii="宋体" w:hAnsi="宋体" w:cs="宋体" w:eastAsia="宋体" w:hint="default"/>
                <w:sz w:val="18"/>
                <w:szCs w:val="18"/>
              </w:rPr>
              <w:t>）会计处理修正</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0"/>
              <w:jc w:val="left"/>
              <w:rPr>
                <w:rFonts w:ascii="宋体" w:hAnsi="宋体" w:cs="宋体" w:eastAsia="宋体" w:hint="default"/>
                <w:sz w:val="18"/>
                <w:szCs w:val="18"/>
              </w:rPr>
            </w:pPr>
            <w:r>
              <w:rPr>
                <w:rFonts w:ascii="宋体" w:hAnsi="宋体" w:cs="宋体" w:eastAsia="宋体" w:hint="default"/>
                <w:sz w:val="18"/>
                <w:szCs w:val="18"/>
              </w:rPr>
              <w:t>将原冲减营业成本修正为确 认营业收入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102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综合费（</w:t>
            </w:r>
            <w:r>
              <w:rPr>
                <w:rFonts w:ascii="Times New Roman" w:hAnsi="Times New Roman" w:cs="Times New Roman" w:eastAsia="Times New Roman" w:hint="default"/>
                <w:sz w:val="18"/>
                <w:szCs w:val="18"/>
              </w:rPr>
              <w:t>Applicable Regulatory/Compliance Fees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Charges</w:t>
            </w:r>
            <w:r>
              <w:rPr>
                <w:rFonts w:ascii="宋体" w:hAnsi="宋体" w:cs="宋体" w:eastAsia="宋体" w:hint="default"/>
                <w:sz w:val="18"/>
                <w:szCs w:val="18"/>
              </w:rPr>
              <w:t>）会计处理修正</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0"/>
              <w:jc w:val="left"/>
              <w:rPr>
                <w:rFonts w:ascii="宋体" w:hAnsi="宋体" w:cs="宋体" w:eastAsia="宋体" w:hint="default"/>
                <w:sz w:val="18"/>
                <w:szCs w:val="18"/>
              </w:rPr>
            </w:pPr>
            <w:r>
              <w:rPr>
                <w:rFonts w:ascii="宋体" w:hAnsi="宋体" w:cs="宋体" w:eastAsia="宋体" w:hint="default"/>
                <w:sz w:val="18"/>
                <w:szCs w:val="18"/>
              </w:rPr>
              <w:t>将原冲减营业成本修正为确 认营业收入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-60,515,010.69</w:t>
            </w:r>
          </w:p>
        </w:tc>
      </w:tr>
      <w:tr>
        <w:trPr>
          <w:trHeight w:val="1338"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8" w:lineRule="auto"/>
              <w:ind w:left="22" w:right="60"/>
              <w:jc w:val="left"/>
              <w:rPr>
                <w:rFonts w:ascii="宋体" w:hAnsi="宋体" w:cs="宋体" w:eastAsia="宋体" w:hint="default"/>
                <w:sz w:val="18"/>
                <w:szCs w:val="18"/>
              </w:rPr>
            </w:pPr>
            <w:r>
              <w:rPr>
                <w:rFonts w:ascii="宋体" w:hAnsi="宋体" w:cs="宋体" w:eastAsia="宋体" w:hint="default"/>
                <w:sz w:val="18"/>
                <w:szCs w:val="18"/>
              </w:rPr>
              <w:t>综合费（</w:t>
            </w:r>
            <w:r>
              <w:rPr>
                <w:rFonts w:ascii="Times New Roman" w:hAnsi="Times New Roman" w:cs="Times New Roman" w:eastAsia="Times New Roman" w:hint="default"/>
                <w:sz w:val="18"/>
                <w:szCs w:val="18"/>
              </w:rPr>
              <w:t>Applicable Regulatory/Compliance Fees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Charges</w:t>
            </w:r>
            <w:r>
              <w:rPr>
                <w:rFonts w:ascii="宋体" w:hAnsi="宋体" w:cs="宋体" w:eastAsia="宋体" w:hint="default"/>
                <w:sz w:val="18"/>
                <w:szCs w:val="18"/>
              </w:rPr>
              <w:t>）会计处理修正</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将原冲减购买商品及接受劳 务支付的现金修正为确认销 售商品及提供劳务收到的现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6"/>
              <w:jc w:val="left"/>
              <w:rPr>
                <w:rFonts w:ascii="宋体" w:hAnsi="宋体" w:cs="宋体" w:eastAsia="宋体" w:hint="default"/>
                <w:sz w:val="18"/>
                <w:szCs w:val="18"/>
              </w:rPr>
            </w:pPr>
            <w:r>
              <w:rPr>
                <w:rFonts w:ascii="宋体" w:hAnsi="宋体" w:cs="宋体" w:eastAsia="宋体" w:hint="default"/>
                <w:sz w:val="18"/>
                <w:szCs w:val="18"/>
              </w:rPr>
              <w:t>销售商品及提供劳务收到的 现金</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57,673,443.13</w:t>
            </w:r>
          </w:p>
        </w:tc>
      </w:tr>
      <w:tr>
        <w:trPr>
          <w:trHeight w:val="1338"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8" w:lineRule="auto"/>
              <w:ind w:left="22" w:right="60"/>
              <w:jc w:val="left"/>
              <w:rPr>
                <w:rFonts w:ascii="宋体" w:hAnsi="宋体" w:cs="宋体" w:eastAsia="宋体" w:hint="default"/>
                <w:sz w:val="18"/>
                <w:szCs w:val="18"/>
              </w:rPr>
            </w:pPr>
            <w:r>
              <w:rPr>
                <w:rFonts w:ascii="宋体" w:hAnsi="宋体" w:cs="宋体" w:eastAsia="宋体" w:hint="default"/>
                <w:sz w:val="18"/>
                <w:szCs w:val="18"/>
              </w:rPr>
              <w:t>综合费（</w:t>
            </w:r>
            <w:r>
              <w:rPr>
                <w:rFonts w:ascii="Times New Roman" w:hAnsi="Times New Roman" w:cs="Times New Roman" w:eastAsia="Times New Roman" w:hint="default"/>
                <w:sz w:val="18"/>
                <w:szCs w:val="18"/>
              </w:rPr>
              <w:t>Applicable Regulatory/Compliance Fees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Charges</w:t>
            </w:r>
            <w:r>
              <w:rPr>
                <w:rFonts w:ascii="宋体" w:hAnsi="宋体" w:cs="宋体" w:eastAsia="宋体" w:hint="default"/>
                <w:sz w:val="18"/>
                <w:szCs w:val="18"/>
              </w:rPr>
              <w:t>）会计处理修正</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将原冲减购买商品及接受劳 务支付的现金修正为确认销 售商品及提供劳务收到的现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6"/>
              <w:jc w:val="left"/>
              <w:rPr>
                <w:rFonts w:ascii="宋体" w:hAnsi="宋体" w:cs="宋体" w:eastAsia="宋体" w:hint="default"/>
                <w:sz w:val="18"/>
                <w:szCs w:val="18"/>
              </w:rPr>
            </w:pPr>
            <w:r>
              <w:rPr>
                <w:rFonts w:ascii="宋体" w:hAnsi="宋体" w:cs="宋体" w:eastAsia="宋体" w:hint="default"/>
                <w:sz w:val="18"/>
                <w:szCs w:val="18"/>
              </w:rPr>
              <w:t>购买商品及接受劳务支付的 现金</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-57,673,443.13</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未来适用法" w:id="394"/>
      <w:bookmarkEnd w:id="3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债务重组" w:id="395"/>
      <w:bookmarkEnd w:id="3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33"/>
        <w:jc w:val="left"/>
        <w:rPr>
          <w:b w:val="0"/>
          <w:bCs w:val="0"/>
        </w:rPr>
      </w:pPr>
      <w:bookmarkStart w:name="3、资产置换" w:id="396"/>
      <w:bookmarkEnd w:id="3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33"/>
        <w:jc w:val="left"/>
        <w:rPr>
          <w:b w:val="0"/>
          <w:bCs w:val="0"/>
        </w:rPr>
      </w:pPr>
      <w:bookmarkStart w:name="（1）非货币性资产交换" w:id="397"/>
      <w:bookmarkEnd w:id="3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其他资产置换" w:id="398"/>
      <w:bookmarkEnd w:id="3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年金计划" w:id="399"/>
      <w:bookmarkEnd w:id="3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5、终止经营" w:id="400"/>
      <w:bookmarkEnd w:id="4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6、分部信息" w:id="401"/>
      <w:bookmarkEnd w:id="4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报告分部的确定依据与会计政策" w:id="402"/>
      <w:bookmarkEnd w:id="4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033" w:firstLine="363"/>
        <w:jc w:val="left"/>
      </w:pPr>
      <w:r>
        <w:rPr/>
        <w:t>根据本公司的内部组织结构、管理要求及内部报告制度确定了</w:t>
      </w:r>
      <w:r>
        <w:rPr>
          <w:rFonts w:ascii="Times New Roman" w:hAnsi="Times New Roman" w:cs="Times New Roman" w:eastAsia="Times New Roman" w:hint="default"/>
        </w:rPr>
        <w:t>3</w:t>
      </w:r>
      <w:r>
        <w:rPr/>
        <w:t>个报告分部，分别为：企业业务、个人业务以及其他。 </w:t>
      </w:r>
      <w:r>
        <w:rPr>
          <w:spacing w:val="-4"/>
        </w:rPr>
        <w:t>本公司的各个报告分部分别提供不同的产品或服务，或在不同地区从事经营活动。由于每个分部需要不同的技术或市场策略，</w:t>
      </w:r>
      <w:r>
        <w:rPr>
          <w:spacing w:val="-44"/>
        </w:rPr>
        <w:t> </w:t>
      </w:r>
      <w:r>
        <w:rPr>
          <w:spacing w:val="-44"/>
        </w:rPr>
      </w:r>
      <w:r>
        <w:rPr>
          <w:spacing w:val="-2"/>
        </w:rPr>
        <w:t>本公司管理层分别单独管理各个报告分部的经营活动，定期评价这些报告分部的经营成果，以决定向其分配资源及评价其业</w:t>
      </w:r>
      <w:r>
        <w:rPr>
          <w:spacing w:val="-64"/>
        </w:rPr>
        <w:t> </w:t>
      </w:r>
      <w:r>
        <w:rPr>
          <w:spacing w:val="-64"/>
        </w:rPr>
      </w:r>
      <w:r>
        <w:rPr/>
        <w:t>绩。</w:t>
      </w:r>
    </w:p>
    <w:p>
      <w:pPr>
        <w:pStyle w:val="BodyText"/>
        <w:spacing w:line="319" w:lineRule="auto" w:before="61"/>
        <w:ind w:left="154" w:right="1033" w:firstLine="363"/>
        <w:jc w:val="left"/>
      </w:pPr>
      <w:r>
        <w:rPr>
          <w:spacing w:val="-2"/>
        </w:rPr>
        <w:t>分部间转移价格按照实际交易价格为基础确定，间接归属于各分部的费用按照收入比例在分部之间进行分配。资产根据</w:t>
      </w:r>
      <w:r>
        <w:rPr/>
        <w:t> 分部的经营以及资产的所在位置进行分配，负债根据分部的经营进行分配。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left="153" w:right="1033"/>
        <w:jc w:val="left"/>
        <w:rPr>
          <w:b w:val="0"/>
          <w:bCs w:val="0"/>
        </w:rPr>
      </w:pPr>
      <w:bookmarkStart w:name="（2）报告分部的财务信息" w:id="403"/>
      <w:bookmarkEnd w:id="4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0" w:hRule="exact"/>
        </w:trPr>
        <w:tc>
          <w:tcPr>
            <w:tcW w:w="1583" w:type="dxa"/>
            <w:tcBorders>
              <w:top w:val="single" w:sz="4" w:space="0" w:color="000000"/>
              <w:left w:val="single" w:sz="4" w:space="0" w:color="000000"/>
              <w:bottom w:val="nil" w:sz="6" w:space="0" w:color="auto"/>
              <w:right w:val="single" w:sz="4" w:space="0" w:color="000000"/>
            </w:tcBorders>
            <w:shd w:val="clear" w:color="auto" w:fill="E0FFFF"/>
          </w:tcPr>
          <w:p>
            <w:pPr/>
          </w:p>
        </w:tc>
        <w:tc>
          <w:tcPr>
            <w:tcW w:w="1595" w:type="dxa"/>
            <w:vMerge w:val="restart"/>
            <w:tcBorders>
              <w:top w:val="single" w:sz="4" w:space="0" w:color="000000"/>
              <w:left w:val="single" w:sz="9" w:space="0" w:color="E0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255,019,956.42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409,093,572.14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52,248,228.76</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716,361,757.32</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vMerge/>
            <w:tcBorders>
              <w:left w:val="single" w:sz="9" w:space="0" w:color="E0FFFF"/>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40" w:hRule="exact"/>
        </w:trPr>
        <w:tc>
          <w:tcPr>
            <w:tcW w:w="1583" w:type="dxa"/>
            <w:tcBorders>
              <w:top w:val="nil" w:sz="6" w:space="0" w:color="auto"/>
              <w:left w:val="single" w:sz="4" w:space="0" w:color="000000"/>
              <w:bottom w:val="single" w:sz="4" w:space="0" w:color="000000"/>
              <w:right w:val="single" w:sz="4" w:space="0" w:color="000000"/>
            </w:tcBorders>
            <w:shd w:val="clear" w:color="auto" w:fill="E0FFFF"/>
          </w:tcPr>
          <w:p>
            <w:pPr/>
          </w:p>
        </w:tc>
        <w:tc>
          <w:tcPr>
            <w:tcW w:w="1595" w:type="dxa"/>
            <w:vMerge/>
            <w:tcBorders>
              <w:left w:val="single" w:sz="9" w:space="0" w:color="E0FFFF"/>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40" w:hRule="exact"/>
        </w:trPr>
        <w:tc>
          <w:tcPr>
            <w:tcW w:w="1583" w:type="dxa"/>
            <w:tcBorders>
              <w:top w:val="single" w:sz="4" w:space="0" w:color="000000"/>
              <w:left w:val="single" w:sz="4" w:space="0" w:color="000000"/>
              <w:bottom w:val="nil" w:sz="6" w:space="0" w:color="auto"/>
              <w:right w:val="single" w:sz="4" w:space="0" w:color="000000"/>
            </w:tcBorders>
            <w:shd w:val="clear" w:color="auto" w:fill="E0FFFF"/>
          </w:tcPr>
          <w:p>
            <w:pPr/>
          </w:p>
        </w:tc>
        <w:tc>
          <w:tcPr>
            <w:tcW w:w="1595" w:type="dxa"/>
            <w:vMerge w:val="restart"/>
            <w:tcBorders>
              <w:top w:val="single" w:sz="4" w:space="0" w:color="000000"/>
              <w:left w:val="single" w:sz="9" w:space="0" w:color="E0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97,767,827.45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152,919,824.10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14,446,976.32</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265,134,627.87</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5" w:type="dxa"/>
            <w:vMerge/>
            <w:tcBorders>
              <w:left w:val="single" w:sz="9" w:space="0" w:color="E0FFFF"/>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39" w:hRule="exact"/>
        </w:trPr>
        <w:tc>
          <w:tcPr>
            <w:tcW w:w="1583" w:type="dxa"/>
            <w:tcBorders>
              <w:top w:val="nil" w:sz="6" w:space="0" w:color="auto"/>
              <w:left w:val="single" w:sz="4" w:space="0" w:color="000000"/>
              <w:bottom w:val="single" w:sz="4" w:space="0" w:color="000000"/>
              <w:right w:val="single" w:sz="4" w:space="0" w:color="000000"/>
            </w:tcBorders>
            <w:shd w:val="clear" w:color="auto" w:fill="E0FFFF"/>
          </w:tcPr>
          <w:p>
            <w:pPr/>
          </w:p>
        </w:tc>
        <w:tc>
          <w:tcPr>
            <w:tcW w:w="1595" w:type="dxa"/>
            <w:vMerge/>
            <w:tcBorders>
              <w:left w:val="single" w:sz="9" w:space="0" w:color="E0FFFF"/>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40" w:hRule="exact"/>
        </w:trPr>
        <w:tc>
          <w:tcPr>
            <w:tcW w:w="1583" w:type="dxa"/>
            <w:tcBorders>
              <w:top w:val="single" w:sz="4" w:space="0" w:color="000000"/>
              <w:left w:val="single" w:sz="4" w:space="0" w:color="000000"/>
              <w:bottom w:val="nil" w:sz="6" w:space="0" w:color="auto"/>
              <w:right w:val="single" w:sz="4" w:space="0" w:color="000000"/>
            </w:tcBorders>
            <w:shd w:val="clear" w:color="auto" w:fill="E0FFFF"/>
          </w:tcPr>
          <w:p>
            <w:pPr/>
          </w:p>
        </w:tc>
        <w:tc>
          <w:tcPr>
            <w:tcW w:w="4782" w:type="dxa"/>
            <w:gridSpan w:val="3"/>
            <w:vMerge w:val="restart"/>
            <w:tcBorders>
              <w:top w:val="single" w:sz="4" w:space="0" w:color="000000"/>
              <w:left w:val="single" w:sz="9" w:space="0" w:color="E0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2,626,993,837.87</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2,626,993,837.87</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4782" w:type="dxa"/>
            <w:gridSpan w:val="3"/>
            <w:vMerge/>
            <w:tcBorders>
              <w:left w:val="single" w:sz="9" w:space="0" w:color="E0FFFF"/>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40" w:hRule="exact"/>
        </w:trPr>
        <w:tc>
          <w:tcPr>
            <w:tcW w:w="1583" w:type="dxa"/>
            <w:tcBorders>
              <w:top w:val="nil" w:sz="6" w:space="0" w:color="auto"/>
              <w:left w:val="single" w:sz="4" w:space="0" w:color="000000"/>
              <w:bottom w:val="single" w:sz="4" w:space="0" w:color="000000"/>
              <w:right w:val="single" w:sz="4" w:space="0" w:color="000000"/>
            </w:tcBorders>
            <w:shd w:val="clear" w:color="auto" w:fill="E0FFFF"/>
          </w:tcPr>
          <w:p>
            <w:pPr/>
          </w:p>
        </w:tc>
        <w:tc>
          <w:tcPr>
            <w:tcW w:w="4782" w:type="dxa"/>
            <w:gridSpan w:val="3"/>
            <w:vMerge/>
            <w:tcBorders>
              <w:left w:val="single" w:sz="9" w:space="0" w:color="E0FFFF"/>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4782"/>
        <w:gridCol w:w="1595"/>
        <w:gridCol w:w="1594"/>
      </w:tblGrid>
      <w:tr>
        <w:trPr>
          <w:trHeight w:val="107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423,123,703.48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423,123,703.48</w:t>
            </w:r>
          </w:p>
        </w:tc>
      </w:tr>
    </w:tbl>
    <w:p>
      <w:pPr>
        <w:pStyle w:val="BodyText"/>
        <w:spacing w:line="240" w:lineRule="auto" w:before="51"/>
        <w:ind w:left="154" w:right="1033"/>
        <w:jc w:val="left"/>
      </w:pPr>
      <w:r>
        <w:rPr/>
        <w:t>注：报告分部的财务信息应结合公司具体情况披露，包括主营业务收入、主营业务成本等信息。</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3）公司无报告分部的，或者不能披露各报告分部的资产总额和负债总额的，应说明原因" w:id="404"/>
      <w:bookmarkEnd w:id="4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本公司由于资产及负债在各业务间复用，故不能披露各分部的资产总额及负债总额。</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其他说明" w:id="405"/>
      <w:bookmarkEnd w:id="4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7、其他对投资者决策有影响的重要交易和事项" w:id="406"/>
      <w:bookmarkEnd w:id="4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
        <w:rPr>
          <w:rFonts w:ascii="宋体" w:hAnsi="宋体" w:cs="宋体" w:eastAsia="宋体" w:hint="default"/>
          <w:sz w:val="25"/>
          <w:szCs w:val="25"/>
        </w:rPr>
      </w:pPr>
    </w:p>
    <w:p>
      <w:pPr>
        <w:pStyle w:val="Heading3"/>
        <w:spacing w:line="240" w:lineRule="auto"/>
        <w:ind w:left="154" w:right="1033"/>
        <w:jc w:val="left"/>
        <w:rPr>
          <w:b w:val="0"/>
          <w:bCs w:val="0"/>
        </w:rPr>
      </w:pPr>
      <w:bookmarkStart w:name="十七、母公司财务报表主要项目注释" w:id="407"/>
      <w:bookmarkEnd w:id="40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 w:id="408"/>
      <w:bookmarkEnd w:id="40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应收账款分类披露" w:id="409"/>
      <w:bookmarkEnd w:id="40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22,686,9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509,065.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22,177,87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4,371,4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4,263,479.9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22,686,9</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36.49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22,177,87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1.23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4,371,4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4,263,479.9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33"/>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组合中，按账龄分析法计提坏账准备的应收账款：</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4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组合中，采用余额百分比法计提坏账准备的应收账款：</w:t>
      </w:r>
    </w:p>
    <w:p>
      <w:pPr>
        <w:pStyle w:val="BodyText"/>
        <w:spacing w:line="338" w:lineRule="auto" w:before="43"/>
        <w:ind w:right="877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确定该组合依据的说明：</w:t>
      </w:r>
    </w:p>
    <w:p>
      <w:pPr>
        <w:pStyle w:val="BodyText"/>
        <w:spacing w:line="360" w:lineRule="auto" w:before="42"/>
        <w:ind w:left="154" w:right="5532"/>
        <w:jc w:val="left"/>
      </w:pPr>
      <w:r>
        <w:rPr/>
        <w:t>组合中，采用其他方法计提坏账准备的应收账款： 母公司主要客户系企业客户，按账龄计提坏账准备的应收账款如下</w:t>
      </w:r>
    </w:p>
    <w:tbl>
      <w:tblPr>
        <w:tblW w:w="0" w:type="auto"/>
        <w:jc w:val="left"/>
        <w:tblInd w:w="1270" w:type="dxa"/>
        <w:tblLayout w:type="fixed"/>
        <w:tblCellMar>
          <w:top w:w="0" w:type="dxa"/>
          <w:left w:w="0" w:type="dxa"/>
          <w:bottom w:w="0" w:type="dxa"/>
          <w:right w:w="0" w:type="dxa"/>
        </w:tblCellMar>
        <w:tblLook w:val="01E0"/>
      </w:tblPr>
      <w:tblGrid>
        <w:gridCol w:w="1460"/>
        <w:gridCol w:w="1533"/>
        <w:gridCol w:w="1417"/>
        <w:gridCol w:w="1559"/>
        <w:gridCol w:w="1428"/>
      </w:tblGrid>
      <w:tr>
        <w:trPr>
          <w:trHeight w:val="425" w:hRule="exact"/>
        </w:trPr>
        <w:tc>
          <w:tcPr>
            <w:tcW w:w="1460"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5937" w:type="dxa"/>
            <w:gridSpan w:val="4"/>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16" w:hRule="exact"/>
        </w:trPr>
        <w:tc>
          <w:tcPr>
            <w:tcW w:w="1460" w:type="dxa"/>
            <w:vMerge/>
            <w:tcBorders>
              <w:left w:val="single" w:sz="4" w:space="0" w:color="000000"/>
              <w:right w:val="single" w:sz="6" w:space="0" w:color="000000"/>
            </w:tcBorders>
            <w:shd w:val="clear" w:color="auto" w:fill="D9D9D9"/>
          </w:tcPr>
          <w:p>
            <w:pPr/>
          </w:p>
        </w:tc>
        <w:tc>
          <w:tcPr>
            <w:tcW w:w="295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98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417" w:hRule="exact"/>
        </w:trPr>
        <w:tc>
          <w:tcPr>
            <w:tcW w:w="1460" w:type="dxa"/>
            <w:vMerge/>
            <w:tcBorders>
              <w:left w:val="single" w:sz="4" w:space="0" w:color="000000"/>
              <w:bottom w:val="single" w:sz="6" w:space="0" w:color="000000"/>
              <w:right w:val="single" w:sz="6" w:space="0" w:color="000000"/>
            </w:tcBorders>
            <w:shd w:val="clear" w:color="auto" w:fill="D9D9D9"/>
          </w:tcPr>
          <w:p>
            <w:pPr/>
          </w:p>
        </w:tc>
        <w:tc>
          <w:tcPr>
            <w:tcW w:w="15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2"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417"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个月以内</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
              <w:jc w:val="right"/>
              <w:rPr>
                <w:rFonts w:ascii="Times New Roman" w:hAnsi="Times New Roman" w:cs="Times New Roman" w:eastAsia="Times New Roman" w:hint="default"/>
                <w:sz w:val="20"/>
                <w:szCs w:val="20"/>
              </w:rPr>
            </w:pPr>
            <w:r>
              <w:rPr>
                <w:rFonts w:ascii="Times New Roman"/>
                <w:spacing w:val="-1"/>
                <w:sz w:val="20"/>
              </w:rPr>
              <w:t>2,545,714.29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11.22%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w w:val="100"/>
                <w:sz w:val="20"/>
              </w:rPr>
              <w:t>-</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0.00%</w:t>
            </w:r>
          </w:p>
        </w:tc>
      </w:tr>
      <w:tr>
        <w:trPr>
          <w:trHeight w:val="418"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个月</w:t>
            </w: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
              <w:jc w:val="right"/>
              <w:rPr>
                <w:rFonts w:ascii="Times New Roman" w:hAnsi="Times New Roman" w:cs="Times New Roman" w:eastAsia="Times New Roman" w:hint="default"/>
                <w:sz w:val="20"/>
                <w:szCs w:val="20"/>
              </w:rPr>
            </w:pPr>
            <w:r>
              <w:rPr>
                <w:rFonts w:ascii="Times New Roman"/>
                <w:spacing w:val="-1"/>
                <w:sz w:val="20"/>
              </w:rPr>
              <w:t>1,026,096.16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4.52%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102,609.62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10.00%</w:t>
            </w:r>
          </w:p>
        </w:tc>
      </w:tr>
      <w:tr>
        <w:trPr>
          <w:trHeight w:val="416"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个月</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
              <w:jc w:val="right"/>
              <w:rPr>
                <w:rFonts w:ascii="Times New Roman" w:hAnsi="Times New Roman" w:cs="Times New Roman" w:eastAsia="Times New Roman" w:hint="default"/>
                <w:sz w:val="20"/>
                <w:szCs w:val="20"/>
              </w:rPr>
            </w:pPr>
            <w:r>
              <w:rPr>
                <w:rFonts w:ascii="Times New Roman"/>
                <w:spacing w:val="-1"/>
                <w:sz w:val="20"/>
              </w:rPr>
              <w:t>808,563.13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3.56%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242,568.94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30.00%</w:t>
            </w:r>
          </w:p>
        </w:tc>
      </w:tr>
      <w:tr>
        <w:trPr>
          <w:trHeight w:val="418"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
              <w:jc w:val="right"/>
              <w:rPr>
                <w:rFonts w:ascii="Times New Roman" w:hAnsi="Times New Roman" w:cs="Times New Roman" w:eastAsia="Times New Roman" w:hint="default"/>
                <w:sz w:val="20"/>
                <w:szCs w:val="20"/>
              </w:rPr>
            </w:pPr>
            <w:r>
              <w:rPr>
                <w:rFonts w:ascii="Times New Roman"/>
                <w:spacing w:val="-1"/>
                <w:sz w:val="20"/>
              </w:rPr>
              <w:t>175,065.01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0.77%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87,532.50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50.00%</w:t>
            </w:r>
          </w:p>
        </w:tc>
      </w:tr>
      <w:tr>
        <w:trPr>
          <w:trHeight w:val="416"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年以上</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76,354.20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0.34%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pacing w:val="-1"/>
                <w:sz w:val="20"/>
              </w:rPr>
              <w:t>76,354.20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18" w:hRule="exact"/>
        </w:trPr>
        <w:tc>
          <w:tcPr>
            <w:tcW w:w="14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
              <w:jc w:val="right"/>
              <w:rPr>
                <w:rFonts w:ascii="Times New Roman" w:hAnsi="Times New Roman" w:cs="Times New Roman" w:eastAsia="Times New Roman" w:hint="default"/>
                <w:sz w:val="20"/>
                <w:szCs w:val="20"/>
              </w:rPr>
            </w:pPr>
            <w:r>
              <w:rPr>
                <w:rFonts w:ascii="Times New Roman"/>
                <w:spacing w:val="-1"/>
                <w:sz w:val="20"/>
              </w:rPr>
              <w:t>4,631,792.79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20.42%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509,065.26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10.99%</w:t>
            </w:r>
          </w:p>
        </w:tc>
      </w:tr>
    </w:tbl>
    <w:p>
      <w:pPr>
        <w:spacing w:line="240" w:lineRule="auto" w:before="8"/>
        <w:rPr>
          <w:rFonts w:ascii="宋体" w:hAnsi="宋体" w:cs="宋体" w:eastAsia="宋体" w:hint="default"/>
          <w:sz w:val="28"/>
          <w:szCs w:val="28"/>
        </w:rPr>
      </w:pPr>
    </w:p>
    <w:p>
      <w:pPr>
        <w:pStyle w:val="BodyText"/>
        <w:spacing w:line="240" w:lineRule="auto" w:before="44"/>
        <w:ind w:left="154" w:right="1033"/>
        <w:jc w:val="left"/>
      </w:pPr>
      <w:r>
        <w:rPr/>
        <w:t>注：说明确定该组合的依据、该组合中各类应收款项期末余额、坏账准备期末余额，以及坏账准备的计提比例。</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2）本期计提、收回或转回的坏账准备情况" w:id="410"/>
      <w:bookmarkEnd w:id="4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本期计提坏账准备金额</w:t>
      </w:r>
      <w:r>
        <w:rPr>
          <w:spacing w:val="-46"/>
        </w:rPr>
        <w:t> </w:t>
      </w:r>
      <w:r>
        <w:rPr>
          <w:rFonts w:ascii="Times New Roman" w:hAnsi="Times New Roman" w:cs="Times New Roman" w:eastAsia="Times New Roman" w:hint="default"/>
        </w:rPr>
        <w:t>401,080.34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3）本期实际核销的应收账款情况" w:id="411"/>
      <w:bookmarkEnd w:id="41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本期无实际核销的应收账款。</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4）按欠款方归集的期末余额前五名的应收账款情况" w:id="412"/>
      <w:bookmarkEnd w:id="41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608" w:type="dxa"/>
        <w:tblLayout w:type="fixed"/>
        <w:tblCellMar>
          <w:top w:w="0" w:type="dxa"/>
          <w:left w:w="0" w:type="dxa"/>
          <w:bottom w:w="0" w:type="dxa"/>
          <w:right w:w="0" w:type="dxa"/>
        </w:tblCellMar>
        <w:tblLook w:val="01E0"/>
      </w:tblPr>
      <w:tblGrid>
        <w:gridCol w:w="1361"/>
        <w:gridCol w:w="2483"/>
        <w:gridCol w:w="1559"/>
        <w:gridCol w:w="1559"/>
        <w:gridCol w:w="1757"/>
      </w:tblGrid>
      <w:tr>
        <w:trPr>
          <w:trHeight w:val="738" w:hRule="exact"/>
        </w:trPr>
        <w:tc>
          <w:tcPr>
            <w:tcW w:w="1361" w:type="dxa"/>
            <w:tcBorders>
              <w:top w:val="single" w:sz="4" w:space="0" w:color="000000"/>
              <w:left w:val="single" w:sz="4"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76"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483"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款项性质</w:t>
            </w:r>
          </w:p>
        </w:tc>
        <w:tc>
          <w:tcPr>
            <w:tcW w:w="1559"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70"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59"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85" w:lineRule="auto" w:before="45"/>
              <w:ind w:left="271" w:right="71" w:hanging="201"/>
              <w:jc w:val="left"/>
              <w:rPr>
                <w:rFonts w:ascii="宋体" w:hAnsi="宋体" w:cs="宋体" w:eastAsia="宋体" w:hint="default"/>
                <w:sz w:val="20"/>
                <w:szCs w:val="20"/>
              </w:rPr>
            </w:pPr>
            <w:r>
              <w:rPr>
                <w:rFonts w:ascii="宋体" w:hAnsi="宋体" w:cs="宋体" w:eastAsia="宋体" w:hint="default"/>
                <w:sz w:val="20"/>
                <w:szCs w:val="20"/>
              </w:rPr>
              <w:t>占应收账款期末</w:t>
            </w:r>
            <w:r>
              <w:rPr>
                <w:rFonts w:ascii="宋体" w:hAnsi="宋体" w:cs="宋体" w:eastAsia="宋体" w:hint="default"/>
                <w:w w:val="100"/>
                <w:sz w:val="20"/>
                <w:szCs w:val="20"/>
              </w:rPr>
              <w:t> </w:t>
            </w:r>
            <w:r>
              <w:rPr>
                <w:rFonts w:ascii="宋体" w:hAnsi="宋体" w:cs="宋体" w:eastAsia="宋体" w:hint="default"/>
                <w:sz w:val="20"/>
                <w:szCs w:val="20"/>
              </w:rPr>
              <w:t>余额的比例</w:t>
            </w:r>
          </w:p>
        </w:tc>
        <w:tc>
          <w:tcPr>
            <w:tcW w:w="1757" w:type="dxa"/>
            <w:tcBorders>
              <w:top w:val="single" w:sz="4"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20"/>
                <w:szCs w:val="20"/>
              </w:rPr>
            </w:pPr>
            <w:r>
              <w:rPr>
                <w:rFonts w:ascii="宋体" w:hAnsi="宋体" w:cs="宋体" w:eastAsia="宋体" w:hint="default"/>
                <w:sz w:val="20"/>
                <w:szCs w:val="20"/>
              </w:rPr>
              <w:t>已计提坏账准备</w:t>
            </w:r>
          </w:p>
        </w:tc>
      </w:tr>
      <w:tr>
        <w:trPr>
          <w:trHeight w:val="422"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1</w:t>
            </w:r>
          </w:p>
        </w:tc>
        <w:tc>
          <w:tcPr>
            <w:tcW w:w="24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0"/>
                <w:szCs w:val="20"/>
              </w:rPr>
            </w:pPr>
            <w:r>
              <w:rPr>
                <w:rFonts w:ascii="宋体" w:hAnsi="宋体" w:cs="宋体" w:eastAsia="宋体" w:hint="default"/>
                <w:sz w:val="20"/>
                <w:szCs w:val="20"/>
              </w:rPr>
              <w:t>集团合并范围内资金往来</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6,597,327.73</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29.08%</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422"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2</w:t>
            </w:r>
          </w:p>
        </w:tc>
        <w:tc>
          <w:tcPr>
            <w:tcW w:w="24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0"/>
                <w:szCs w:val="20"/>
              </w:rPr>
            </w:pPr>
            <w:r>
              <w:rPr>
                <w:rFonts w:ascii="宋体" w:hAnsi="宋体" w:cs="宋体" w:eastAsia="宋体" w:hint="default"/>
                <w:sz w:val="20"/>
                <w:szCs w:val="20"/>
              </w:rPr>
              <w:t>集团合并范围内资金往来</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6,201,640.43</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27.34%</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422"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3</w:t>
            </w:r>
          </w:p>
        </w:tc>
        <w:tc>
          <w:tcPr>
            <w:tcW w:w="24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0"/>
                <w:szCs w:val="20"/>
              </w:rPr>
            </w:pPr>
            <w:r>
              <w:rPr>
                <w:rFonts w:ascii="宋体" w:hAnsi="宋体" w:cs="宋体" w:eastAsia="宋体" w:hint="default"/>
                <w:sz w:val="20"/>
                <w:szCs w:val="20"/>
              </w:rPr>
              <w:t>集团合并范围内资金往来</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3,061,853.18</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13.50%</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421"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5"/>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4</w:t>
            </w:r>
          </w:p>
        </w:tc>
        <w:tc>
          <w:tcPr>
            <w:tcW w:w="24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集团合并范围内资金往来</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pacing w:val="-1"/>
                <w:sz w:val="20"/>
              </w:rPr>
              <w:t>2,191,195.04</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20"/>
                <w:szCs w:val="20"/>
              </w:rPr>
            </w:pPr>
            <w:r>
              <w:rPr>
                <w:rFonts w:ascii="Times New Roman"/>
                <w:sz w:val="20"/>
              </w:rPr>
              <w:t>9.66%</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423"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7"/>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5</w:t>
            </w:r>
          </w:p>
        </w:tc>
        <w:tc>
          <w:tcPr>
            <w:tcW w:w="24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0"/>
                <w:szCs w:val="20"/>
              </w:rPr>
            </w:pPr>
            <w:r>
              <w:rPr>
                <w:rFonts w:ascii="宋体" w:hAnsi="宋体" w:cs="宋体" w:eastAsia="宋体" w:hint="default"/>
                <w:sz w:val="20"/>
                <w:szCs w:val="20"/>
              </w:rPr>
              <w:t>外部公司应收款</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1,180,777.89</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5.20%</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128,256.25</w:t>
            </w:r>
          </w:p>
        </w:tc>
      </w:tr>
      <w:tr>
        <w:trPr>
          <w:trHeight w:val="422" w:hRule="exact"/>
        </w:trPr>
        <w:tc>
          <w:tcPr>
            <w:tcW w:w="1361"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83" w:type="dxa"/>
            <w:tcBorders>
              <w:top w:val="single" w:sz="8" w:space="0" w:color="000000"/>
              <w:left w:val="single" w:sz="6" w:space="0" w:color="000000"/>
              <w:bottom w:val="single" w:sz="8" w:space="0" w:color="000000"/>
              <w:right w:val="single" w:sz="6" w:space="0" w:color="000000"/>
            </w:tcBorders>
          </w:tcPr>
          <w:p>
            <w:pP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pacing w:val="-1"/>
                <w:sz w:val="20"/>
              </w:rPr>
              <w:t>19,232,794.27</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0"/>
              <w:jc w:val="right"/>
              <w:rPr>
                <w:rFonts w:ascii="Times New Roman" w:hAnsi="Times New Roman" w:cs="Times New Roman" w:eastAsia="Times New Roman" w:hint="default"/>
                <w:sz w:val="20"/>
                <w:szCs w:val="20"/>
              </w:rPr>
            </w:pPr>
            <w:r>
              <w:rPr>
                <w:rFonts w:ascii="Times New Roman"/>
                <w:sz w:val="20"/>
              </w:rPr>
              <w:t>84.78%</w:t>
            </w:r>
          </w:p>
        </w:tc>
        <w:tc>
          <w:tcPr>
            <w:tcW w:w="17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pacing w:val="-1"/>
                <w:sz w:val="20"/>
              </w:rPr>
              <w:t>128,256.25</w:t>
            </w:r>
          </w:p>
        </w:tc>
      </w:tr>
    </w:tbl>
    <w:p>
      <w:pPr>
        <w:spacing w:line="240" w:lineRule="auto" w:before="5"/>
        <w:rPr>
          <w:rFonts w:ascii="宋体" w:hAnsi="宋体" w:cs="宋体" w:eastAsia="宋体" w:hint="default"/>
          <w:b/>
          <w:bCs/>
          <w:sz w:val="27"/>
          <w:szCs w:val="27"/>
        </w:rPr>
      </w:pPr>
    </w:p>
    <w:p>
      <w:pPr>
        <w:pStyle w:val="BodyText"/>
        <w:spacing w:line="240" w:lineRule="auto" w:before="44"/>
        <w:ind w:left="154" w:right="0"/>
        <w:jc w:val="left"/>
      </w:pPr>
      <w:r>
        <w:rPr/>
        <w:t>注：按欠款方集中度，汇总或分别披露期末余额前五名的应收账款的期末余额及占应收账款期末余额合计数的比例，以及相</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应计提的坏账准备期末余额。</w:t>
      </w:r>
    </w:p>
    <w:p>
      <w:pPr>
        <w:spacing w:line="240" w:lineRule="auto" w:before="10"/>
        <w:rPr>
          <w:rFonts w:ascii="宋体" w:hAnsi="宋体" w:cs="宋体" w:eastAsia="宋体" w:hint="default"/>
          <w:sz w:val="26"/>
          <w:szCs w:val="26"/>
        </w:rPr>
      </w:pPr>
    </w:p>
    <w:p>
      <w:pPr>
        <w:pStyle w:val="Heading4"/>
        <w:spacing w:line="240" w:lineRule="auto"/>
        <w:ind w:left="153" w:right="1033"/>
        <w:jc w:val="left"/>
        <w:rPr>
          <w:b w:val="0"/>
          <w:bCs w:val="0"/>
        </w:rPr>
      </w:pPr>
      <w:bookmarkStart w:name="（5）因金融资产转移而终止确认的应收账款" w:id="413"/>
      <w:bookmarkEnd w:id="41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6）转移应收账款且继续涉入形成的资产、负债金额" w:id="414"/>
      <w:bookmarkEnd w:id="41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其他应收款" w:id="415"/>
      <w:bookmarkEnd w:id="41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其他应收款分类披露" w:id="416"/>
      <w:bookmarkEnd w:id="41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156,586,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622.80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146,198.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156,440,4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23.93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221,665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,652.95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222,543.4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221,443,10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9.50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156,586,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622.80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146,198.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156,440,4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23.93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,652.95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221,443,10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9.50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1070"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13,707.33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7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13,707.33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13,707.33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8" w:lineRule="auto" w:before="51"/>
        <w:ind w:left="154" w:right="-20"/>
        <w:jc w:val="left"/>
      </w:pPr>
      <w:r>
        <w:rPr/>
        <w:t>确定该组合依据的说明： 外部公司的其他应收款因账龄为</w:t>
      </w:r>
      <w:r>
        <w:rPr>
          <w:rFonts w:ascii="Times New Roman" w:hAnsi="Times New Roman" w:cs="Times New Roman" w:eastAsia="Times New Roman" w:hint="default"/>
        </w:rPr>
        <w:t>1</w:t>
      </w:r>
      <w:r>
        <w:rPr/>
        <w:t>个月以内，不计提坏账准备。 组合中，采用余额百分比法计提坏账准备的其他应收款：</w:t>
      </w:r>
    </w:p>
    <w:p>
      <w:pPr>
        <w:pStyle w:val="BodyText"/>
        <w:spacing w:line="240" w:lineRule="auto" w:before="36"/>
        <w:ind w:left="154"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5105" w:space="381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6,163,521.40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123,270.43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458,568.73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22,928.44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6,622,090.13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146,198.87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本期计提、收回或转回的坏账准备情况" w:id="417"/>
      <w:bookmarkEnd w:id="4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76,344.58</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3）本期实际核销的其他应收款情况" w:id="418"/>
      <w:bookmarkEnd w:id="41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其他应收款按款项性质分类情况" w:id="419"/>
      <w:bookmarkEnd w:id="41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6,622,090.13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6,227,070.51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149,950,825.34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211,070,788.79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13,707.33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4,042,037.79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309,945.86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156,586,622.80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221,665,652.95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5）按欠款方归集的期末余额前五名的其他应收款情况" w:id="420"/>
      <w:bookmarkEnd w:id="42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7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72,424,900.51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46,034,305.46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4"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31,109,618.75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455,428.73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22,771.44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156,024,253.45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322,771.44</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6）涉及政府补助的应收款项" w:id="421"/>
      <w:bookmarkEnd w:id="42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7）因金融资产转移而终止确认的其他应收款" w:id="422"/>
      <w:bookmarkEnd w:id="42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8）转移其他应收款且继续涉入形成的资产、负债金额" w:id="423"/>
      <w:bookmarkEnd w:id="42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长期股权投资" w:id="424"/>
      <w:bookmarkEnd w:id="424"/>
      <w:r>
        <w:rPr>
          <w:b w:val="0"/>
          <w:bCs w:val="0"/>
        </w:rPr>
      </w:r>
      <w:r>
        <w:rPr>
          <w:rFonts w:ascii="Times New Roman" w:hAnsi="Times New Roman" w:cs="Times New Roman" w:eastAsia="Times New Roman" w:hint="default"/>
        </w:rPr>
        <w:t>3</w:t>
      </w:r>
      <w:r>
        <w:rPr/>
        <w:t>、长期股权投资</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789,905,305.67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789,905,305.67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626,169,744.33</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626,169,744.33</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4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8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56,791,219.96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24,468,655.19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32,322,564.77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30,201,941.52</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30,201,941.52</w:t>
            </w:r>
          </w:p>
        </w:tc>
      </w:tr>
      <w:tr>
        <w:trPr>
          <w:trHeight w:val="70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84"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846,696,525.63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822,227,870.44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656,371,685.85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656,371,685.85</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1）对子公司投资" w:id="425"/>
      <w:bookmarkEnd w:id="42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53"/>
              <w:jc w:val="left"/>
              <w:rPr>
                <w:rFonts w:ascii="宋体" w:hAnsi="宋体" w:cs="宋体" w:eastAsia="宋体" w:hint="default"/>
                <w:sz w:val="18"/>
                <w:szCs w:val="18"/>
              </w:rPr>
            </w:pPr>
            <w:r>
              <w:rPr>
                <w:rFonts w:ascii="宋体" w:hAnsi="宋体" w:cs="宋体" w:eastAsia="宋体" w:hint="default"/>
                <w:sz w:val="18"/>
                <w:szCs w:val="18"/>
              </w:rPr>
              <w:t>北京二六三企业 通信有限公司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70,787,409.42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349,434.46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71,136,843.88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53"/>
              <w:jc w:val="left"/>
              <w:rPr>
                <w:rFonts w:ascii="宋体" w:hAnsi="宋体" w:cs="宋体" w:eastAsia="宋体" w:hint="default"/>
                <w:sz w:val="18"/>
                <w:szCs w:val="18"/>
              </w:rPr>
            </w:pPr>
            <w:r>
              <w:rPr>
                <w:rFonts w:ascii="宋体" w:hAnsi="宋体" w:cs="宋体" w:eastAsia="宋体" w:hint="default"/>
                <w:sz w:val="18"/>
                <w:szCs w:val="18"/>
              </w:rPr>
              <w:t>上海二六三通信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30,502,116.37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282,044.95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30,784,161.32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9" w:lineRule="auto"/>
              <w:ind w:left="22" w:right="153"/>
              <w:jc w:val="left"/>
              <w:rPr>
                <w:rFonts w:ascii="宋体" w:hAnsi="宋体" w:cs="宋体" w:eastAsia="宋体" w:hint="default"/>
                <w:sz w:val="18"/>
                <w:szCs w:val="18"/>
              </w:rPr>
            </w:pPr>
            <w:r>
              <w:rPr>
                <w:rFonts w:ascii="宋体" w:hAnsi="宋体" w:cs="宋体" w:eastAsia="宋体" w:hint="default"/>
                <w:sz w:val="18"/>
                <w:szCs w:val="18"/>
              </w:rPr>
              <w:t>北京二六三网络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520,581,998.54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118,289.32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520,700,287.86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53"/>
              <w:jc w:val="left"/>
              <w:rPr>
                <w:rFonts w:ascii="宋体" w:hAnsi="宋体" w:cs="宋体" w:eastAsia="宋体" w:hint="default"/>
                <w:sz w:val="18"/>
                <w:szCs w:val="18"/>
              </w:rPr>
            </w:pPr>
            <w:r>
              <w:rPr>
                <w:rFonts w:ascii="宋体" w:hAnsi="宋体" w:cs="宋体" w:eastAsia="宋体" w:hint="default"/>
                <w:sz w:val="18"/>
                <w:szCs w:val="18"/>
              </w:rPr>
              <w:t>二六三香港控股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4,298,220.00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12,754,485.00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17,052,705.00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153"/>
              <w:jc w:val="left"/>
              <w:rPr>
                <w:rFonts w:ascii="宋体" w:hAnsi="宋体" w:cs="宋体" w:eastAsia="宋体" w:hint="default"/>
                <w:sz w:val="18"/>
                <w:szCs w:val="18"/>
              </w:rPr>
            </w:pPr>
            <w:r>
              <w:rPr>
                <w:rFonts w:ascii="宋体" w:hAnsi="宋体" w:cs="宋体" w:eastAsia="宋体" w:hint="default"/>
                <w:sz w:val="18"/>
                <w:szCs w:val="18"/>
              </w:rPr>
              <w:t>广州二六三移动 通信有限公司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150,231,307.61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150,231,307.61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626,169,744.33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163,735,561.34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789,905,305.67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033"/>
        <w:jc w:val="left"/>
        <w:rPr>
          <w:b w:val="0"/>
          <w:bCs w:val="0"/>
        </w:rPr>
      </w:pPr>
      <w:bookmarkStart w:name="（2）对联营、合营企业投资" w:id="426"/>
      <w:bookmarkEnd w:id="42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易美云</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26,469,42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r>
      <w:tr>
        <w:trPr>
          <w:trHeight w:val="107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p>
            <w:pPr>
              <w:pStyle w:val="TableParagraph"/>
              <w:spacing w:line="319" w:lineRule="auto" w:before="75"/>
              <w:ind w:left="22"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821,118.9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32,322,56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7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4"/>
              <w:ind w:left="22" w:right="41"/>
              <w:jc w:val="both"/>
              <w:rPr>
                <w:rFonts w:ascii="宋体" w:hAnsi="宋体" w:cs="宋体" w:eastAsia="宋体" w:hint="default"/>
                <w:sz w:val="18"/>
                <w:szCs w:val="18"/>
              </w:rPr>
            </w:pPr>
            <w:r>
              <w:rPr>
                <w:rFonts w:ascii="宋体" w:hAnsi="宋体" w:cs="宋体" w:eastAsia="宋体" w:hint="default"/>
                <w:sz w:val="18"/>
                <w:szCs w:val="18"/>
              </w:rPr>
              <w:t>北京和丰 信科技有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3,732,520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-418,603.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30,201,94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-1,598,25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56,791,21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30,201,94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18,530,00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-3,313,91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-1,598,25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12,971,44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56,791,21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24,468,65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r>
    </w:tbl>
    <w:p>
      <w:pPr>
        <w:pStyle w:val="BodyText"/>
        <w:spacing w:line="300" w:lineRule="auto" w:before="51"/>
        <w:ind w:left="154" w:right="1116" w:firstLine="424"/>
        <w:jc w:val="left"/>
      </w:pPr>
      <w:r>
        <w:rPr/>
        <w:t>如财务报告七、</w:t>
      </w:r>
      <w:r>
        <w:rPr>
          <w:rFonts w:ascii="Times New Roman" w:hAnsi="Times New Roman" w:cs="Times New Roman" w:eastAsia="Times New Roman" w:hint="default"/>
        </w:rPr>
        <w:t>27</w:t>
      </w:r>
      <w:r>
        <w:rPr/>
        <w:t>、资本公积所述，</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年变动额主要系本公司授予激励限制性股票应承担股份支付费用以及本期新 增的对子公司的投资。</w:t>
      </w:r>
    </w:p>
    <w:p>
      <w:pPr>
        <w:pStyle w:val="BodyText"/>
        <w:spacing w:line="302" w:lineRule="auto" w:before="71"/>
        <w:ind w:left="154" w:right="1118" w:firstLine="424"/>
        <w:jc w:val="left"/>
      </w:pPr>
      <w:r>
        <w:rPr/>
        <w:t>截至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日止，除对联营公司已计提的减值准备外，本公司其他长期股权投资不存在减值迹象，未计提长 期股权投资减值准备。</w:t>
      </w:r>
    </w:p>
    <w:p>
      <w:pPr>
        <w:pStyle w:val="BodyText"/>
        <w:spacing w:line="240" w:lineRule="auto" w:before="69"/>
        <w:ind w:left="578" w:right="1033"/>
        <w:jc w:val="left"/>
      </w:pPr>
      <w:r>
        <w:rPr/>
        <w:t>本公司的上述被投资单位不存在</w:t>
      </w:r>
      <w:r>
        <w:rPr>
          <w:rFonts w:ascii="Times New Roman" w:hAnsi="Times New Roman" w:cs="Times New Roman" w:eastAsia="Times New Roman" w:hint="default"/>
        </w:rPr>
        <w:t>“</w:t>
      </w:r>
      <w:r>
        <w:rPr/>
        <w:t>向投资企业转移资金的能力受到限制的情况</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4"/>
        <w:spacing w:line="240" w:lineRule="auto"/>
        <w:ind w:left="153" w:right="1033"/>
        <w:jc w:val="left"/>
        <w:rPr>
          <w:b w:val="0"/>
          <w:bCs w:val="0"/>
        </w:rPr>
      </w:pPr>
      <w:bookmarkStart w:name="4、营业收入和营业成本" w:id="427"/>
      <w:bookmarkEnd w:id="4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23,309,514.25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21,413,472.93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22,658,061.69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11,272,950.57</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20,051,414.54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266,355.26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3,302,387.24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239,639.59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43,360,928.79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21,679,828.19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25,960,448.93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11,512,590.16</w:t>
            </w: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5、投资收益" w:id="428"/>
      <w:bookmarkEnd w:id="4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-96,804.23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-5,165,018.50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-3,313,917.33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2,327,162.65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4,707,866.74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1,199,191.30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675,291.60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436,438.46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161,972,436.78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98,797,773.91</w:t>
            </w:r>
          </w:p>
        </w:tc>
      </w:tr>
    </w:tbl>
    <w:p>
      <w:pPr>
        <w:spacing w:line="240" w:lineRule="auto" w:before="2"/>
        <w:rPr>
          <w:rFonts w:ascii="宋体" w:hAnsi="宋体" w:cs="宋体" w:eastAsia="宋体" w:hint="default"/>
          <w:sz w:val="18"/>
          <w:szCs w:val="18"/>
        </w:rPr>
      </w:pPr>
    </w:p>
    <w:p>
      <w:pPr>
        <w:pStyle w:val="Heading3"/>
        <w:spacing w:line="240" w:lineRule="auto" w:before="26"/>
        <w:ind w:left="154" w:right="1033"/>
        <w:jc w:val="left"/>
        <w:rPr>
          <w:b w:val="0"/>
          <w:bCs w:val="0"/>
        </w:rPr>
      </w:pPr>
      <w:bookmarkStart w:name="十八、补充资料" w:id="429"/>
      <w:bookmarkEnd w:id="42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33"/>
        <w:jc w:val="left"/>
        <w:rPr>
          <w:b w:val="0"/>
          <w:bCs w:val="0"/>
        </w:rPr>
      </w:pPr>
      <w:bookmarkStart w:name="1、当期非经常性损益明细表" w:id="430"/>
      <w:bookmarkEnd w:id="4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6" w:right="0"/>
              <w:jc w:val="left"/>
              <w:rPr>
                <w:rFonts w:ascii="Times New Roman" w:hAnsi="Times New Roman" w:cs="Times New Roman" w:eastAsia="Times New Roman" w:hint="default"/>
                <w:sz w:val="18"/>
                <w:szCs w:val="18"/>
              </w:rPr>
            </w:pPr>
            <w:r>
              <w:rPr>
                <w:rFonts w:ascii="Times New Roman"/>
                <w:sz w:val="18"/>
              </w:rPr>
              <w:t>-4,089,836.44</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年度本公司处置了对北京和丰信科 技有限公司长期股权投资确认损失 </w:t>
            </w:r>
            <w:r>
              <w:rPr>
                <w:rFonts w:ascii="Times New Roman" w:hAnsi="Times New Roman" w:cs="Times New Roman" w:eastAsia="Times New Roman" w:hint="default"/>
                <w:sz w:val="18"/>
                <w:szCs w:val="18"/>
              </w:rPr>
              <w:t>3,313,917.33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r>
      <w:tr>
        <w:trPr>
          <w:trHeight w:val="39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3,128,638.43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4,736,359.89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-492,407.46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7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261,388.98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3,021,365.44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1033"/>
        <w:jc w:val="left"/>
        <w:rPr>
          <w:b w:val="0"/>
          <w:bCs w:val="0"/>
        </w:rPr>
      </w:pPr>
      <w:bookmarkStart w:name="2、净资产收益率及每股收益" w:id="431"/>
      <w:bookmarkEnd w:id="4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b/>
          <w:bCs/>
          <w:sz w:val="19"/>
          <w:szCs w:val="19"/>
        </w:rPr>
      </w:pPr>
    </w:p>
    <w:p>
      <w:pPr>
        <w:pStyle w:val="Heading4"/>
        <w:spacing w:line="240" w:lineRule="auto" w:before="35"/>
        <w:ind w:right="1033"/>
        <w:jc w:val="left"/>
        <w:rPr>
          <w:b w:val="0"/>
          <w:bCs w:val="0"/>
        </w:rPr>
      </w:pPr>
      <w:bookmarkStart w:name="3、境内外会计准则下会计数据差异" w:id="432"/>
      <w:bookmarkEnd w:id="4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33"/>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033"/>
        <w:jc w:val="left"/>
        <w:rPr>
          <w:b w:val="0"/>
          <w:bCs w:val="0"/>
        </w:rPr>
      </w:pPr>
      <w:bookmarkStart w:name="第十一节 备查文件目录" w:id="433"/>
      <w:bookmarkEnd w:id="433"/>
      <w:r>
        <w:rPr>
          <w:b w:val="0"/>
          <w:bCs w:val="0"/>
        </w:rPr>
      </w:r>
      <w:bookmarkStart w:name="_bookmark10" w:id="434"/>
      <w:bookmarkEnd w:id="434"/>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733"/>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rFonts w:ascii="Times New Roman" w:hAnsi="Times New Roman" w:cs="Times New Roman" w:eastAsia="Times New Roman" w:hint="default"/>
        </w:rPr>
        <w:t>2015</w:t>
      </w:r>
      <w:r>
        <w:rPr/>
        <w:t>年年度报告文本。 五、以上备查文件的备置地点：公司法务证券部。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5104" type="#_x0000_t75" stroked="false">
          <v:imagedata r:id="rId1" o:title=""/>
        </v:shape>
      </w:pict>
    </w:r>
    <w:r>
      <w:rPr/>
      <w:pict>
        <v:shape style="position:absolute;margin-left:533.179993pt;margin-top:795.517944pt;width:6.5pt;height:11pt;mso-position-horizontal-relative:page;mso-position-vertical-relative:page;z-index:-1505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5056" type="#_x0000_t75" stroked="false">
          <v:imagedata r:id="rId1" o:title=""/>
        </v:shape>
      </w:pict>
    </w:r>
    <w:r>
      <w:rPr/>
      <w:pict>
        <v:shape style="position:absolute;margin-left:527.679993pt;margin-top:781.957947pt;width:13pt;height:11pt;mso-position-horizontal-relative:page;mso-position-vertical-relative:page;z-index:-1505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5008" type="#_x0000_t75" stroked="false">
          <v:imagedata r:id="rId1" o:title=""/>
        </v:shape>
      </w:pict>
    </w:r>
    <w:r>
      <w:rPr/>
      <w:pict>
        <v:shape style="position:absolute;margin-left:524.179993pt;margin-top:781.957947pt;width:15.5pt;height:11pt;mso-position-horizontal-relative:page;mso-position-vertical-relative:page;z-index:-1504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4960" type="#_x0000_t75" stroked="false">
          <v:imagedata r:id="rId1" o:title=""/>
        </v:shape>
      </w:pict>
    </w:r>
    <w:r>
      <w:rPr/>
      <w:pict>
        <v:shape style="position:absolute;margin-left:523.179993pt;margin-top:781.957947pt;width:17.5pt;height:11pt;mso-position-horizontal-relative:page;mso-position-vertical-relative:page;z-index:-1504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4912" type="#_x0000_t75" stroked="false">
          <v:imagedata r:id="rId1" o:title=""/>
        </v:shape>
      </w:pict>
    </w:r>
    <w:r>
      <w:rPr/>
      <w:pict>
        <v:shape style="position:absolute;margin-left:524.179993pt;margin-top:781.957947pt;width:15.5pt;height:11pt;mso-position-horizontal-relative:page;mso-position-vertical-relative:page;z-index:-1504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504864" type="#_x0000_t75" stroked="false">
          <v:imagedata r:id="rId1" o:title=""/>
        </v:shape>
      </w:pict>
    </w:r>
    <w:r>
      <w:rPr/>
      <w:pict>
        <v:shape style="position:absolute;margin-left:523.179993pt;margin-top:781.957947pt;width:17.5pt;height:11pt;mso-position-horizontal-relative:page;mso-position-vertical-relative:page;z-index:-1504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50512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35"/>
      <w:ind w:left="153"/>
      <w:outlineLvl w:val="5"/>
    </w:pPr>
    <w:rPr>
      <w:rFonts w:ascii="宋体" w:hAnsi="宋体" w:eastAsia="宋体"/>
      <w:sz w:val="20"/>
      <w:szCs w:val="20"/>
    </w:rPr>
  </w:style>
  <w:style w:styleId="Heading6" w:type="paragraph">
    <w:name w:val="Heading 6"/>
    <w:basedOn w:val="Normal"/>
    <w:uiPriority w:val="1"/>
    <w:qFormat/>
    <w:pPr>
      <w:spacing w:before="44"/>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hyperlink" Target="http://www/"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cninfo.com/"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yperlink" Target="http://www.263.net.cn/"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cpro.baidu.com/cpro/ui/uijs.php?adclass=0&amp;amp;amp%3Bamp%3Bamp%3Bapp_id=0&amp;amp;amp%3Bamp%3Bamp%3Bc=news&amp;amp;amp%3Bamp%3Bamp%3Bcf=1001&amp;amp;amp%3Bamp%3Bamp%3Bch=0&amp;amp;amp%3Bamp%3Bamp%3Bdi=128&amp;amp;amp%3Bamp%3Bamp%3Bfv=17&amp;amp;amp%3Bamp%3Bamp%3Bis_app=0&amp;amp;amp%3Bamp%3Bamp%3Bjk=c747447d31801e16&amp;amp;amp%3Bamp%3Bamp%3Bk=%CB%B0%CE%F1&amp;amp;amp%3Bamp%3Bamp%3Bk0=%CB%B0%CE%F1&amp;amp;amp%3Bamp%3Bamp%3Bkdi0=0&amp;amp;amp%3Bamp%3Bamp%3Bluki=10&amp;amp;amp%3Bamp%3Bamp%3Bn=10&amp;amp;amp%3Bamp%3Bamp%3Bp=baidu&amp;amp;amp%3Bamp%3Bamp%3Bq=shui5_cpr&amp;amp;amp%3Bamp%3Bamp%3Brb=0&amp;amp;amp%3Bamp%3Bamp%3Brs=1&amp;amp;amp%3Bamp%3Bamp%3Bseller_id=1&amp;amp;amp%3Bamp%3Bamp%3Bsid=161e80317d4447c7&amp;amp;amp%3Bamp%3Bamp%3Bssp2=1&amp;amp;amp%3Bamp%3Bamp%3Bstid=0&amp;amp;amp%3Bamp%3Bamp%3Bt=tpclicked3_hc&amp;amp;amp%3Bamp%3Bamp%3Btd=1954196&amp;amp;amp%3Bamp%3Bamp%3Btu=u1954196&amp;amp;amp%3Bamp%3Bamp%3Bu=http%3A%2F%2Fwww%2Eshui5%2Ecn%2Farticle%2Ff1%2F70529%2Ehtml&amp;amp;amp%3Bamp%3Bamp%3Burlid=0" TargetMode="Externa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image" Target="media/image9.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二六三网络通信股份有限公司</dc:creator>
  <dc:title>二六三网络通信股份有限公司2015年年度报告全文</dc:title>
  <dcterms:created xsi:type="dcterms:W3CDTF">2020-05-04T13:47:28Z</dcterms:created>
  <dcterms:modified xsi:type="dcterms:W3CDTF">2020-05-04T13:47:28Z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